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default"/>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default"/>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outlineLvl w:val="0"/>
        <w:rPr>
          <w:rFonts w:hint="default"/>
          <w:b/>
          <w:bCs/>
          <w:sz w:val="44"/>
          <w:szCs w:val="44"/>
          <w:lang w:val="en-US" w:eastAsia="zh-CN"/>
        </w:rPr>
      </w:pPr>
      <w:bookmarkStart w:id="0" w:name="_Toc6544"/>
      <w:bookmarkStart w:id="1" w:name="_Toc20575"/>
      <w:bookmarkStart w:id="2" w:name="_Toc17110"/>
      <w:bookmarkStart w:id="3" w:name="_Toc28451"/>
      <w:bookmarkStart w:id="4" w:name="_Toc29792"/>
      <w:bookmarkStart w:id="5" w:name="_Toc486"/>
      <w:bookmarkStart w:id="6" w:name="_Toc19406"/>
      <w:r>
        <w:rPr>
          <w:rFonts w:hint="eastAsia"/>
          <w:b/>
          <w:bCs/>
          <w:sz w:val="44"/>
          <w:szCs w:val="44"/>
          <w:lang w:val="en-US" w:eastAsia="zh-CN"/>
        </w:rPr>
        <w:t>湖南润景水业（桃江）有限公司</w:t>
      </w:r>
      <w:bookmarkEnd w:id="0"/>
      <w:r>
        <w:rPr>
          <w:rFonts w:hint="eastAsia"/>
          <w:b/>
          <w:bCs/>
          <w:sz w:val="44"/>
          <w:szCs w:val="44"/>
          <w:lang w:val="en-US" w:eastAsia="zh-CN"/>
        </w:rPr>
        <w:t>入河排污口设置论证报告</w:t>
      </w:r>
      <w:bookmarkEnd w:id="1"/>
      <w:bookmarkEnd w:id="2"/>
      <w:bookmarkEnd w:id="3"/>
      <w:bookmarkEnd w:id="4"/>
      <w:bookmarkEnd w:id="5"/>
      <w:bookmarkEnd w:id="6"/>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44"/>
          <w:szCs w:val="4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firstLine="723" w:firstLineChars="300"/>
        <w:jc w:val="both"/>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firstLine="723" w:firstLineChars="300"/>
        <w:jc w:val="both"/>
        <w:textAlignment w:val="auto"/>
        <w:rPr>
          <w:rFonts w:hint="eastAsia"/>
          <w:b/>
          <w:bCs/>
          <w:sz w:val="24"/>
          <w:szCs w:val="24"/>
          <w:lang w:val="en-US" w:eastAsia="zh-CN"/>
        </w:rPr>
      </w:pP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firstLine="1968" w:firstLineChars="700"/>
        <w:jc w:val="both"/>
        <w:textAlignment w:val="auto"/>
        <w:outlineLvl w:val="0"/>
        <w:rPr>
          <w:rFonts w:hint="default" w:ascii="Times New Roman" w:hAnsi="Times New Roman" w:cs="Times New Roman"/>
          <w:b/>
          <w:bCs/>
          <w:sz w:val="28"/>
          <w:szCs w:val="28"/>
          <w:lang w:val="en-US" w:eastAsia="zh-CN"/>
        </w:rPr>
      </w:pPr>
      <w:bookmarkStart w:id="7" w:name="_Toc19077"/>
      <w:bookmarkStart w:id="8" w:name="_Toc30622"/>
      <w:bookmarkStart w:id="9" w:name="_Toc32600"/>
      <w:bookmarkStart w:id="10" w:name="_Toc5455"/>
      <w:bookmarkStart w:id="11" w:name="_Toc5261"/>
      <w:bookmarkStart w:id="12" w:name="_Toc11489"/>
      <w:bookmarkStart w:id="13" w:name="_Toc13595"/>
      <w:r>
        <w:rPr>
          <w:rFonts w:hint="default" w:ascii="Times New Roman" w:hAnsi="Times New Roman" w:cs="Times New Roman"/>
          <w:b/>
          <w:bCs/>
          <w:sz w:val="28"/>
          <w:szCs w:val="28"/>
          <w:lang w:val="en-US" w:eastAsia="zh-CN"/>
        </w:rPr>
        <w:t>建设单位：</w:t>
      </w:r>
      <w:bookmarkEnd w:id="7"/>
      <w:r>
        <w:rPr>
          <w:rFonts w:hint="default" w:ascii="Times New Roman" w:hAnsi="Times New Roman" w:cs="Times New Roman"/>
          <w:b/>
          <w:bCs/>
          <w:sz w:val="28"/>
          <w:szCs w:val="28"/>
          <w:lang w:val="en-US" w:eastAsia="zh-CN"/>
        </w:rPr>
        <w:t>湖南润景水业（桃江）有限公司</w:t>
      </w:r>
      <w:bookmarkEnd w:id="8"/>
      <w:bookmarkEnd w:id="9"/>
      <w:bookmarkEnd w:id="10"/>
      <w:bookmarkEnd w:id="11"/>
      <w:bookmarkEnd w:id="12"/>
      <w:bookmarkEnd w:id="13"/>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firstLine="1968" w:firstLineChars="700"/>
        <w:jc w:val="both"/>
        <w:textAlignment w:val="auto"/>
        <w:outlineLvl w:val="0"/>
        <w:rPr>
          <w:rFonts w:hint="default" w:ascii="Times New Roman" w:hAnsi="Times New Roman" w:cs="Times New Roman"/>
          <w:b/>
          <w:bCs/>
          <w:sz w:val="28"/>
          <w:szCs w:val="28"/>
          <w:lang w:val="en-US" w:eastAsia="zh-CN"/>
        </w:rPr>
      </w:pPr>
      <w:bookmarkStart w:id="14" w:name="_Toc24060"/>
      <w:bookmarkStart w:id="15" w:name="_Toc6477"/>
      <w:bookmarkStart w:id="16" w:name="_Toc1422"/>
      <w:bookmarkStart w:id="17" w:name="_Toc23215"/>
      <w:bookmarkStart w:id="18" w:name="_Toc14757"/>
      <w:bookmarkStart w:id="19" w:name="_Toc17675"/>
      <w:bookmarkStart w:id="20" w:name="_Toc13976"/>
      <w:r>
        <w:rPr>
          <w:rFonts w:hint="default" w:ascii="Times New Roman" w:hAnsi="Times New Roman" w:cs="Times New Roman"/>
          <w:b/>
          <w:bCs/>
          <w:sz w:val="28"/>
          <w:szCs w:val="28"/>
          <w:lang w:val="en-US" w:eastAsia="zh-CN"/>
        </w:rPr>
        <w:t>编制单位：湖南格瑞大地环境科技有限公司</w:t>
      </w:r>
      <w:bookmarkEnd w:id="14"/>
      <w:bookmarkEnd w:id="15"/>
      <w:bookmarkEnd w:id="16"/>
      <w:bookmarkEnd w:id="17"/>
      <w:bookmarkEnd w:id="18"/>
      <w:bookmarkEnd w:id="19"/>
      <w:bookmarkEnd w:id="20"/>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firstLine="2811" w:firstLineChars="1000"/>
        <w:jc w:val="both"/>
        <w:textAlignment w:val="auto"/>
        <w:rPr>
          <w:rFonts w:hint="default" w:ascii="Times New Roman" w:hAnsi="Times New Roman" w:cs="Times New Roman"/>
          <w:b/>
          <w:bCs/>
          <w:sz w:val="28"/>
          <w:szCs w:val="28"/>
          <w:lang w:val="en-US" w:eastAsia="zh-CN"/>
        </w:rPr>
        <w:sectPr>
          <w:headerReference r:id="rId5" w:type="default"/>
          <w:footerReference r:id="rId6" w:type="default"/>
          <w:pgSz w:w="11906" w:h="16838"/>
          <w:pgMar w:top="1440" w:right="1440" w:bottom="1440" w:left="1440" w:header="850" w:footer="680"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ascii="Times New Roman" w:hAnsi="Times New Roman" w:cs="Times New Roman"/>
          <w:b/>
          <w:bCs/>
          <w:sz w:val="28"/>
          <w:szCs w:val="28"/>
          <w:lang w:val="en-US" w:eastAsia="zh-CN"/>
        </w:rPr>
        <w:t>编制日期：二〇二四年</w:t>
      </w:r>
      <w:r>
        <w:rPr>
          <w:rFonts w:hint="eastAsia" w:cs="Times New Roman"/>
          <w:b/>
          <w:bCs/>
          <w:sz w:val="28"/>
          <w:szCs w:val="28"/>
          <w:lang w:val="en-US" w:eastAsia="zh-CN"/>
        </w:rPr>
        <w:t>五</w:t>
      </w:r>
      <w:r>
        <w:rPr>
          <w:rFonts w:hint="default" w:ascii="Times New Roman" w:hAnsi="Times New Roman" w:cs="Times New Roman"/>
          <w:b/>
          <w:bCs/>
          <w:sz w:val="28"/>
          <w:szCs w:val="28"/>
          <w:lang w:val="en-US" w:eastAsia="zh-CN"/>
        </w:rPr>
        <w:t>月</w:t>
      </w: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firstLine="2811" w:firstLineChars="1000"/>
        <w:jc w:val="both"/>
        <w:textAlignment w:val="auto"/>
        <w:rPr>
          <w:rFonts w:hint="default" w:ascii="Times New Roman" w:hAnsi="Times New Roman" w:cs="Times New Roman"/>
          <w:b/>
          <w:bCs/>
          <w:sz w:val="28"/>
          <w:szCs w:val="28"/>
          <w:lang w:val="en-US" w:eastAsia="zh-CN"/>
        </w:rPr>
        <w:sectPr>
          <w:pgSz w:w="11906" w:h="16838"/>
          <w:pgMar w:top="1440" w:right="1440" w:bottom="1440" w:left="1440" w:header="850" w:footer="680" w:gutter="0"/>
          <w:pgBorders>
            <w:top w:val="none" w:sz="0" w:space="0"/>
            <w:left w:val="none" w:sz="0" w:space="0"/>
            <w:bottom w:val="none" w:sz="0" w:space="0"/>
            <w:right w:val="none" w:sz="0" w:space="0"/>
          </w:pgBorders>
          <w:pgNumType w:fmt="decimal"/>
          <w:cols w:space="0" w:num="1"/>
          <w:rtlGutter w:val="0"/>
          <w:docGrid w:linePitch="335" w:charSpace="0"/>
        </w:sectPr>
      </w:pPr>
    </w:p>
    <w:p>
      <w:pPr>
        <w:ind w:left="0" w:leftChars="0" w:firstLine="0" w:firstLineChars="0"/>
        <w:jc w:val="both"/>
        <w:rPr>
          <w:rFonts w:hint="eastAsia"/>
          <w:b/>
          <w:bCs/>
          <w:sz w:val="32"/>
          <w:szCs w:val="32"/>
          <w:lang w:val="en-US" w:eastAsia="zh-CN"/>
        </w:rPr>
        <w:sectPr>
          <w:footerReference r:id="rId7" w:type="default"/>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r>
        <w:rPr>
          <w:sz w:val="32"/>
        </w:rPr>
        <mc:AlternateContent>
          <mc:Choice Requires="wps">
            <w:drawing>
              <wp:anchor distT="0" distB="0" distL="114300" distR="114300" simplePos="0" relativeHeight="251662336" behindDoc="0" locked="0" layoutInCell="1" allowOverlap="1">
                <wp:simplePos x="0" y="0"/>
                <wp:positionH relativeFrom="column">
                  <wp:posOffset>133985</wp:posOffset>
                </wp:positionH>
                <wp:positionV relativeFrom="paragraph">
                  <wp:posOffset>4325620</wp:posOffset>
                </wp:positionV>
                <wp:extent cx="6865620" cy="404495"/>
                <wp:effectExtent l="3230880" t="0" r="0" b="0"/>
                <wp:wrapNone/>
                <wp:docPr id="19" name="文本框 19"/>
                <wp:cNvGraphicFramePr/>
                <a:graphic xmlns:a="http://schemas.openxmlformats.org/drawingml/2006/main">
                  <a:graphicData uri="http://schemas.microsoft.com/office/word/2010/wordprocessingShape">
                    <wps:wsp>
                      <wps:cNvSpPr txBox="1"/>
                      <wps:spPr>
                        <a:xfrm rot="3060000">
                          <a:off x="2387600" y="1795145"/>
                          <a:ext cx="6865620" cy="404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color w:val="FF0000"/>
                                <w:sz w:val="32"/>
                                <w:szCs w:val="32"/>
                                <w:lang w:val="en-US"/>
                              </w:rPr>
                            </w:pPr>
                            <w:r>
                              <w:rPr>
                                <w:rFonts w:hint="eastAsia"/>
                                <w:b/>
                                <w:bCs/>
                                <w:color w:val="FF0000"/>
                                <w:sz w:val="32"/>
                                <w:szCs w:val="32"/>
                                <w:lang w:val="en-US" w:eastAsia="zh-CN"/>
                              </w:rPr>
                              <w:t>仅湖南润景水业（桃江）有限公司入河排污口设置论证报告使用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5pt;margin-top:340.6pt;height:31.85pt;width:540.6pt;rotation:3342336f;z-index:251662336;mso-width-relative:page;mso-height-relative:page;" filled="f" stroked="f" coordsize="21600,21600" o:gfxdata="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P+OP3cAAAACwEA&#10;AA8AAAAAAAAAAQAgAAAAIgAAAGRycy9kb3ducmV2LnhtbFBLAQIUABQAAAAIAIdO4kAl7OKnTwIA&#10;AIIEAAAOAAAAAAAAAAEAIAAAACsBAABkcnMvZTJvRG9jLnhtbFBLBQYAAAAABgAGAFkBAADsBQAA&#10;AAA=&#10;">
                <v:fill on="f" focussize="0,0"/>
                <v:stroke on="f" weight="0.5pt"/>
                <v:imagedata o:title=""/>
                <o:lock v:ext="edit" aspectratio="f"/>
                <v:textbox>
                  <w:txbxContent>
                    <w:p>
                      <w:pPr>
                        <w:ind w:left="0" w:leftChars="0" w:firstLine="0" w:firstLineChars="0"/>
                        <w:rPr>
                          <w:rFonts w:hint="default"/>
                          <w:color w:val="FF0000"/>
                          <w:sz w:val="32"/>
                          <w:szCs w:val="32"/>
                          <w:lang w:val="en-US"/>
                        </w:rPr>
                      </w:pPr>
                      <w:r>
                        <w:rPr>
                          <w:rFonts w:hint="eastAsia"/>
                          <w:b/>
                          <w:bCs/>
                          <w:color w:val="FF0000"/>
                          <w:sz w:val="32"/>
                          <w:szCs w:val="32"/>
                          <w:lang w:val="en-US" w:eastAsia="zh-CN"/>
                        </w:rPr>
                        <w:t>仅湖南润景水业（桃江）有限公司入河排污口设置论证报告使用</w:t>
                      </w:r>
                    </w:p>
                  </w:txbxContent>
                </v:textbox>
              </v:shape>
            </w:pict>
          </mc:Fallback>
        </mc:AlternateContent>
      </w:r>
      <w:r>
        <w:rPr>
          <w:rFonts w:hint="eastAsia"/>
          <w:b/>
          <w:bCs/>
          <w:sz w:val="32"/>
          <w:szCs w:val="32"/>
          <w:lang w:val="en-US" w:eastAsia="zh-CN"/>
        </w:rPr>
        <w:drawing>
          <wp:inline distT="0" distB="0" distL="114300" distR="114300">
            <wp:extent cx="5729605" cy="8104505"/>
            <wp:effectExtent l="0" t="0" r="4445" b="10795"/>
            <wp:docPr id="18" name="图片 18" descr="新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新执照副本"/>
                    <pic:cNvPicPr>
                      <a:picLocks noChangeAspect="1"/>
                    </pic:cNvPicPr>
                  </pic:nvPicPr>
                  <pic:blipFill>
                    <a:blip r:embed="rId15"/>
                    <a:stretch>
                      <a:fillRect/>
                    </a:stretch>
                  </pic:blipFill>
                  <pic:spPr>
                    <a:xfrm>
                      <a:off x="0" y="0"/>
                      <a:ext cx="5729605" cy="8104505"/>
                    </a:xfrm>
                    <a:prstGeom prst="rect">
                      <a:avLst/>
                    </a:prstGeom>
                  </pic:spPr>
                </pic:pic>
              </a:graphicData>
            </a:graphic>
          </wp:inline>
        </w:drawing>
      </w: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jc w:val="both"/>
        <w:textAlignment w:val="auto"/>
        <w:rPr>
          <w:rFonts w:hint="eastAsia"/>
          <w:b/>
          <w:bCs/>
          <w:sz w:val="24"/>
          <w:szCs w:val="24"/>
          <w:lang w:val="en-US" w:eastAsia="zh-CN"/>
        </w:rPr>
        <w:sectPr>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r>
        <w:rPr>
          <w:rFonts w:hint="eastAsia"/>
          <w:b/>
          <w:bCs/>
          <w:sz w:val="24"/>
          <w:szCs w:val="24"/>
          <w:lang w:val="en-US" w:eastAsia="zh-CN"/>
        </w:rPr>
        <w:drawing>
          <wp:anchor distT="0" distB="0" distL="114300" distR="114300" simplePos="0" relativeHeight="251670528" behindDoc="1" locked="0" layoutInCell="1" allowOverlap="1">
            <wp:simplePos x="0" y="0"/>
            <wp:positionH relativeFrom="column">
              <wp:posOffset>-551815</wp:posOffset>
            </wp:positionH>
            <wp:positionV relativeFrom="paragraph">
              <wp:posOffset>-571500</wp:posOffset>
            </wp:positionV>
            <wp:extent cx="6913880" cy="9779635"/>
            <wp:effectExtent l="0" t="0" r="0" b="0"/>
            <wp:wrapThrough wrapText="bothSides">
              <wp:wrapPolygon>
                <wp:start x="0" y="0"/>
                <wp:lineTo x="0" y="21542"/>
                <wp:lineTo x="21544" y="21542"/>
                <wp:lineTo x="21544" y="0"/>
                <wp:lineTo x="0" y="0"/>
              </wp:wrapPolygon>
            </wp:wrapThrough>
            <wp:docPr id="15" name="图片 15" descr="排污口论证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排污口论证签字页"/>
                    <pic:cNvPicPr>
                      <a:picLocks noChangeAspect="1"/>
                    </pic:cNvPicPr>
                  </pic:nvPicPr>
                  <pic:blipFill>
                    <a:blip r:embed="rId16"/>
                    <a:stretch>
                      <a:fillRect/>
                    </a:stretch>
                  </pic:blipFill>
                  <pic:spPr>
                    <a:xfrm>
                      <a:off x="0" y="0"/>
                      <a:ext cx="6913880" cy="9779635"/>
                    </a:xfrm>
                    <a:prstGeom prst="rect">
                      <a:avLst/>
                    </a:prstGeom>
                  </pic:spPr>
                </pic:pic>
              </a:graphicData>
            </a:graphic>
          </wp:anchor>
        </w:drawing>
      </w: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jc w:val="both"/>
        <w:textAlignment w:val="auto"/>
        <w:rPr>
          <w:rFonts w:hint="default"/>
          <w:b/>
          <w:bCs/>
          <w:sz w:val="24"/>
          <w:szCs w:val="24"/>
          <w:lang w:val="en-US" w:eastAsia="zh-CN"/>
        </w:rPr>
        <w:sectPr>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r>
        <w:rPr>
          <w:rFonts w:hint="default"/>
          <w:b/>
          <w:bCs/>
          <w:sz w:val="24"/>
          <w:szCs w:val="24"/>
          <w:lang w:val="en-US" w:eastAsia="zh-CN"/>
        </w:rPr>
        <w:drawing>
          <wp:anchor distT="0" distB="0" distL="114300" distR="114300" simplePos="0" relativeHeight="251671552" behindDoc="1" locked="0" layoutInCell="1" allowOverlap="1">
            <wp:simplePos x="0" y="0"/>
            <wp:positionH relativeFrom="column">
              <wp:posOffset>-545465</wp:posOffset>
            </wp:positionH>
            <wp:positionV relativeFrom="paragraph">
              <wp:posOffset>-768350</wp:posOffset>
            </wp:positionV>
            <wp:extent cx="6820535" cy="9648190"/>
            <wp:effectExtent l="0" t="0" r="0" b="0"/>
            <wp:wrapThrough wrapText="bothSides">
              <wp:wrapPolygon>
                <wp:start x="0" y="0"/>
                <wp:lineTo x="0" y="21537"/>
                <wp:lineTo x="21538" y="21537"/>
                <wp:lineTo x="21538" y="0"/>
                <wp:lineTo x="0" y="0"/>
              </wp:wrapPolygon>
            </wp:wrapThrough>
            <wp:docPr id="24" name="图片 24" descr="签字的修改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签字的修改清单"/>
                    <pic:cNvPicPr>
                      <a:picLocks noChangeAspect="1"/>
                    </pic:cNvPicPr>
                  </pic:nvPicPr>
                  <pic:blipFill>
                    <a:blip r:embed="rId17"/>
                    <a:stretch>
                      <a:fillRect/>
                    </a:stretch>
                  </pic:blipFill>
                  <pic:spPr>
                    <a:xfrm>
                      <a:off x="0" y="0"/>
                      <a:ext cx="6820535" cy="9648190"/>
                    </a:xfrm>
                    <a:prstGeom prst="rect">
                      <a:avLst/>
                    </a:prstGeom>
                  </pic:spPr>
                </pic:pic>
              </a:graphicData>
            </a:graphic>
          </wp:anchor>
        </w:drawing>
      </w:r>
    </w:p>
    <w:p>
      <w:pPr>
        <w:pStyle w:val="18"/>
        <w:keepNext w:val="0"/>
        <w:keepLines w:val="0"/>
        <w:pageBreakBefore w:val="0"/>
        <w:widowControl w:val="0"/>
        <w:numPr>
          <w:ilvl w:val="0"/>
          <w:numId w:val="0"/>
        </w:numPr>
        <w:kinsoku/>
        <w:wordWrap/>
        <w:overflowPunct/>
        <w:topLinePunct w:val="0"/>
        <w:autoSpaceDE/>
        <w:autoSpaceDN/>
        <w:bidi w:val="0"/>
        <w:adjustRightInd/>
        <w:snapToGrid/>
        <w:spacing w:after="0"/>
        <w:ind w:leftChars="200"/>
        <w:jc w:val="center"/>
        <w:textAlignment w:val="auto"/>
        <w:rPr>
          <w:rFonts w:hint="eastAsia"/>
          <w:b/>
          <w:bCs/>
          <w:sz w:val="32"/>
          <w:szCs w:val="32"/>
          <w:lang w:val="en-US" w:eastAsia="zh-CN"/>
        </w:rPr>
      </w:pPr>
      <w:r>
        <w:rPr>
          <w:rFonts w:hint="eastAsia"/>
          <w:b/>
          <w:bCs/>
          <w:sz w:val="32"/>
          <w:szCs w:val="32"/>
          <w:lang w:val="en-US" w:eastAsia="zh-CN"/>
        </w:rPr>
        <w:t>目 录</w:t>
      </w:r>
    </w:p>
    <w:sdt>
      <w:sdtPr>
        <w:rPr>
          <w:rFonts w:ascii="宋体" w:hAnsi="宋体" w:eastAsia="宋体" w:cstheme="minorBidi"/>
          <w:b/>
          <w:bCs/>
          <w:snapToGrid w:val="0"/>
          <w:color w:val="auto"/>
          <w:sz w:val="21"/>
          <w:szCs w:val="21"/>
          <w:lang w:val="en-US" w:eastAsia="zh-CN" w:bidi="ar-SA"/>
        </w:rPr>
        <w:id w:val="147453378"/>
        <w15:color w:val="DBDBDB"/>
        <w:docPartObj>
          <w:docPartGallery w:val="Table of Contents"/>
          <w:docPartUnique/>
        </w:docPartObj>
      </w:sdtPr>
      <w:sdtEndPr>
        <w:rPr>
          <w:rFonts w:hint="eastAsia" w:ascii="Times New Roman" w:hAnsi="Times New Roman" w:eastAsia="宋体" w:cstheme="minorBidi"/>
          <w:b/>
          <w:bCs/>
          <w:snapToGrid w:val="0"/>
          <w:color w:val="auto"/>
          <w:sz w:val="24"/>
          <w:szCs w:val="21"/>
          <w:lang w:val="en-US" w:eastAsia="zh-CN" w:bidi="ar-SA"/>
        </w:rPr>
      </w:sdtEndPr>
      <w:sdtContent>
        <w:p>
          <w:pPr>
            <w:pStyle w:val="60"/>
            <w:numPr>
              <w:ilvl w:val="1"/>
              <w:numId w:val="0"/>
            </w:numPr>
            <w:bidi w:val="0"/>
            <w:rPr>
              <w:rFonts w:hint="eastAsia" w:ascii="Times New Roman" w:hAnsi="Times New Roman" w:eastAsia="黑体" w:cstheme="minorBidi"/>
              <w:b/>
              <w:bCs/>
              <w:color w:val="auto"/>
              <w:sz w:val="24"/>
              <w:szCs w:val="32"/>
              <w:lang w:val="en-US" w:eastAsia="zh-CN" w:bidi="ar-SA"/>
            </w:rPr>
          </w:pPr>
          <w:r>
            <w:rPr>
              <w:rFonts w:hint="eastAsia"/>
              <w:b/>
              <w:bCs/>
              <w:color w:val="auto"/>
              <w:lang w:val="en-US" w:eastAsia="zh-CN"/>
            </w:rPr>
            <w:fldChar w:fldCharType="begin"/>
          </w:r>
          <w:r>
            <w:rPr>
              <w:rFonts w:hint="eastAsia"/>
              <w:b/>
              <w:bCs/>
              <w:color w:val="auto"/>
              <w:lang w:val="en-US" w:eastAsia="zh-CN"/>
            </w:rPr>
            <w:instrText xml:space="preserve">TOC \o "1-2" \h \u </w:instrText>
          </w:r>
          <w:r>
            <w:rPr>
              <w:rFonts w:hint="eastAsia"/>
              <w:b/>
              <w:bCs/>
              <w:color w:val="auto"/>
              <w:lang w:val="en-US" w:eastAsia="zh-CN"/>
            </w:rPr>
            <w:fldChar w:fldCharType="separate"/>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_Toc796 </w:instrText>
          </w:r>
          <w:r>
            <w:rPr>
              <w:rFonts w:hint="eastAsia"/>
              <w:bCs/>
              <w:lang w:val="en-US" w:eastAsia="zh-CN"/>
            </w:rPr>
            <w:fldChar w:fldCharType="separate"/>
          </w:r>
          <w:r>
            <w:rPr>
              <w:rFonts w:hint="eastAsia"/>
            </w:rPr>
            <w:t xml:space="preserve">1. </w:t>
          </w:r>
          <w:r>
            <w:rPr>
              <w:rFonts w:hint="eastAsia"/>
              <w:lang w:val="en-US" w:eastAsia="zh-CN"/>
            </w:rPr>
            <w:t>总则</w:t>
          </w:r>
          <w:r>
            <w:tab/>
          </w:r>
          <w:r>
            <w:fldChar w:fldCharType="begin"/>
          </w:r>
          <w:r>
            <w:instrText xml:space="preserve"> PAGEREF _Toc796 \h </w:instrText>
          </w:r>
          <w:r>
            <w:fldChar w:fldCharType="separate"/>
          </w:r>
          <w:r>
            <w:t>1</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_Toc24120 </w:instrText>
          </w:r>
          <w:r>
            <w:rPr>
              <w:rFonts w:hint="eastAsia"/>
              <w:bCs/>
              <w:lang w:val="en-US" w:eastAsia="zh-CN"/>
            </w:rPr>
            <w:fldChar w:fldCharType="separate"/>
          </w:r>
          <w:r>
            <w:rPr>
              <w:rFonts w:hint="eastAsia"/>
              <w:lang w:val="en-US" w:eastAsia="zh-CN"/>
            </w:rPr>
            <w:t>1.1 任务由来</w:t>
          </w:r>
          <w:r>
            <w:tab/>
          </w:r>
          <w:r>
            <w:fldChar w:fldCharType="begin"/>
          </w:r>
          <w:r>
            <w:instrText xml:space="preserve"> PAGEREF _Toc24120 \h </w:instrText>
          </w:r>
          <w:r>
            <w:fldChar w:fldCharType="separate"/>
          </w:r>
          <w:r>
            <w:t>1</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_Toc14015 </w:instrText>
          </w:r>
          <w:r>
            <w:rPr>
              <w:rFonts w:hint="eastAsia"/>
              <w:bCs/>
              <w:lang w:val="en-US" w:eastAsia="zh-CN"/>
            </w:rPr>
            <w:fldChar w:fldCharType="separate"/>
          </w:r>
          <w:r>
            <w:rPr>
              <w:rFonts w:hint="eastAsia"/>
              <w:lang w:val="en-US" w:eastAsia="zh-CN"/>
            </w:rPr>
            <w:t>1.2 论证目的</w:t>
          </w:r>
          <w:r>
            <w:tab/>
          </w:r>
          <w:r>
            <w:fldChar w:fldCharType="begin"/>
          </w:r>
          <w:r>
            <w:instrText xml:space="preserve"> PAGEREF _Toc14015 \h </w:instrText>
          </w:r>
          <w:r>
            <w:fldChar w:fldCharType="separate"/>
          </w:r>
          <w:r>
            <w:t>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_Toc13767 </w:instrText>
          </w:r>
          <w:r>
            <w:rPr>
              <w:rFonts w:hint="eastAsia"/>
              <w:bCs/>
              <w:lang w:val="en-US" w:eastAsia="zh-CN"/>
            </w:rPr>
            <w:fldChar w:fldCharType="separate"/>
          </w:r>
          <w:r>
            <w:rPr>
              <w:rFonts w:hint="eastAsia"/>
              <w:lang w:val="en-US" w:eastAsia="zh-CN"/>
            </w:rPr>
            <w:t>1.3 论证原则及依据</w:t>
          </w:r>
          <w:r>
            <w:tab/>
          </w:r>
          <w:r>
            <w:fldChar w:fldCharType="begin"/>
          </w:r>
          <w:r>
            <w:instrText xml:space="preserve"> PAGEREF _Toc13767 \h </w:instrText>
          </w:r>
          <w:r>
            <w:fldChar w:fldCharType="separate"/>
          </w:r>
          <w:r>
            <w:t>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_Toc3145 </w:instrText>
          </w:r>
          <w:r>
            <w:rPr>
              <w:rFonts w:hint="eastAsia"/>
              <w:bCs/>
              <w:lang w:val="en-US" w:eastAsia="zh-CN"/>
            </w:rPr>
            <w:fldChar w:fldCharType="separate"/>
          </w:r>
          <w:r>
            <w:rPr>
              <w:rFonts w:hint="eastAsia"/>
              <w:lang w:val="en-US" w:eastAsia="zh-CN"/>
            </w:rPr>
            <w:t>1.4 论证依据</w:t>
          </w:r>
          <w:r>
            <w:tab/>
          </w:r>
          <w:r>
            <w:fldChar w:fldCharType="begin"/>
          </w:r>
          <w:r>
            <w:instrText xml:space="preserve"> PAGEREF _Toc3145 \h </w:instrText>
          </w:r>
          <w:r>
            <w:fldChar w:fldCharType="separate"/>
          </w:r>
          <w:r>
            <w:t>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_Toc1443 </w:instrText>
          </w:r>
          <w:r>
            <w:rPr>
              <w:rFonts w:hint="eastAsia"/>
              <w:bCs/>
              <w:lang w:val="en-US" w:eastAsia="zh-CN"/>
            </w:rPr>
            <w:fldChar w:fldCharType="separate"/>
          </w:r>
          <w:r>
            <w:rPr>
              <w:rFonts w:hint="eastAsia"/>
              <w:lang w:val="en-US" w:eastAsia="zh-CN"/>
            </w:rPr>
            <w:t>1.5 论证范围</w:t>
          </w:r>
          <w:r>
            <w:tab/>
          </w:r>
          <w:r>
            <w:fldChar w:fldCharType="begin"/>
          </w:r>
          <w:r>
            <w:instrText xml:space="preserve"> PAGEREF _Toc1443 \h </w:instrText>
          </w:r>
          <w:r>
            <w:fldChar w:fldCharType="separate"/>
          </w:r>
          <w:r>
            <w:t>5</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_Toc31712 </w:instrText>
          </w:r>
          <w:r>
            <w:rPr>
              <w:rFonts w:hint="eastAsia"/>
              <w:bCs/>
              <w:lang w:val="en-US" w:eastAsia="zh-CN"/>
            </w:rPr>
            <w:fldChar w:fldCharType="separate"/>
          </w:r>
          <w:r>
            <w:rPr>
              <w:rFonts w:hint="eastAsia"/>
              <w:lang w:val="en-US" w:eastAsia="zh-CN"/>
            </w:rPr>
            <w:t>1.6 论证规模</w:t>
          </w:r>
          <w:r>
            <w:tab/>
          </w:r>
          <w:r>
            <w:fldChar w:fldCharType="begin"/>
          </w:r>
          <w:r>
            <w:instrText xml:space="preserve"> PAGEREF _Toc31712 \h </w:instrText>
          </w:r>
          <w:r>
            <w:fldChar w:fldCharType="separate"/>
          </w:r>
          <w:r>
            <w:t>6</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_Toc10102 </w:instrText>
          </w:r>
          <w:r>
            <w:rPr>
              <w:rFonts w:hint="eastAsia"/>
              <w:bCs/>
              <w:lang w:val="en-US" w:eastAsia="zh-CN"/>
            </w:rPr>
            <w:fldChar w:fldCharType="separate"/>
          </w:r>
          <w:r>
            <w:rPr>
              <w:rFonts w:hint="eastAsia"/>
              <w:lang w:val="en-US" w:eastAsia="zh-CN"/>
            </w:rPr>
            <w:t>1.7 论证工作等级</w:t>
          </w:r>
          <w:r>
            <w:tab/>
          </w:r>
          <w:r>
            <w:fldChar w:fldCharType="begin"/>
          </w:r>
          <w:r>
            <w:instrText xml:space="preserve"> PAGEREF _Toc10102 \h </w:instrText>
          </w:r>
          <w:r>
            <w:fldChar w:fldCharType="separate"/>
          </w:r>
          <w:r>
            <w:t>6</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_Toc6716 </w:instrText>
          </w:r>
          <w:r>
            <w:rPr>
              <w:rFonts w:hint="eastAsia"/>
              <w:bCs/>
              <w:lang w:val="en-US" w:eastAsia="zh-CN"/>
            </w:rPr>
            <w:fldChar w:fldCharType="separate"/>
          </w:r>
          <w:r>
            <w:rPr>
              <w:rFonts w:hint="eastAsia"/>
              <w:lang w:val="en-US" w:eastAsia="zh-CN"/>
            </w:rPr>
            <w:t>1.8 论证工作程</w:t>
          </w:r>
          <w:r>
            <w:tab/>
          </w:r>
          <w:r>
            <w:fldChar w:fldCharType="begin"/>
          </w:r>
          <w:r>
            <w:instrText xml:space="preserve"> PAGEREF _Toc6716 \h </w:instrText>
          </w:r>
          <w:r>
            <w:fldChar w:fldCharType="separate"/>
          </w:r>
          <w:r>
            <w:t>8</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_Toc16387 </w:instrText>
          </w:r>
          <w:r>
            <w:rPr>
              <w:rFonts w:hint="eastAsia"/>
              <w:bCs/>
              <w:lang w:val="en-US" w:eastAsia="zh-CN"/>
            </w:rPr>
            <w:fldChar w:fldCharType="separate"/>
          </w:r>
          <w:r>
            <w:rPr>
              <w:rFonts w:hint="eastAsia"/>
              <w:lang w:val="en-US" w:eastAsia="zh-CN"/>
            </w:rPr>
            <w:t>1.9 执行标准</w:t>
          </w:r>
          <w:r>
            <w:tab/>
          </w:r>
          <w:r>
            <w:fldChar w:fldCharType="begin"/>
          </w:r>
          <w:r>
            <w:instrText xml:space="preserve"> PAGEREF _Toc16387 \h </w:instrText>
          </w:r>
          <w:r>
            <w:fldChar w:fldCharType="separate"/>
          </w:r>
          <w:r>
            <w:t>10</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_Toc30806 </w:instrText>
          </w:r>
          <w:r>
            <w:rPr>
              <w:rFonts w:hint="eastAsia"/>
              <w:bCs/>
              <w:lang w:val="en-US" w:eastAsia="zh-CN"/>
            </w:rPr>
            <w:fldChar w:fldCharType="separate"/>
          </w:r>
          <w:r>
            <w:rPr>
              <w:rFonts w:hint="eastAsia"/>
              <w:lang w:val="en-US" w:eastAsia="zh-CN"/>
            </w:rPr>
            <w:t>1.10 论证的主要内容</w:t>
          </w:r>
          <w:r>
            <w:tab/>
          </w:r>
          <w:r>
            <w:fldChar w:fldCharType="begin"/>
          </w:r>
          <w:r>
            <w:instrText xml:space="preserve"> PAGEREF _Toc30806 \h </w:instrText>
          </w:r>
          <w:r>
            <w:fldChar w:fldCharType="separate"/>
          </w:r>
          <w:r>
            <w:t>11</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_Toc9879 </w:instrText>
          </w:r>
          <w:r>
            <w:rPr>
              <w:rFonts w:hint="eastAsia"/>
              <w:bCs/>
              <w:lang w:val="en-US" w:eastAsia="zh-CN"/>
            </w:rPr>
            <w:fldChar w:fldCharType="separate"/>
          </w:r>
          <w:r>
            <w:rPr>
              <w:rFonts w:hint="eastAsia"/>
              <w:lang w:val="en-US" w:eastAsia="zh-CN"/>
            </w:rPr>
            <w:t>1.11 论证水平年</w:t>
          </w:r>
          <w:r>
            <w:tab/>
          </w:r>
          <w:r>
            <w:fldChar w:fldCharType="begin"/>
          </w:r>
          <w:r>
            <w:instrText xml:space="preserve"> PAGEREF _Toc9879 \h </w:instrText>
          </w:r>
          <w:r>
            <w:fldChar w:fldCharType="separate"/>
          </w:r>
          <w:r>
            <w:t>11</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_Toc22933 </w:instrText>
          </w:r>
          <w:r>
            <w:rPr>
              <w:rFonts w:hint="eastAsia"/>
              <w:bCs/>
              <w:lang w:val="en-US" w:eastAsia="zh-CN"/>
            </w:rPr>
            <w:fldChar w:fldCharType="separate"/>
          </w:r>
          <w:r>
            <w:rPr>
              <w:rFonts w:hint="eastAsia"/>
              <w:lang w:val="en-US" w:eastAsia="zh-CN"/>
            </w:rPr>
            <w:t>2. 项目基本概况</w:t>
          </w:r>
          <w:r>
            <w:tab/>
          </w:r>
          <w:r>
            <w:fldChar w:fldCharType="begin"/>
          </w:r>
          <w:r>
            <w:instrText xml:space="preserve"> PAGEREF _Toc22933 \h </w:instrText>
          </w:r>
          <w:r>
            <w:fldChar w:fldCharType="separate"/>
          </w:r>
          <w:r>
            <w:t>12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_Toc32007 </w:instrText>
          </w:r>
          <w:r>
            <w:rPr>
              <w:rFonts w:hint="eastAsia"/>
              <w:bCs/>
              <w:lang w:val="en-US" w:eastAsia="zh-CN"/>
            </w:rPr>
            <w:fldChar w:fldCharType="separate"/>
          </w:r>
          <w:r>
            <w:rPr>
              <w:rFonts w:hint="eastAsia"/>
              <w:lang w:val="en-US" w:eastAsia="zh-CN"/>
            </w:rPr>
            <w:t>2.1 项目概况</w:t>
          </w:r>
          <w:r>
            <w:tab/>
          </w:r>
          <w:r>
            <w:fldChar w:fldCharType="begin"/>
          </w:r>
          <w:r>
            <w:instrText xml:space="preserve"> PAGEREF _Toc32007 \h </w:instrText>
          </w:r>
          <w:r>
            <w:fldChar w:fldCharType="separate"/>
          </w:r>
          <w:r>
            <w:t>12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_Toc15457 </w:instrText>
          </w:r>
          <w:r>
            <w:rPr>
              <w:rFonts w:hint="eastAsia"/>
              <w:bCs/>
              <w:lang w:val="en-US" w:eastAsia="zh-CN"/>
            </w:rPr>
            <w:fldChar w:fldCharType="separate"/>
          </w:r>
          <w:r>
            <w:rPr>
              <w:rFonts w:hint="eastAsia"/>
              <w:lang w:val="en-US" w:eastAsia="zh-CN"/>
            </w:rPr>
            <w:t xml:space="preserve">2.2 </w:t>
          </w:r>
          <w:r>
            <w:rPr>
              <w:rFonts w:hint="eastAsia"/>
              <w:bCs/>
              <w:lang w:val="en-US" w:eastAsia="zh-CN"/>
            </w:rPr>
            <w:t>主要建设内容</w:t>
          </w:r>
          <w:r>
            <w:tab/>
          </w:r>
          <w:r>
            <w:fldChar w:fldCharType="begin"/>
          </w:r>
          <w:r>
            <w:instrText xml:space="preserve"> PAGEREF _Toc15457 \h </w:instrText>
          </w:r>
          <w:r>
            <w:fldChar w:fldCharType="separate"/>
          </w:r>
          <w:r>
            <w:t>13</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_Toc9333 </w:instrText>
          </w:r>
          <w:r>
            <w:rPr>
              <w:rFonts w:hint="eastAsia"/>
              <w:bCs/>
              <w:lang w:val="en-US" w:eastAsia="zh-CN"/>
            </w:rPr>
            <w:fldChar w:fldCharType="separate"/>
          </w:r>
          <w:r>
            <w:rPr>
              <w:rFonts w:hint="eastAsia"/>
              <w:lang w:val="en-US" w:eastAsia="zh-CN"/>
            </w:rPr>
            <w:t>2.3 产品方案</w:t>
          </w:r>
          <w:r>
            <w:tab/>
          </w:r>
          <w:r>
            <w:fldChar w:fldCharType="begin"/>
          </w:r>
          <w:r>
            <w:instrText xml:space="preserve"> PAGEREF _Toc9333 \h </w:instrText>
          </w:r>
          <w:r>
            <w:fldChar w:fldCharType="separate"/>
          </w:r>
          <w:r>
            <w:t>14</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_Toc20543 </w:instrText>
          </w:r>
          <w:r>
            <w:rPr>
              <w:rFonts w:hint="eastAsia"/>
              <w:bCs/>
              <w:lang w:val="en-US" w:eastAsia="zh-CN"/>
            </w:rPr>
            <w:fldChar w:fldCharType="separate"/>
          </w:r>
          <w:r>
            <w:rPr>
              <w:rFonts w:hint="eastAsia"/>
              <w:lang w:val="en-US" w:eastAsia="zh-CN"/>
            </w:rPr>
            <w:t>2.4 主要设备</w:t>
          </w:r>
          <w:r>
            <w:tab/>
          </w:r>
          <w:r>
            <w:fldChar w:fldCharType="begin"/>
          </w:r>
          <w:r>
            <w:instrText xml:space="preserve"> PAGEREF _Toc20543 \h </w:instrText>
          </w:r>
          <w:r>
            <w:fldChar w:fldCharType="separate"/>
          </w:r>
          <w:r>
            <w:t>14</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_Toc23932 </w:instrText>
          </w:r>
          <w:r>
            <w:rPr>
              <w:rFonts w:hint="eastAsia"/>
              <w:bCs/>
              <w:lang w:val="en-US" w:eastAsia="zh-CN"/>
            </w:rPr>
            <w:fldChar w:fldCharType="separate"/>
          </w:r>
          <w:r>
            <w:rPr>
              <w:rFonts w:hint="eastAsia"/>
              <w:lang w:val="en-US" w:eastAsia="zh-CN"/>
            </w:rPr>
            <w:t>2.5 主要原辅材料用量及能源消耗</w:t>
          </w:r>
          <w:r>
            <w:tab/>
          </w:r>
          <w:r>
            <w:fldChar w:fldCharType="begin"/>
          </w:r>
          <w:r>
            <w:instrText xml:space="preserve"> PAGEREF _Toc23932 \h </w:instrText>
          </w:r>
          <w:r>
            <w:fldChar w:fldCharType="separate"/>
          </w:r>
          <w:r>
            <w:t>16</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_Toc3559 </w:instrText>
          </w:r>
          <w:r>
            <w:rPr>
              <w:rFonts w:hint="eastAsia"/>
              <w:bCs/>
              <w:lang w:val="en-US" w:eastAsia="zh-CN"/>
            </w:rPr>
            <w:fldChar w:fldCharType="separate"/>
          </w:r>
          <w:r>
            <w:rPr>
              <w:rFonts w:hint="eastAsia"/>
              <w:lang w:val="en-US" w:eastAsia="zh-CN"/>
            </w:rPr>
            <w:t>2.6 总平面布置</w:t>
          </w:r>
          <w:r>
            <w:tab/>
          </w:r>
          <w:r>
            <w:fldChar w:fldCharType="begin"/>
          </w:r>
          <w:r>
            <w:instrText xml:space="preserve"> PAGEREF _Toc3559 \h </w:instrText>
          </w:r>
          <w:r>
            <w:fldChar w:fldCharType="separate"/>
          </w:r>
          <w:r>
            <w:t>17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_Toc5741 </w:instrText>
          </w:r>
          <w:r>
            <w:rPr>
              <w:rFonts w:hint="eastAsia"/>
              <w:bCs/>
              <w:lang w:val="en-US" w:eastAsia="zh-CN"/>
            </w:rPr>
            <w:fldChar w:fldCharType="separate"/>
          </w:r>
          <w:r>
            <w:rPr>
              <w:rFonts w:hint="eastAsia"/>
              <w:lang w:val="en-US" w:eastAsia="zh-CN"/>
            </w:rPr>
            <w:t>2.7 劳动定员及工作制定</w:t>
          </w:r>
          <w:r>
            <w:tab/>
          </w:r>
          <w:r>
            <w:fldChar w:fldCharType="begin"/>
          </w:r>
          <w:r>
            <w:instrText xml:space="preserve"> PAGEREF _Toc5741 \h </w:instrText>
          </w:r>
          <w:r>
            <w:fldChar w:fldCharType="separate"/>
          </w:r>
          <w:r>
            <w:t>17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_Toc2293 </w:instrText>
          </w:r>
          <w:r>
            <w:rPr>
              <w:rFonts w:hint="eastAsia"/>
              <w:bCs/>
              <w:lang w:val="en-US" w:eastAsia="zh-CN"/>
            </w:rPr>
            <w:fldChar w:fldCharType="separate"/>
          </w:r>
          <w:r>
            <w:rPr>
              <w:rFonts w:hint="eastAsia"/>
              <w:lang w:val="en-US" w:eastAsia="zh-CN"/>
            </w:rPr>
            <w:t>2.8 生产工艺流程</w:t>
          </w:r>
          <w:r>
            <w:tab/>
          </w:r>
          <w:r>
            <w:fldChar w:fldCharType="begin"/>
          </w:r>
          <w:r>
            <w:instrText xml:space="preserve"> PAGEREF _Toc2293 \h </w:instrText>
          </w:r>
          <w:r>
            <w:fldChar w:fldCharType="separate"/>
          </w:r>
          <w:r>
            <w:t>18</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_Toc16579 </w:instrText>
          </w:r>
          <w:r>
            <w:rPr>
              <w:rFonts w:hint="eastAsia"/>
              <w:bCs/>
              <w:lang w:val="en-US" w:eastAsia="zh-CN"/>
            </w:rPr>
            <w:fldChar w:fldCharType="separate"/>
          </w:r>
          <w:r>
            <w:rPr>
              <w:rFonts w:hint="eastAsia"/>
              <w:lang w:val="en-US" w:eastAsia="zh-CN"/>
            </w:rPr>
            <w:t>2.9 废水来源及构成</w:t>
          </w:r>
          <w:r>
            <w:tab/>
          </w:r>
          <w:r>
            <w:fldChar w:fldCharType="begin"/>
          </w:r>
          <w:r>
            <w:instrText xml:space="preserve"> PAGEREF _Toc16579 \h </w:instrText>
          </w:r>
          <w:r>
            <w:fldChar w:fldCharType="separate"/>
          </w:r>
          <w:r>
            <w:t>22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_Toc4121 </w:instrText>
          </w:r>
          <w:r>
            <w:rPr>
              <w:rFonts w:hint="eastAsia"/>
              <w:bCs/>
              <w:lang w:val="en-US" w:eastAsia="zh-CN"/>
            </w:rPr>
            <w:fldChar w:fldCharType="separate"/>
          </w:r>
          <w:r>
            <w:rPr>
              <w:rFonts w:hint="eastAsia"/>
              <w:lang w:val="en-US" w:eastAsia="zh-CN"/>
            </w:rPr>
            <w:t>2.10 废水产生、治理及排放情况</w:t>
          </w:r>
          <w:r>
            <w:tab/>
          </w:r>
          <w:r>
            <w:fldChar w:fldCharType="begin"/>
          </w:r>
          <w:r>
            <w:instrText xml:space="preserve"> PAGEREF _Toc4121 \h </w:instrText>
          </w:r>
          <w:r>
            <w:fldChar w:fldCharType="separate"/>
          </w:r>
          <w:r>
            <w:t>24</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_Toc3840 </w:instrText>
          </w:r>
          <w:r>
            <w:rPr>
              <w:rFonts w:hint="eastAsia"/>
              <w:bCs/>
              <w:lang w:val="en-US" w:eastAsia="zh-CN"/>
            </w:rPr>
            <w:fldChar w:fldCharType="separate"/>
          </w:r>
          <w:r>
            <w:rPr>
              <w:rFonts w:hint="eastAsia"/>
              <w:lang w:val="en-US" w:eastAsia="zh-CN"/>
            </w:rPr>
            <w:t>2.11 区域环境概况</w:t>
          </w:r>
          <w:r>
            <w:tab/>
          </w:r>
          <w:r>
            <w:fldChar w:fldCharType="begin"/>
          </w:r>
          <w:r>
            <w:instrText xml:space="preserve"> PAGEREF _Toc3840 \h </w:instrText>
          </w:r>
          <w:r>
            <w:fldChar w:fldCharType="separate"/>
          </w:r>
          <w:r>
            <w:t>27</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_Toc6148 </w:instrText>
          </w:r>
          <w:r>
            <w:rPr>
              <w:rFonts w:hint="eastAsia"/>
              <w:bCs/>
              <w:lang w:val="en-US" w:eastAsia="zh-CN"/>
            </w:rPr>
            <w:fldChar w:fldCharType="separate"/>
          </w:r>
          <w:r>
            <w:rPr>
              <w:rFonts w:hint="eastAsia"/>
              <w:lang w:val="en-US" w:eastAsia="zh-CN"/>
            </w:rPr>
            <w:t>3. 水功能区（水域）管理要求和现有取排水状况</w:t>
          </w:r>
          <w:r>
            <w:tab/>
          </w:r>
          <w:r>
            <w:fldChar w:fldCharType="begin"/>
          </w:r>
          <w:r>
            <w:instrText xml:space="preserve"> PAGEREF _Toc6148 \h </w:instrText>
          </w:r>
          <w:r>
            <w:fldChar w:fldCharType="separate"/>
          </w:r>
          <w:r>
            <w:t>32</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_Toc18051 </w:instrText>
          </w:r>
          <w:r>
            <w:rPr>
              <w:rFonts w:hint="eastAsia"/>
              <w:bCs/>
              <w:lang w:val="en-US" w:eastAsia="zh-CN"/>
            </w:rPr>
            <w:fldChar w:fldCharType="separate"/>
          </w:r>
          <w:r>
            <w:rPr>
              <w:rFonts w:hint="eastAsia"/>
              <w:lang w:val="en-US" w:eastAsia="zh-CN"/>
            </w:rPr>
            <w:t>3.2 水功能区（水域）保护水质管理目标与要求</w:t>
          </w:r>
          <w:r>
            <w:tab/>
          </w:r>
          <w:r>
            <w:fldChar w:fldCharType="begin"/>
          </w:r>
          <w:r>
            <w:instrText xml:space="preserve"> PAGEREF _Toc18051 \h </w:instrText>
          </w:r>
          <w:r>
            <w:fldChar w:fldCharType="separate"/>
          </w:r>
          <w:r>
            <w:t>33</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_Toc3668 </w:instrText>
          </w:r>
          <w:r>
            <w:rPr>
              <w:rFonts w:hint="eastAsia"/>
              <w:bCs/>
              <w:lang w:val="en-US" w:eastAsia="zh-CN"/>
            </w:rPr>
            <w:fldChar w:fldCharType="separate"/>
          </w:r>
          <w:r>
            <w:rPr>
              <w:rFonts w:hint="eastAsia"/>
              <w:lang w:val="en-US" w:eastAsia="zh-CN"/>
            </w:rPr>
            <w:t>3.3 水功能区（水域）纳污能力及限制排放总量</w:t>
          </w:r>
          <w:r>
            <w:tab/>
          </w:r>
          <w:r>
            <w:fldChar w:fldCharType="begin"/>
          </w:r>
          <w:r>
            <w:instrText xml:space="preserve"> PAGEREF _Toc3668 \h </w:instrText>
          </w:r>
          <w:r>
            <w:fldChar w:fldCharType="separate"/>
          </w:r>
          <w:r>
            <w:t>34</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_Toc27942 </w:instrText>
          </w:r>
          <w:r>
            <w:rPr>
              <w:rFonts w:hint="eastAsia"/>
              <w:bCs/>
              <w:lang w:val="en-US" w:eastAsia="zh-CN"/>
            </w:rPr>
            <w:fldChar w:fldCharType="separate"/>
          </w:r>
          <w:r>
            <w:rPr>
              <w:rFonts w:hint="eastAsia"/>
              <w:lang w:val="en-US" w:eastAsia="zh-CN"/>
            </w:rPr>
            <w:t>4. 拟建入河排污口所在水功能区（水域）水质状况及纳污状况</w:t>
          </w:r>
          <w:r>
            <w:tab/>
          </w:r>
          <w:r>
            <w:fldChar w:fldCharType="begin"/>
          </w:r>
          <w:r>
            <w:instrText xml:space="preserve"> PAGEREF _Toc27942 \h </w:instrText>
          </w:r>
          <w:r>
            <w:fldChar w:fldCharType="separate"/>
          </w:r>
          <w:r>
            <w:t>37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_Toc23890 </w:instrText>
          </w:r>
          <w:r>
            <w:rPr>
              <w:rFonts w:hint="eastAsia"/>
              <w:bCs/>
              <w:lang w:val="en-US" w:eastAsia="zh-CN"/>
            </w:rPr>
            <w:fldChar w:fldCharType="separate"/>
          </w:r>
          <w:r>
            <w:rPr>
              <w:rFonts w:hint="eastAsia"/>
              <w:lang w:val="en-US" w:eastAsia="zh-CN"/>
            </w:rPr>
            <w:t>4.1 水功能区（水域）水质保护管理与目标要求</w:t>
          </w:r>
          <w:r>
            <w:tab/>
          </w:r>
          <w:r>
            <w:fldChar w:fldCharType="begin"/>
          </w:r>
          <w:r>
            <w:instrText xml:space="preserve"> PAGEREF _Toc23890 \h </w:instrText>
          </w:r>
          <w:r>
            <w:fldChar w:fldCharType="separate"/>
          </w:r>
          <w:r>
            <w:t>37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_Toc6299 </w:instrText>
          </w:r>
          <w:r>
            <w:rPr>
              <w:rFonts w:hint="eastAsia"/>
              <w:bCs/>
              <w:lang w:val="en-US" w:eastAsia="zh-CN"/>
            </w:rPr>
            <w:fldChar w:fldCharType="separate"/>
          </w:r>
          <w:r>
            <w:rPr>
              <w:rFonts w:hint="eastAsia"/>
              <w:lang w:val="en-US" w:eastAsia="zh-CN"/>
            </w:rPr>
            <w:t>4.2 论证范围内取排水现状</w:t>
          </w:r>
          <w:r>
            <w:tab/>
          </w:r>
          <w:r>
            <w:fldChar w:fldCharType="begin"/>
          </w:r>
          <w:r>
            <w:instrText xml:space="preserve"> PAGEREF _Toc6299 \h </w:instrText>
          </w:r>
          <w:r>
            <w:fldChar w:fldCharType="separate"/>
          </w:r>
          <w:r>
            <w:t>37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_Toc28229 </w:instrText>
          </w:r>
          <w:r>
            <w:rPr>
              <w:rFonts w:hint="eastAsia"/>
              <w:bCs/>
              <w:lang w:val="en-US" w:eastAsia="zh-CN"/>
            </w:rPr>
            <w:fldChar w:fldCharType="separate"/>
          </w:r>
          <w:r>
            <w:rPr>
              <w:rFonts w:hint="eastAsia"/>
              <w:lang w:val="en-US" w:eastAsia="zh-CN"/>
            </w:rPr>
            <w:t>4.3 水功能区（水域）水质现状</w:t>
          </w:r>
          <w:r>
            <w:tab/>
          </w:r>
          <w:r>
            <w:fldChar w:fldCharType="begin"/>
          </w:r>
          <w:r>
            <w:instrText xml:space="preserve"> PAGEREF _Toc28229 \h </w:instrText>
          </w:r>
          <w:r>
            <w:fldChar w:fldCharType="separate"/>
          </w:r>
          <w:r>
            <w:t>38</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_Toc5604 </w:instrText>
          </w:r>
          <w:r>
            <w:rPr>
              <w:rFonts w:hint="eastAsia"/>
              <w:bCs/>
              <w:lang w:val="en-US" w:eastAsia="zh-CN"/>
            </w:rPr>
            <w:fldChar w:fldCharType="separate"/>
          </w:r>
          <w:r>
            <w:rPr>
              <w:rFonts w:hint="eastAsia"/>
              <w:lang w:val="en-US" w:eastAsia="zh-CN"/>
            </w:rPr>
            <w:t>5. 入河排污口设置影响分析</w:t>
          </w:r>
          <w:r>
            <w:tab/>
          </w:r>
          <w:r>
            <w:fldChar w:fldCharType="begin"/>
          </w:r>
          <w:r>
            <w:instrText xml:space="preserve"> PAGEREF _Toc5604 \h </w:instrText>
          </w:r>
          <w:r>
            <w:fldChar w:fldCharType="separate"/>
          </w:r>
          <w:r>
            <w:t>41</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_Toc10143 </w:instrText>
          </w:r>
          <w:r>
            <w:rPr>
              <w:rFonts w:hint="eastAsia"/>
              <w:bCs/>
              <w:lang w:val="en-US" w:eastAsia="zh-CN"/>
            </w:rPr>
            <w:fldChar w:fldCharType="separate"/>
          </w:r>
          <w:r>
            <w:rPr>
              <w:rFonts w:hint="eastAsia"/>
              <w:lang w:val="en-US" w:eastAsia="zh-CN"/>
            </w:rPr>
            <w:t>5.1 入河排污口设置水环境影响分析</w:t>
          </w:r>
          <w:r>
            <w:tab/>
          </w:r>
          <w:r>
            <w:fldChar w:fldCharType="begin"/>
          </w:r>
          <w:r>
            <w:instrText xml:space="preserve"> PAGEREF _Toc10143 \h </w:instrText>
          </w:r>
          <w:r>
            <w:fldChar w:fldCharType="separate"/>
          </w:r>
          <w:r>
            <w:t>41</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_Toc4443 </w:instrText>
          </w:r>
          <w:r>
            <w:rPr>
              <w:rFonts w:hint="eastAsia"/>
              <w:bCs/>
              <w:lang w:val="en-US" w:eastAsia="zh-CN"/>
            </w:rPr>
            <w:fldChar w:fldCharType="separate"/>
          </w:r>
          <w:r>
            <w:rPr>
              <w:rFonts w:hint="eastAsia"/>
              <w:lang w:val="en-US" w:eastAsia="zh-CN"/>
            </w:rPr>
            <w:t>5.2 对水功能区水质影响分析</w:t>
          </w:r>
          <w:r>
            <w:tab/>
          </w:r>
          <w:r>
            <w:fldChar w:fldCharType="begin"/>
          </w:r>
          <w:r>
            <w:instrText xml:space="preserve"> PAGEREF _Toc4443 \h </w:instrText>
          </w:r>
          <w:r>
            <w:fldChar w:fldCharType="separate"/>
          </w:r>
          <w:r>
            <w:t>44</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_Toc3409 </w:instrText>
          </w:r>
          <w:r>
            <w:rPr>
              <w:rFonts w:hint="eastAsia"/>
              <w:bCs/>
              <w:lang w:val="en-US" w:eastAsia="zh-CN"/>
            </w:rPr>
            <w:fldChar w:fldCharType="separate"/>
          </w:r>
          <w:r>
            <w:rPr>
              <w:rFonts w:hint="eastAsia"/>
              <w:lang w:val="en-US" w:eastAsia="zh-CN"/>
            </w:rPr>
            <w:t>5.3 对生态的影响分析</w:t>
          </w:r>
          <w:r>
            <w:tab/>
          </w:r>
          <w:r>
            <w:fldChar w:fldCharType="begin"/>
          </w:r>
          <w:r>
            <w:instrText xml:space="preserve"> PAGEREF _Toc3409 \h </w:instrText>
          </w:r>
          <w:r>
            <w:fldChar w:fldCharType="separate"/>
          </w:r>
          <w:r>
            <w:t>44</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_Toc27680 </w:instrText>
          </w:r>
          <w:r>
            <w:rPr>
              <w:rFonts w:hint="eastAsia"/>
              <w:bCs/>
              <w:lang w:val="en-US" w:eastAsia="zh-CN"/>
            </w:rPr>
            <w:fldChar w:fldCharType="separate"/>
          </w:r>
          <w:r>
            <w:rPr>
              <w:rFonts w:hint="eastAsia"/>
              <w:lang w:val="en-US" w:eastAsia="zh-CN"/>
            </w:rPr>
            <w:t>5.4 对地下水影响的分析</w:t>
          </w:r>
          <w:r>
            <w:tab/>
          </w:r>
          <w:r>
            <w:fldChar w:fldCharType="begin"/>
          </w:r>
          <w:r>
            <w:instrText xml:space="preserve"> PAGEREF _Toc27680 \h </w:instrText>
          </w:r>
          <w:r>
            <w:fldChar w:fldCharType="separate"/>
          </w:r>
          <w:r>
            <w:t>45</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_Toc7435 </w:instrText>
          </w:r>
          <w:r>
            <w:rPr>
              <w:rFonts w:hint="eastAsia"/>
              <w:bCs/>
              <w:lang w:val="en-US" w:eastAsia="zh-CN"/>
            </w:rPr>
            <w:fldChar w:fldCharType="separate"/>
          </w:r>
          <w:r>
            <w:rPr>
              <w:rFonts w:hint="eastAsia"/>
              <w:lang w:val="en-US" w:eastAsia="zh-CN"/>
            </w:rPr>
            <w:t>5.5 对第三者影响分析</w:t>
          </w:r>
          <w:r>
            <w:tab/>
          </w:r>
          <w:r>
            <w:fldChar w:fldCharType="begin"/>
          </w:r>
          <w:r>
            <w:instrText xml:space="preserve"> PAGEREF _Toc7435 \h </w:instrText>
          </w:r>
          <w:r>
            <w:fldChar w:fldCharType="separate"/>
          </w:r>
          <w:r>
            <w:t>45</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_Toc4595 </w:instrText>
          </w:r>
          <w:r>
            <w:rPr>
              <w:rFonts w:hint="eastAsia"/>
              <w:bCs/>
              <w:lang w:val="en-US" w:eastAsia="zh-CN"/>
            </w:rPr>
            <w:fldChar w:fldCharType="separate"/>
          </w:r>
          <w:r>
            <w:rPr>
              <w:rFonts w:hint="eastAsia"/>
              <w:lang w:val="en-US" w:eastAsia="zh-CN"/>
            </w:rPr>
            <w:t>6. 入河排污口设置可行性分析</w:t>
          </w:r>
          <w:r>
            <w:tab/>
          </w:r>
          <w:r>
            <w:fldChar w:fldCharType="begin"/>
          </w:r>
          <w:r>
            <w:instrText xml:space="preserve"> PAGEREF _Toc4595 \h </w:instrText>
          </w:r>
          <w:r>
            <w:fldChar w:fldCharType="separate"/>
          </w:r>
          <w:r>
            <w:t>47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_Toc3380 </w:instrText>
          </w:r>
          <w:r>
            <w:rPr>
              <w:rFonts w:hint="eastAsia"/>
              <w:bCs/>
              <w:lang w:val="en-US" w:eastAsia="zh-CN"/>
            </w:rPr>
            <w:fldChar w:fldCharType="separate"/>
          </w:r>
          <w:r>
            <w:rPr>
              <w:rFonts w:hint="eastAsia"/>
              <w:lang w:val="en-US" w:eastAsia="zh-CN"/>
            </w:rPr>
            <w:t>6.1 入河排污口设置可行性分析</w:t>
          </w:r>
          <w:r>
            <w:tab/>
          </w:r>
          <w:r>
            <w:fldChar w:fldCharType="begin"/>
          </w:r>
          <w:r>
            <w:instrText xml:space="preserve"> PAGEREF _Toc3380 \h </w:instrText>
          </w:r>
          <w:r>
            <w:fldChar w:fldCharType="separate"/>
          </w:r>
          <w:r>
            <w:t>47</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_Toc31413 </w:instrText>
          </w:r>
          <w:r>
            <w:rPr>
              <w:rFonts w:hint="eastAsia"/>
              <w:bCs/>
              <w:lang w:val="en-US" w:eastAsia="zh-CN"/>
            </w:rPr>
            <w:fldChar w:fldCharType="separate"/>
          </w:r>
          <w:r>
            <w:rPr>
              <w:rFonts w:hint="eastAsia"/>
              <w:lang w:val="en-US" w:eastAsia="zh-CN"/>
            </w:rPr>
            <w:t>6.2 水功能区（水域）水质和水生态保护要求</w:t>
          </w:r>
          <w:r>
            <w:tab/>
          </w:r>
          <w:r>
            <w:fldChar w:fldCharType="begin"/>
          </w:r>
          <w:r>
            <w:instrText xml:space="preserve"> PAGEREF _Toc31413 \h </w:instrText>
          </w:r>
          <w:r>
            <w:fldChar w:fldCharType="separate"/>
          </w:r>
          <w:r>
            <w:t>51</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_Toc3288 </w:instrText>
          </w:r>
          <w:r>
            <w:rPr>
              <w:rFonts w:hint="eastAsia"/>
              <w:bCs/>
              <w:lang w:val="en-US" w:eastAsia="zh-CN"/>
            </w:rPr>
            <w:fldChar w:fldCharType="separate"/>
          </w:r>
          <w:r>
            <w:rPr>
              <w:rFonts w:hint="eastAsia"/>
              <w:lang w:val="en-US" w:eastAsia="zh-CN"/>
            </w:rPr>
            <w:t>6.3 入河排污口设置可行性分析小结</w:t>
          </w:r>
          <w:r>
            <w:tab/>
          </w:r>
          <w:r>
            <w:fldChar w:fldCharType="begin"/>
          </w:r>
          <w:r>
            <w:instrText xml:space="preserve"> PAGEREF _Toc3288 \h </w:instrText>
          </w:r>
          <w:r>
            <w:fldChar w:fldCharType="separate"/>
          </w:r>
          <w:r>
            <w:t>51</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_Toc7467 </w:instrText>
          </w:r>
          <w:r>
            <w:rPr>
              <w:rFonts w:hint="eastAsia"/>
              <w:bCs/>
              <w:lang w:val="en-US" w:eastAsia="zh-CN"/>
            </w:rPr>
            <w:fldChar w:fldCharType="separate"/>
          </w:r>
          <w:r>
            <w:rPr>
              <w:rFonts w:hint="eastAsia"/>
              <w:lang w:val="en-US" w:eastAsia="zh-CN"/>
            </w:rPr>
            <w:t>7. 水环境保护措施</w:t>
          </w:r>
          <w:r>
            <w:tab/>
          </w:r>
          <w:r>
            <w:fldChar w:fldCharType="begin"/>
          </w:r>
          <w:r>
            <w:instrText xml:space="preserve"> PAGEREF _Toc7467 \h </w:instrText>
          </w:r>
          <w:r>
            <w:fldChar w:fldCharType="separate"/>
          </w:r>
          <w:r>
            <w:t>53</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_Toc21480 </w:instrText>
          </w:r>
          <w:r>
            <w:rPr>
              <w:rFonts w:hint="eastAsia"/>
              <w:bCs/>
              <w:lang w:val="en-US" w:eastAsia="zh-CN"/>
            </w:rPr>
            <w:fldChar w:fldCharType="separate"/>
          </w:r>
          <w:r>
            <w:rPr>
              <w:rFonts w:hint="eastAsia"/>
              <w:lang w:val="en-US" w:eastAsia="zh-CN"/>
            </w:rPr>
            <w:t>7.1 入河排污口建设管理要求</w:t>
          </w:r>
          <w:r>
            <w:tab/>
          </w:r>
          <w:r>
            <w:fldChar w:fldCharType="begin"/>
          </w:r>
          <w:r>
            <w:instrText xml:space="preserve"> PAGEREF _Toc21480 \h </w:instrText>
          </w:r>
          <w:r>
            <w:fldChar w:fldCharType="separate"/>
          </w:r>
          <w:r>
            <w:t>53</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_Toc1219 </w:instrText>
          </w:r>
          <w:r>
            <w:rPr>
              <w:rFonts w:hint="eastAsia"/>
              <w:bCs/>
              <w:lang w:val="en-US" w:eastAsia="zh-CN"/>
            </w:rPr>
            <w:fldChar w:fldCharType="separate"/>
          </w:r>
          <w:r>
            <w:rPr>
              <w:rFonts w:hint="eastAsia"/>
              <w:lang w:val="en-US" w:eastAsia="zh-CN"/>
            </w:rPr>
            <w:t>7.2 水生态保护措施</w:t>
          </w:r>
          <w:r>
            <w:tab/>
          </w:r>
          <w:r>
            <w:fldChar w:fldCharType="begin"/>
          </w:r>
          <w:r>
            <w:instrText xml:space="preserve"> PAGEREF _Toc1219 \h </w:instrText>
          </w:r>
          <w:r>
            <w:fldChar w:fldCharType="separate"/>
          </w:r>
          <w:r>
            <w:t>56</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_Toc3698 </w:instrText>
          </w:r>
          <w:r>
            <w:rPr>
              <w:rFonts w:hint="eastAsia"/>
              <w:bCs/>
              <w:lang w:val="en-US" w:eastAsia="zh-CN"/>
            </w:rPr>
            <w:fldChar w:fldCharType="separate"/>
          </w:r>
          <w:r>
            <w:rPr>
              <w:rFonts w:hint="eastAsia"/>
              <w:lang w:val="en-US" w:eastAsia="zh-CN"/>
            </w:rPr>
            <w:t>7.3 事故排放预防及应急措施</w:t>
          </w:r>
          <w:r>
            <w:tab/>
          </w:r>
          <w:r>
            <w:fldChar w:fldCharType="begin"/>
          </w:r>
          <w:r>
            <w:instrText xml:space="preserve"> PAGEREF _Toc3698 \h </w:instrText>
          </w:r>
          <w:r>
            <w:fldChar w:fldCharType="separate"/>
          </w:r>
          <w:r>
            <w:t>56</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_Toc2645 </w:instrText>
          </w:r>
          <w:r>
            <w:rPr>
              <w:rFonts w:hint="eastAsia"/>
              <w:bCs/>
              <w:lang w:val="en-US" w:eastAsia="zh-CN"/>
            </w:rPr>
            <w:fldChar w:fldCharType="separate"/>
          </w:r>
          <w:r>
            <w:rPr>
              <w:rFonts w:hint="eastAsia"/>
              <w:lang w:val="en-US" w:eastAsia="zh-CN"/>
            </w:rPr>
            <w:t>7.4 水资源保护措施</w:t>
          </w:r>
          <w:r>
            <w:tab/>
          </w:r>
          <w:r>
            <w:fldChar w:fldCharType="begin"/>
          </w:r>
          <w:r>
            <w:instrText xml:space="preserve"> PAGEREF _Toc2645 \h </w:instrText>
          </w:r>
          <w:r>
            <w:fldChar w:fldCharType="separate"/>
          </w:r>
          <w:r>
            <w:t>59</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_Toc17096 </w:instrText>
          </w:r>
          <w:r>
            <w:rPr>
              <w:rFonts w:hint="eastAsia"/>
              <w:bCs/>
              <w:lang w:val="en-US" w:eastAsia="zh-CN"/>
            </w:rPr>
            <w:fldChar w:fldCharType="separate"/>
          </w:r>
          <w:r>
            <w:rPr>
              <w:rFonts w:hint="eastAsia"/>
              <w:lang w:val="en-US" w:eastAsia="zh-CN"/>
            </w:rPr>
            <w:t>7.5 监督管理措施</w:t>
          </w:r>
          <w:r>
            <w:tab/>
          </w:r>
          <w:r>
            <w:fldChar w:fldCharType="begin"/>
          </w:r>
          <w:r>
            <w:instrText xml:space="preserve"> PAGEREF _Toc17096 \h </w:instrText>
          </w:r>
          <w:r>
            <w:fldChar w:fldCharType="separate"/>
          </w:r>
          <w:r>
            <w:t>59</w:t>
          </w:r>
          <w:r>
            <w:fldChar w:fldCharType="end"/>
          </w:r>
          <w:r>
            <w:rPr>
              <w:rFonts w:hint="eastAsia"/>
              <w:bCs/>
              <w:color w:val="auto"/>
              <w:lang w:val="en-US" w:eastAsia="zh-CN"/>
            </w:rPr>
            <w:fldChar w:fldCharType="end"/>
          </w:r>
        </w:p>
        <w:p>
          <w:pPr>
            <w:pStyle w:val="29"/>
            <w:tabs>
              <w:tab w:val="right" w:leader="dot" w:pos="9026"/>
            </w:tabs>
          </w:pPr>
          <w:r>
            <w:rPr>
              <w:rFonts w:hint="eastAsia"/>
              <w:bCs/>
              <w:color w:val="auto"/>
              <w:lang w:val="en-US" w:eastAsia="zh-CN"/>
            </w:rPr>
            <w:fldChar w:fldCharType="begin"/>
          </w:r>
          <w:r>
            <w:rPr>
              <w:rFonts w:hint="eastAsia"/>
              <w:bCs/>
              <w:lang w:val="en-US" w:eastAsia="zh-CN"/>
            </w:rPr>
            <w:instrText xml:space="preserve"> HYPERLINK \l _Toc28744 </w:instrText>
          </w:r>
          <w:r>
            <w:rPr>
              <w:rFonts w:hint="eastAsia"/>
              <w:bCs/>
              <w:lang w:val="en-US" w:eastAsia="zh-CN"/>
            </w:rPr>
            <w:fldChar w:fldCharType="separate"/>
          </w:r>
          <w:r>
            <w:rPr>
              <w:rFonts w:hint="eastAsia"/>
              <w:lang w:val="en-US" w:eastAsia="zh-CN"/>
            </w:rPr>
            <w:t>8. 论证结论与建议</w:t>
          </w:r>
          <w:r>
            <w:tab/>
          </w:r>
          <w:r>
            <w:fldChar w:fldCharType="begin"/>
          </w:r>
          <w:r>
            <w:instrText xml:space="preserve"> PAGEREF _Toc28744 \h </w:instrText>
          </w:r>
          <w:r>
            <w:fldChar w:fldCharType="separate"/>
          </w:r>
          <w:r>
            <w:t>60</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_Toc4524 </w:instrText>
          </w:r>
          <w:r>
            <w:rPr>
              <w:rFonts w:hint="eastAsia"/>
              <w:bCs/>
              <w:lang w:val="en-US" w:eastAsia="zh-CN"/>
            </w:rPr>
            <w:fldChar w:fldCharType="separate"/>
          </w:r>
          <w:r>
            <w:rPr>
              <w:rFonts w:hint="eastAsia"/>
              <w:lang w:val="en-US" w:eastAsia="zh-CN"/>
            </w:rPr>
            <w:t>8.1 论证结论</w:t>
          </w:r>
          <w:r>
            <w:tab/>
          </w:r>
          <w:r>
            <w:fldChar w:fldCharType="begin"/>
          </w:r>
          <w:r>
            <w:instrText xml:space="preserve"> PAGEREF _Toc4524 \h </w:instrText>
          </w:r>
          <w:r>
            <w:fldChar w:fldCharType="separate"/>
          </w:r>
          <w:r>
            <w:t>60</w:t>
          </w:r>
          <w:r>
            <w:fldChar w:fldCharType="end"/>
          </w:r>
          <w:r>
            <w:rPr>
              <w:rFonts w:hint="eastAsia"/>
              <w:bCs/>
              <w:color w:val="auto"/>
              <w:lang w:val="en-US" w:eastAsia="zh-CN"/>
            </w:rPr>
            <w:fldChar w:fldCharType="end"/>
          </w:r>
        </w:p>
        <w:p>
          <w:pPr>
            <w:pStyle w:val="2"/>
            <w:tabs>
              <w:tab w:val="right" w:leader="dot" w:pos="9026"/>
              <w:tab w:val="clear" w:pos="9060"/>
            </w:tabs>
          </w:pPr>
          <w:r>
            <w:rPr>
              <w:rFonts w:hint="eastAsia"/>
              <w:bCs/>
              <w:color w:val="auto"/>
              <w:lang w:val="en-US" w:eastAsia="zh-CN"/>
            </w:rPr>
            <w:fldChar w:fldCharType="begin"/>
          </w:r>
          <w:r>
            <w:rPr>
              <w:rFonts w:hint="eastAsia"/>
              <w:bCs/>
              <w:lang w:val="en-US" w:eastAsia="zh-CN"/>
            </w:rPr>
            <w:instrText xml:space="preserve"> HYPERLINK \l _Toc25728 </w:instrText>
          </w:r>
          <w:r>
            <w:rPr>
              <w:rFonts w:hint="eastAsia"/>
              <w:bCs/>
              <w:lang w:val="en-US" w:eastAsia="zh-CN"/>
            </w:rPr>
            <w:fldChar w:fldCharType="separate"/>
          </w:r>
          <w:r>
            <w:rPr>
              <w:rFonts w:hint="eastAsia"/>
              <w:lang w:val="en-US" w:eastAsia="zh-CN"/>
            </w:rPr>
            <w:t>8.2 建议</w:t>
          </w:r>
          <w:r>
            <w:tab/>
          </w:r>
          <w:r>
            <w:fldChar w:fldCharType="begin"/>
          </w:r>
          <w:r>
            <w:instrText xml:space="preserve"> PAGEREF _Toc25728 \h </w:instrText>
          </w:r>
          <w:r>
            <w:fldChar w:fldCharType="separate"/>
          </w:r>
          <w:r>
            <w:t>62</w:t>
          </w:r>
          <w:r>
            <w:fldChar w:fldCharType="end"/>
          </w:r>
          <w:r>
            <w:rPr>
              <w:rFonts w:hint="eastAsia"/>
              <w:bCs/>
              <w:color w:val="auto"/>
              <w:lang w:val="en-US" w:eastAsia="zh-CN"/>
            </w:rPr>
            <w:fldChar w:fldCharType="end"/>
          </w:r>
        </w:p>
        <w:p>
          <w:pPr>
            <w:numPr>
              <w:ilvl w:val="1"/>
              <w:numId w:val="0"/>
            </w:numPr>
            <w:bidi w:val="0"/>
            <w:rPr>
              <w:rFonts w:hint="default"/>
              <w:lang w:val="en-US" w:eastAsia="zh-CN"/>
            </w:rPr>
            <w:sectPr>
              <w:footerReference r:id="rId8" w:type="default"/>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r>
            <w:rPr>
              <w:rFonts w:hint="eastAsia"/>
              <w:b/>
              <w:bCs/>
              <w:color w:val="auto"/>
              <w:lang w:val="en-US" w:eastAsia="zh-CN"/>
            </w:rPr>
            <w:fldChar w:fldCharType="end"/>
          </w:r>
        </w:p>
      </w:sdtContent>
    </w:sdt>
    <w:p>
      <w:pPr>
        <w:pStyle w:val="3"/>
        <w:ind w:firstLine="0" w:firstLineChars="0"/>
        <w:jc w:val="center"/>
        <w:rPr>
          <w:rFonts w:hint="eastAsia" w:cs="Times New Roman"/>
          <w:color w:val="000000" w:themeColor="text1"/>
          <w:lang w:val="en-US" w:eastAsia="zh-CN"/>
          <w14:textFill>
            <w14:solidFill>
              <w14:schemeClr w14:val="tx1"/>
            </w14:solidFill>
          </w14:textFill>
        </w:rPr>
      </w:pPr>
      <w:bookmarkStart w:id="21" w:name="_Toc5669"/>
      <w:bookmarkStart w:id="22" w:name="_Toc5024"/>
      <w:bookmarkStart w:id="23" w:name="_Toc1521"/>
      <w:bookmarkStart w:id="24" w:name="_Toc9682"/>
      <w:bookmarkStart w:id="25" w:name="_Toc32639"/>
      <w:bookmarkStart w:id="26" w:name="_Toc6529"/>
      <w:bookmarkStart w:id="27" w:name="_Toc18597"/>
      <w:bookmarkStart w:id="28" w:name="_Toc15050"/>
      <w:bookmarkStart w:id="29" w:name="_Toc29150"/>
      <w:bookmarkStart w:id="30" w:name="_Toc27409"/>
      <w:bookmarkStart w:id="31" w:name="_Toc26973"/>
      <w:bookmarkStart w:id="32" w:name="_Toc22649"/>
      <w:r>
        <w:rPr>
          <w:rFonts w:hint="eastAsia" w:cs="Times New Roman"/>
          <w:color w:val="000000" w:themeColor="text1"/>
          <w:lang w:val="en-US" w:eastAsia="zh-CN"/>
          <w14:textFill>
            <w14:solidFill>
              <w14:schemeClr w14:val="tx1"/>
            </w14:solidFill>
          </w14:textFill>
        </w:rPr>
        <w:t>注  释</w:t>
      </w:r>
      <w:bookmarkEnd w:id="21"/>
      <w:bookmarkEnd w:id="22"/>
      <w:bookmarkEnd w:id="23"/>
    </w:p>
    <w:p>
      <w:pPr>
        <w:rPr>
          <w:rFonts w:hint="eastAsia" w:cs="Times New Roman"/>
          <w:color w:val="000000" w:themeColor="text1"/>
          <w:lang w:val="en-US" w:eastAsia="zh-CN"/>
          <w14:textFill>
            <w14:solidFill>
              <w14:schemeClr w14:val="tx1"/>
            </w14:solidFill>
          </w14:textFill>
        </w:rPr>
      </w:pPr>
    </w:p>
    <w:p>
      <w:pPr>
        <w:pStyle w:val="18"/>
        <w:rPr>
          <w:rFonts w:hint="default" w:ascii="Times New Roman" w:hAnsi="Times New Roman" w:cs="Times New Roman"/>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val="en-US" w:eastAsia="zh-CN"/>
          <w14:textFill>
            <w14:solidFill>
              <w14:schemeClr w14:val="tx1"/>
            </w14:solidFill>
          </w14:textFill>
        </w:rPr>
        <w:t>附件</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附件1：营业执照</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附件2：国有建设用地使用权出让合同</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附件3：企业投资项目备案证明</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附件4：建设用地规划许可证</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rPr>
      </w:pPr>
      <w:r>
        <w:rPr>
          <w:rFonts w:hint="default" w:ascii="Times New Roman" w:hAnsi="Times New Roman" w:cs="Times New Roman"/>
          <w:color w:val="000000" w:themeColor="text1"/>
          <w:lang w:val="en-US" w:eastAsia="zh-CN"/>
          <w14:textFill>
            <w14:solidFill>
              <w14:schemeClr w14:val="tx1"/>
            </w14:solidFill>
          </w14:textFill>
        </w:rPr>
        <w:t>附件5：</w:t>
      </w:r>
      <w:r>
        <w:rPr>
          <w:rFonts w:hint="default" w:ascii="Times New Roman" w:hAnsi="Times New Roman" w:cs="Times New Roman"/>
        </w:rPr>
        <w:t>关于对《湖南润景景田饮用水生产建设项目水土保持方案报告书》的批复</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附件6：桃江县水利局关于湖南润景水业（桃江）有限公司取水申请的批复</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附件7：环境质量检测报告</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lang w:val="en-US"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firstLine="960" w:firstLineChars="400"/>
        <w:textAlignment w:val="auto"/>
        <w:rPr>
          <w:rFonts w:hint="default" w:ascii="Times New Roman" w:hAnsi="Times New Roman" w:cs="Times New Roman"/>
          <w:lang w:val="en-US"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cs="Times New Roman"/>
          <w:lang w:val="en-US"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241" w:firstLineChars="100"/>
        <w:textAlignment w:val="auto"/>
        <w:rPr>
          <w:rFonts w:hint="default" w:ascii="Times New Roman" w:hAnsi="Times New Roman" w:cs="Times New Roman"/>
          <w:b/>
          <w:bCs/>
          <w:lang w:val="en-US" w:eastAsia="zh-CN"/>
        </w:rPr>
      </w:pPr>
      <w:r>
        <w:rPr>
          <w:rFonts w:hint="default" w:ascii="Times New Roman" w:hAnsi="Times New Roman" w:cs="Times New Roman"/>
          <w:b/>
          <w:bCs/>
          <w:lang w:val="en-US" w:eastAsia="zh-CN"/>
        </w:rPr>
        <w:t>附图</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cs="Times New Roman"/>
          <w:lang w:val="en-US"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      附图1：项目地理位置图</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720" w:firstLineChars="3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附图2：项目平面布置图</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720" w:firstLineChars="3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附图3：</w:t>
      </w:r>
      <w:r>
        <w:rPr>
          <w:rFonts w:hint="eastAsia" w:cs="Times New Roman"/>
          <w:lang w:val="en-US" w:eastAsia="zh-CN"/>
        </w:rPr>
        <w:t>项目纳污范围图</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720" w:firstLineChars="3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附图4：</w:t>
      </w:r>
      <w:r>
        <w:rPr>
          <w:rFonts w:hint="eastAsia" w:cs="Times New Roman"/>
          <w:lang w:val="en-US" w:eastAsia="zh-CN"/>
        </w:rPr>
        <w:t>项目周边水系图</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720" w:firstLineChars="300"/>
        <w:textAlignment w:val="auto"/>
        <w:rPr>
          <w:rFonts w:hint="eastAsia" w:cs="Times New Roman"/>
          <w:lang w:val="en-US" w:eastAsia="zh-CN"/>
        </w:rPr>
      </w:pPr>
      <w:r>
        <w:rPr>
          <w:rFonts w:hint="default" w:ascii="Times New Roman" w:hAnsi="Times New Roman" w:cs="Times New Roman"/>
          <w:lang w:val="en-US" w:eastAsia="zh-CN"/>
        </w:rPr>
        <w:t>附图5：</w:t>
      </w:r>
      <w:r>
        <w:rPr>
          <w:rFonts w:hint="eastAsia" w:cs="Times New Roman"/>
          <w:lang w:val="en-US" w:eastAsia="zh-CN"/>
        </w:rPr>
        <w:t>项目排污口位置设置图</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720" w:firstLineChars="300"/>
        <w:textAlignment w:val="auto"/>
        <w:rPr>
          <w:rFonts w:hint="eastAsia" w:cs="Times New Roman"/>
          <w:lang w:val="en-US" w:eastAsia="zh-CN"/>
        </w:rPr>
      </w:pPr>
      <w:r>
        <w:rPr>
          <w:rFonts w:hint="eastAsia" w:cs="Times New Roman"/>
          <w:lang w:val="en-US" w:eastAsia="zh-CN"/>
        </w:rPr>
        <w:t>附图6：地表水监测布点图</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720" w:firstLineChars="300"/>
        <w:textAlignment w:val="auto"/>
        <w:rPr>
          <w:rFonts w:hint="eastAsia" w:cs="Times New Roman"/>
          <w:lang w:val="en-US" w:eastAsia="zh-CN"/>
        </w:rPr>
      </w:pPr>
      <w:r>
        <w:rPr>
          <w:rFonts w:hint="eastAsia" w:cs="Times New Roman"/>
          <w:lang w:val="en-US" w:eastAsia="zh-CN"/>
        </w:rPr>
        <w:t>附图7：项目排水路径图</w:t>
      </w:r>
    </w:p>
    <w:p>
      <w:pPr>
        <w:pStyle w:val="18"/>
        <w:keepNext w:val="0"/>
        <w:keepLines w:val="0"/>
        <w:pageBreakBefore w:val="0"/>
        <w:widowControl w:val="0"/>
        <w:kinsoku/>
        <w:wordWrap/>
        <w:overflowPunct/>
        <w:topLinePunct w:val="0"/>
        <w:autoSpaceDE/>
        <w:autoSpaceDN/>
        <w:bidi w:val="0"/>
        <w:adjustRightInd/>
        <w:snapToGrid/>
        <w:spacing w:after="0" w:line="240" w:lineRule="auto"/>
        <w:ind w:firstLine="720" w:firstLineChars="300"/>
        <w:textAlignment w:val="auto"/>
        <w:rPr>
          <w:rFonts w:hint="default" w:cs="Times New Roman"/>
          <w:lang w:val="en-US" w:eastAsia="zh-CN"/>
        </w:rPr>
        <w:sectPr>
          <w:footerReference r:id="rId9" w:type="default"/>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r>
        <w:rPr>
          <w:rFonts w:hint="eastAsia" w:cs="Times New Roman"/>
          <w:lang w:val="en-US" w:eastAsia="zh-CN"/>
        </w:rPr>
        <w:t>附图8：项目所在地现状照片</w:t>
      </w:r>
    </w:p>
    <w:p>
      <w:pPr>
        <w:pStyle w:val="3"/>
        <w:ind w:firstLine="0" w:firstLineChars="0"/>
        <w:jc w:val="center"/>
        <w:rPr>
          <w:rFonts w:cs="Times New Roman"/>
          <w:color w:val="000000" w:themeColor="text1"/>
          <w14:textFill>
            <w14:solidFill>
              <w14:schemeClr w14:val="tx1"/>
            </w14:solidFill>
          </w14:textFill>
        </w:rPr>
      </w:pPr>
      <w:bookmarkStart w:id="33" w:name="_Toc12833"/>
      <w:bookmarkStart w:id="34" w:name="_Toc3799"/>
      <w:bookmarkStart w:id="35" w:name="_Toc11640"/>
      <w:r>
        <w:rPr>
          <w:rFonts w:cs="Times New Roman"/>
          <w:color w:val="000000" w:themeColor="text1"/>
          <w14:textFill>
            <w14:solidFill>
              <w14:schemeClr w14:val="tx1"/>
            </w14:solidFill>
          </w14:textFill>
        </w:rPr>
        <w:t>入河排污口设置基本情况表</w:t>
      </w:r>
      <w:bookmarkEnd w:id="24"/>
      <w:bookmarkEnd w:id="25"/>
      <w:bookmarkEnd w:id="26"/>
      <w:bookmarkEnd w:id="27"/>
      <w:bookmarkEnd w:id="28"/>
      <w:bookmarkEnd w:id="29"/>
      <w:bookmarkEnd w:id="30"/>
      <w:bookmarkEnd w:id="31"/>
      <w:bookmarkEnd w:id="32"/>
      <w:bookmarkEnd w:id="33"/>
      <w:bookmarkEnd w:id="34"/>
      <w:bookmarkEnd w:id="35"/>
    </w:p>
    <w:tbl>
      <w:tblPr>
        <w:tblStyle w:val="201"/>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49"/>
        <w:gridCol w:w="1480"/>
        <w:gridCol w:w="902"/>
        <w:gridCol w:w="700"/>
        <w:gridCol w:w="345"/>
        <w:gridCol w:w="264"/>
        <w:gridCol w:w="431"/>
        <w:gridCol w:w="1191"/>
        <w:gridCol w:w="706"/>
        <w:gridCol w:w="41"/>
        <w:gridCol w:w="198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基本情况</w:t>
            </w:r>
          </w:p>
        </w:tc>
        <w:tc>
          <w:tcPr>
            <w:tcW w:w="2382" w:type="dxa"/>
            <w:gridSpan w:val="2"/>
            <w:tcBorders>
              <w:tl2br w:val="nil"/>
              <w:tr2bl w:val="nil"/>
            </w:tcBorders>
            <w:vAlign w:val="center"/>
          </w:tcPr>
          <w:p>
            <w:pPr>
              <w:pStyle w:val="122"/>
              <w:rPr>
                <w:sz w:val="21"/>
                <w:szCs w:val="21"/>
              </w:rPr>
            </w:pPr>
            <w:r>
              <w:rPr>
                <w:sz w:val="21"/>
                <w:szCs w:val="21"/>
              </w:rPr>
              <w:t>项目名称</w:t>
            </w:r>
          </w:p>
        </w:tc>
        <w:tc>
          <w:tcPr>
            <w:tcW w:w="1740" w:type="dxa"/>
            <w:gridSpan w:val="4"/>
            <w:tcBorders>
              <w:tl2br w:val="nil"/>
              <w:tr2bl w:val="nil"/>
            </w:tcBorders>
            <w:vAlign w:val="center"/>
          </w:tcPr>
          <w:p>
            <w:pPr>
              <w:pStyle w:val="122"/>
              <w:rPr>
                <w:sz w:val="21"/>
                <w:szCs w:val="21"/>
              </w:rPr>
            </w:pPr>
            <w:r>
              <w:rPr>
                <w:rFonts w:hint="eastAsia"/>
                <w:sz w:val="21"/>
                <w:szCs w:val="21"/>
                <w:lang w:val="en-US" w:eastAsia="zh-CN"/>
              </w:rPr>
              <w:t>湖南润景水业（桃江）有限公司入河排污口</w:t>
            </w:r>
          </w:p>
        </w:tc>
        <w:tc>
          <w:tcPr>
            <w:tcW w:w="1897" w:type="dxa"/>
            <w:gridSpan w:val="2"/>
            <w:tcBorders>
              <w:tl2br w:val="nil"/>
              <w:tr2bl w:val="nil"/>
            </w:tcBorders>
            <w:vAlign w:val="center"/>
          </w:tcPr>
          <w:p>
            <w:pPr>
              <w:pStyle w:val="122"/>
              <w:rPr>
                <w:sz w:val="21"/>
                <w:szCs w:val="21"/>
              </w:rPr>
            </w:pPr>
            <w:r>
              <w:rPr>
                <w:sz w:val="21"/>
                <w:szCs w:val="21"/>
              </w:rPr>
              <w:t>项目位置</w:t>
            </w:r>
          </w:p>
        </w:tc>
        <w:tc>
          <w:tcPr>
            <w:tcW w:w="2030" w:type="dxa"/>
            <w:gridSpan w:val="2"/>
            <w:tcBorders>
              <w:tl2br w:val="nil"/>
              <w:tr2bl w:val="nil"/>
            </w:tcBorders>
            <w:vAlign w:val="center"/>
          </w:tcPr>
          <w:p>
            <w:pPr>
              <w:pStyle w:val="122"/>
              <w:rPr>
                <w:rFonts w:hint="default" w:eastAsia="宋体"/>
                <w:sz w:val="21"/>
                <w:szCs w:val="21"/>
                <w:lang w:val="en-US" w:eastAsia="zh-CN"/>
              </w:rPr>
            </w:pPr>
            <w:r>
              <w:rPr>
                <w:sz w:val="21"/>
                <w:szCs w:val="21"/>
              </w:rPr>
              <w:t>湖南省益阳市桃江县高桥镇</w:t>
            </w:r>
            <w:r>
              <w:rPr>
                <w:rFonts w:hint="eastAsia"/>
                <w:sz w:val="21"/>
                <w:szCs w:val="21"/>
                <w:lang w:val="en-US" w:eastAsia="zh-CN"/>
              </w:rPr>
              <w:t>荷叶塘村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项目性质</w:t>
            </w:r>
          </w:p>
        </w:tc>
        <w:tc>
          <w:tcPr>
            <w:tcW w:w="1740" w:type="dxa"/>
            <w:gridSpan w:val="4"/>
            <w:tcBorders>
              <w:tl2br w:val="nil"/>
              <w:tr2bl w:val="nil"/>
            </w:tcBorders>
            <w:vAlign w:val="center"/>
          </w:tcPr>
          <w:p>
            <w:pPr>
              <w:pStyle w:val="122"/>
              <w:rPr>
                <w:sz w:val="21"/>
                <w:szCs w:val="21"/>
              </w:rPr>
            </w:pPr>
            <w:r>
              <w:rPr>
                <w:rFonts w:hint="eastAsia"/>
                <w:sz w:val="21"/>
                <w:szCs w:val="21"/>
              </w:rPr>
              <w:t>新建</w:t>
            </w:r>
          </w:p>
        </w:tc>
        <w:tc>
          <w:tcPr>
            <w:tcW w:w="1897" w:type="dxa"/>
            <w:gridSpan w:val="2"/>
            <w:tcBorders>
              <w:tl2br w:val="nil"/>
              <w:tr2bl w:val="nil"/>
            </w:tcBorders>
            <w:vAlign w:val="center"/>
          </w:tcPr>
          <w:p>
            <w:pPr>
              <w:pStyle w:val="122"/>
              <w:rPr>
                <w:sz w:val="21"/>
                <w:szCs w:val="21"/>
              </w:rPr>
            </w:pPr>
            <w:r>
              <w:rPr>
                <w:sz w:val="21"/>
                <w:szCs w:val="21"/>
              </w:rPr>
              <w:t>所属行业</w:t>
            </w:r>
          </w:p>
        </w:tc>
        <w:tc>
          <w:tcPr>
            <w:tcW w:w="2030" w:type="dxa"/>
            <w:gridSpan w:val="2"/>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C152瓶（罐）装饮用水制造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r>
              <w:rPr>
                <w:sz w:val="21"/>
                <w:szCs w:val="21"/>
              </w:rPr>
              <w:t>06</w:t>
            </w:r>
          </w:p>
        </w:tc>
        <w:tc>
          <w:tcPr>
            <w:tcW w:w="2382" w:type="dxa"/>
            <w:gridSpan w:val="2"/>
            <w:tcBorders>
              <w:tl2br w:val="nil"/>
              <w:tr2bl w:val="nil"/>
            </w:tcBorders>
            <w:vAlign w:val="center"/>
          </w:tcPr>
          <w:p>
            <w:pPr>
              <w:pStyle w:val="122"/>
              <w:rPr>
                <w:sz w:val="21"/>
                <w:szCs w:val="21"/>
              </w:rPr>
            </w:pPr>
            <w:r>
              <w:rPr>
                <w:sz w:val="21"/>
                <w:szCs w:val="21"/>
              </w:rPr>
              <w:t>建设规模</w:t>
            </w:r>
          </w:p>
        </w:tc>
        <w:tc>
          <w:tcPr>
            <w:tcW w:w="1740" w:type="dxa"/>
            <w:gridSpan w:val="4"/>
            <w:tcBorders>
              <w:tl2br w:val="nil"/>
              <w:tr2bl w:val="nil"/>
            </w:tcBorders>
            <w:vAlign w:val="center"/>
          </w:tcPr>
          <w:p>
            <w:pPr>
              <w:pStyle w:val="122"/>
              <w:rPr>
                <w:sz w:val="21"/>
                <w:szCs w:val="21"/>
              </w:rPr>
            </w:pPr>
            <w:r>
              <w:rPr>
                <w:rFonts w:hint="eastAsia"/>
                <w:sz w:val="21"/>
                <w:szCs w:val="21"/>
                <w:lang w:val="en-US" w:eastAsia="zh-CN"/>
              </w:rPr>
              <w:t>2.92</w:t>
            </w:r>
            <w:r>
              <w:rPr>
                <w:sz w:val="21"/>
                <w:szCs w:val="21"/>
              </w:rPr>
              <w:t>m</w:t>
            </w:r>
            <w:r>
              <w:rPr>
                <w:sz w:val="21"/>
                <w:szCs w:val="21"/>
                <w:vertAlign w:val="superscript"/>
              </w:rPr>
              <w:t>3</w:t>
            </w:r>
            <w:r>
              <w:rPr>
                <w:sz w:val="21"/>
                <w:szCs w:val="21"/>
              </w:rPr>
              <w:t>/d</w:t>
            </w:r>
          </w:p>
        </w:tc>
        <w:tc>
          <w:tcPr>
            <w:tcW w:w="1897" w:type="dxa"/>
            <w:gridSpan w:val="2"/>
            <w:tcBorders>
              <w:tl2br w:val="nil"/>
              <w:tr2bl w:val="nil"/>
            </w:tcBorders>
            <w:vAlign w:val="center"/>
          </w:tcPr>
          <w:p>
            <w:pPr>
              <w:pStyle w:val="122"/>
              <w:rPr>
                <w:sz w:val="21"/>
                <w:szCs w:val="21"/>
              </w:rPr>
            </w:pPr>
            <w:r>
              <w:rPr>
                <w:sz w:val="21"/>
                <w:szCs w:val="21"/>
              </w:rPr>
              <w:t>项目单位</w:t>
            </w:r>
          </w:p>
        </w:tc>
        <w:tc>
          <w:tcPr>
            <w:tcW w:w="2030" w:type="dxa"/>
            <w:gridSpan w:val="2"/>
            <w:tcBorders>
              <w:tl2br w:val="nil"/>
              <w:tr2bl w:val="nil"/>
            </w:tcBorders>
            <w:vAlign w:val="center"/>
          </w:tcPr>
          <w:p>
            <w:pPr>
              <w:pStyle w:val="122"/>
              <w:rPr>
                <w:sz w:val="21"/>
                <w:szCs w:val="21"/>
              </w:rPr>
            </w:pPr>
            <w:r>
              <w:rPr>
                <w:rFonts w:hint="eastAsia"/>
                <w:sz w:val="21"/>
                <w:szCs w:val="21"/>
                <w:lang w:val="en-US" w:eastAsia="zh-CN"/>
              </w:rPr>
              <w:t>湖南润景水业（桃江）有限公司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建设项目的审批机关</w:t>
            </w:r>
          </w:p>
        </w:tc>
        <w:tc>
          <w:tcPr>
            <w:tcW w:w="1740" w:type="dxa"/>
            <w:gridSpan w:val="4"/>
            <w:tcBorders>
              <w:tl2br w:val="nil"/>
              <w:tr2bl w:val="nil"/>
            </w:tcBorders>
            <w:vAlign w:val="center"/>
          </w:tcPr>
          <w:p>
            <w:pPr>
              <w:pStyle w:val="122"/>
              <w:rPr>
                <w:sz w:val="21"/>
                <w:szCs w:val="21"/>
              </w:rPr>
            </w:pPr>
            <w:r>
              <w:rPr>
                <w:sz w:val="21"/>
                <w:szCs w:val="21"/>
              </w:rPr>
              <w:t>益阳市生态环境局</w:t>
            </w:r>
          </w:p>
        </w:tc>
        <w:tc>
          <w:tcPr>
            <w:tcW w:w="1897" w:type="dxa"/>
            <w:gridSpan w:val="2"/>
            <w:tcBorders>
              <w:tl2br w:val="nil"/>
              <w:tr2bl w:val="nil"/>
            </w:tcBorders>
            <w:vAlign w:val="center"/>
          </w:tcPr>
          <w:p>
            <w:pPr>
              <w:pStyle w:val="122"/>
              <w:rPr>
                <w:sz w:val="21"/>
                <w:szCs w:val="21"/>
              </w:rPr>
            </w:pPr>
            <w:r>
              <w:rPr>
                <w:sz w:val="21"/>
                <w:szCs w:val="21"/>
              </w:rPr>
              <w:t>入河排污口审核机关</w:t>
            </w:r>
          </w:p>
        </w:tc>
        <w:tc>
          <w:tcPr>
            <w:tcW w:w="2030" w:type="dxa"/>
            <w:gridSpan w:val="2"/>
            <w:tcBorders>
              <w:tl2br w:val="nil"/>
              <w:tr2bl w:val="nil"/>
            </w:tcBorders>
            <w:vAlign w:val="center"/>
          </w:tcPr>
          <w:p>
            <w:pPr>
              <w:pStyle w:val="122"/>
              <w:rPr>
                <w:sz w:val="21"/>
                <w:szCs w:val="21"/>
              </w:rPr>
            </w:pPr>
            <w:r>
              <w:rPr>
                <w:sz w:val="21"/>
                <w:szCs w:val="21"/>
              </w:rPr>
              <w:t>益阳市生态环境局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8"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报告编制合同委托单位</w:t>
            </w:r>
          </w:p>
        </w:tc>
        <w:tc>
          <w:tcPr>
            <w:tcW w:w="1740" w:type="dxa"/>
            <w:gridSpan w:val="4"/>
            <w:tcBorders>
              <w:tl2br w:val="nil"/>
              <w:tr2bl w:val="nil"/>
            </w:tcBorders>
            <w:vAlign w:val="center"/>
          </w:tcPr>
          <w:p>
            <w:pPr>
              <w:pStyle w:val="122"/>
              <w:rPr>
                <w:sz w:val="21"/>
                <w:szCs w:val="21"/>
              </w:rPr>
            </w:pPr>
            <w:r>
              <w:rPr>
                <w:rFonts w:hint="eastAsia"/>
                <w:sz w:val="21"/>
                <w:szCs w:val="21"/>
                <w:lang w:val="en-US" w:eastAsia="zh-CN"/>
              </w:rPr>
              <w:t>湖南润景水业（桃江）有限公司</w:t>
            </w:r>
          </w:p>
        </w:tc>
        <w:tc>
          <w:tcPr>
            <w:tcW w:w="1897" w:type="dxa"/>
            <w:gridSpan w:val="2"/>
            <w:tcBorders>
              <w:tl2br w:val="nil"/>
              <w:tr2bl w:val="nil"/>
            </w:tcBorders>
            <w:vAlign w:val="center"/>
          </w:tcPr>
          <w:p>
            <w:pPr>
              <w:pStyle w:val="122"/>
              <w:rPr>
                <w:sz w:val="21"/>
                <w:szCs w:val="21"/>
              </w:rPr>
            </w:pPr>
            <w:r>
              <w:rPr>
                <w:sz w:val="21"/>
                <w:szCs w:val="21"/>
              </w:rPr>
              <w:t>报告编制单位及证书号</w:t>
            </w:r>
          </w:p>
        </w:tc>
        <w:tc>
          <w:tcPr>
            <w:tcW w:w="2030" w:type="dxa"/>
            <w:gridSpan w:val="2"/>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湖南格瑞大地环境科技有限公司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论证工作等级</w:t>
            </w:r>
          </w:p>
        </w:tc>
        <w:tc>
          <w:tcPr>
            <w:tcW w:w="1740" w:type="dxa"/>
            <w:gridSpan w:val="4"/>
            <w:tcBorders>
              <w:tl2br w:val="nil"/>
              <w:tr2bl w:val="nil"/>
            </w:tcBorders>
            <w:vAlign w:val="center"/>
          </w:tcPr>
          <w:p>
            <w:pPr>
              <w:pStyle w:val="122"/>
              <w:rPr>
                <w:sz w:val="21"/>
                <w:szCs w:val="21"/>
              </w:rPr>
            </w:pPr>
            <w:r>
              <w:rPr>
                <w:rFonts w:hint="eastAsia"/>
                <w:color w:val="auto"/>
                <w:sz w:val="21"/>
                <w:szCs w:val="21"/>
              </w:rPr>
              <w:t>三级</w:t>
            </w:r>
          </w:p>
        </w:tc>
        <w:tc>
          <w:tcPr>
            <w:tcW w:w="1897" w:type="dxa"/>
            <w:gridSpan w:val="2"/>
            <w:tcBorders>
              <w:tl2br w:val="nil"/>
              <w:tr2bl w:val="nil"/>
            </w:tcBorders>
            <w:vAlign w:val="center"/>
          </w:tcPr>
          <w:p>
            <w:pPr>
              <w:pStyle w:val="122"/>
              <w:rPr>
                <w:sz w:val="21"/>
                <w:szCs w:val="21"/>
              </w:rPr>
            </w:pPr>
            <w:r>
              <w:rPr>
                <w:sz w:val="21"/>
                <w:szCs w:val="21"/>
              </w:rPr>
              <w:t>工作范围</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论证范围</w:t>
            </w:r>
          </w:p>
        </w:tc>
        <w:tc>
          <w:tcPr>
            <w:tcW w:w="1740" w:type="dxa"/>
            <w:gridSpan w:val="4"/>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排污口至西北侧无名小溪上游500m至西北侧无名小溪排口下游3000m处</w:t>
            </w:r>
          </w:p>
        </w:tc>
        <w:tc>
          <w:tcPr>
            <w:tcW w:w="1897" w:type="dxa"/>
            <w:gridSpan w:val="2"/>
            <w:tcBorders>
              <w:tl2br w:val="nil"/>
              <w:tr2bl w:val="nil"/>
            </w:tcBorders>
            <w:vAlign w:val="center"/>
          </w:tcPr>
          <w:p>
            <w:pPr>
              <w:pStyle w:val="122"/>
              <w:rPr>
                <w:sz w:val="21"/>
                <w:szCs w:val="21"/>
              </w:rPr>
            </w:pPr>
            <w:r>
              <w:rPr>
                <w:sz w:val="21"/>
                <w:szCs w:val="21"/>
              </w:rPr>
              <w:t>水平年（现状—规划）</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分析范围内控制指标情况</w:t>
            </w:r>
          </w:p>
        </w:tc>
        <w:tc>
          <w:tcPr>
            <w:tcW w:w="2382" w:type="dxa"/>
            <w:gridSpan w:val="2"/>
            <w:tcBorders>
              <w:tl2br w:val="nil"/>
              <w:tr2bl w:val="nil"/>
            </w:tcBorders>
            <w:vAlign w:val="center"/>
          </w:tcPr>
          <w:p>
            <w:pPr>
              <w:pStyle w:val="122"/>
              <w:rPr>
                <w:sz w:val="21"/>
                <w:szCs w:val="21"/>
              </w:rPr>
            </w:pPr>
            <w:r>
              <w:rPr>
                <w:sz w:val="21"/>
                <w:szCs w:val="21"/>
              </w:rPr>
              <w:t>取用水总量控制指标</w:t>
            </w:r>
          </w:p>
        </w:tc>
        <w:tc>
          <w:tcPr>
            <w:tcW w:w="1740" w:type="dxa"/>
            <w:gridSpan w:val="4"/>
            <w:tcBorders>
              <w:tl2br w:val="nil"/>
              <w:tr2bl w:val="nil"/>
            </w:tcBorders>
            <w:vAlign w:val="center"/>
          </w:tcPr>
          <w:p>
            <w:pPr>
              <w:pStyle w:val="122"/>
              <w:rPr>
                <w:sz w:val="21"/>
                <w:szCs w:val="21"/>
              </w:rPr>
            </w:pPr>
            <w:r>
              <w:rPr>
                <w:sz w:val="21"/>
                <w:szCs w:val="21"/>
              </w:rPr>
              <w:t>/</w:t>
            </w:r>
          </w:p>
        </w:tc>
        <w:tc>
          <w:tcPr>
            <w:tcW w:w="1897" w:type="dxa"/>
            <w:gridSpan w:val="2"/>
            <w:tcBorders>
              <w:tl2br w:val="nil"/>
              <w:tr2bl w:val="nil"/>
            </w:tcBorders>
            <w:vAlign w:val="center"/>
          </w:tcPr>
          <w:p>
            <w:pPr>
              <w:pStyle w:val="122"/>
              <w:rPr>
                <w:sz w:val="21"/>
                <w:szCs w:val="21"/>
              </w:rPr>
            </w:pPr>
            <w:r>
              <w:rPr>
                <w:sz w:val="21"/>
                <w:szCs w:val="21"/>
              </w:rPr>
              <w:t>实际取用水量</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用水效率控制指标</w:t>
            </w:r>
          </w:p>
        </w:tc>
        <w:tc>
          <w:tcPr>
            <w:tcW w:w="1740" w:type="dxa"/>
            <w:gridSpan w:val="4"/>
            <w:tcBorders>
              <w:tl2br w:val="nil"/>
              <w:tr2bl w:val="nil"/>
            </w:tcBorders>
            <w:vAlign w:val="center"/>
          </w:tcPr>
          <w:p>
            <w:pPr>
              <w:pStyle w:val="122"/>
              <w:rPr>
                <w:sz w:val="21"/>
                <w:szCs w:val="21"/>
              </w:rPr>
            </w:pPr>
            <w:r>
              <w:rPr>
                <w:sz w:val="21"/>
                <w:szCs w:val="21"/>
              </w:rPr>
              <w:t>/</w:t>
            </w:r>
          </w:p>
        </w:tc>
        <w:tc>
          <w:tcPr>
            <w:tcW w:w="1897" w:type="dxa"/>
            <w:gridSpan w:val="2"/>
            <w:tcBorders>
              <w:tl2br w:val="nil"/>
              <w:tr2bl w:val="nil"/>
            </w:tcBorders>
            <w:vAlign w:val="center"/>
          </w:tcPr>
          <w:p>
            <w:pPr>
              <w:pStyle w:val="122"/>
              <w:rPr>
                <w:sz w:val="21"/>
                <w:szCs w:val="21"/>
              </w:rPr>
            </w:pPr>
            <w:r>
              <w:rPr>
                <w:sz w:val="21"/>
                <w:szCs w:val="21"/>
              </w:rPr>
              <w:t>实际用水效率指标</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纳污水域水功能区限制纳污总量指标</w:t>
            </w:r>
          </w:p>
        </w:tc>
        <w:tc>
          <w:tcPr>
            <w:tcW w:w="1740" w:type="dxa"/>
            <w:gridSpan w:val="4"/>
            <w:tcBorders>
              <w:tl2br w:val="nil"/>
              <w:tr2bl w:val="nil"/>
            </w:tcBorders>
            <w:vAlign w:val="center"/>
          </w:tcPr>
          <w:p>
            <w:pPr>
              <w:pStyle w:val="122"/>
              <w:rPr>
                <w:sz w:val="21"/>
                <w:szCs w:val="21"/>
              </w:rPr>
            </w:pPr>
            <w:r>
              <w:rPr>
                <w:sz w:val="21"/>
                <w:szCs w:val="21"/>
              </w:rPr>
              <w:t>/</w:t>
            </w:r>
          </w:p>
        </w:tc>
        <w:tc>
          <w:tcPr>
            <w:tcW w:w="1897" w:type="dxa"/>
            <w:gridSpan w:val="2"/>
            <w:tcBorders>
              <w:tl2br w:val="nil"/>
              <w:tr2bl w:val="nil"/>
            </w:tcBorders>
            <w:vAlign w:val="center"/>
          </w:tcPr>
          <w:p>
            <w:pPr>
              <w:pStyle w:val="122"/>
              <w:rPr>
                <w:sz w:val="21"/>
                <w:szCs w:val="21"/>
              </w:rPr>
            </w:pPr>
            <w:r>
              <w:rPr>
                <w:sz w:val="21"/>
                <w:szCs w:val="21"/>
              </w:rPr>
              <w:t>纳污水域水功能区实际排污总量</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纳污水域水功能区水质达标率指标</w:t>
            </w:r>
          </w:p>
        </w:tc>
        <w:tc>
          <w:tcPr>
            <w:tcW w:w="1740" w:type="dxa"/>
            <w:gridSpan w:val="4"/>
            <w:tcBorders>
              <w:tl2br w:val="nil"/>
              <w:tr2bl w:val="nil"/>
            </w:tcBorders>
            <w:vAlign w:val="center"/>
          </w:tcPr>
          <w:p>
            <w:pPr>
              <w:pStyle w:val="122"/>
              <w:rPr>
                <w:sz w:val="21"/>
                <w:szCs w:val="21"/>
              </w:rPr>
            </w:pPr>
            <w:r>
              <w:rPr>
                <w:sz w:val="21"/>
                <w:szCs w:val="21"/>
              </w:rPr>
              <w:t>/</w:t>
            </w:r>
          </w:p>
        </w:tc>
        <w:tc>
          <w:tcPr>
            <w:tcW w:w="1897" w:type="dxa"/>
            <w:gridSpan w:val="2"/>
            <w:tcBorders>
              <w:tl2br w:val="nil"/>
              <w:tr2bl w:val="nil"/>
            </w:tcBorders>
            <w:vAlign w:val="center"/>
          </w:tcPr>
          <w:p>
            <w:pPr>
              <w:pStyle w:val="122"/>
              <w:rPr>
                <w:sz w:val="21"/>
                <w:szCs w:val="21"/>
              </w:rPr>
            </w:pPr>
            <w:r>
              <w:rPr>
                <w:sz w:val="21"/>
                <w:szCs w:val="21"/>
              </w:rPr>
              <w:t>纳污水域水功能区水质达标率</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入河排污口设置申请单位概况</w:t>
            </w:r>
          </w:p>
        </w:tc>
        <w:tc>
          <w:tcPr>
            <w:tcW w:w="1480" w:type="dxa"/>
            <w:tcBorders>
              <w:tl2br w:val="nil"/>
              <w:tr2bl w:val="nil"/>
            </w:tcBorders>
            <w:vAlign w:val="center"/>
          </w:tcPr>
          <w:p>
            <w:pPr>
              <w:pStyle w:val="122"/>
              <w:rPr>
                <w:sz w:val="21"/>
                <w:szCs w:val="21"/>
              </w:rPr>
            </w:pPr>
            <w:r>
              <w:rPr>
                <w:sz w:val="21"/>
                <w:szCs w:val="21"/>
              </w:rPr>
              <w:t>名称</w:t>
            </w:r>
          </w:p>
        </w:tc>
        <w:tc>
          <w:tcPr>
            <w:tcW w:w="2642" w:type="dxa"/>
            <w:gridSpan w:val="5"/>
            <w:tcBorders>
              <w:tl2br w:val="nil"/>
              <w:tr2bl w:val="nil"/>
            </w:tcBorders>
            <w:vAlign w:val="center"/>
          </w:tcPr>
          <w:p>
            <w:pPr>
              <w:pStyle w:val="122"/>
              <w:rPr>
                <w:sz w:val="21"/>
                <w:szCs w:val="21"/>
              </w:rPr>
            </w:pPr>
            <w:r>
              <w:rPr>
                <w:rFonts w:hint="eastAsia"/>
                <w:sz w:val="21"/>
                <w:szCs w:val="21"/>
                <w:lang w:val="en-US" w:eastAsia="zh-CN"/>
              </w:rPr>
              <w:t>湖南润景水业（桃江）有限公司入河排污口</w:t>
            </w:r>
          </w:p>
        </w:tc>
        <w:tc>
          <w:tcPr>
            <w:tcW w:w="1897" w:type="dxa"/>
            <w:gridSpan w:val="2"/>
            <w:tcBorders>
              <w:tl2br w:val="nil"/>
              <w:tr2bl w:val="nil"/>
            </w:tcBorders>
            <w:vAlign w:val="center"/>
          </w:tcPr>
          <w:p>
            <w:pPr>
              <w:pStyle w:val="122"/>
              <w:rPr>
                <w:sz w:val="21"/>
                <w:szCs w:val="21"/>
              </w:rPr>
            </w:pPr>
            <w:r>
              <w:rPr>
                <w:sz w:val="21"/>
                <w:szCs w:val="21"/>
              </w:rPr>
              <w:t>法人代表</w:t>
            </w:r>
          </w:p>
        </w:tc>
        <w:tc>
          <w:tcPr>
            <w:tcW w:w="2030" w:type="dxa"/>
            <w:gridSpan w:val="2"/>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吴晖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1480" w:type="dxa"/>
            <w:tcBorders>
              <w:tl2br w:val="nil"/>
              <w:tr2bl w:val="nil"/>
            </w:tcBorders>
            <w:vAlign w:val="center"/>
          </w:tcPr>
          <w:p>
            <w:pPr>
              <w:pStyle w:val="122"/>
              <w:rPr>
                <w:sz w:val="21"/>
                <w:szCs w:val="21"/>
              </w:rPr>
            </w:pPr>
            <w:r>
              <w:rPr>
                <w:sz w:val="21"/>
                <w:szCs w:val="21"/>
              </w:rPr>
              <w:t>隶属关系</w:t>
            </w:r>
          </w:p>
        </w:tc>
        <w:tc>
          <w:tcPr>
            <w:tcW w:w="2642" w:type="dxa"/>
            <w:gridSpan w:val="5"/>
            <w:tcBorders>
              <w:tl2br w:val="nil"/>
              <w:tr2bl w:val="nil"/>
            </w:tcBorders>
            <w:vAlign w:val="center"/>
          </w:tcPr>
          <w:p>
            <w:pPr>
              <w:pStyle w:val="122"/>
              <w:rPr>
                <w:sz w:val="21"/>
                <w:szCs w:val="21"/>
              </w:rPr>
            </w:pPr>
            <w:r>
              <w:rPr>
                <w:sz w:val="21"/>
                <w:szCs w:val="21"/>
              </w:rPr>
              <w:t>/</w:t>
            </w:r>
          </w:p>
        </w:tc>
        <w:tc>
          <w:tcPr>
            <w:tcW w:w="1897" w:type="dxa"/>
            <w:gridSpan w:val="2"/>
            <w:tcBorders>
              <w:tl2br w:val="nil"/>
              <w:tr2bl w:val="nil"/>
            </w:tcBorders>
            <w:vAlign w:val="center"/>
          </w:tcPr>
          <w:p>
            <w:pPr>
              <w:pStyle w:val="122"/>
              <w:rPr>
                <w:sz w:val="21"/>
                <w:szCs w:val="21"/>
              </w:rPr>
            </w:pPr>
            <w:r>
              <w:rPr>
                <w:sz w:val="21"/>
                <w:szCs w:val="21"/>
              </w:rPr>
              <w:t>行业类别</w:t>
            </w:r>
          </w:p>
        </w:tc>
        <w:tc>
          <w:tcPr>
            <w:tcW w:w="2030" w:type="dxa"/>
            <w:gridSpan w:val="2"/>
            <w:tcBorders>
              <w:tl2br w:val="nil"/>
              <w:tr2bl w:val="nil"/>
            </w:tcBorders>
            <w:vAlign w:val="center"/>
          </w:tcPr>
          <w:p>
            <w:pPr>
              <w:pStyle w:val="122"/>
              <w:rPr>
                <w:sz w:val="21"/>
                <w:szCs w:val="21"/>
              </w:rPr>
            </w:pPr>
            <w:r>
              <w:rPr>
                <w:rFonts w:hint="eastAsia"/>
                <w:sz w:val="21"/>
                <w:szCs w:val="21"/>
                <w:lang w:val="en-US" w:eastAsia="zh-CN"/>
              </w:rPr>
              <w:t>C1522瓶（罐）装饮用水制造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1480" w:type="dxa"/>
            <w:tcBorders>
              <w:tl2br w:val="nil"/>
              <w:tr2bl w:val="nil"/>
            </w:tcBorders>
            <w:vAlign w:val="center"/>
          </w:tcPr>
          <w:p>
            <w:pPr>
              <w:pStyle w:val="122"/>
              <w:rPr>
                <w:sz w:val="21"/>
                <w:szCs w:val="21"/>
              </w:rPr>
            </w:pPr>
            <w:r>
              <w:rPr>
                <w:sz w:val="21"/>
                <w:szCs w:val="21"/>
              </w:rPr>
              <w:t>企业规模</w:t>
            </w:r>
          </w:p>
        </w:tc>
        <w:tc>
          <w:tcPr>
            <w:tcW w:w="2642" w:type="dxa"/>
            <w:gridSpan w:val="5"/>
            <w:tcBorders>
              <w:tl2br w:val="nil"/>
              <w:tr2bl w:val="nil"/>
            </w:tcBorders>
            <w:vAlign w:val="center"/>
          </w:tcPr>
          <w:p>
            <w:pPr>
              <w:pStyle w:val="122"/>
              <w:rPr>
                <w:rFonts w:hint="eastAsia"/>
                <w:sz w:val="21"/>
                <w:szCs w:val="21"/>
                <w:lang w:val="en-US" w:eastAsia="zh-CN"/>
              </w:rPr>
            </w:pPr>
            <w:r>
              <w:rPr>
                <w:sz w:val="21"/>
                <w:szCs w:val="21"/>
              </w:rPr>
              <w:t>15L/桶（桶装水）</w:t>
            </w:r>
            <w:r>
              <w:rPr>
                <w:rFonts w:hint="eastAsia"/>
                <w:sz w:val="21"/>
                <w:szCs w:val="21"/>
              </w:rPr>
              <w:t>100</w:t>
            </w:r>
            <w:r>
              <w:rPr>
                <w:sz w:val="21"/>
                <w:szCs w:val="21"/>
              </w:rPr>
              <w:t>万桶</w:t>
            </w:r>
            <w:r>
              <w:rPr>
                <w:rFonts w:hint="eastAsia"/>
                <w:sz w:val="21"/>
                <w:szCs w:val="21"/>
                <w:lang w:val="en-US" w:eastAsia="zh-CN"/>
              </w:rPr>
              <w:t>/年</w:t>
            </w:r>
          </w:p>
          <w:p>
            <w:pPr>
              <w:pStyle w:val="122"/>
              <w:rPr>
                <w:rFonts w:hint="eastAsia"/>
                <w:sz w:val="21"/>
                <w:szCs w:val="21"/>
                <w:lang w:val="en-US" w:eastAsia="zh-CN"/>
              </w:rPr>
            </w:pPr>
            <w:r>
              <w:rPr>
                <w:sz w:val="21"/>
                <w:szCs w:val="21"/>
              </w:rPr>
              <w:t>4.6L/桶（桶装水）</w:t>
            </w:r>
            <w:r>
              <w:rPr>
                <w:rFonts w:hint="eastAsia"/>
                <w:sz w:val="21"/>
                <w:szCs w:val="21"/>
              </w:rPr>
              <w:t>143</w:t>
            </w:r>
            <w:r>
              <w:rPr>
                <w:sz w:val="21"/>
                <w:szCs w:val="21"/>
              </w:rPr>
              <w:t>万桶</w:t>
            </w:r>
            <w:r>
              <w:rPr>
                <w:rFonts w:hint="eastAsia"/>
                <w:sz w:val="21"/>
                <w:szCs w:val="21"/>
                <w:lang w:val="en-US" w:eastAsia="zh-CN"/>
              </w:rPr>
              <w:t>/年</w:t>
            </w:r>
          </w:p>
          <w:p>
            <w:pPr>
              <w:pStyle w:val="122"/>
              <w:rPr>
                <w:rFonts w:hint="eastAsia"/>
                <w:sz w:val="21"/>
                <w:szCs w:val="21"/>
                <w:lang w:val="en-US" w:eastAsia="zh-CN"/>
              </w:rPr>
            </w:pPr>
            <w:r>
              <w:rPr>
                <w:sz w:val="21"/>
                <w:szCs w:val="21"/>
              </w:rPr>
              <w:t>560ml（瓶装水）、360ml（瓶装水）</w:t>
            </w:r>
            <w:r>
              <w:rPr>
                <w:rFonts w:hint="eastAsia"/>
                <w:sz w:val="21"/>
                <w:szCs w:val="21"/>
              </w:rPr>
              <w:t>20万</w:t>
            </w:r>
            <w:r>
              <w:rPr>
                <w:sz w:val="21"/>
                <w:szCs w:val="21"/>
              </w:rPr>
              <w:t>瓶</w:t>
            </w:r>
            <w:r>
              <w:rPr>
                <w:rFonts w:hint="eastAsia"/>
                <w:sz w:val="21"/>
                <w:szCs w:val="21"/>
                <w:lang w:val="en-US" w:eastAsia="zh-CN"/>
              </w:rPr>
              <w:t>/年</w:t>
            </w:r>
          </w:p>
        </w:tc>
        <w:tc>
          <w:tcPr>
            <w:tcW w:w="1897" w:type="dxa"/>
            <w:gridSpan w:val="2"/>
            <w:tcBorders>
              <w:tl2br w:val="nil"/>
              <w:tr2bl w:val="nil"/>
            </w:tcBorders>
            <w:vAlign w:val="center"/>
          </w:tcPr>
          <w:p>
            <w:pPr>
              <w:pStyle w:val="122"/>
              <w:rPr>
                <w:sz w:val="21"/>
                <w:szCs w:val="21"/>
              </w:rPr>
            </w:pPr>
            <w:r>
              <w:rPr>
                <w:sz w:val="21"/>
                <w:szCs w:val="21"/>
              </w:rPr>
              <w:t>职工总数</w:t>
            </w:r>
          </w:p>
        </w:tc>
        <w:tc>
          <w:tcPr>
            <w:tcW w:w="2030" w:type="dxa"/>
            <w:gridSpan w:val="2"/>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20人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1480" w:type="dxa"/>
            <w:tcBorders>
              <w:tl2br w:val="nil"/>
              <w:tr2bl w:val="nil"/>
            </w:tcBorders>
            <w:vAlign w:val="center"/>
          </w:tcPr>
          <w:p>
            <w:pPr>
              <w:pStyle w:val="122"/>
              <w:rPr>
                <w:sz w:val="21"/>
                <w:szCs w:val="21"/>
              </w:rPr>
            </w:pPr>
            <w:r>
              <w:rPr>
                <w:sz w:val="21"/>
                <w:szCs w:val="21"/>
              </w:rPr>
              <w:t>地址</w:t>
            </w:r>
          </w:p>
        </w:tc>
        <w:tc>
          <w:tcPr>
            <w:tcW w:w="2642" w:type="dxa"/>
            <w:gridSpan w:val="5"/>
            <w:tcBorders>
              <w:tl2br w:val="nil"/>
              <w:tr2bl w:val="nil"/>
            </w:tcBorders>
            <w:vAlign w:val="center"/>
          </w:tcPr>
          <w:p>
            <w:pPr>
              <w:pStyle w:val="122"/>
              <w:rPr>
                <w:rFonts w:hint="default" w:eastAsia="宋体"/>
                <w:sz w:val="21"/>
                <w:szCs w:val="21"/>
                <w:lang w:val="en-US" w:eastAsia="zh-CN"/>
              </w:rPr>
            </w:pPr>
            <w:r>
              <w:rPr>
                <w:sz w:val="21"/>
                <w:szCs w:val="21"/>
              </w:rPr>
              <w:t>湖南省益阳市桃江县高桥镇</w:t>
            </w:r>
            <w:r>
              <w:rPr>
                <w:rFonts w:hint="eastAsia"/>
                <w:sz w:val="21"/>
                <w:szCs w:val="21"/>
                <w:lang w:val="en-US" w:eastAsia="zh-CN"/>
              </w:rPr>
              <w:t>荷叶塘村</w:t>
            </w:r>
          </w:p>
        </w:tc>
        <w:tc>
          <w:tcPr>
            <w:tcW w:w="1897" w:type="dxa"/>
            <w:gridSpan w:val="2"/>
            <w:tcBorders>
              <w:tl2br w:val="nil"/>
              <w:tr2bl w:val="nil"/>
            </w:tcBorders>
            <w:vAlign w:val="center"/>
          </w:tcPr>
          <w:p>
            <w:pPr>
              <w:pStyle w:val="122"/>
              <w:rPr>
                <w:sz w:val="21"/>
                <w:szCs w:val="21"/>
              </w:rPr>
            </w:pPr>
            <w:r>
              <w:rPr>
                <w:sz w:val="21"/>
                <w:szCs w:val="21"/>
              </w:rPr>
              <w:t>邮编</w:t>
            </w:r>
          </w:p>
        </w:tc>
        <w:tc>
          <w:tcPr>
            <w:tcW w:w="2030" w:type="dxa"/>
            <w:gridSpan w:val="2"/>
            <w:tcBorders>
              <w:tl2br w:val="nil"/>
              <w:tr2bl w:val="nil"/>
            </w:tcBorders>
            <w:vAlign w:val="center"/>
          </w:tcPr>
          <w:p>
            <w:pPr>
              <w:pStyle w:val="122"/>
              <w:rPr>
                <w:sz w:val="21"/>
                <w:szCs w:val="21"/>
              </w:rPr>
            </w:pPr>
            <w:r>
              <w:rPr>
                <w:rFonts w:hint="eastAsia"/>
                <w:sz w:val="21"/>
                <w:szCs w:val="21"/>
              </w:rPr>
              <w:t>413214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2" w:hRule="atLeast"/>
          <w:jc w:val="center"/>
        </w:trPr>
        <w:tc>
          <w:tcPr>
            <w:tcW w:w="1249" w:type="dxa"/>
            <w:vMerge w:val="continue"/>
            <w:tcBorders>
              <w:tl2br w:val="nil"/>
              <w:tr2bl w:val="nil"/>
            </w:tcBorders>
            <w:vAlign w:val="center"/>
          </w:tcPr>
          <w:p>
            <w:pPr>
              <w:pStyle w:val="122"/>
              <w:rPr>
                <w:sz w:val="21"/>
                <w:szCs w:val="21"/>
              </w:rPr>
            </w:pPr>
          </w:p>
        </w:tc>
        <w:tc>
          <w:tcPr>
            <w:tcW w:w="1480" w:type="dxa"/>
            <w:tcBorders>
              <w:tl2br w:val="nil"/>
              <w:tr2bl w:val="nil"/>
            </w:tcBorders>
            <w:vAlign w:val="center"/>
          </w:tcPr>
          <w:p>
            <w:pPr>
              <w:pStyle w:val="122"/>
              <w:rPr>
                <w:sz w:val="21"/>
                <w:szCs w:val="21"/>
              </w:rPr>
            </w:pPr>
            <w:r>
              <w:rPr>
                <w:sz w:val="21"/>
                <w:szCs w:val="21"/>
              </w:rPr>
              <w:t>联系人</w:t>
            </w:r>
          </w:p>
        </w:tc>
        <w:tc>
          <w:tcPr>
            <w:tcW w:w="902" w:type="dxa"/>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胡远东</w:t>
            </w:r>
          </w:p>
        </w:tc>
        <w:tc>
          <w:tcPr>
            <w:tcW w:w="700" w:type="dxa"/>
            <w:tcBorders>
              <w:tl2br w:val="nil"/>
              <w:tr2bl w:val="nil"/>
            </w:tcBorders>
            <w:vAlign w:val="center"/>
          </w:tcPr>
          <w:p>
            <w:pPr>
              <w:pStyle w:val="122"/>
              <w:rPr>
                <w:sz w:val="21"/>
                <w:szCs w:val="21"/>
              </w:rPr>
            </w:pPr>
            <w:r>
              <w:rPr>
                <w:sz w:val="21"/>
                <w:szCs w:val="21"/>
              </w:rPr>
              <w:t>电话</w:t>
            </w:r>
          </w:p>
        </w:tc>
        <w:tc>
          <w:tcPr>
            <w:tcW w:w="1040" w:type="dxa"/>
            <w:gridSpan w:val="3"/>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13973769693</w:t>
            </w:r>
          </w:p>
        </w:tc>
        <w:tc>
          <w:tcPr>
            <w:tcW w:w="1897" w:type="dxa"/>
            <w:gridSpan w:val="2"/>
            <w:tcBorders>
              <w:tl2br w:val="nil"/>
              <w:tr2bl w:val="nil"/>
            </w:tcBorders>
            <w:vAlign w:val="center"/>
          </w:tcPr>
          <w:p>
            <w:pPr>
              <w:pStyle w:val="122"/>
              <w:rPr>
                <w:sz w:val="21"/>
                <w:szCs w:val="21"/>
              </w:rPr>
            </w:pPr>
            <w:r>
              <w:rPr>
                <w:sz w:val="21"/>
                <w:szCs w:val="21"/>
              </w:rPr>
              <w:t>邮箱</w:t>
            </w:r>
          </w:p>
        </w:tc>
        <w:tc>
          <w:tcPr>
            <w:tcW w:w="2030" w:type="dxa"/>
            <w:gridSpan w:val="2"/>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建设项目主要原辅材料消耗</w:t>
            </w:r>
          </w:p>
        </w:tc>
        <w:tc>
          <w:tcPr>
            <w:tcW w:w="148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名称</w:t>
            </w:r>
          </w:p>
        </w:tc>
        <w:tc>
          <w:tcPr>
            <w:tcW w:w="6569" w:type="dxa"/>
            <w:gridSpan w:val="9"/>
            <w:tcBorders>
              <w:tl2br w:val="nil"/>
              <w:tr2bl w:val="nil"/>
            </w:tcBorders>
            <w:vAlign w:val="center"/>
          </w:tcPr>
          <w:p>
            <w:pPr>
              <w:spacing w:line="240" w:lineRule="auto"/>
              <w:ind w:firstLine="0" w:firstLineChars="0"/>
              <w:jc w:val="center"/>
              <w:rPr>
                <w:rFonts w:hint="default" w:eastAsia="宋体" w:cs="Times New Roman"/>
                <w:color w:val="auto"/>
                <w:sz w:val="21"/>
                <w:szCs w:val="21"/>
                <w:lang w:val="en-US" w:eastAsia="zh-CN"/>
              </w:rPr>
            </w:pPr>
            <w:r>
              <w:rPr>
                <w:rFonts w:hint="eastAsia" w:cs="Times New Roman"/>
                <w:color w:val="auto"/>
                <w:sz w:val="21"/>
                <w:szCs w:val="21"/>
                <w:lang w:val="en-US" w:eastAsia="zh-CN"/>
              </w:rPr>
              <w:t>井水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148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单位</w:t>
            </w:r>
          </w:p>
        </w:tc>
        <w:tc>
          <w:tcPr>
            <w:tcW w:w="6569" w:type="dxa"/>
            <w:gridSpan w:val="9"/>
            <w:tcBorders>
              <w:tl2br w:val="nil"/>
              <w:tr2bl w:val="nil"/>
            </w:tcBorders>
            <w:vAlign w:val="center"/>
          </w:tcPr>
          <w:p>
            <w:pPr>
              <w:spacing w:line="240" w:lineRule="auto"/>
              <w:ind w:firstLine="0" w:firstLineChars="0"/>
              <w:jc w:val="center"/>
              <w:rPr>
                <w:rFonts w:cs="Times New Roman"/>
                <w:color w:val="auto"/>
                <w:sz w:val="21"/>
                <w:szCs w:val="21"/>
              </w:rPr>
            </w:pPr>
            <w:r>
              <w:rPr>
                <w:rFonts w:hint="eastAsia"/>
                <w:color w:val="000000" w:themeColor="text1"/>
                <w:kern w:val="0"/>
                <w:sz w:val="21"/>
                <w:szCs w:val="21"/>
                <w14:textFill>
                  <w14:solidFill>
                    <w14:schemeClr w14:val="tx1"/>
                  </w14:solidFill>
                </w14:textFill>
              </w:rPr>
              <w:t>m</w:t>
            </w:r>
            <w:r>
              <w:rPr>
                <w:rFonts w:hint="eastAsia"/>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1480" w:type="dxa"/>
            <w:tcBorders>
              <w:tl2br w:val="nil"/>
              <w:tr2bl w:val="nil"/>
            </w:tcBorders>
            <w:vAlign w:val="center"/>
          </w:tcPr>
          <w:p>
            <w:pPr>
              <w:spacing w:line="240" w:lineRule="auto"/>
              <w:ind w:firstLine="0" w:firstLineChars="0"/>
              <w:jc w:val="center"/>
              <w:rPr>
                <w:rFonts w:cs="Times New Roman"/>
                <w:color w:val="auto"/>
                <w:sz w:val="21"/>
                <w:szCs w:val="21"/>
              </w:rPr>
            </w:pPr>
            <w:r>
              <w:rPr>
                <w:rFonts w:cs="Times New Roman"/>
                <w:color w:val="auto"/>
                <w:sz w:val="21"/>
                <w:szCs w:val="21"/>
              </w:rPr>
              <w:t>数量</w:t>
            </w:r>
          </w:p>
        </w:tc>
        <w:tc>
          <w:tcPr>
            <w:tcW w:w="6569" w:type="dxa"/>
            <w:gridSpan w:val="9"/>
            <w:tcBorders>
              <w:tl2br w:val="nil"/>
              <w:tr2bl w:val="nil"/>
            </w:tcBorders>
            <w:vAlign w:val="center"/>
          </w:tcPr>
          <w:p>
            <w:pPr>
              <w:spacing w:line="240" w:lineRule="auto"/>
              <w:ind w:firstLine="0" w:firstLineChars="0"/>
              <w:jc w:val="center"/>
              <w:rPr>
                <w:rFonts w:cs="Times New Roman"/>
                <w:color w:val="auto"/>
                <w:sz w:val="21"/>
                <w:szCs w:val="21"/>
              </w:rPr>
            </w:pPr>
            <w:r>
              <w:rPr>
                <w:rFonts w:hint="eastAsia" w:cs="Times New Roman"/>
                <w:color w:val="auto"/>
                <w:sz w:val="21"/>
                <w:szCs w:val="21"/>
                <w:lang w:val="en-US" w:eastAsia="zh-CN"/>
              </w:rPr>
              <w:t>23129.25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rFonts w:hint="default" w:ascii="Times New Roman" w:hAnsi="Times New Roman" w:cs="Times New Roman"/>
                <w:sz w:val="21"/>
                <w:szCs w:val="21"/>
              </w:rPr>
            </w:pPr>
            <w:r>
              <w:rPr>
                <w:rFonts w:hint="default" w:ascii="Times New Roman" w:hAnsi="Times New Roman" w:cs="Times New Roman"/>
                <w:sz w:val="21"/>
                <w:szCs w:val="21"/>
              </w:rPr>
              <w:t>主要产品</w:t>
            </w:r>
          </w:p>
        </w:tc>
        <w:tc>
          <w:tcPr>
            <w:tcW w:w="1480" w:type="dxa"/>
            <w:tcBorders>
              <w:tl2br w:val="nil"/>
              <w:tr2bl w:val="nil"/>
            </w:tcBorders>
            <w:vAlign w:val="center"/>
          </w:tcPr>
          <w:p>
            <w:pPr>
              <w:pStyle w:val="122"/>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1947" w:type="dxa"/>
            <w:gridSpan w:val="3"/>
            <w:tcBorders>
              <w:right w:val="single" w:color="auto" w:sz="4" w:space="0"/>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sz w:val="21"/>
                <w:szCs w:val="21"/>
              </w:rPr>
              <w:t>15L/桶（桶装水）</w:t>
            </w:r>
          </w:p>
        </w:tc>
        <w:tc>
          <w:tcPr>
            <w:tcW w:w="1886" w:type="dxa"/>
            <w:gridSpan w:val="3"/>
            <w:tcBorders>
              <w:left w:val="single" w:color="auto"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4.6L/桶（桶装水）</w:t>
            </w:r>
          </w:p>
        </w:tc>
        <w:tc>
          <w:tcPr>
            <w:tcW w:w="2736" w:type="dxa"/>
            <w:gridSpan w:val="3"/>
            <w:tcBorders>
              <w:lef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560ml（瓶装水）、360ml（瓶装水）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rFonts w:hint="default" w:ascii="Times New Roman" w:hAnsi="Times New Roman" w:cs="Times New Roman"/>
                <w:sz w:val="21"/>
                <w:szCs w:val="21"/>
              </w:rPr>
            </w:pPr>
          </w:p>
        </w:tc>
        <w:tc>
          <w:tcPr>
            <w:tcW w:w="1480" w:type="dxa"/>
            <w:tcBorders>
              <w:tl2br w:val="nil"/>
              <w:tr2bl w:val="nil"/>
            </w:tcBorders>
            <w:vAlign w:val="center"/>
          </w:tcPr>
          <w:p>
            <w:pPr>
              <w:pStyle w:val="122"/>
              <w:rPr>
                <w:rFonts w:hint="default" w:ascii="Times New Roman" w:hAnsi="Times New Roman" w:cs="Times New Roman"/>
                <w:sz w:val="21"/>
                <w:szCs w:val="21"/>
              </w:rPr>
            </w:pPr>
            <w:r>
              <w:rPr>
                <w:rFonts w:hint="default" w:ascii="Times New Roman" w:hAnsi="Times New Roman" w:cs="Times New Roman"/>
                <w:sz w:val="21"/>
                <w:szCs w:val="21"/>
              </w:rPr>
              <w:t>单位</w:t>
            </w:r>
          </w:p>
        </w:tc>
        <w:tc>
          <w:tcPr>
            <w:tcW w:w="1947" w:type="dxa"/>
            <w:gridSpan w:val="3"/>
            <w:tcBorders>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sz w:val="21"/>
                <w:szCs w:val="21"/>
              </w:rPr>
              <w:t>万桶</w:t>
            </w:r>
            <w:r>
              <w:rPr>
                <w:rFonts w:hint="default" w:ascii="Times New Roman" w:hAnsi="Times New Roman" w:cs="Times New Roman"/>
                <w:sz w:val="21"/>
                <w:szCs w:val="21"/>
                <w:lang w:val="en-US" w:eastAsia="zh-CN"/>
              </w:rPr>
              <w:t>/年</w:t>
            </w:r>
          </w:p>
        </w:tc>
        <w:tc>
          <w:tcPr>
            <w:tcW w:w="1886" w:type="dxa"/>
            <w:gridSpan w:val="3"/>
            <w:tcBorders>
              <w:left w:val="single" w:color="auto"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万桶</w:t>
            </w:r>
            <w:r>
              <w:rPr>
                <w:rFonts w:hint="default" w:ascii="Times New Roman" w:hAnsi="Times New Roman" w:cs="Times New Roman"/>
                <w:sz w:val="21"/>
                <w:szCs w:val="21"/>
                <w:lang w:val="en-US" w:eastAsia="zh-CN"/>
              </w:rPr>
              <w:t>/年</w:t>
            </w:r>
          </w:p>
        </w:tc>
        <w:tc>
          <w:tcPr>
            <w:tcW w:w="2736" w:type="dxa"/>
            <w:gridSpan w:val="3"/>
            <w:tcBorders>
              <w:lef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万瓶</w:t>
            </w:r>
            <w:r>
              <w:rPr>
                <w:rFonts w:hint="default" w:ascii="Times New Roman" w:hAnsi="Times New Roman" w:cs="Times New Roman"/>
                <w:sz w:val="21"/>
                <w:szCs w:val="21"/>
                <w:lang w:val="en-US" w:eastAsia="zh-CN"/>
              </w:rPr>
              <w:t>/年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rFonts w:hint="default" w:ascii="Times New Roman" w:hAnsi="Times New Roman" w:cs="Times New Roman"/>
                <w:sz w:val="21"/>
                <w:szCs w:val="21"/>
              </w:rPr>
            </w:pPr>
          </w:p>
        </w:tc>
        <w:tc>
          <w:tcPr>
            <w:tcW w:w="1480" w:type="dxa"/>
            <w:tcBorders>
              <w:tl2br w:val="nil"/>
              <w:tr2bl w:val="nil"/>
            </w:tcBorders>
            <w:vAlign w:val="center"/>
          </w:tcPr>
          <w:p>
            <w:pPr>
              <w:pStyle w:val="122"/>
              <w:rPr>
                <w:rFonts w:hint="default" w:ascii="Times New Roman" w:hAnsi="Times New Roman" w:cs="Times New Roman"/>
                <w:sz w:val="21"/>
                <w:szCs w:val="21"/>
              </w:rPr>
            </w:pPr>
            <w:r>
              <w:rPr>
                <w:rFonts w:hint="default" w:ascii="Times New Roman" w:hAnsi="Times New Roman" w:cs="Times New Roman"/>
                <w:sz w:val="21"/>
                <w:szCs w:val="21"/>
              </w:rPr>
              <w:t>数量</w:t>
            </w:r>
          </w:p>
        </w:tc>
        <w:tc>
          <w:tcPr>
            <w:tcW w:w="1947" w:type="dxa"/>
            <w:gridSpan w:val="3"/>
            <w:tcBorders>
              <w:right w:val="single" w:color="auto" w:sz="4" w:space="0"/>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c>
          <w:tcPr>
            <w:tcW w:w="1886" w:type="dxa"/>
            <w:gridSpan w:val="3"/>
            <w:tcBorders>
              <w:left w:val="single" w:color="auto" w:sz="4" w:space="0"/>
              <w:righ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143</w:t>
            </w:r>
          </w:p>
        </w:tc>
        <w:tc>
          <w:tcPr>
            <w:tcW w:w="2736" w:type="dxa"/>
            <w:gridSpan w:val="3"/>
            <w:tcBorders>
              <w:left w:val="single" w:color="auto" w:sz="4" w:space="0"/>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tcBorders>
              <w:tl2br w:val="nil"/>
              <w:tr2bl w:val="nil"/>
            </w:tcBorders>
            <w:vAlign w:val="center"/>
          </w:tcPr>
          <w:p>
            <w:pPr>
              <w:pStyle w:val="122"/>
              <w:rPr>
                <w:sz w:val="21"/>
                <w:szCs w:val="21"/>
              </w:rPr>
            </w:pPr>
            <w:r>
              <w:rPr>
                <w:sz w:val="21"/>
                <w:szCs w:val="21"/>
              </w:rPr>
              <w:t>主要产污环节</w:t>
            </w:r>
          </w:p>
        </w:tc>
        <w:tc>
          <w:tcPr>
            <w:tcW w:w="8049" w:type="dxa"/>
            <w:gridSpan w:val="10"/>
            <w:tcBorders>
              <w:tl2br w:val="nil"/>
              <w:tr2bl w:val="nil"/>
            </w:tcBorders>
            <w:vAlign w:val="center"/>
          </w:tcPr>
          <w:p>
            <w:pPr>
              <w:pStyle w:val="122"/>
              <w:rPr>
                <w:rFonts w:hint="default" w:eastAsia="宋体"/>
                <w:sz w:val="21"/>
                <w:szCs w:val="21"/>
                <w:lang w:val="en-US" w:eastAsia="zh-CN"/>
              </w:rPr>
            </w:pPr>
            <w:r>
              <w:rPr>
                <w:rFonts w:hint="eastAsia"/>
                <w:sz w:val="21"/>
                <w:szCs w:val="21"/>
                <w:lang w:val="en-US" w:eastAsia="zh-CN"/>
              </w:rPr>
              <w:t>主要是设备反冲洗产生的废水和实验室纯水制备产生的废水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排污口基本情况</w:t>
            </w:r>
          </w:p>
        </w:tc>
        <w:tc>
          <w:tcPr>
            <w:tcW w:w="2382" w:type="dxa"/>
            <w:gridSpan w:val="2"/>
            <w:tcBorders>
              <w:tl2br w:val="nil"/>
              <w:tr2bl w:val="nil"/>
            </w:tcBorders>
            <w:vAlign w:val="center"/>
          </w:tcPr>
          <w:p>
            <w:pPr>
              <w:pStyle w:val="122"/>
              <w:rPr>
                <w:sz w:val="21"/>
                <w:szCs w:val="21"/>
              </w:rPr>
            </w:pPr>
            <w:r>
              <w:rPr>
                <w:sz w:val="21"/>
                <w:szCs w:val="21"/>
              </w:rPr>
              <w:t>排污口名称</w:t>
            </w:r>
          </w:p>
        </w:tc>
        <w:tc>
          <w:tcPr>
            <w:tcW w:w="5667" w:type="dxa"/>
            <w:gridSpan w:val="8"/>
            <w:tcBorders>
              <w:tl2br w:val="nil"/>
              <w:tr2bl w:val="nil"/>
            </w:tcBorders>
            <w:vAlign w:val="center"/>
          </w:tcPr>
          <w:p>
            <w:pPr>
              <w:pStyle w:val="122"/>
              <w:rPr>
                <w:sz w:val="21"/>
                <w:szCs w:val="21"/>
              </w:rPr>
            </w:pPr>
            <w:r>
              <w:rPr>
                <w:rFonts w:hint="eastAsia"/>
                <w:sz w:val="21"/>
                <w:szCs w:val="21"/>
                <w:lang w:val="en-US" w:eastAsia="zh-CN"/>
              </w:rPr>
              <w:t>湖南润景水业（桃江）有限公司入河排污口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7"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排污口行政地址</w:t>
            </w:r>
          </w:p>
        </w:tc>
        <w:tc>
          <w:tcPr>
            <w:tcW w:w="5667" w:type="dxa"/>
            <w:gridSpan w:val="8"/>
            <w:tcBorders>
              <w:tl2br w:val="nil"/>
              <w:tr2bl w:val="nil"/>
            </w:tcBorders>
            <w:vAlign w:val="center"/>
          </w:tcPr>
          <w:p>
            <w:pPr>
              <w:pStyle w:val="122"/>
              <w:rPr>
                <w:sz w:val="21"/>
                <w:szCs w:val="21"/>
              </w:rPr>
            </w:pPr>
            <w:r>
              <w:rPr>
                <w:sz w:val="21"/>
                <w:szCs w:val="21"/>
              </w:rPr>
              <w:t>湖南省益阳市桃江县高桥镇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所在水功能区概况</w:t>
            </w:r>
          </w:p>
        </w:tc>
        <w:tc>
          <w:tcPr>
            <w:tcW w:w="5667" w:type="dxa"/>
            <w:gridSpan w:val="8"/>
            <w:tcBorders>
              <w:tl2br w:val="nil"/>
              <w:tr2bl w:val="nil"/>
            </w:tcBorders>
            <w:vAlign w:val="center"/>
          </w:tcPr>
          <w:p>
            <w:pPr>
              <w:pStyle w:val="122"/>
              <w:rPr>
                <w:sz w:val="21"/>
                <w:szCs w:val="21"/>
              </w:rPr>
            </w:pPr>
            <w:r>
              <w:rPr>
                <w:rFonts w:hint="eastAsia" w:cs="Times New Roman"/>
                <w:color w:val="000000" w:themeColor="text1"/>
                <w:sz w:val="21"/>
                <w:szCs w:val="21"/>
                <w:lang w:val="en-US" w:eastAsia="zh-CN"/>
                <w14:textFill>
                  <w14:solidFill>
                    <w14:schemeClr w14:val="tx1"/>
                  </w14:solidFill>
                </w14:textFill>
              </w:rPr>
              <w:t>项目所排放的西北侧的无名小溪</w:t>
            </w:r>
            <w:r>
              <w:rPr>
                <w:rFonts w:hint="default" w:ascii="Times New Roman" w:hAnsi="Times New Roman" w:cs="Times New Roman"/>
                <w:color w:val="000000" w:themeColor="text1"/>
                <w:sz w:val="21"/>
                <w:szCs w:val="21"/>
                <w14:textFill>
                  <w14:solidFill>
                    <w14:schemeClr w14:val="tx1"/>
                  </w14:solidFill>
                </w14:textFill>
              </w:rPr>
              <w:t>管理目标均为《地表水环境质量标准》（GB3838-2002）Ⅲ类标准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排污口经纬度</w:t>
            </w:r>
          </w:p>
        </w:tc>
        <w:tc>
          <w:tcPr>
            <w:tcW w:w="5667" w:type="dxa"/>
            <w:gridSpan w:val="8"/>
            <w:tcBorders>
              <w:tl2br w:val="nil"/>
              <w:tr2bl w:val="nil"/>
            </w:tcBorders>
            <w:vAlign w:val="center"/>
          </w:tcPr>
          <w:p>
            <w:pPr>
              <w:pStyle w:val="122"/>
              <w:rPr>
                <w:sz w:val="21"/>
                <w:szCs w:val="21"/>
              </w:rPr>
            </w:pPr>
            <w:r>
              <w:rPr>
                <w:rFonts w:hint="default" w:ascii="Times New Roman" w:hAnsi="Times New Roman" w:cs="Times New Roman"/>
                <w:color w:val="000000" w:themeColor="text1"/>
                <w:sz w:val="21"/>
                <w:szCs w:val="21"/>
                <w14:textFill>
                  <w14:solidFill>
                    <w14:schemeClr w14:val="tx1"/>
                  </w14:solidFill>
                </w14:textFill>
              </w:rPr>
              <w:t>东经：112°</w:t>
            </w:r>
            <w:r>
              <w:rPr>
                <w:rFonts w:hint="default" w:ascii="Times New Roman" w:hAnsi="Times New Roman" w:cs="Times New Roman"/>
                <w:color w:val="000000" w:themeColor="text1"/>
                <w:sz w:val="21"/>
                <w:szCs w:val="21"/>
                <w:lang w:val="en-US" w:eastAsia="zh-CN"/>
                <w14:textFill>
                  <w14:solidFill>
                    <w14:schemeClr w14:val="tx1"/>
                  </w14:solidFill>
                </w14:textFill>
              </w:rPr>
              <w:t>39</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46.345</w:t>
            </w:r>
            <w:r>
              <w:rPr>
                <w:rFonts w:hint="default" w:ascii="Times New Roman" w:hAnsi="Times New Roman" w:cs="Times New Roman"/>
                <w:color w:val="000000" w:themeColor="text1"/>
                <w:sz w:val="21"/>
                <w:szCs w:val="21"/>
                <w14:textFill>
                  <w14:solidFill>
                    <w14:schemeClr w14:val="tx1"/>
                  </w14:solidFill>
                </w14:textFill>
              </w:rPr>
              <w:t>"，北纬：28°</w:t>
            </w:r>
            <w:r>
              <w:rPr>
                <w:rFonts w:hint="default" w:ascii="Times New Roman" w:hAnsi="Times New Roman" w:cs="Times New Roman"/>
                <w:color w:val="000000" w:themeColor="text1"/>
                <w:sz w:val="21"/>
                <w:szCs w:val="21"/>
                <w:lang w:val="en-US" w:eastAsia="zh-CN"/>
                <w14:textFill>
                  <w14:solidFill>
                    <w14:schemeClr w14:val="tx1"/>
                  </w14:solidFill>
                </w14:textFill>
              </w:rPr>
              <w:t>26</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7.141</w:t>
            </w:r>
            <w:r>
              <w:rPr>
                <w:rFonts w:hint="default" w:ascii="Times New Roman" w:hAnsi="Times New Roman" w:cs="Times New Roman"/>
                <w:color w:val="000000" w:themeColor="text1"/>
                <w:sz w:val="21"/>
                <w:szCs w:val="21"/>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排污口类型</w:t>
            </w:r>
          </w:p>
        </w:tc>
        <w:tc>
          <w:tcPr>
            <w:tcW w:w="5667" w:type="dxa"/>
            <w:gridSpan w:val="8"/>
            <w:tcBorders>
              <w:tl2br w:val="nil"/>
              <w:tr2bl w:val="nil"/>
            </w:tcBorders>
            <w:vAlign w:val="center"/>
          </w:tcPr>
          <w:p>
            <w:pPr>
              <w:pStyle w:val="122"/>
              <w:rPr>
                <w:sz w:val="21"/>
                <w:szCs w:val="21"/>
              </w:rPr>
            </w:pPr>
            <w:r>
              <w:rPr>
                <w:rFonts w:hint="eastAsia"/>
                <w:sz w:val="21"/>
                <w:szCs w:val="21"/>
              </w:rPr>
              <w:t>新建</w:t>
            </w:r>
            <w:r>
              <w:rPr>
                <w:sz w:val="21"/>
                <w:szCs w:val="21"/>
              </w:rPr>
              <w:sym w:font="Wingdings" w:char="00FE"/>
            </w:r>
            <w:r>
              <w:rPr>
                <w:rFonts w:hint="eastAsia"/>
                <w:sz w:val="21"/>
                <w:szCs w:val="21"/>
              </w:rPr>
              <w:t>改扩</w:t>
            </w:r>
            <w:r>
              <w:rPr>
                <w:sz w:val="21"/>
                <w:szCs w:val="21"/>
              </w:rPr>
              <w:t>建</w:t>
            </w:r>
            <w:r>
              <w:rPr>
                <w:sz w:val="21"/>
                <w:szCs w:val="21"/>
              </w:rPr>
              <w:sym w:font="Wingdings" w:char="00A8"/>
            </w:r>
            <w:r>
              <w:rPr>
                <w:sz w:val="21"/>
                <w:szCs w:val="21"/>
              </w:rPr>
              <w:t>扩大</w:t>
            </w:r>
            <w:r>
              <w:rPr>
                <w:sz w:val="21"/>
                <w:szCs w:val="21"/>
              </w:rPr>
              <w:sym w:font="Wingdings" w:char="00A8"/>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废污水年排放量（m</w:t>
            </w:r>
            <w:r>
              <w:rPr>
                <w:sz w:val="21"/>
                <w:szCs w:val="21"/>
                <w:vertAlign w:val="superscript"/>
              </w:rPr>
              <w:t>3</w:t>
            </w:r>
            <w:r>
              <w:rPr>
                <w:sz w:val="21"/>
                <w:szCs w:val="21"/>
              </w:rPr>
              <w:t>）</w:t>
            </w:r>
          </w:p>
        </w:tc>
        <w:tc>
          <w:tcPr>
            <w:tcW w:w="5667" w:type="dxa"/>
            <w:gridSpan w:val="8"/>
            <w:tcBorders>
              <w:tl2br w:val="nil"/>
              <w:tr2bl w:val="nil"/>
            </w:tcBorders>
            <w:vAlign w:val="center"/>
          </w:tcPr>
          <w:p>
            <w:pPr>
              <w:pStyle w:val="122"/>
              <w:rPr>
                <w:sz w:val="21"/>
                <w:szCs w:val="21"/>
              </w:rPr>
            </w:pPr>
            <w:r>
              <w:rPr>
                <w:rFonts w:hint="default" w:ascii="Times New Roman" w:hAnsi="Times New Roman" w:cs="Times New Roman"/>
                <w:sz w:val="21"/>
                <w:szCs w:val="21"/>
              </w:rPr>
              <w:t>平均污水排放量约</w:t>
            </w:r>
            <w:r>
              <w:rPr>
                <w:rFonts w:hint="default" w:ascii="Times New Roman" w:hAnsi="Times New Roman" w:cs="Times New Roman"/>
                <w:sz w:val="21"/>
                <w:szCs w:val="21"/>
                <w:lang w:val="en-US" w:eastAsia="zh-CN"/>
              </w:rPr>
              <w:t>2.92</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/d，</w:t>
            </w:r>
            <w:r>
              <w:rPr>
                <w:rFonts w:hint="default" w:ascii="Times New Roman" w:hAnsi="Times New Roman" w:cs="Times New Roman"/>
                <w:sz w:val="21"/>
                <w:szCs w:val="21"/>
                <w:lang w:val="en-US" w:eastAsia="zh-CN"/>
              </w:rPr>
              <w:t>876</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restart"/>
            <w:tcBorders>
              <w:tl2br w:val="nil"/>
              <w:tr2bl w:val="nil"/>
            </w:tcBorders>
            <w:vAlign w:val="center"/>
          </w:tcPr>
          <w:p>
            <w:pPr>
              <w:pStyle w:val="122"/>
              <w:rPr>
                <w:sz w:val="21"/>
                <w:szCs w:val="21"/>
              </w:rPr>
            </w:pPr>
            <w:r>
              <w:rPr>
                <w:sz w:val="21"/>
                <w:szCs w:val="21"/>
              </w:rPr>
              <w:t>主要污染物</w:t>
            </w:r>
          </w:p>
        </w:tc>
        <w:tc>
          <w:tcPr>
            <w:tcW w:w="1309" w:type="dxa"/>
            <w:gridSpan w:val="3"/>
            <w:tcBorders>
              <w:tl2br w:val="nil"/>
              <w:tr2bl w:val="nil"/>
            </w:tcBorders>
            <w:vAlign w:val="center"/>
          </w:tcPr>
          <w:p>
            <w:pPr>
              <w:pStyle w:val="122"/>
              <w:rPr>
                <w:sz w:val="21"/>
                <w:szCs w:val="21"/>
                <w:u w:val="single"/>
              </w:rPr>
            </w:pPr>
            <w:r>
              <w:rPr>
                <w:sz w:val="21"/>
                <w:szCs w:val="21"/>
                <w:u w:val="single"/>
              </w:rPr>
              <w:t>项目</w:t>
            </w:r>
          </w:p>
        </w:tc>
        <w:tc>
          <w:tcPr>
            <w:tcW w:w="2369" w:type="dxa"/>
            <w:gridSpan w:val="4"/>
            <w:tcBorders>
              <w:tl2br w:val="nil"/>
              <w:tr2bl w:val="nil"/>
            </w:tcBorders>
            <w:vAlign w:val="center"/>
          </w:tcPr>
          <w:p>
            <w:pPr>
              <w:pStyle w:val="122"/>
              <w:rPr>
                <w:sz w:val="21"/>
                <w:szCs w:val="21"/>
                <w:u w:val="single"/>
              </w:rPr>
            </w:pPr>
            <w:r>
              <w:rPr>
                <w:sz w:val="21"/>
                <w:szCs w:val="21"/>
                <w:u w:val="single"/>
              </w:rPr>
              <w:t>日最高排放浓度（mg/L）</w:t>
            </w:r>
          </w:p>
        </w:tc>
        <w:tc>
          <w:tcPr>
            <w:tcW w:w="1989" w:type="dxa"/>
            <w:tcBorders>
              <w:tl2br w:val="nil"/>
              <w:tr2bl w:val="nil"/>
            </w:tcBorders>
            <w:vAlign w:val="center"/>
          </w:tcPr>
          <w:p>
            <w:pPr>
              <w:pStyle w:val="122"/>
              <w:rPr>
                <w:sz w:val="21"/>
                <w:szCs w:val="21"/>
                <w:u w:val="single"/>
              </w:rPr>
            </w:pPr>
            <w:r>
              <w:rPr>
                <w:sz w:val="21"/>
                <w:szCs w:val="21"/>
                <w:u w:val="single"/>
              </w:rPr>
              <w:t>最大年排放量（t）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sz w:val="21"/>
                <w:szCs w:val="21"/>
              </w:rPr>
            </w:pPr>
          </w:p>
        </w:tc>
        <w:tc>
          <w:tcPr>
            <w:tcW w:w="1309" w:type="dxa"/>
            <w:gridSpan w:val="3"/>
            <w:tcBorders>
              <w:tl2br w:val="nil"/>
              <w:tr2bl w:val="nil"/>
            </w:tcBorders>
            <w:vAlign w:val="center"/>
          </w:tcPr>
          <w:p>
            <w:pPr>
              <w:spacing w:line="240" w:lineRule="auto"/>
              <w:ind w:firstLine="0" w:firstLineChars="0"/>
              <w:jc w:val="center"/>
              <w:rPr>
                <w:rFonts w:cs="Times New Roman"/>
                <w:color w:val="000000" w:themeColor="text1"/>
                <w:sz w:val="21"/>
                <w:szCs w:val="21"/>
                <w:u w:val="single"/>
                <w14:textFill>
                  <w14:solidFill>
                    <w14:schemeClr w14:val="tx1"/>
                  </w14:solidFill>
                </w14:textFill>
              </w:rPr>
            </w:pPr>
            <w:r>
              <w:rPr>
                <w:rFonts w:hint="eastAsia" w:cs="Times New Roman"/>
                <w:color w:val="000000" w:themeColor="text1"/>
                <w:sz w:val="21"/>
                <w:szCs w:val="21"/>
                <w:u w:val="single"/>
                <w14:textFill>
                  <w14:solidFill>
                    <w14:schemeClr w14:val="tx1"/>
                  </w14:solidFill>
                </w14:textFill>
              </w:rPr>
              <w:t>化学需氧量</w:t>
            </w:r>
          </w:p>
        </w:tc>
        <w:tc>
          <w:tcPr>
            <w:tcW w:w="2369" w:type="dxa"/>
            <w:gridSpan w:val="4"/>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100</w:t>
            </w:r>
          </w:p>
        </w:tc>
        <w:tc>
          <w:tcPr>
            <w:tcW w:w="1989" w:type="dxa"/>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default" w:eastAsia="宋体" w:cs="Times New Roman"/>
                <w:color w:val="000000" w:themeColor="text1"/>
                <w:sz w:val="21"/>
                <w:szCs w:val="21"/>
                <w:u w:val="single"/>
                <w:lang w:val="en-US" w:eastAsia="zh-CN"/>
                <w14:textFill>
                  <w14:solidFill>
                    <w14:schemeClr w14:val="tx1"/>
                  </w14:solidFill>
                </w14:textFill>
              </w:rPr>
              <w:t>0.0876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3"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sz w:val="21"/>
                <w:szCs w:val="21"/>
              </w:rPr>
            </w:pPr>
          </w:p>
        </w:tc>
        <w:tc>
          <w:tcPr>
            <w:tcW w:w="1309" w:type="dxa"/>
            <w:gridSpan w:val="3"/>
            <w:tcBorders>
              <w:tl2br w:val="nil"/>
              <w:tr2bl w:val="nil"/>
            </w:tcBorders>
            <w:vAlign w:val="center"/>
          </w:tcPr>
          <w:p>
            <w:pPr>
              <w:spacing w:line="240" w:lineRule="auto"/>
              <w:ind w:firstLine="0" w:firstLineChars="0"/>
              <w:jc w:val="center"/>
              <w:rPr>
                <w:rFonts w:cs="Times New Roman"/>
                <w:color w:val="000000" w:themeColor="text1"/>
                <w:sz w:val="21"/>
                <w:szCs w:val="21"/>
                <w:u w:val="single"/>
                <w14:textFill>
                  <w14:solidFill>
                    <w14:schemeClr w14:val="tx1"/>
                  </w14:solidFill>
                </w14:textFill>
              </w:rPr>
            </w:pPr>
            <w:r>
              <w:rPr>
                <w:rFonts w:cs="Times New Roman"/>
                <w:color w:val="000000" w:themeColor="text1"/>
                <w:sz w:val="21"/>
                <w:szCs w:val="21"/>
                <w:u w:val="single"/>
                <w14:textFill>
                  <w14:solidFill>
                    <w14:schemeClr w14:val="tx1"/>
                  </w14:solidFill>
                </w14:textFill>
              </w:rPr>
              <w:t>氨氮</w:t>
            </w:r>
          </w:p>
        </w:tc>
        <w:tc>
          <w:tcPr>
            <w:tcW w:w="2369" w:type="dxa"/>
            <w:gridSpan w:val="4"/>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15</w:t>
            </w:r>
          </w:p>
        </w:tc>
        <w:tc>
          <w:tcPr>
            <w:tcW w:w="1989" w:type="dxa"/>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default" w:eastAsia="宋体" w:cs="Times New Roman"/>
                <w:color w:val="000000" w:themeColor="text1"/>
                <w:sz w:val="21"/>
                <w:szCs w:val="21"/>
                <w:u w:val="single"/>
                <w:lang w:val="en-US" w:eastAsia="zh-CN"/>
                <w14:textFill>
                  <w14:solidFill>
                    <w14:schemeClr w14:val="tx1"/>
                  </w14:solidFill>
                </w14:textFill>
              </w:rPr>
              <w:t>0.0132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3"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sz w:val="21"/>
                <w:szCs w:val="21"/>
              </w:rPr>
            </w:pPr>
          </w:p>
        </w:tc>
        <w:tc>
          <w:tcPr>
            <w:tcW w:w="1309" w:type="dxa"/>
            <w:gridSpan w:val="3"/>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总磷</w:t>
            </w:r>
          </w:p>
        </w:tc>
        <w:tc>
          <w:tcPr>
            <w:tcW w:w="2369" w:type="dxa"/>
            <w:gridSpan w:val="4"/>
            <w:tcBorders>
              <w:tl2br w:val="nil"/>
              <w:tr2bl w:val="nil"/>
            </w:tcBorders>
            <w:vAlign w:val="center"/>
          </w:tcPr>
          <w:p>
            <w:pPr>
              <w:spacing w:line="240" w:lineRule="auto"/>
              <w:ind w:firstLine="0" w:firstLineChars="0"/>
              <w:jc w:val="center"/>
              <w:rPr>
                <w:rFonts w:hint="default"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1</w:t>
            </w:r>
          </w:p>
        </w:tc>
        <w:tc>
          <w:tcPr>
            <w:tcW w:w="1989" w:type="dxa"/>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0.000876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63"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sz w:val="21"/>
                <w:szCs w:val="21"/>
              </w:rPr>
            </w:pPr>
          </w:p>
        </w:tc>
        <w:tc>
          <w:tcPr>
            <w:tcW w:w="1309" w:type="dxa"/>
            <w:gridSpan w:val="3"/>
            <w:tcBorders>
              <w:tl2br w:val="nil"/>
              <w:tr2bl w:val="nil"/>
            </w:tcBorders>
            <w:vAlign w:val="center"/>
          </w:tcPr>
          <w:p>
            <w:pPr>
              <w:spacing w:line="240" w:lineRule="auto"/>
              <w:ind w:firstLine="0" w:firstLineChars="0"/>
              <w:jc w:val="center"/>
              <w:rPr>
                <w:rFonts w:hint="eastAsia"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总氮</w:t>
            </w:r>
          </w:p>
        </w:tc>
        <w:tc>
          <w:tcPr>
            <w:tcW w:w="2369" w:type="dxa"/>
            <w:gridSpan w:val="4"/>
            <w:tcBorders>
              <w:tl2br w:val="nil"/>
              <w:tr2bl w:val="nil"/>
            </w:tcBorders>
            <w:vAlign w:val="center"/>
          </w:tcPr>
          <w:p>
            <w:pPr>
              <w:spacing w:line="240" w:lineRule="auto"/>
              <w:ind w:firstLine="0" w:firstLineChars="0"/>
              <w:jc w:val="center"/>
              <w:rPr>
                <w:rFonts w:hint="default"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20</w:t>
            </w:r>
          </w:p>
        </w:tc>
        <w:tc>
          <w:tcPr>
            <w:tcW w:w="1989" w:type="dxa"/>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u w:val="single"/>
                <w:lang w:val="en-US" w:eastAsia="zh-CN"/>
                <w14:textFill>
                  <w14:solidFill>
                    <w14:schemeClr w14:val="tx1"/>
                  </w14:solidFill>
                </w14:textFill>
              </w:rPr>
            </w:pPr>
            <w:r>
              <w:rPr>
                <w:rFonts w:hint="eastAsia" w:cs="Times New Roman"/>
                <w:color w:val="000000" w:themeColor="text1"/>
                <w:sz w:val="21"/>
                <w:szCs w:val="21"/>
                <w:u w:val="single"/>
                <w:lang w:val="en-US" w:eastAsia="zh-CN"/>
                <w14:textFill>
                  <w14:solidFill>
                    <w14:schemeClr w14:val="tx1"/>
                  </w14:solidFill>
                </w14:textFill>
              </w:rPr>
              <w:t>0.01752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计量设施安装状况</w:t>
            </w:r>
          </w:p>
        </w:tc>
        <w:tc>
          <w:tcPr>
            <w:tcW w:w="5667" w:type="dxa"/>
            <w:gridSpan w:val="8"/>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污水计量设施（√</w:t>
            </w:r>
            <w:r>
              <w:rPr>
                <w:rFonts w:hint="eastAsia" w:cs="Times New Roman"/>
                <w:color w:val="000000" w:themeColor="text1"/>
                <w:sz w:val="21"/>
                <w:szCs w:val="21"/>
                <w14:textFill>
                  <w14:solidFill>
                    <w14:schemeClr w14:val="tx1"/>
                  </w14:solidFill>
                </w14:textFill>
              </w:rPr>
              <w:t>）</w:t>
            </w:r>
            <w:r>
              <w:rPr>
                <w:rFonts w:cs="Times New Roman"/>
                <w:color w:val="000000" w:themeColor="text1"/>
                <w:sz w:val="21"/>
                <w:szCs w:val="21"/>
                <w14:textFill>
                  <w14:solidFill>
                    <w14:schemeClr w14:val="tx1"/>
                  </w14:solidFill>
                </w14:textFill>
              </w:rPr>
              <w:t>水质在线监测设施（√</w:t>
            </w:r>
            <w:r>
              <w:rPr>
                <w:rFonts w:hint="eastAsia" w:cs="Times New Roman"/>
                <w:color w:val="000000" w:themeColor="text1"/>
                <w:sz w:val="21"/>
                <w:szCs w:val="21"/>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污水性质</w:t>
            </w:r>
          </w:p>
        </w:tc>
        <w:tc>
          <w:tcPr>
            <w:tcW w:w="5667" w:type="dxa"/>
            <w:gridSpan w:val="8"/>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工业（√</w:t>
            </w:r>
            <w:r>
              <w:rPr>
                <w:rFonts w:hint="eastAsia" w:cs="Times New Roman"/>
                <w:color w:val="000000" w:themeColor="text1"/>
                <w:sz w:val="21"/>
                <w:szCs w:val="21"/>
                <w14:textFill>
                  <w14:solidFill>
                    <w14:schemeClr w14:val="tx1"/>
                  </w14:solidFill>
                </w14:textFill>
              </w:rPr>
              <w:t>）</w:t>
            </w:r>
            <w:r>
              <w:rPr>
                <w:rFonts w:cs="Times New Roman"/>
                <w:color w:val="000000" w:themeColor="text1"/>
                <w:sz w:val="21"/>
                <w:szCs w:val="21"/>
                <w14:textFill>
                  <w14:solidFill>
                    <w14:schemeClr w14:val="tx1"/>
                  </w14:solidFill>
                </w14:textFill>
              </w:rPr>
              <w:t>生活（</w:t>
            </w:r>
            <w:r>
              <w:rPr>
                <w:rFonts w:hint="eastAsia" w:cs="Times New Roman"/>
                <w:color w:val="000000" w:themeColor="text1"/>
                <w:sz w:val="21"/>
                <w:szCs w:val="21"/>
                <w14:textFill>
                  <w14:solidFill>
                    <w14:schemeClr w14:val="tx1"/>
                  </w14:solidFill>
                </w14:textFill>
              </w:rPr>
              <w:t>）</w:t>
            </w:r>
            <w:r>
              <w:rPr>
                <w:rFonts w:cs="Times New Roman"/>
                <w:color w:val="000000" w:themeColor="text1"/>
                <w:sz w:val="21"/>
                <w:szCs w:val="21"/>
                <w14:textFill>
                  <w14:solidFill>
                    <w14:schemeClr w14:val="tx1"/>
                  </w14:solidFill>
                </w14:textFill>
              </w:rPr>
              <w:t>混合（</w:t>
            </w:r>
            <w:r>
              <w:rPr>
                <w:rFonts w:hint="eastAsia" w:cs="Times New Roman"/>
                <w:color w:val="000000" w:themeColor="text1"/>
                <w:sz w:val="21"/>
                <w:szCs w:val="21"/>
                <w14:textFill>
                  <w14:solidFill>
                    <w14:schemeClr w14:val="tx1"/>
                  </w14:solidFill>
                </w14:textFill>
              </w:rPr>
              <w:t>）</w:t>
            </w:r>
            <w:r>
              <w:rPr>
                <w:rFonts w:cs="Times New Roman"/>
                <w:color w:val="000000" w:themeColor="text1"/>
                <w:sz w:val="21"/>
                <w:szCs w:val="21"/>
                <w14:textFill>
                  <w14:solidFill>
                    <w14:schemeClr w14:val="tx1"/>
                  </w14:solidFill>
                </w14:textFill>
              </w:rPr>
              <w:t>其他（</w:t>
            </w:r>
            <w:r>
              <w:rPr>
                <w:rFonts w:hint="eastAsia" w:cs="Times New Roman"/>
                <w:color w:val="000000" w:themeColor="text1"/>
                <w:sz w:val="21"/>
                <w:szCs w:val="21"/>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污水入河方式</w:t>
            </w:r>
          </w:p>
        </w:tc>
        <w:tc>
          <w:tcPr>
            <w:tcW w:w="5667" w:type="dxa"/>
            <w:gridSpan w:val="8"/>
            <w:tcBorders>
              <w:tl2br w:val="nil"/>
              <w:tr2bl w:val="nil"/>
            </w:tcBorders>
            <w:vAlign w:val="center"/>
          </w:tcPr>
          <w:p>
            <w:pPr>
              <w:spacing w:line="240" w:lineRule="auto"/>
              <w:ind w:firstLine="0" w:firstLineChars="0"/>
              <w:jc w:val="center"/>
              <w:rPr>
                <w:rFonts w:hint="eastAsia" w:cs="Times New Roman"/>
                <w:sz w:val="21"/>
                <w:szCs w:val="21"/>
                <w:lang w:eastAsia="zh-CN"/>
              </w:rPr>
            </w:pPr>
            <w:r>
              <w:rPr>
                <w:rFonts w:cs="Times New Roman"/>
                <w:sz w:val="21"/>
                <w:szCs w:val="21"/>
              </w:rPr>
              <w:t>明渠（</w:t>
            </w:r>
            <w:r>
              <w:rPr>
                <w:rFonts w:hint="eastAsia" w:cs="Times New Roman"/>
                <w:sz w:val="21"/>
                <w:szCs w:val="21"/>
              </w:rPr>
              <w:t xml:space="preserve"> </w:t>
            </w:r>
            <w:r>
              <w:rPr>
                <w:rFonts w:cs="Times New Roman"/>
                <w:sz w:val="21"/>
                <w:szCs w:val="21"/>
              </w:rPr>
              <w:t>）、泵站（ ）</w:t>
            </w:r>
            <w:r>
              <w:rPr>
                <w:rFonts w:hint="eastAsia" w:cs="Times New Roman"/>
                <w:sz w:val="21"/>
                <w:szCs w:val="21"/>
                <w:lang w:eastAsia="zh-CN"/>
              </w:rPr>
              <w:t>、</w:t>
            </w:r>
            <w:r>
              <w:rPr>
                <w:rFonts w:cs="Times New Roman"/>
                <w:sz w:val="21"/>
                <w:szCs w:val="21"/>
              </w:rPr>
              <w:t>潜设（</w:t>
            </w:r>
            <w:r>
              <w:rPr>
                <w:rFonts w:hint="eastAsia" w:cs="Times New Roman"/>
                <w:sz w:val="21"/>
                <w:szCs w:val="21"/>
              </w:rPr>
              <w:t xml:space="preserve"> </w:t>
            </w:r>
            <w:r>
              <w:rPr>
                <w:rFonts w:cs="Times New Roman"/>
                <w:sz w:val="21"/>
                <w:szCs w:val="21"/>
              </w:rPr>
              <w:t>）、</w:t>
            </w:r>
            <w:r>
              <w:rPr>
                <w:rFonts w:hint="eastAsia" w:cs="Times New Roman"/>
                <w:sz w:val="21"/>
                <w:szCs w:val="21"/>
                <w:lang w:val="en-US" w:eastAsia="zh-CN"/>
              </w:rPr>
              <w:t>管道</w:t>
            </w:r>
            <w:r>
              <w:rPr>
                <w:rFonts w:cs="Times New Roman"/>
                <w:sz w:val="21"/>
                <w:szCs w:val="21"/>
              </w:rPr>
              <w:t>（√）</w:t>
            </w:r>
          </w:p>
          <w:p>
            <w:pPr>
              <w:spacing w:line="240" w:lineRule="auto"/>
              <w:ind w:firstLine="0" w:firstLineChars="0"/>
              <w:jc w:val="center"/>
              <w:rPr>
                <w:rFonts w:cs="Times New Roman"/>
                <w:sz w:val="21"/>
                <w:szCs w:val="21"/>
              </w:rPr>
            </w:pPr>
            <w:r>
              <w:rPr>
                <w:rFonts w:cs="Times New Roman"/>
                <w:sz w:val="21"/>
                <w:szCs w:val="21"/>
              </w:rPr>
              <w:t>涵闸（</w:t>
            </w:r>
            <w:r>
              <w:rPr>
                <w:rFonts w:hint="eastAsia" w:cs="Times New Roman"/>
                <w:sz w:val="21"/>
                <w:szCs w:val="21"/>
                <w:lang w:val="en-US" w:eastAsia="zh-CN"/>
              </w:rPr>
              <w:t xml:space="preserve"> </w:t>
            </w:r>
            <w:r>
              <w:rPr>
                <w:rFonts w:cs="Times New Roman"/>
                <w:sz w:val="21"/>
                <w:szCs w:val="21"/>
              </w:rPr>
              <w:t>）、其他（</w:t>
            </w:r>
            <w:r>
              <w:rPr>
                <w:rFonts w:hint="eastAsia" w:cs="Times New Roman"/>
                <w:sz w:val="21"/>
                <w:szCs w:val="21"/>
                <w:lang w:val="en-US" w:eastAsia="zh-CN"/>
              </w:rPr>
              <w:t xml:space="preserve"> </w:t>
            </w:r>
            <w:r>
              <w:rPr>
                <w:rFonts w:cs="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污水排放方式</w:t>
            </w:r>
          </w:p>
        </w:tc>
        <w:tc>
          <w:tcPr>
            <w:tcW w:w="5667" w:type="dxa"/>
            <w:gridSpan w:val="8"/>
            <w:tcBorders>
              <w:tl2br w:val="nil"/>
              <w:tr2bl w:val="nil"/>
            </w:tcBorders>
            <w:vAlign w:val="center"/>
          </w:tcPr>
          <w:p>
            <w:pPr>
              <w:spacing w:line="240" w:lineRule="auto"/>
              <w:ind w:firstLine="0" w:firstLineChars="0"/>
              <w:jc w:val="center"/>
              <w:rPr>
                <w:rFonts w:cs="Times New Roman"/>
                <w:sz w:val="21"/>
                <w:szCs w:val="21"/>
              </w:rPr>
            </w:pPr>
            <w:r>
              <w:rPr>
                <w:rFonts w:cs="Times New Roman"/>
                <w:color w:val="000000" w:themeColor="text1"/>
                <w:sz w:val="21"/>
                <w:szCs w:val="21"/>
                <w14:textFill>
                  <w14:solidFill>
                    <w14:schemeClr w14:val="tx1"/>
                  </w14:solidFill>
                </w14:textFill>
              </w:rPr>
              <w:t>连续（√</w:t>
            </w:r>
            <w:r>
              <w:rPr>
                <w:rFonts w:hint="eastAsia" w:cs="Times New Roman"/>
                <w:color w:val="000000" w:themeColor="text1"/>
                <w:sz w:val="21"/>
                <w:szCs w:val="21"/>
                <w14:textFill>
                  <w14:solidFill>
                    <w14:schemeClr w14:val="tx1"/>
                  </w14:solidFill>
                </w14:textFill>
              </w:rPr>
              <w:t>）</w:t>
            </w:r>
            <w:r>
              <w:rPr>
                <w:rFonts w:cs="Times New Roman"/>
                <w:color w:val="000000" w:themeColor="text1"/>
                <w:sz w:val="21"/>
                <w:szCs w:val="21"/>
                <w14:textFill>
                  <w14:solidFill>
                    <w14:schemeClr w14:val="tx1"/>
                  </w14:solidFill>
                </w14:textFill>
              </w:rPr>
              <w:t>间歇（</w:t>
            </w:r>
            <w:r>
              <w:rPr>
                <w:rFonts w:hint="eastAsia" w:cs="Times New Roman"/>
                <w:color w:val="000000" w:themeColor="text1"/>
                <w:sz w:val="21"/>
                <w:szCs w:val="21"/>
                <w14:textFill>
                  <w14:solidFill>
                    <w14:schemeClr w14:val="tx1"/>
                  </w14:solidFill>
                </w14:textFill>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tcBorders>
              <w:tl2br w:val="nil"/>
              <w:tr2bl w:val="nil"/>
            </w:tcBorders>
            <w:vAlign w:val="center"/>
          </w:tcPr>
          <w:p>
            <w:pPr>
              <w:pStyle w:val="122"/>
              <w:rPr>
                <w:color w:val="FF0000"/>
                <w:sz w:val="21"/>
                <w:szCs w:val="21"/>
              </w:rPr>
            </w:pPr>
            <w:r>
              <w:rPr>
                <w:color w:val="auto"/>
                <w:sz w:val="21"/>
                <w:szCs w:val="21"/>
              </w:rPr>
              <w:t>排污河道、排污口平面位置示意图</w:t>
            </w:r>
          </w:p>
        </w:tc>
        <w:tc>
          <w:tcPr>
            <w:tcW w:w="8049" w:type="dxa"/>
            <w:gridSpan w:val="10"/>
            <w:tcBorders>
              <w:tl2br w:val="nil"/>
              <w:tr2bl w:val="nil"/>
            </w:tcBorders>
            <w:vAlign w:val="center"/>
          </w:tcPr>
          <w:p>
            <w:pPr>
              <w:pStyle w:val="122"/>
              <w:rPr>
                <w:rFonts w:hint="eastAsia" w:eastAsia="宋体"/>
                <w:color w:val="FF0000"/>
                <w:sz w:val="21"/>
                <w:szCs w:val="21"/>
                <w:lang w:eastAsia="zh-CN"/>
              </w:rPr>
            </w:pPr>
            <w:r>
              <w:rPr>
                <w:rFonts w:hint="eastAsia" w:eastAsia="宋体"/>
                <w:color w:val="FF0000"/>
                <w:sz w:val="21"/>
                <w:szCs w:val="21"/>
                <w:lang w:eastAsia="zh-CN"/>
              </w:rPr>
              <w:drawing>
                <wp:inline distT="0" distB="0" distL="114300" distR="114300">
                  <wp:extent cx="5095240" cy="3313430"/>
                  <wp:effectExtent l="0" t="0" r="0" b="0"/>
                  <wp:docPr id="11" name="图片 11" descr="排水路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排水路径图"/>
                          <pic:cNvPicPr>
                            <a:picLocks noChangeAspect="1"/>
                          </pic:cNvPicPr>
                        </pic:nvPicPr>
                        <pic:blipFill>
                          <a:blip r:embed="rId18"/>
                          <a:srcRect t="3172" b="4881"/>
                          <a:stretch>
                            <a:fillRect/>
                          </a:stretch>
                        </pic:blipFill>
                        <pic:spPr>
                          <a:xfrm>
                            <a:off x="0" y="0"/>
                            <a:ext cx="5095240" cy="3313430"/>
                          </a:xfrm>
                          <a:prstGeom prst="rect">
                            <a:avLst/>
                          </a:prstGeom>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退水及影响</w:t>
            </w:r>
          </w:p>
        </w:tc>
        <w:tc>
          <w:tcPr>
            <w:tcW w:w="2382" w:type="dxa"/>
            <w:gridSpan w:val="2"/>
            <w:tcBorders>
              <w:tl2br w:val="nil"/>
              <w:tr2bl w:val="nil"/>
            </w:tcBorders>
            <w:vAlign w:val="center"/>
          </w:tcPr>
          <w:p>
            <w:pPr>
              <w:pStyle w:val="122"/>
              <w:rPr>
                <w:sz w:val="21"/>
                <w:szCs w:val="21"/>
              </w:rPr>
            </w:pPr>
            <w:r>
              <w:rPr>
                <w:sz w:val="21"/>
                <w:szCs w:val="21"/>
              </w:rPr>
              <w:t>废污水是否经过处理</w:t>
            </w:r>
          </w:p>
        </w:tc>
        <w:tc>
          <w:tcPr>
            <w:tcW w:w="5667" w:type="dxa"/>
            <w:gridSpan w:val="8"/>
            <w:tcBorders>
              <w:tl2br w:val="nil"/>
              <w:tr2bl w:val="nil"/>
            </w:tcBorders>
            <w:vAlign w:val="center"/>
          </w:tcPr>
          <w:p>
            <w:pPr>
              <w:pStyle w:val="122"/>
              <w:rPr>
                <w:sz w:val="21"/>
                <w:szCs w:val="21"/>
              </w:rPr>
            </w:pPr>
            <w:r>
              <w:rPr>
                <w:sz w:val="21"/>
                <w:szCs w:val="21"/>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废污水处理方式及处理工艺</w:t>
            </w:r>
          </w:p>
        </w:tc>
        <w:tc>
          <w:tcPr>
            <w:tcW w:w="5667" w:type="dxa"/>
            <w:gridSpan w:val="8"/>
            <w:tcBorders>
              <w:tl2br w:val="nil"/>
              <w:tr2bl w:val="nil"/>
            </w:tcBorders>
            <w:vAlign w:val="center"/>
          </w:tcPr>
          <w:p>
            <w:pPr>
              <w:pStyle w:val="122"/>
              <w:rPr>
                <w:rFonts w:hint="default"/>
                <w:sz w:val="21"/>
                <w:szCs w:val="21"/>
                <w:lang w:val="en-US"/>
              </w:rPr>
            </w:pPr>
            <w:r>
              <w:rPr>
                <w:rFonts w:hint="default"/>
                <w:sz w:val="21"/>
                <w:szCs w:val="21"/>
                <w:u w:val="single"/>
                <w:lang w:val="en-US" w:eastAsia="zh-CN"/>
              </w:rPr>
              <w:t>设备清洗废水</w:t>
            </w:r>
            <w:r>
              <w:rPr>
                <w:sz w:val="21"/>
                <w:szCs w:val="21"/>
                <w:u w:val="single"/>
              </w:rPr>
              <w:t>、车间清洁废水、</w:t>
            </w:r>
            <w:r>
              <w:rPr>
                <w:rFonts w:hint="default"/>
                <w:sz w:val="21"/>
                <w:szCs w:val="21"/>
                <w:u w:val="single"/>
                <w:lang w:val="en-US" w:eastAsia="zh-CN"/>
              </w:rPr>
              <w:t>实验室纯水制备废水经</w:t>
            </w:r>
            <w:r>
              <w:rPr>
                <w:rFonts w:hint="eastAsia"/>
                <w:bCs/>
                <w:color w:val="000000" w:themeColor="text1"/>
                <w:sz w:val="21"/>
                <w:szCs w:val="21"/>
                <w:u w:val="single"/>
                <w14:textFill>
                  <w14:solidFill>
                    <w14:schemeClr w14:val="tx1"/>
                  </w14:solidFill>
                </w14:textFill>
              </w:rPr>
              <w:t>格栅→调节池→初沉池→A级生物滤池→O级生物滤池→二沉池→</w:t>
            </w:r>
            <w:r>
              <w:rPr>
                <w:rFonts w:hint="eastAsia"/>
                <w:bCs/>
                <w:color w:val="000000" w:themeColor="text1"/>
                <w:sz w:val="21"/>
                <w:szCs w:val="21"/>
                <w:u w:val="single"/>
                <w:lang w:val="en-US" w:eastAsia="zh-CN"/>
                <w14:textFill>
                  <w14:solidFill>
                    <w14:schemeClr w14:val="tx1"/>
                  </w14:solidFill>
                </w14:textFill>
              </w:rPr>
              <w:t>出水</w:t>
            </w:r>
            <w:r>
              <w:rPr>
                <w:rFonts w:hint="eastAsia"/>
                <w:sz w:val="21"/>
                <w:szCs w:val="21"/>
                <w:u w:val="single"/>
                <w:lang w:val="en-US" w:eastAsia="zh-CN"/>
              </w:rPr>
              <w:t>；生活废水经化粪池处理后用于农肥，不外排。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restart"/>
            <w:tcBorders>
              <w:tl2br w:val="nil"/>
              <w:tr2bl w:val="nil"/>
            </w:tcBorders>
            <w:vAlign w:val="center"/>
          </w:tcPr>
          <w:p>
            <w:pPr>
              <w:pStyle w:val="122"/>
              <w:rPr>
                <w:rFonts w:hint="default" w:ascii="Times New Roman" w:hAnsi="Times New Roman" w:cs="Times New Roman"/>
                <w:sz w:val="21"/>
                <w:szCs w:val="21"/>
              </w:rPr>
            </w:pPr>
            <w:r>
              <w:rPr>
                <w:rFonts w:hint="default" w:ascii="Times New Roman" w:hAnsi="Times New Roman" w:cs="Times New Roman"/>
                <w:sz w:val="21"/>
                <w:szCs w:val="21"/>
              </w:rPr>
              <w:t>污水处理站进水及出水浓度</w:t>
            </w:r>
          </w:p>
        </w:tc>
        <w:tc>
          <w:tcPr>
            <w:tcW w:w="1740" w:type="dxa"/>
            <w:gridSpan w:val="4"/>
            <w:tcBorders>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1938" w:type="dxa"/>
            <w:gridSpan w:val="3"/>
            <w:tcBorders>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设计进水浓度（mg/L）</w:t>
            </w:r>
          </w:p>
        </w:tc>
        <w:tc>
          <w:tcPr>
            <w:tcW w:w="1989" w:type="dxa"/>
            <w:tcBorders>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设计出水浓度（mg/L）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rFonts w:hint="default" w:ascii="Times New Roman" w:hAnsi="Times New Roman" w:cs="Times New Roman"/>
                <w:sz w:val="21"/>
                <w:szCs w:val="21"/>
              </w:rPr>
            </w:pPr>
          </w:p>
        </w:tc>
        <w:tc>
          <w:tcPr>
            <w:tcW w:w="1740" w:type="dxa"/>
            <w:gridSpan w:val="4"/>
            <w:tcBorders>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化学需氧量</w:t>
            </w:r>
          </w:p>
        </w:tc>
        <w:tc>
          <w:tcPr>
            <w:tcW w:w="1938" w:type="dxa"/>
            <w:gridSpan w:val="3"/>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150</w:t>
            </w:r>
          </w:p>
        </w:tc>
        <w:tc>
          <w:tcPr>
            <w:tcW w:w="198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0"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rFonts w:hint="default" w:ascii="Times New Roman" w:hAnsi="Times New Roman" w:cs="Times New Roman"/>
                <w:sz w:val="21"/>
                <w:szCs w:val="21"/>
              </w:rPr>
            </w:pPr>
          </w:p>
        </w:tc>
        <w:tc>
          <w:tcPr>
            <w:tcW w:w="1740" w:type="dxa"/>
            <w:gridSpan w:val="4"/>
            <w:tcBorders>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氨氮</w:t>
            </w:r>
          </w:p>
        </w:tc>
        <w:tc>
          <w:tcPr>
            <w:tcW w:w="1938" w:type="dxa"/>
            <w:gridSpan w:val="3"/>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25</w:t>
            </w:r>
          </w:p>
        </w:tc>
        <w:tc>
          <w:tcPr>
            <w:tcW w:w="1989"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0"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rFonts w:hint="default" w:ascii="Times New Roman" w:hAnsi="Times New Roman" w:cs="Times New Roman"/>
                <w:sz w:val="21"/>
                <w:szCs w:val="21"/>
              </w:rPr>
            </w:pPr>
          </w:p>
        </w:tc>
        <w:tc>
          <w:tcPr>
            <w:tcW w:w="1740" w:type="dxa"/>
            <w:gridSpan w:val="4"/>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总磷</w:t>
            </w:r>
          </w:p>
        </w:tc>
        <w:tc>
          <w:tcPr>
            <w:tcW w:w="1938" w:type="dxa"/>
            <w:gridSpan w:val="3"/>
            <w:tcBorders>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1</w:t>
            </w:r>
          </w:p>
        </w:tc>
        <w:tc>
          <w:tcPr>
            <w:tcW w:w="1989" w:type="dxa"/>
            <w:tcBorders>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80"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rFonts w:hint="default" w:ascii="Times New Roman" w:hAnsi="Times New Roman" w:cs="Times New Roman"/>
                <w:sz w:val="21"/>
                <w:szCs w:val="21"/>
              </w:rPr>
            </w:pPr>
          </w:p>
        </w:tc>
        <w:tc>
          <w:tcPr>
            <w:tcW w:w="1740" w:type="dxa"/>
            <w:gridSpan w:val="4"/>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总氮</w:t>
            </w:r>
          </w:p>
        </w:tc>
        <w:tc>
          <w:tcPr>
            <w:tcW w:w="1938" w:type="dxa"/>
            <w:gridSpan w:val="3"/>
            <w:tcBorders>
              <w:tl2br w:val="nil"/>
              <w:tr2bl w:val="nil"/>
            </w:tcBorders>
            <w:vAlign w:val="center"/>
          </w:tcPr>
          <w:p>
            <w:pPr>
              <w:spacing w:line="240" w:lineRule="auto"/>
              <w:ind w:firstLine="0" w:firstLineChars="0"/>
              <w:jc w:val="center"/>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20</w:t>
            </w:r>
          </w:p>
        </w:tc>
        <w:tc>
          <w:tcPr>
            <w:tcW w:w="1989" w:type="dxa"/>
            <w:tcBorders>
              <w:tl2br w:val="nil"/>
              <w:tr2bl w:val="nil"/>
            </w:tcBorders>
            <w:vAlign w:val="center"/>
          </w:tcPr>
          <w:p>
            <w:pPr>
              <w:spacing w:line="240" w:lineRule="auto"/>
              <w:ind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水文、水质数据三性检查</w:t>
            </w:r>
          </w:p>
        </w:tc>
        <w:tc>
          <w:tcPr>
            <w:tcW w:w="5667" w:type="dxa"/>
            <w:gridSpan w:val="8"/>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水污染物输移时间及混合区实验情况</w:t>
            </w:r>
          </w:p>
        </w:tc>
        <w:tc>
          <w:tcPr>
            <w:tcW w:w="5667" w:type="dxa"/>
            <w:gridSpan w:val="8"/>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水生态调查及污水急性毒性试验情况</w:t>
            </w:r>
          </w:p>
        </w:tc>
        <w:tc>
          <w:tcPr>
            <w:tcW w:w="5667" w:type="dxa"/>
            <w:gridSpan w:val="8"/>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设计水文条件选取及计算方法，拟入河废污水、纳污水体水污染物浓度可能最大值计算方法，水质模型选取</w:t>
            </w:r>
          </w:p>
        </w:tc>
        <w:tc>
          <w:tcPr>
            <w:tcW w:w="5667" w:type="dxa"/>
            <w:gridSpan w:val="8"/>
            <w:tcBorders>
              <w:tl2br w:val="nil"/>
              <w:tr2bl w:val="nil"/>
            </w:tcBorders>
            <w:vAlign w:val="center"/>
          </w:tcPr>
          <w:p>
            <w:pPr>
              <w:pStyle w:val="122"/>
              <w:rPr>
                <w:sz w:val="21"/>
                <w:szCs w:val="21"/>
              </w:rPr>
            </w:pPr>
            <w:r>
              <w:rPr>
                <w:color w:val="auto"/>
                <w:sz w:val="21"/>
                <w:szCs w:val="21"/>
              </w:rPr>
              <w:t>详见：水质预测</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7"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排入水功能区及水质目标</w:t>
            </w:r>
          </w:p>
        </w:tc>
        <w:tc>
          <w:tcPr>
            <w:tcW w:w="5667" w:type="dxa"/>
            <w:gridSpan w:val="8"/>
            <w:tcBorders>
              <w:tl2br w:val="nil"/>
              <w:tr2bl w:val="nil"/>
            </w:tcBorders>
            <w:vAlign w:val="center"/>
          </w:tcPr>
          <w:p>
            <w:pPr>
              <w:pStyle w:val="122"/>
              <w:rPr>
                <w:color w:val="FF0000"/>
                <w:sz w:val="21"/>
                <w:szCs w:val="21"/>
              </w:rPr>
            </w:pPr>
            <w:r>
              <w:rPr>
                <w:rFonts w:hint="eastAsia" w:cs="Times New Roman"/>
                <w:color w:val="000000" w:themeColor="text1"/>
                <w:sz w:val="21"/>
                <w:szCs w:val="21"/>
                <w:lang w:val="en-US" w:eastAsia="zh-CN"/>
                <w14:textFill>
                  <w14:solidFill>
                    <w14:schemeClr w14:val="tx1"/>
                  </w14:solidFill>
                </w14:textFill>
              </w:rPr>
              <w:t>项目项目西北侧无名小溪</w:t>
            </w:r>
            <w:r>
              <w:rPr>
                <w:rFonts w:hint="default" w:ascii="Times New Roman" w:hAnsi="Times New Roman" w:cs="Times New Roman"/>
                <w:color w:val="000000" w:themeColor="text1"/>
                <w:sz w:val="21"/>
                <w:szCs w:val="21"/>
                <w14:textFill>
                  <w14:solidFill>
                    <w14:schemeClr w14:val="tx1"/>
                  </w14:solidFill>
                </w14:textFill>
              </w:rPr>
              <w:t>管理目标均为《地表水环境质量标准》（GB3838-2002）Ⅲ类标准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对水功能区水质影响</w:t>
            </w:r>
          </w:p>
        </w:tc>
        <w:tc>
          <w:tcPr>
            <w:tcW w:w="5667" w:type="dxa"/>
            <w:gridSpan w:val="8"/>
            <w:tcBorders>
              <w:tl2br w:val="nil"/>
              <w:tr2bl w:val="nil"/>
            </w:tcBorders>
            <w:vAlign w:val="center"/>
          </w:tcPr>
          <w:p>
            <w:pPr>
              <w:pStyle w:val="122"/>
              <w:rPr>
                <w:sz w:val="21"/>
                <w:szCs w:val="21"/>
              </w:rPr>
            </w:pPr>
            <w:r>
              <w:rPr>
                <w:sz w:val="21"/>
                <w:szCs w:val="21"/>
              </w:rPr>
              <w:t>论证排污口的废污水正常排放、非正常排放情况下对常规水质监测断面的水质基本无影响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是否满足水功能区要求</w:t>
            </w:r>
          </w:p>
        </w:tc>
        <w:tc>
          <w:tcPr>
            <w:tcW w:w="5667" w:type="dxa"/>
            <w:gridSpan w:val="8"/>
            <w:tcBorders>
              <w:tl2br w:val="nil"/>
              <w:tr2bl w:val="nil"/>
            </w:tcBorders>
            <w:vAlign w:val="center"/>
          </w:tcPr>
          <w:p>
            <w:pPr>
              <w:pStyle w:val="122"/>
              <w:rPr>
                <w:sz w:val="21"/>
                <w:szCs w:val="21"/>
              </w:rPr>
            </w:pPr>
            <w:r>
              <w:rPr>
                <w:sz w:val="21"/>
                <w:szCs w:val="21"/>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对下游取水及生态敏感点的影响</w:t>
            </w:r>
          </w:p>
        </w:tc>
        <w:tc>
          <w:tcPr>
            <w:tcW w:w="5667" w:type="dxa"/>
            <w:gridSpan w:val="8"/>
            <w:tcBorders>
              <w:tl2br w:val="nil"/>
              <w:tr2bl w:val="nil"/>
            </w:tcBorders>
            <w:vAlign w:val="center"/>
          </w:tcPr>
          <w:p>
            <w:pPr>
              <w:pStyle w:val="122"/>
              <w:rPr>
                <w:sz w:val="21"/>
                <w:szCs w:val="21"/>
              </w:rPr>
            </w:pPr>
            <w:r>
              <w:rPr>
                <w:sz w:val="21"/>
                <w:szCs w:val="21"/>
              </w:rPr>
              <w:t>基本无影响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对重要第三方的影响</w:t>
            </w:r>
          </w:p>
        </w:tc>
        <w:tc>
          <w:tcPr>
            <w:tcW w:w="5667" w:type="dxa"/>
            <w:gridSpan w:val="8"/>
            <w:tcBorders>
              <w:tl2br w:val="nil"/>
              <w:tr2bl w:val="nil"/>
            </w:tcBorders>
            <w:vAlign w:val="center"/>
          </w:tcPr>
          <w:p>
            <w:pPr>
              <w:pStyle w:val="122"/>
              <w:rPr>
                <w:sz w:val="21"/>
                <w:szCs w:val="21"/>
              </w:rPr>
            </w:pPr>
            <w:r>
              <w:rPr>
                <w:sz w:val="21"/>
                <w:szCs w:val="21"/>
              </w:rPr>
              <w:t>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122"/>
              <w:rPr>
                <w:sz w:val="21"/>
                <w:szCs w:val="21"/>
              </w:rPr>
            </w:pPr>
            <w:r>
              <w:rPr>
                <w:sz w:val="21"/>
                <w:szCs w:val="21"/>
              </w:rPr>
              <w:t>水资源保护措施</w:t>
            </w:r>
          </w:p>
        </w:tc>
        <w:tc>
          <w:tcPr>
            <w:tcW w:w="2382" w:type="dxa"/>
            <w:gridSpan w:val="2"/>
            <w:tcBorders>
              <w:tl2br w:val="nil"/>
              <w:tr2bl w:val="nil"/>
            </w:tcBorders>
            <w:vAlign w:val="center"/>
          </w:tcPr>
          <w:p>
            <w:pPr>
              <w:pStyle w:val="122"/>
              <w:rPr>
                <w:sz w:val="21"/>
                <w:szCs w:val="21"/>
              </w:rPr>
            </w:pPr>
            <w:r>
              <w:rPr>
                <w:sz w:val="21"/>
                <w:szCs w:val="21"/>
              </w:rPr>
              <w:t>管理措施</w:t>
            </w:r>
          </w:p>
        </w:tc>
        <w:tc>
          <w:tcPr>
            <w:tcW w:w="5667" w:type="dxa"/>
            <w:gridSpan w:val="8"/>
            <w:tcBorders>
              <w:tl2br w:val="nil"/>
              <w:tr2bl w:val="nil"/>
            </w:tcBorders>
            <w:vAlign w:val="center"/>
          </w:tcPr>
          <w:p>
            <w:pPr>
              <w:pStyle w:val="122"/>
              <w:rPr>
                <w:sz w:val="21"/>
                <w:szCs w:val="21"/>
              </w:rPr>
            </w:pPr>
            <w:r>
              <w:rPr>
                <w:sz w:val="21"/>
                <w:szCs w:val="21"/>
              </w:rPr>
              <w:t>加强设备的维护、监督管理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技术措施</w:t>
            </w:r>
          </w:p>
        </w:tc>
        <w:tc>
          <w:tcPr>
            <w:tcW w:w="5667" w:type="dxa"/>
            <w:gridSpan w:val="8"/>
            <w:tcBorders>
              <w:tl2br w:val="nil"/>
              <w:tr2bl w:val="nil"/>
            </w:tcBorders>
            <w:vAlign w:val="center"/>
          </w:tcPr>
          <w:p>
            <w:pPr>
              <w:pStyle w:val="122"/>
              <w:rPr>
                <w:sz w:val="21"/>
                <w:szCs w:val="21"/>
              </w:rPr>
            </w:pPr>
            <w:r>
              <w:rPr>
                <w:rFonts w:hint="default"/>
                <w:sz w:val="21"/>
                <w:szCs w:val="21"/>
                <w:u w:val="single"/>
                <w:lang w:val="en-US" w:eastAsia="zh-CN"/>
              </w:rPr>
              <w:t>设备清洗废水</w:t>
            </w:r>
            <w:r>
              <w:rPr>
                <w:sz w:val="21"/>
                <w:szCs w:val="21"/>
                <w:u w:val="single"/>
              </w:rPr>
              <w:t>、车间清洁废水、</w:t>
            </w:r>
            <w:r>
              <w:rPr>
                <w:rFonts w:hint="default"/>
                <w:sz w:val="21"/>
                <w:szCs w:val="21"/>
                <w:u w:val="single"/>
                <w:lang w:val="en-US" w:eastAsia="zh-CN"/>
              </w:rPr>
              <w:t>实验室纯水制备废水经</w:t>
            </w:r>
            <w:r>
              <w:rPr>
                <w:rFonts w:hint="eastAsia"/>
                <w:bCs/>
                <w:color w:val="000000" w:themeColor="text1"/>
                <w:sz w:val="21"/>
                <w:szCs w:val="21"/>
                <w:u w:val="single"/>
                <w14:textFill>
                  <w14:solidFill>
                    <w14:schemeClr w14:val="tx1"/>
                  </w14:solidFill>
                </w14:textFill>
              </w:rPr>
              <w:t>格栅→调节池→初沉池→A级生物滤池→O级生物滤池→二沉池→</w:t>
            </w:r>
            <w:r>
              <w:rPr>
                <w:rFonts w:hint="eastAsia"/>
                <w:bCs/>
                <w:color w:val="000000" w:themeColor="text1"/>
                <w:sz w:val="21"/>
                <w:szCs w:val="21"/>
                <w:u w:val="single"/>
                <w:lang w:val="en-US" w:eastAsia="zh-CN"/>
                <w14:textFill>
                  <w14:solidFill>
                    <w14:schemeClr w14:val="tx1"/>
                  </w14:solidFill>
                </w14:textFill>
              </w:rPr>
              <w:t>出水</w:t>
            </w:r>
            <w:r>
              <w:rPr>
                <w:rFonts w:hint="eastAsia"/>
                <w:sz w:val="21"/>
                <w:szCs w:val="21"/>
                <w:u w:val="single"/>
                <w:lang w:val="en-US" w:eastAsia="zh-CN"/>
              </w:rPr>
              <w:t>；生活废水经化粪池处理后用于农肥，不外排。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污染物总量控制意见</w:t>
            </w:r>
          </w:p>
        </w:tc>
        <w:tc>
          <w:tcPr>
            <w:tcW w:w="5667" w:type="dxa"/>
            <w:gridSpan w:val="8"/>
            <w:tcBorders>
              <w:tl2br w:val="nil"/>
              <w:tr2bl w:val="nil"/>
            </w:tcBorders>
            <w:vAlign w:val="center"/>
          </w:tcPr>
          <w:p>
            <w:pPr>
              <w:pStyle w:val="122"/>
              <w:rPr>
                <w:sz w:val="21"/>
                <w:szCs w:val="21"/>
              </w:rPr>
            </w:pPr>
            <w:r>
              <w:rPr>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restart"/>
            <w:tcBorders>
              <w:tl2br w:val="nil"/>
              <w:tr2bl w:val="nil"/>
            </w:tcBorders>
            <w:vAlign w:val="center"/>
          </w:tcPr>
          <w:p>
            <w:pPr>
              <w:pStyle w:val="122"/>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基于水质目标的水污染物排放限值</w:t>
            </w:r>
          </w:p>
        </w:tc>
        <w:tc>
          <w:tcPr>
            <w:tcW w:w="5667" w:type="dxa"/>
            <w:gridSpan w:val="8"/>
            <w:tcBorders>
              <w:tl2br w:val="nil"/>
              <w:tr2bl w:val="nil"/>
            </w:tcBorders>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hint="eastAsia" w:cs="Times New Roman"/>
                <w:color w:val="000000" w:themeColor="text1"/>
                <w:sz w:val="21"/>
                <w:szCs w:val="21"/>
                <w14:textFill>
                  <w14:solidFill>
                    <w14:schemeClr w14:val="tx1"/>
                  </w14:solidFill>
                </w14:textFill>
              </w:rPr>
              <w:t>化学需氧量</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100</w:t>
            </w:r>
            <w:r>
              <w:rPr>
                <w:rFonts w:cs="Times New Roman"/>
                <w:color w:val="000000" w:themeColor="text1"/>
                <w:sz w:val="21"/>
                <w:szCs w:val="21"/>
                <w14:textFill>
                  <w14:solidFill>
                    <w14:schemeClr w14:val="tx1"/>
                  </w14:solidFill>
                </w14:textFill>
              </w:rPr>
              <w:t>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color w:val="000000" w:themeColor="text1"/>
                <w:sz w:val="21"/>
                <w:szCs w:val="21"/>
                <w14:textFill>
                  <w14:solidFill>
                    <w14:schemeClr w14:val="tx1"/>
                  </w14:solidFill>
                </w14:textFill>
              </w:rPr>
            </w:pPr>
          </w:p>
        </w:tc>
        <w:tc>
          <w:tcPr>
            <w:tcW w:w="5667" w:type="dxa"/>
            <w:gridSpan w:val="8"/>
            <w:tcBorders>
              <w:tl2br w:val="nil"/>
              <w:tr2bl w:val="nil"/>
            </w:tcBorders>
            <w:vAlign w:val="center"/>
          </w:tcPr>
          <w:p>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氨氮≤</w:t>
            </w:r>
            <w:r>
              <w:rPr>
                <w:rFonts w:hint="eastAsia" w:cs="Times New Roman"/>
                <w:color w:val="000000" w:themeColor="text1"/>
                <w:sz w:val="21"/>
                <w:szCs w:val="21"/>
                <w:lang w:val="en-US" w:eastAsia="zh-CN"/>
                <w14:textFill>
                  <w14:solidFill>
                    <w14:schemeClr w14:val="tx1"/>
                  </w14:solidFill>
                </w14:textFill>
              </w:rPr>
              <w:t>15</w:t>
            </w:r>
            <w:r>
              <w:rPr>
                <w:rFonts w:cs="Times New Roman"/>
                <w:color w:val="000000" w:themeColor="text1"/>
                <w:sz w:val="21"/>
                <w:szCs w:val="21"/>
                <w14:textFill>
                  <w14:solidFill>
                    <w14:schemeClr w14:val="tx1"/>
                  </w14:solidFill>
                </w14:textFill>
              </w:rPr>
              <w:t>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color w:val="000000" w:themeColor="text1"/>
                <w:sz w:val="21"/>
                <w:szCs w:val="21"/>
                <w14:textFill>
                  <w14:solidFill>
                    <w14:schemeClr w14:val="tx1"/>
                  </w14:solidFill>
                </w14:textFill>
              </w:rPr>
            </w:pPr>
          </w:p>
        </w:tc>
        <w:tc>
          <w:tcPr>
            <w:tcW w:w="5667" w:type="dxa"/>
            <w:gridSpan w:val="8"/>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总磷</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w:t>
            </w:r>
            <w:r>
              <w:rPr>
                <w:rFonts w:cs="Times New Roman"/>
                <w:color w:val="000000" w:themeColor="text1"/>
                <w:sz w:val="21"/>
                <w:szCs w:val="21"/>
                <w14:textFill>
                  <w14:solidFill>
                    <w14:schemeClr w14:val="tx1"/>
                  </w14:solidFill>
                </w14:textFill>
              </w:rPr>
              <w:t>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1"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vMerge w:val="continue"/>
            <w:tcBorders>
              <w:tl2br w:val="nil"/>
              <w:tr2bl w:val="nil"/>
            </w:tcBorders>
            <w:vAlign w:val="center"/>
          </w:tcPr>
          <w:p>
            <w:pPr>
              <w:pStyle w:val="122"/>
              <w:rPr>
                <w:color w:val="000000" w:themeColor="text1"/>
                <w:sz w:val="21"/>
                <w:szCs w:val="21"/>
                <w14:textFill>
                  <w14:solidFill>
                    <w14:schemeClr w14:val="tx1"/>
                  </w14:solidFill>
                </w14:textFill>
              </w:rPr>
            </w:pPr>
          </w:p>
        </w:tc>
        <w:tc>
          <w:tcPr>
            <w:tcW w:w="5667" w:type="dxa"/>
            <w:gridSpan w:val="8"/>
            <w:tcBorders>
              <w:tl2br w:val="nil"/>
              <w:tr2bl w:val="nil"/>
            </w:tcBorders>
            <w:vAlign w:val="center"/>
          </w:tcPr>
          <w:p>
            <w:pPr>
              <w:spacing w:line="240" w:lineRule="auto"/>
              <w:ind w:firstLine="0" w:firstLineChars="0"/>
              <w:jc w:val="center"/>
              <w:rPr>
                <w:rFonts w:hint="default"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总氮</w:t>
            </w:r>
            <w:r>
              <w:rPr>
                <w:rFonts w:cs="Times New Roman"/>
                <w:color w:val="000000" w:themeColor="text1"/>
                <w:sz w:val="21"/>
                <w:szCs w:val="21"/>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20</w:t>
            </w:r>
            <w:r>
              <w:rPr>
                <w:rFonts w:cs="Times New Roman"/>
                <w:color w:val="000000" w:themeColor="text1"/>
                <w:sz w:val="21"/>
                <w:szCs w:val="21"/>
                <w14:textFill>
                  <w14:solidFill>
                    <w14:schemeClr w14:val="tx1"/>
                  </w14:solidFill>
                </w14:textFill>
              </w:rPr>
              <w:t>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污水排放监控要求</w:t>
            </w:r>
          </w:p>
        </w:tc>
        <w:tc>
          <w:tcPr>
            <w:tcW w:w="5667" w:type="dxa"/>
            <w:gridSpan w:val="8"/>
            <w:tcBorders>
              <w:tl2br w:val="nil"/>
              <w:tr2bl w:val="nil"/>
            </w:tcBorders>
            <w:vAlign w:val="center"/>
          </w:tcPr>
          <w:p>
            <w:pPr>
              <w:pStyle w:val="122"/>
              <w:rPr>
                <w:sz w:val="21"/>
                <w:szCs w:val="21"/>
              </w:rPr>
            </w:pPr>
            <w:r>
              <w:rPr>
                <w:color w:val="auto"/>
                <w:sz w:val="21"/>
                <w:szCs w:val="21"/>
              </w:rPr>
              <w:t>在线监测排污口污染物排放浓度是否达到排放标准要求；定期人工监测排污口污染物排放浓度是否达到排放标准要求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122"/>
              <w:rPr>
                <w:sz w:val="21"/>
                <w:szCs w:val="21"/>
              </w:rPr>
            </w:pPr>
          </w:p>
        </w:tc>
        <w:tc>
          <w:tcPr>
            <w:tcW w:w="2382" w:type="dxa"/>
            <w:gridSpan w:val="2"/>
            <w:tcBorders>
              <w:tl2br w:val="nil"/>
              <w:tr2bl w:val="nil"/>
            </w:tcBorders>
            <w:vAlign w:val="center"/>
          </w:tcPr>
          <w:p>
            <w:pPr>
              <w:pStyle w:val="122"/>
              <w:rPr>
                <w:sz w:val="21"/>
                <w:szCs w:val="21"/>
              </w:rPr>
            </w:pPr>
            <w:r>
              <w:rPr>
                <w:sz w:val="21"/>
                <w:szCs w:val="21"/>
              </w:rPr>
              <w:t>突发水污染事件应急预案</w:t>
            </w:r>
          </w:p>
        </w:tc>
        <w:tc>
          <w:tcPr>
            <w:tcW w:w="5667" w:type="dxa"/>
            <w:gridSpan w:val="8"/>
            <w:tcBorders>
              <w:tl2br w:val="nil"/>
              <w:tr2bl w:val="nil"/>
            </w:tcBorders>
            <w:vAlign w:val="center"/>
          </w:tcPr>
          <w:p>
            <w:pPr>
              <w:pStyle w:val="122"/>
              <w:rPr>
                <w:sz w:val="21"/>
                <w:szCs w:val="21"/>
              </w:rPr>
            </w:pPr>
            <w:r>
              <w:rPr>
                <w:sz w:val="21"/>
                <w:szCs w:val="21"/>
              </w:rPr>
              <w:t>制定突发环境事件应急预案</w:t>
            </w:r>
          </w:p>
        </w:tc>
      </w:tr>
    </w:tbl>
    <w:p>
      <w:pPr>
        <w:ind w:left="0" w:leftChars="0" w:firstLine="0" w:firstLineChars="0"/>
        <w:rPr>
          <w:rFonts w:hint="default"/>
          <w:lang w:val="en-US" w:eastAsia="zh-CN"/>
        </w:rPr>
        <w:sectPr>
          <w:footerReference r:id="rId10" w:type="default"/>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p>
    <w:p>
      <w:pPr>
        <w:pStyle w:val="59"/>
        <w:keepNext/>
        <w:keepLines w:val="0"/>
        <w:widowControl/>
        <w:kinsoku/>
        <w:wordWrap/>
        <w:overflowPunct/>
        <w:topLinePunct w:val="0"/>
        <w:autoSpaceDE/>
        <w:autoSpaceDN/>
        <w:bidi w:val="0"/>
        <w:adjustRightInd/>
        <w:snapToGrid/>
        <w:spacing w:line="360" w:lineRule="auto"/>
        <w:ind w:left="0" w:leftChars="0" w:firstLine="0" w:firstLineChars="0"/>
        <w:textAlignment w:val="auto"/>
      </w:pPr>
      <w:bookmarkStart w:id="36" w:name="_Toc796"/>
      <w:r>
        <w:rPr>
          <w:rFonts w:hint="eastAsia"/>
          <w:b/>
          <w:lang w:val="en-US" w:eastAsia="zh-CN"/>
        </w:rPr>
        <w:t>总则</w:t>
      </w:r>
      <w:bookmarkEnd w:id="36"/>
    </w:p>
    <w:p>
      <w:pPr>
        <w:pStyle w:val="60"/>
        <w:bidi w:val="0"/>
        <w:rPr>
          <w:rFonts w:hint="default"/>
          <w:lang w:val="en-US" w:eastAsia="zh-CN"/>
        </w:rPr>
      </w:pPr>
      <w:bookmarkStart w:id="37" w:name="_Toc24120"/>
      <w:r>
        <w:rPr>
          <w:rFonts w:hint="eastAsia"/>
          <w:lang w:val="en-US" w:eastAsia="zh-CN"/>
        </w:rPr>
        <w:t>任务由来</w:t>
      </w:r>
      <w:bookmarkEnd w:id="37"/>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sz w:val="24"/>
        </w:rPr>
      </w:pPr>
      <w:r>
        <w:rPr>
          <w:sz w:val="24"/>
        </w:rPr>
        <w:t>随着居民生活水平的提高，以及消费者健康意识的增强，</w:t>
      </w:r>
      <w:r>
        <w:rPr>
          <w:rFonts w:hint="eastAsia"/>
          <w:sz w:val="24"/>
        </w:rPr>
        <w:t>饮用水</w:t>
      </w:r>
      <w:r>
        <w:rPr>
          <w:sz w:val="24"/>
        </w:rPr>
        <w:t>已经成为消费者饮水消费升级的热点细分品类，具有良好成长性。</w:t>
      </w:r>
    </w:p>
    <w:p>
      <w:pPr>
        <w:pStyle w:val="18"/>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sz w:val="24"/>
          <w:szCs w:val="24"/>
        </w:rPr>
      </w:pPr>
      <w:r>
        <w:rPr>
          <w:sz w:val="24"/>
          <w:szCs w:val="24"/>
        </w:rPr>
        <w:t>在此市场背景下，桃江县提出“做活资源转化文章，促进产业结构调整，为助推产业发展创造有利条件”，发展</w:t>
      </w:r>
      <w:r>
        <w:rPr>
          <w:rFonts w:hint="eastAsia"/>
          <w:sz w:val="24"/>
          <w:szCs w:val="24"/>
        </w:rPr>
        <w:t>饮用水</w:t>
      </w:r>
      <w:r>
        <w:rPr>
          <w:sz w:val="24"/>
          <w:szCs w:val="24"/>
        </w:rPr>
        <w:t>产业，通过招商引资，与湖南润景水业（桃江）有限公司签订了初步投资合作协议。</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szCs w:val="24"/>
          <w:u w:val="single"/>
          <w:lang w:eastAsia="zh-CN"/>
          <w14:textFill>
            <w14:solidFill>
              <w14:schemeClr w14:val="tx1"/>
            </w14:solidFill>
          </w14:textFill>
        </w:rPr>
      </w:pPr>
      <w:r>
        <w:rPr>
          <w:color w:val="000000" w:themeColor="text1"/>
          <w:sz w:val="24"/>
          <w:szCs w:val="24"/>
          <w:u w:val="single"/>
          <w14:textFill>
            <w14:solidFill>
              <w14:schemeClr w14:val="tx1"/>
            </w14:solidFill>
          </w14:textFill>
        </w:rPr>
        <w:t>湖南润景水业（桃江）有限公司</w:t>
      </w:r>
      <w:r>
        <w:rPr>
          <w:rFonts w:hint="eastAsia"/>
          <w:color w:val="000000" w:themeColor="text1"/>
          <w:sz w:val="24"/>
          <w:szCs w:val="24"/>
          <w:u w:val="single"/>
          <w:lang w:val="en-US" w:eastAsia="zh-CN"/>
          <w14:textFill>
            <w14:solidFill>
              <w14:schemeClr w14:val="tx1"/>
            </w14:solidFill>
          </w14:textFill>
        </w:rPr>
        <w:t>位于</w:t>
      </w:r>
      <w:r>
        <w:rPr>
          <w:color w:val="000000" w:themeColor="text1"/>
          <w:sz w:val="24"/>
          <w:szCs w:val="24"/>
          <w:u w:val="single"/>
          <w14:textFill>
            <w14:solidFill>
              <w14:schemeClr w14:val="tx1"/>
            </w14:solidFill>
          </w14:textFill>
        </w:rPr>
        <w:t>湖南省益阳市桃江县高桥镇荷叶塘村</w:t>
      </w:r>
      <w:r>
        <w:rPr>
          <w:rFonts w:hint="eastAsia"/>
          <w:color w:val="000000" w:themeColor="text1"/>
          <w:sz w:val="24"/>
          <w:szCs w:val="24"/>
          <w:u w:val="single"/>
          <w:lang w:eastAsia="zh-CN"/>
          <w14:textFill>
            <w14:solidFill>
              <w14:schemeClr w14:val="tx1"/>
            </w14:solidFill>
          </w14:textFill>
        </w:rPr>
        <w:t>，本项目进行雨污分流，</w:t>
      </w:r>
      <w:r>
        <w:rPr>
          <w:rFonts w:hint="eastAsia"/>
          <w:color w:val="000000" w:themeColor="text1"/>
          <w:sz w:val="24"/>
          <w:szCs w:val="24"/>
          <w:u w:val="single"/>
          <w:lang w:val="en-US" w:eastAsia="zh-CN"/>
          <w14:textFill>
            <w14:solidFill>
              <w14:schemeClr w14:val="tx1"/>
            </w14:solidFill>
          </w14:textFill>
        </w:rPr>
        <w:t>项目生产区生活废水经化粪池处理后用于农肥不外排，项目营运期生产设备清洗废水、实验室制备纯水产生的废水、项目设备反冲洗废水经“格栅→调节池→初沉池→A级生物滤池→O级生物滤池→二沉池→出水”处理后</w:t>
      </w:r>
      <w:r>
        <w:rPr>
          <w:rFonts w:hint="eastAsia"/>
          <w:color w:val="000000" w:themeColor="text1"/>
          <w:sz w:val="24"/>
          <w:szCs w:val="24"/>
          <w:u w:val="single"/>
          <w:lang w:eastAsia="zh-CN"/>
          <w14:textFill>
            <w14:solidFill>
              <w14:schemeClr w14:val="tx1"/>
            </w14:solidFill>
          </w14:textFill>
        </w:rPr>
        <w:t>达到《污水综合排放标准》（GB8978-1996）标准中的一级标准要求，排入项目</w:t>
      </w:r>
      <w:r>
        <w:rPr>
          <w:rFonts w:hint="eastAsia"/>
          <w:color w:val="000000" w:themeColor="text1"/>
          <w:sz w:val="24"/>
          <w:szCs w:val="24"/>
          <w:u w:val="single"/>
          <w:lang w:val="en-US" w:eastAsia="zh-CN"/>
          <w14:textFill>
            <w14:solidFill>
              <w14:schemeClr w14:val="tx1"/>
            </w14:solidFill>
          </w14:textFill>
        </w:rPr>
        <w:t>西北侧的无名小溪</w:t>
      </w:r>
      <w:r>
        <w:rPr>
          <w:rFonts w:hint="eastAsia"/>
          <w:color w:val="000000" w:themeColor="text1"/>
          <w:sz w:val="24"/>
          <w:szCs w:val="24"/>
          <w:u w:val="single"/>
          <w:lang w:eastAsia="zh-CN"/>
          <w14:textFill>
            <w14:solidFill>
              <w14:schemeClr w14:val="tx1"/>
            </w14:solidFill>
          </w14:textFill>
        </w:rPr>
        <w:t>，之后汇入桃花江西干渠，汇入桃花江。</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sz w:val="24"/>
          <w:u w:val="single"/>
          <w14:textFill>
            <w14:solidFill>
              <w14:schemeClr w14:val="tx1"/>
            </w14:solidFill>
          </w14:textFill>
        </w:rPr>
      </w:pPr>
      <w:r>
        <w:rPr>
          <w:rFonts w:hint="default" w:ascii="Times New Roman" w:hAnsi="Times New Roman" w:cs="Times New Roman"/>
          <w:bCs/>
          <w:color w:val="000000" w:themeColor="text1"/>
          <w:szCs w:val="21"/>
          <w:u w:val="single"/>
          <w:lang w:val="en-US" w:eastAsia="zh-CN"/>
          <w14:textFill>
            <w14:solidFill>
              <w14:schemeClr w14:val="tx1"/>
            </w14:solidFill>
          </w14:textFill>
        </w:rPr>
        <w:t>项目入河排污口性质为新建，入河方式为项目区域铺设150米</w:t>
      </w:r>
      <w:r>
        <w:rPr>
          <w:rFonts w:hint="default" w:ascii="Times New Roman" w:hAnsi="Times New Roman" w:eastAsia="宋体" w:cs="Times New Roman"/>
          <w:b w:val="0"/>
          <w:bCs w:val="0"/>
          <w:color w:val="000000" w:themeColor="text1"/>
          <w:sz w:val="24"/>
          <w:szCs w:val="24"/>
          <w:u w:val="single"/>
          <w14:textFill>
            <w14:solidFill>
              <w14:schemeClr w14:val="tx1"/>
            </w14:solidFill>
          </w14:textFill>
        </w:rPr>
        <w:t>管道</w:t>
      </w:r>
      <w:r>
        <w:rPr>
          <w:rFonts w:hint="default" w:ascii="Times New Roman" w:hAnsi="Times New Roman" w:cs="Times New Roman"/>
          <w:b w:val="0"/>
          <w:bCs w:val="0"/>
          <w:color w:val="000000" w:themeColor="text1"/>
          <w:sz w:val="24"/>
          <w:szCs w:val="24"/>
          <w:u w:val="single"/>
          <w:lang w:val="en-US" w:eastAsia="zh-CN"/>
          <w14:textFill>
            <w14:solidFill>
              <w14:schemeClr w14:val="tx1"/>
            </w14:solidFill>
          </w14:textFill>
        </w:rPr>
        <w:t>直接排放至西北侧无名小溪，入河排污口大小为H=0.5m、R=0.5m、L=150m</w:t>
      </w:r>
      <w:r>
        <w:rPr>
          <w:rFonts w:hint="default" w:ascii="Times New Roman" w:hAnsi="Times New Roman" w:cs="Times New Roman"/>
          <w:b w:val="0"/>
          <w:bCs w:val="0"/>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u w:val="single"/>
          <w14:textFill>
            <w14:solidFill>
              <w14:schemeClr w14:val="tx1"/>
            </w14:solidFill>
          </w14:textFill>
        </w:rPr>
        <w:t>项目排放口坐标为：东经112°</w:t>
      </w:r>
      <w:r>
        <w:rPr>
          <w:rFonts w:hint="default" w:ascii="Times New Roman" w:hAnsi="Times New Roman" w:cs="Times New Roman"/>
          <w:color w:val="000000" w:themeColor="text1"/>
          <w:sz w:val="24"/>
          <w:u w:val="single"/>
          <w:lang w:val="en-US" w:eastAsia="zh-CN"/>
          <w14:textFill>
            <w14:solidFill>
              <w14:schemeClr w14:val="tx1"/>
            </w14:solidFill>
          </w14:textFill>
        </w:rPr>
        <w:t>39</w:t>
      </w:r>
      <w:r>
        <w:rPr>
          <w:rFonts w:hint="default" w:ascii="Times New Roman" w:hAnsi="Times New Roman" w:cs="Times New Roman"/>
          <w:color w:val="000000" w:themeColor="text1"/>
          <w:sz w:val="24"/>
          <w:u w:val="single"/>
          <w14:textFill>
            <w14:solidFill>
              <w14:schemeClr w14:val="tx1"/>
            </w14:solidFill>
          </w14:textFill>
        </w:rPr>
        <w:t>'</w:t>
      </w:r>
      <w:r>
        <w:rPr>
          <w:rFonts w:hint="default" w:ascii="Times New Roman" w:hAnsi="Times New Roman" w:cs="Times New Roman"/>
          <w:color w:val="000000" w:themeColor="text1"/>
          <w:sz w:val="24"/>
          <w:u w:val="single"/>
          <w:lang w:val="en-US" w:eastAsia="zh-CN"/>
          <w14:textFill>
            <w14:solidFill>
              <w14:schemeClr w14:val="tx1"/>
            </w14:solidFill>
          </w14:textFill>
        </w:rPr>
        <w:t>46.345</w:t>
      </w:r>
      <w:r>
        <w:rPr>
          <w:rFonts w:hint="default" w:ascii="Times New Roman" w:hAnsi="Times New Roman" w:cs="Times New Roman"/>
          <w:color w:val="000000" w:themeColor="text1"/>
          <w:sz w:val="24"/>
          <w:u w:val="single"/>
          <w14:textFill>
            <w14:solidFill>
              <w14:schemeClr w14:val="tx1"/>
            </w14:solidFill>
          </w14:textFill>
        </w:rPr>
        <w:t>"，北纬28°</w:t>
      </w:r>
      <w:r>
        <w:rPr>
          <w:rFonts w:hint="default" w:ascii="Times New Roman" w:hAnsi="Times New Roman" w:cs="Times New Roman"/>
          <w:color w:val="000000" w:themeColor="text1"/>
          <w:sz w:val="24"/>
          <w:u w:val="single"/>
          <w:lang w:val="en-US" w:eastAsia="zh-CN"/>
          <w14:textFill>
            <w14:solidFill>
              <w14:schemeClr w14:val="tx1"/>
            </w14:solidFill>
          </w14:textFill>
        </w:rPr>
        <w:t>26</w:t>
      </w:r>
      <w:r>
        <w:rPr>
          <w:rFonts w:hint="default" w:ascii="Times New Roman" w:hAnsi="Times New Roman" w:cs="Times New Roman"/>
          <w:color w:val="000000" w:themeColor="text1"/>
          <w:sz w:val="24"/>
          <w:u w:val="single"/>
          <w14:textFill>
            <w14:solidFill>
              <w14:schemeClr w14:val="tx1"/>
            </w14:solidFill>
          </w14:textFill>
        </w:rPr>
        <w:t>'</w:t>
      </w:r>
      <w:r>
        <w:rPr>
          <w:rFonts w:hint="default" w:ascii="Times New Roman" w:hAnsi="Times New Roman" w:cs="Times New Roman"/>
          <w:color w:val="000000" w:themeColor="text1"/>
          <w:sz w:val="24"/>
          <w:u w:val="single"/>
          <w:lang w:val="en-US" w:eastAsia="zh-CN"/>
          <w14:textFill>
            <w14:solidFill>
              <w14:schemeClr w14:val="tx1"/>
            </w14:solidFill>
          </w14:textFill>
        </w:rPr>
        <w:t>7.141</w:t>
      </w:r>
      <w:r>
        <w:rPr>
          <w:rFonts w:hint="default" w:ascii="Times New Roman" w:hAnsi="Times New Roman" w:cs="Times New Roman"/>
          <w:color w:val="000000" w:themeColor="text1"/>
          <w:sz w:val="24"/>
          <w:u w:val="single"/>
          <w14:textFill>
            <w14:solidFill>
              <w14:schemeClr w14:val="tx1"/>
            </w14:solidFill>
          </w14:textFill>
        </w:rPr>
        <w:t>"。</w:t>
      </w:r>
    </w:p>
    <w:p>
      <w:pPr>
        <w:keepNext w:val="0"/>
        <w:keepLines w:val="0"/>
        <w:pageBreakBefore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根据《中华人民共和国河道管理条例》第34条：“向河道、湖泊排污的排污口的设置和扩大，排污单位再向环境保护部门申报之前，应当征得河道主管机关的同意”；《入河排污口监督管理办法》（2015年修正本）第六条：“设置入河排污口的单位（下称排污单位），应当再向环境保护行政主管部门报送建设项目环境影响报告书（表）之前，向右管辖权的县级以上地方人民政府水行政主管部门或者流域管理机构提出入河排污口设置申请；依法需要办理河道管理范围内建设项目审查手续或者取水证许可审批手续的，排污单位应当根据具体要求，分别在提出河道管辖范围内建设项目申请或者取水许可申请的同时，提出入河排污口设置申请；依法不需要编制环境影响报告书（表）以及依法不需要办理河道管理范围内建设项目审查手续和取水许可手续的，排污单位应当再设置入河排污口前，向右管辖权的县级以上地方人民政府水行政主管部门或者流域管理机构提出入河排污口设置申请。”</w:t>
      </w:r>
    </w:p>
    <w:p>
      <w:pPr>
        <w:pStyle w:val="18"/>
        <w:keepNext w:val="0"/>
        <w:keepLines w:val="0"/>
        <w:pageBreakBefore w:val="0"/>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为此湖南润景水业（桃江）有限公司委托湖南格瑞大地环境科技有限公司编制了《湖南润景水业（桃江）有限公司入河排污口设置论证报告》（以下简称“论证报告”）。</w:t>
      </w:r>
    </w:p>
    <w:p>
      <w:pPr>
        <w:pStyle w:val="18"/>
        <w:keepNext w:val="0"/>
        <w:keepLines w:val="0"/>
        <w:pageBreakBefore w:val="0"/>
        <w:kinsoku/>
        <w:wordWrap/>
        <w:overflowPunct/>
        <w:topLinePunct w:val="0"/>
        <w:autoSpaceDE/>
        <w:autoSpaceDN/>
        <w:bidi w:val="0"/>
        <w:adjustRightInd/>
        <w:snapToGrid/>
        <w:spacing w:after="0"/>
        <w:textAlignment w:val="auto"/>
        <w:rPr>
          <w:rFonts w:hint="eastAsia"/>
          <w:lang w:val="en-US" w:eastAsia="zh-CN"/>
        </w:rPr>
      </w:pPr>
    </w:p>
    <w:p>
      <w:pPr>
        <w:pStyle w:val="60"/>
        <w:bidi w:val="0"/>
        <w:rPr>
          <w:rFonts w:hint="default"/>
          <w:lang w:val="en-US" w:eastAsia="zh-CN"/>
        </w:rPr>
      </w:pPr>
      <w:bookmarkStart w:id="38" w:name="_Toc14015"/>
      <w:r>
        <w:rPr>
          <w:rFonts w:hint="eastAsia"/>
          <w:lang w:val="en-US" w:eastAsia="zh-CN"/>
        </w:rPr>
        <w:t>论证目的</w:t>
      </w:r>
      <w:bookmarkEnd w:id="38"/>
    </w:p>
    <w:p>
      <w:pPr>
        <w:rPr>
          <w:rFonts w:hint="eastAsia"/>
          <w:lang w:val="en-US" w:eastAsia="zh-CN"/>
        </w:rPr>
      </w:pPr>
      <w:r>
        <w:rPr>
          <w:rFonts w:hint="eastAsia"/>
          <w:lang w:val="en-US" w:eastAsia="zh-CN"/>
        </w:rPr>
        <w:t>通过实地查勘，收集本工程前期相关技术资料及审查意见，分析入河排污口有关信息，再满足水功能区（或水域）保护要求的前提下，论证入河排污口设置对水功能区、水生态和第三者权益的影响，根据纳污能力、排污总控制、水生态保护等要求，提出水资源保护措施，优化入河排污口设置方案，为生态环境主管部门审批入河排污口以及建设单位合理设置入河排污口提供科学依据，以保障生活、生产和生态用水安全。</w:t>
      </w:r>
    </w:p>
    <w:p>
      <w:pPr>
        <w:pStyle w:val="60"/>
        <w:bidi w:val="0"/>
        <w:rPr>
          <w:rFonts w:hint="default"/>
          <w:lang w:val="en-US" w:eastAsia="zh-CN"/>
        </w:rPr>
      </w:pPr>
      <w:bookmarkStart w:id="39" w:name="_Toc13767"/>
      <w:r>
        <w:rPr>
          <w:rFonts w:hint="eastAsia"/>
          <w:lang w:val="en-US" w:eastAsia="zh-CN"/>
        </w:rPr>
        <w:t>论证原则及依据</w:t>
      </w:r>
      <w:bookmarkEnd w:id="39"/>
    </w:p>
    <w:p>
      <w:pPr>
        <w:pStyle w:val="61"/>
        <w:bidi w:val="0"/>
        <w:rPr>
          <w:rFonts w:hint="default"/>
          <w:lang w:val="en-US" w:eastAsia="zh-CN"/>
        </w:rPr>
      </w:pPr>
      <w:r>
        <w:rPr>
          <w:rFonts w:hint="eastAsia"/>
          <w:lang w:val="en-US" w:eastAsia="zh-CN"/>
        </w:rPr>
        <w:t>论证原则</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（1）以国家法律法规为依据</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按照《中华人民共和国水法》、《中华人民共和国环境保护法》、《水功能区管理办法》和《入河排污口监督管理办法》等法律法规的规定，充分考虑水资源的可再生能力以及自然环境的承受能力，坚持可持续发展的原则，进行科学合理的论证，既要保证本区域和当地居民的用水安全，又不破坏相邻区域和后代人赖以生存的水环境。</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（2）以保护水资源功能为目标</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坚持水资源利用与保护并重的原则，严格按照《地表水环境质量标准》（GB3838-2002）、《污水综合排放标准》（GB8978-1996）等相关技术标准和规程进行论证，既要合理利用水体自净能力，又要依据国家和行业有关技术标准，严格遵循水环境保护规律和原理，保障水环境安全。</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（3）以符合区域发展规划为基础</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在符合当地资源规划的基础上，结合水资源保护的要求，遵循客观事实，真实反应论证区域水环境状况；对入河排污口设置方案进行充分论证；客观分析排污对水功能区水质和水生态环境的影响；确保水功能区水体功能不受影响；保护第三者权益不受损害；对可能的影响提出具有可操作性的防范措施</w:t>
      </w:r>
      <w:r>
        <w:rPr>
          <w:rFonts w:eastAsia="宋体"/>
          <w:color w:val="000000"/>
          <w:sz w:val="24"/>
          <w:szCs w:val="24"/>
        </w:rPr>
        <w:t>。</w:t>
      </w:r>
    </w:p>
    <w:p>
      <w:pPr>
        <w:pStyle w:val="60"/>
        <w:bidi w:val="0"/>
        <w:rPr>
          <w:rFonts w:hint="default"/>
          <w:lang w:val="en-US" w:eastAsia="zh-CN"/>
        </w:rPr>
      </w:pPr>
      <w:bookmarkStart w:id="40" w:name="_Toc3145"/>
      <w:r>
        <w:rPr>
          <w:rFonts w:hint="eastAsia"/>
          <w:lang w:val="en-US" w:eastAsia="zh-CN"/>
        </w:rPr>
        <w:t>论证依据</w:t>
      </w:r>
      <w:bookmarkEnd w:id="40"/>
    </w:p>
    <w:p>
      <w:pPr>
        <w:pStyle w:val="61"/>
        <w:bidi w:val="0"/>
        <w:rPr>
          <w:rFonts w:hint="default"/>
          <w:lang w:val="en-US" w:eastAsia="zh-CN"/>
        </w:rPr>
      </w:pPr>
      <w:r>
        <w:rPr>
          <w:rFonts w:hint="eastAsia"/>
          <w:lang w:val="en-US" w:eastAsia="zh-CN"/>
        </w:rPr>
        <w:t>法律法规</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（1）《中华人民共和国水法》（2016年9月1日实施）；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（2）《中华人民共和国水污染防治法》（2018年1月1日实施）；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（3）《中华人民共和国水土保持法》（2011年3月1日实施）；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（4）《中华人民共和国环境保护法》（2015年1月1日实施）；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（5）《中华人民共和国河道管理条例》（2018年3月19日实施）；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（6）《中华人民共和国野生动物保护法》（2018年10月26日实施）；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（7）《中华人民共和国渔业法》(2014年3月1日实施）；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（8）《中华人民共和国防洪法》（2016年7月2日修正）；</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（9）《建设项目环境保护管理条例》（国务院令第 682 号），（2017年10月1日实施）；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（10）《建设项目水资源论证管理办法》（水利部、国家发展计划委员会第15 号令），2002年5月1日实施；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（11）《国务院关于实行最严格水资源管理制度的意见》（国发〔2012〕3号）；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（12）《水行政许可实施办法》（水利部令第23号）；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（13）《水功能区管理办法》（水利部水资源[2003]233 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（14）《入河排污口监督管理办法》（2015年12月16日修正）；</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（15）《关于加强入河排污口监督管理工作的通知》（水利部水资源[2005]79号）；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（16）《国务院办公厅关于加强入河入海排污口监督管理工作的实施意见》(国办函〔2022〕17号)。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eastAsia" w:eastAsia="宋体"/>
          <w:color w:val="000000"/>
          <w:sz w:val="24"/>
          <w:szCs w:val="24"/>
          <w:lang w:eastAsia="zh-CN"/>
        </w:rPr>
      </w:pPr>
      <w:r>
        <w:rPr>
          <w:rFonts w:hint="eastAsia" w:eastAsia="宋体"/>
          <w:color w:val="000000"/>
          <w:sz w:val="24"/>
          <w:szCs w:val="24"/>
        </w:rPr>
        <w:t>（17）</w:t>
      </w:r>
      <w:r>
        <w:rPr>
          <w:rFonts w:hint="eastAsia" w:eastAsia="宋体"/>
          <w:color w:val="000000"/>
          <w:sz w:val="24"/>
          <w:szCs w:val="24"/>
          <w:lang w:eastAsia="zh-CN"/>
        </w:rPr>
        <w:t>《饮用水水源保护区污染防治管理规定》（〔89〕环管字第201号）；</w:t>
      </w:r>
    </w:p>
    <w:p>
      <w:pPr>
        <w:pStyle w:val="63"/>
        <w:numPr>
          <w:ilvl w:val="0"/>
          <w:numId w:val="0"/>
        </w:numPr>
        <w:ind w:firstLine="480" w:firstLineChars="200"/>
        <w:rPr>
          <w:rFonts w:hint="eastAsia"/>
          <w:lang w:val="en-US" w:eastAsia="zh-CN"/>
        </w:rPr>
      </w:pPr>
      <w:r>
        <w:rPr>
          <w:rFonts w:hint="eastAsia"/>
          <w:lang w:val="en-US" w:eastAsia="zh-CN"/>
        </w:rPr>
        <w:t>（18）《全国重要江河胡泊水功能区划分》；</w:t>
      </w:r>
    </w:p>
    <w:p>
      <w:pPr>
        <w:pStyle w:val="63"/>
        <w:numPr>
          <w:ilvl w:val="0"/>
          <w:numId w:val="0"/>
        </w:numPr>
        <w:ind w:firstLine="480" w:firstLineChars="200"/>
        <w:rPr>
          <w:rFonts w:hint="eastAsia" w:ascii="Times New Roman" w:cs="Times New Roman"/>
          <w:color w:val="auto"/>
          <w:kern w:val="2"/>
          <w:lang w:eastAsia="zh-CN"/>
        </w:rPr>
      </w:pPr>
      <w:r>
        <w:rPr>
          <w:rFonts w:hint="eastAsia" w:ascii="Times New Roman" w:cs="Times New Roman"/>
          <w:color w:val="auto"/>
          <w:kern w:val="2"/>
          <w:lang w:eastAsia="zh-CN"/>
        </w:rPr>
        <w:t>（</w:t>
      </w:r>
      <w:r>
        <w:rPr>
          <w:rFonts w:hint="eastAsia" w:ascii="Times New Roman" w:cs="Times New Roman"/>
          <w:color w:val="auto"/>
          <w:kern w:val="2"/>
          <w:lang w:val="en-US" w:eastAsia="zh-CN"/>
        </w:rPr>
        <w:t>19</w:t>
      </w:r>
      <w:r>
        <w:rPr>
          <w:rFonts w:hint="eastAsia" w:ascii="Times New Roman" w:cs="Times New Roman"/>
          <w:color w:val="auto"/>
          <w:kern w:val="2"/>
          <w:lang w:eastAsia="zh-CN"/>
        </w:rPr>
        <w:t>）</w:t>
      </w:r>
      <w:r>
        <w:rPr>
          <w:rFonts w:ascii="Times New Roman" w:cs="Times New Roman"/>
          <w:color w:val="auto"/>
          <w:kern w:val="2"/>
        </w:rPr>
        <w:t>《排污许可证申请与核发技术规范酒、饮料制造工业》(HJ 1028—2019)</w:t>
      </w:r>
      <w:r>
        <w:rPr>
          <w:rFonts w:hint="eastAsia" w:ascii="Times New Roman" w:cs="Times New Roman"/>
          <w:color w:val="auto"/>
          <w:kern w:val="2"/>
          <w:lang w:eastAsia="zh-CN"/>
        </w:rPr>
        <w:t>；</w:t>
      </w:r>
    </w:p>
    <w:p>
      <w:pPr>
        <w:pStyle w:val="63"/>
        <w:numPr>
          <w:ilvl w:val="0"/>
          <w:numId w:val="0"/>
        </w:numPr>
        <w:ind w:firstLine="480" w:firstLineChars="200"/>
        <w:rPr>
          <w:rFonts w:hint="eastAsia" w:ascii="Times New Roman" w:eastAsia="宋体" w:cs="Times New Roman"/>
          <w:color w:val="auto"/>
          <w:kern w:val="2"/>
          <w:lang w:val="en-US" w:eastAsia="zh-CN"/>
        </w:rPr>
      </w:pPr>
      <w:r>
        <w:rPr>
          <w:rFonts w:hint="eastAsia" w:ascii="Times New Roman" w:cs="Times New Roman"/>
          <w:color w:val="auto"/>
          <w:kern w:val="2"/>
          <w:lang w:eastAsia="zh-CN"/>
        </w:rPr>
        <w:t>（</w:t>
      </w:r>
      <w:r>
        <w:rPr>
          <w:rFonts w:hint="eastAsia" w:ascii="Times New Roman" w:cs="Times New Roman"/>
          <w:color w:val="auto"/>
          <w:kern w:val="2"/>
          <w:lang w:val="en-US" w:eastAsia="zh-CN"/>
        </w:rPr>
        <w:t>20</w:t>
      </w:r>
      <w:r>
        <w:rPr>
          <w:rFonts w:hint="eastAsia" w:ascii="Times New Roman" w:cs="Times New Roman"/>
          <w:color w:val="auto"/>
          <w:kern w:val="2"/>
          <w:lang w:eastAsia="zh-CN"/>
        </w:rPr>
        <w:t>）</w:t>
      </w:r>
      <w:r>
        <w:rPr>
          <w:rFonts w:ascii="Times New Roman" w:cs="Times New Roman"/>
          <w:color w:val="auto"/>
          <w:kern w:val="2"/>
        </w:rPr>
        <w:t>《排污单位自行监测技术指南 总则》（HJ819-2017）</w:t>
      </w:r>
      <w:r>
        <w:rPr>
          <w:rFonts w:hint="eastAsia" w:ascii="Times New Roman" w:cs="Times New Roman"/>
          <w:color w:val="auto"/>
          <w:kern w:val="2"/>
          <w:lang w:eastAsia="zh-CN"/>
        </w:rPr>
        <w:t>。</w:t>
      </w:r>
    </w:p>
    <w:p>
      <w:pPr>
        <w:pStyle w:val="61"/>
        <w:bidi w:val="0"/>
        <w:rPr>
          <w:rFonts w:hint="default"/>
          <w:lang w:val="en-US" w:eastAsia="zh-CN"/>
        </w:rPr>
      </w:pPr>
      <w:r>
        <w:rPr>
          <w:rFonts w:hint="eastAsia"/>
          <w:lang w:val="en-US" w:eastAsia="zh-CN"/>
        </w:rPr>
        <w:t>地方相关规划文件</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（1）《湖南省入河排污口监督管理办法》（湘政发办〔2018〕44号，2018年7月12号实施）；</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（2）《湖南省生态环境厅、湖南省农业农村厅、湖南省林业局关于规范入河排污口设置审批工作的函》（湘环函〔2021〕71号）；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（3）《湖南省人民政府关于公布湖南省县级以上地表水集中式饮用水水源保护区划定方案的通知》（湘政函〔2016〕176号）；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lang w:eastAsia="zh-CN"/>
        </w:rPr>
        <w:t>（4）</w:t>
      </w:r>
      <w:bookmarkStart w:id="41" w:name="_Hlk127952380"/>
      <w:r>
        <w:rPr>
          <w:rFonts w:hint="default" w:ascii="Times New Roman" w:hAnsi="Times New Roman" w:eastAsia="宋体" w:cs="Times New Roman"/>
          <w:color w:val="000000"/>
          <w:sz w:val="24"/>
          <w:szCs w:val="24"/>
          <w:lang w:eastAsia="zh-CN"/>
        </w:rPr>
        <w:t>《湖南省生态环境厅关于划定全省第三批141处乡镇级千吨万人饮用水水源保护区的复函》</w:t>
      </w:r>
      <w:bookmarkEnd w:id="41"/>
      <w:bookmarkStart w:id="42" w:name="_Hlk127952387"/>
      <w:r>
        <w:rPr>
          <w:rFonts w:hint="default" w:ascii="Times New Roman" w:hAnsi="Times New Roman" w:eastAsia="宋体" w:cs="Times New Roman"/>
          <w:color w:val="000000"/>
          <w:sz w:val="24"/>
          <w:szCs w:val="24"/>
          <w:lang w:eastAsia="zh-CN"/>
        </w:rPr>
        <w:t>（湘环函</w:t>
      </w:r>
      <w:r>
        <w:rPr>
          <w:rFonts w:hint="default" w:ascii="Times New Roman" w:hAnsi="Times New Roman" w:eastAsia="宋体" w:cs="Times New Roman"/>
          <w:color w:val="000000"/>
          <w:sz w:val="24"/>
          <w:szCs w:val="24"/>
        </w:rPr>
        <w:t>〔2019〕241号</w:t>
      </w:r>
      <w:r>
        <w:rPr>
          <w:rFonts w:hint="default" w:ascii="Times New Roman" w:hAnsi="Times New Roman" w:eastAsia="宋体" w:cs="Times New Roman"/>
          <w:color w:val="000000"/>
          <w:sz w:val="24"/>
          <w:szCs w:val="24"/>
          <w:lang w:eastAsia="zh-CN"/>
        </w:rPr>
        <w:t>）；</w:t>
      </w:r>
    </w:p>
    <w:p>
      <w:pPr>
        <w:pStyle w:val="63"/>
        <w:numPr>
          <w:ilvl w:val="0"/>
          <w:numId w:val="0"/>
        </w:numPr>
        <w:ind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（5）</w:t>
      </w:r>
      <w:r>
        <w:rPr>
          <w:rFonts w:hint="eastAsia"/>
          <w:u w:val="none"/>
        </w:rPr>
        <w:t>《湖南省贯彻落实</w:t>
      </w:r>
      <w:r>
        <w:rPr>
          <w:u w:val="none"/>
        </w:rPr>
        <w:t>&lt;</w:t>
      </w:r>
      <w:r>
        <w:rPr>
          <w:rFonts w:hint="eastAsia"/>
          <w:u w:val="none"/>
        </w:rPr>
        <w:t>水污染防治行动计划</w:t>
      </w:r>
      <w:r>
        <w:rPr>
          <w:u w:val="none"/>
        </w:rPr>
        <w:t>&gt;</w:t>
      </w:r>
      <w:r>
        <w:rPr>
          <w:rFonts w:hint="eastAsia"/>
          <w:u w:val="none"/>
        </w:rPr>
        <w:t>实施方案（</w:t>
      </w:r>
      <w:r>
        <w:rPr>
          <w:u w:val="none"/>
        </w:rPr>
        <w:t>2016-2020</w:t>
      </w:r>
      <w:r>
        <w:rPr>
          <w:rFonts w:hint="eastAsia"/>
          <w:u w:val="none"/>
        </w:rPr>
        <w:t>年）》（湘政发[</w:t>
      </w:r>
      <w:r>
        <w:rPr>
          <w:u w:val="none"/>
        </w:rPr>
        <w:t>2015</w:t>
      </w:r>
      <w:r>
        <w:rPr>
          <w:rFonts w:hint="eastAsia"/>
          <w:u w:val="none"/>
        </w:rPr>
        <w:t>]</w:t>
      </w:r>
      <w:r>
        <w:rPr>
          <w:u w:val="none"/>
        </w:rPr>
        <w:t>53</w:t>
      </w:r>
      <w:r>
        <w:rPr>
          <w:rFonts w:hint="eastAsia"/>
          <w:u w:val="none"/>
        </w:rPr>
        <w:t>号）；</w:t>
      </w:r>
    </w:p>
    <w:p>
      <w:pPr>
        <w:pStyle w:val="63"/>
        <w:numPr>
          <w:ilvl w:val="0"/>
          <w:numId w:val="0"/>
        </w:numPr>
        <w:ind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（6）</w:t>
      </w:r>
      <w:r>
        <w:rPr>
          <w:rFonts w:hint="eastAsia"/>
          <w:u w:val="none"/>
        </w:rPr>
        <w:t>湖南省生态环境厅《关于做好入河排污口设置审批和水功能区划相关工作的通知》（湘环发[</w:t>
      </w:r>
      <w:r>
        <w:rPr>
          <w:u w:val="none"/>
        </w:rPr>
        <w:t>2019</w:t>
      </w:r>
      <w:r>
        <w:rPr>
          <w:rFonts w:hint="eastAsia"/>
          <w:u w:val="none"/>
        </w:rPr>
        <w:t>]</w:t>
      </w:r>
      <w:r>
        <w:rPr>
          <w:u w:val="none"/>
        </w:rPr>
        <w:t>17</w:t>
      </w:r>
      <w:r>
        <w:rPr>
          <w:rFonts w:hint="eastAsia"/>
          <w:u w:val="none"/>
        </w:rPr>
        <w:t>号）；</w:t>
      </w:r>
    </w:p>
    <w:p>
      <w:pPr>
        <w:pStyle w:val="63"/>
        <w:numPr>
          <w:ilvl w:val="0"/>
          <w:numId w:val="0"/>
        </w:numPr>
        <w:ind w:firstLine="480" w:firstLineChars="200"/>
        <w:rPr>
          <w:rFonts w:hint="default" w:ascii="Times New Roman" w:hAnsi="Times New Roman" w:cs="Times New Roman"/>
          <w:u w:val="single"/>
          <w:lang w:val="en-US" w:eastAsia="zh-CN"/>
        </w:rPr>
      </w:pPr>
      <w:r>
        <w:rPr>
          <w:rFonts w:hint="default" w:ascii="Times New Roman" w:hAnsi="Times New Roman" w:cs="Times New Roman"/>
          <w:u w:val="single"/>
          <w:lang w:val="en-US" w:eastAsia="zh-CN"/>
        </w:rPr>
        <w:t>（7）</w:t>
      </w:r>
      <w:r>
        <w:rPr>
          <w:rFonts w:hint="eastAsia"/>
          <w:u w:val="single"/>
        </w:rPr>
        <w:t>湖南省生态环境厅湖南省水利厅关于印发《湖南省入河（湖）排污口监督管理工作方案》的通知（湘环发[2023]31号）；</w:t>
      </w:r>
    </w:p>
    <w:p>
      <w:pPr>
        <w:pStyle w:val="63"/>
        <w:numPr>
          <w:ilvl w:val="0"/>
          <w:numId w:val="0"/>
        </w:numPr>
        <w:ind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w:t>
      </w:r>
      <w:r>
        <w:rPr>
          <w:rFonts w:hint="eastAsia" w:ascii="Times New Roman" w:hAnsi="Times New Roman" w:cs="Times New Roman"/>
          <w:lang w:val="en-US" w:eastAsia="zh-CN"/>
        </w:rPr>
        <w:t>8</w:t>
      </w:r>
      <w:r>
        <w:rPr>
          <w:rFonts w:hint="default" w:ascii="Times New Roman" w:hAnsi="Times New Roman" w:cs="Times New Roman"/>
          <w:lang w:val="en-US" w:eastAsia="zh-CN"/>
        </w:rPr>
        <w:t>）《湖南省水环境保护条例》（2019.09.28修正）；</w:t>
      </w:r>
    </w:p>
    <w:p>
      <w:pPr>
        <w:pStyle w:val="63"/>
        <w:numPr>
          <w:ilvl w:val="0"/>
          <w:numId w:val="0"/>
        </w:numPr>
        <w:ind w:firstLine="480" w:firstLineChars="200"/>
        <w:rPr>
          <w:rFonts w:hint="default" w:ascii="Times New Roman" w:hAnsi="Times New Roman" w:cs="Times New Roman"/>
          <w:lang w:val="en-US" w:eastAsia="zh-CN"/>
        </w:rPr>
      </w:pP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9</w:t>
      </w:r>
      <w:r>
        <w:rPr>
          <w:rFonts w:hint="default" w:ascii="Times New Roman" w:hAnsi="Times New Roman" w:eastAsia="宋体" w:cs="Times New Roman"/>
          <w:color w:val="000000"/>
          <w:sz w:val="24"/>
          <w:szCs w:val="24"/>
        </w:rPr>
        <w:t>）</w:t>
      </w:r>
      <w:r>
        <w:rPr>
          <w:rFonts w:hint="default" w:ascii="Times New Roman" w:hAnsi="Times New Roman" w:cs="Times New Roman"/>
          <w:lang w:val="en-US" w:eastAsia="zh-CN"/>
        </w:rPr>
        <w:t>《湖南省益阳市城市总体规划》（2004-2020年）；</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lang w:eastAsia="zh-CN"/>
        </w:rPr>
      </w:pPr>
      <w:r>
        <w:rPr>
          <w:rFonts w:hint="default"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10</w:t>
      </w:r>
      <w:r>
        <w:rPr>
          <w:rFonts w:hint="default" w:ascii="Times New Roman" w:hAnsi="Times New Roman" w:eastAsia="宋体" w:cs="Times New Roman"/>
          <w:color w:val="000000"/>
          <w:sz w:val="24"/>
          <w:szCs w:val="24"/>
        </w:rPr>
        <w:t>）</w:t>
      </w:r>
      <w:r>
        <w:rPr>
          <w:rFonts w:hint="eastAsia"/>
          <w:u w:val="none"/>
        </w:rPr>
        <w:t>《湖南省水功能区划（修编版）》（湖南省水利厅，</w:t>
      </w:r>
      <w:r>
        <w:rPr>
          <w:u w:val="none"/>
        </w:rPr>
        <w:t>2015</w:t>
      </w:r>
      <w:r>
        <w:rPr>
          <w:rFonts w:hint="eastAsia"/>
          <w:u w:val="none"/>
        </w:rPr>
        <w:t>年修编）</w:t>
      </w:r>
      <w:r>
        <w:rPr>
          <w:rFonts w:hint="default" w:ascii="Times New Roman" w:hAnsi="Times New Roman" w:cs="Times New Roman"/>
          <w:lang w:val="en-US" w:eastAsia="zh-CN"/>
        </w:rPr>
        <w:t>；</w:t>
      </w:r>
    </w:p>
    <w:bookmarkEnd w:id="42"/>
    <w:p>
      <w:pPr>
        <w:pStyle w:val="63"/>
        <w:numPr>
          <w:ilvl w:val="0"/>
          <w:numId w:val="0"/>
        </w:numPr>
        <w:ind w:firstLine="480" w:firstLineChars="200"/>
        <w:rPr>
          <w:rFonts w:hint="default" w:ascii="Times New Roman" w:hAnsi="Times New Roman" w:eastAsia="宋体" w:cs="Times New Roman"/>
          <w:color w:val="000000"/>
          <w:sz w:val="24"/>
          <w:szCs w:val="24"/>
        </w:rPr>
      </w:pPr>
      <w:r>
        <w:rPr>
          <w:rFonts w:hint="default" w:ascii="Times New Roman" w:hAnsi="Times New Roman" w:cs="Times New Roman"/>
          <w:lang w:val="en-US" w:eastAsia="zh-CN"/>
        </w:rPr>
        <w:t>（1</w:t>
      </w:r>
      <w:r>
        <w:rPr>
          <w:rFonts w:hint="eastAsia" w:ascii="Times New Roman" w:hAnsi="Times New Roman" w:cs="Times New Roman"/>
          <w:lang w:val="en-US" w:eastAsia="zh-CN"/>
        </w:rPr>
        <w:t>1</w:t>
      </w:r>
      <w:r>
        <w:rPr>
          <w:rFonts w:hint="default" w:ascii="Times New Roman" w:hAnsi="Times New Roman" w:cs="Times New Roman"/>
          <w:lang w:val="en-US" w:eastAsia="zh-CN"/>
        </w:rPr>
        <w:t>）</w:t>
      </w:r>
      <w:r>
        <w:rPr>
          <w:rFonts w:hint="default" w:ascii="Times New Roman" w:hAnsi="Times New Roman" w:eastAsia="宋体" w:cs="Times New Roman"/>
          <w:color w:val="000000"/>
          <w:sz w:val="24"/>
          <w:szCs w:val="24"/>
        </w:rPr>
        <w:t>《益阳市“十四五”生态环境保护规划》（益政办发〔2021〕19号）；</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eastAsia" w:ascii="Times New Roman" w:hAnsi="Times New Roman" w:eastAsia="宋体" w:cs="Times New Roman"/>
          <w:color w:val="000000"/>
          <w:sz w:val="24"/>
          <w:szCs w:val="24"/>
          <w:lang w:eastAsia="zh-CN"/>
        </w:rPr>
      </w:pPr>
      <w:r>
        <w:rPr>
          <w:rFonts w:hint="default" w:ascii="Times New Roman" w:hAnsi="Times New Roman" w:cs="Times New Roman"/>
          <w:lang w:val="en-US" w:eastAsia="zh-CN"/>
        </w:rPr>
        <w:t>（1</w:t>
      </w:r>
      <w:r>
        <w:rPr>
          <w:rFonts w:hint="eastAsia" w:cs="Times New Roman"/>
          <w:lang w:val="en-US" w:eastAsia="zh-CN"/>
        </w:rPr>
        <w:t>2</w:t>
      </w:r>
      <w:r>
        <w:rPr>
          <w:rFonts w:hint="default" w:ascii="Times New Roman" w:hAnsi="Times New Roman" w:cs="Times New Roman"/>
          <w:lang w:val="en-US" w:eastAsia="zh-CN"/>
        </w:rPr>
        <w:t>）</w:t>
      </w:r>
      <w:r>
        <w:rPr>
          <w:rFonts w:hint="default" w:ascii="Times New Roman" w:hAnsi="Times New Roman" w:eastAsia="宋体" w:cs="Times New Roman"/>
          <w:color w:val="000000"/>
          <w:sz w:val="24"/>
          <w:szCs w:val="24"/>
        </w:rPr>
        <w:t>《益阳市资江保护条例》（2022年3月1日起施行）</w:t>
      </w:r>
      <w:r>
        <w:rPr>
          <w:rFonts w:hint="eastAsia" w:ascii="Times New Roman" w:hAnsi="Times New Roman" w:cs="Times New Roman"/>
          <w:color w:val="000000"/>
          <w:sz w:val="24"/>
          <w:szCs w:val="24"/>
          <w:lang w:eastAsia="zh-CN"/>
        </w:rPr>
        <w:t>；</w:t>
      </w:r>
    </w:p>
    <w:p>
      <w:pPr>
        <w:pStyle w:val="63"/>
        <w:numPr>
          <w:ilvl w:val="0"/>
          <w:numId w:val="0"/>
        </w:numPr>
        <w:ind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（1</w:t>
      </w:r>
      <w:r>
        <w:rPr>
          <w:rFonts w:hint="eastAsia" w:cs="Times New Roman"/>
          <w:lang w:val="en-US" w:eastAsia="zh-CN"/>
        </w:rPr>
        <w:t>3</w:t>
      </w:r>
      <w:r>
        <w:rPr>
          <w:rFonts w:hint="default" w:ascii="Times New Roman" w:hAnsi="Times New Roman" w:cs="Times New Roman"/>
          <w:lang w:val="en-US" w:eastAsia="zh-CN"/>
        </w:rPr>
        <w:t>）</w:t>
      </w:r>
      <w:r>
        <w:rPr>
          <w:rFonts w:hint="eastAsia"/>
          <w:u w:val="none"/>
        </w:rPr>
        <w:t>益阳市生态环境保护委员会办公室关于印发《益阳市入河（湖）排污口排查整治工作专项行动方案》的通知（益生环委办[2023]42号）。</w:t>
      </w:r>
    </w:p>
    <w:p>
      <w:pPr>
        <w:pStyle w:val="61"/>
        <w:bidi w:val="0"/>
        <w:rPr>
          <w:rFonts w:hint="default"/>
          <w:lang w:val="en-US" w:eastAsia="zh-CN"/>
        </w:rPr>
      </w:pPr>
      <w:r>
        <w:rPr>
          <w:rFonts w:hint="eastAsia"/>
          <w:lang w:val="en-US" w:eastAsia="zh-CN"/>
        </w:rPr>
        <w:t>技术规程、规范</w:t>
      </w:r>
    </w:p>
    <w:p>
      <w:pPr>
        <w:pStyle w:val="63"/>
        <w:numPr>
          <w:ilvl w:val="0"/>
          <w:numId w:val="7"/>
        </w:numPr>
        <w:rPr>
          <w:rFonts w:hint="default" w:ascii="Times New Roman" w:hAnsi="Times New Roman" w:cs="Times New Roman"/>
          <w:lang w:val="en-US" w:eastAsia="zh-CN"/>
        </w:rPr>
      </w:pPr>
      <w:r>
        <w:rPr>
          <w:rFonts w:hint="default" w:ascii="Times New Roman" w:hAnsi="Times New Roman" w:cs="Times New Roman"/>
          <w:lang w:val="en-US" w:eastAsia="zh-CN"/>
        </w:rPr>
        <w:t>《入河排污口管理技术导则》（SL532-2011）；</w:t>
      </w:r>
    </w:p>
    <w:p>
      <w:pPr>
        <w:pStyle w:val="63"/>
        <w:numPr>
          <w:ilvl w:val="0"/>
          <w:numId w:val="7"/>
        </w:numPr>
        <w:rPr>
          <w:rFonts w:hint="default" w:ascii="Times New Roman" w:hAnsi="Times New Roman" w:cs="Times New Roman"/>
          <w:lang w:val="en-US" w:eastAsia="zh-CN"/>
        </w:rPr>
      </w:pPr>
      <w:r>
        <w:rPr>
          <w:rFonts w:hint="default" w:ascii="Times New Roman" w:hAnsi="Times New Roman" w:cs="Times New Roman"/>
          <w:lang w:val="en-US" w:eastAsia="zh-CN"/>
        </w:rPr>
        <w:t>《入河入海排污口监督管理技术指南 入河排污口规范化建设》（HJ1309-2023）；</w:t>
      </w:r>
    </w:p>
    <w:p>
      <w:pPr>
        <w:pStyle w:val="63"/>
        <w:numPr>
          <w:ilvl w:val="0"/>
          <w:numId w:val="7"/>
        </w:numPr>
        <w:rPr>
          <w:rFonts w:hint="default" w:ascii="Times New Roman" w:hAnsi="Times New Roman" w:cs="Times New Roman"/>
          <w:lang w:val="en-US" w:eastAsia="zh-CN"/>
        </w:rPr>
      </w:pPr>
      <w:r>
        <w:rPr>
          <w:rFonts w:hint="default" w:ascii="Times New Roman" w:hAnsi="Times New Roman" w:cs="Times New Roman"/>
          <w:lang w:val="en-US" w:eastAsia="zh-CN"/>
        </w:rPr>
        <w:t>《镇（乡）村给水工程技术规程》（CJJ123-2008）；</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《镇（乡）村排水工程技术规程》（</w:t>
      </w:r>
      <w:r>
        <w:rPr>
          <w:rFonts w:hint="default" w:ascii="Times New Roman" w:hAnsi="Times New Roman" w:eastAsia="TimesNewRomanPSMT" w:cs="Times New Roman"/>
          <w:b w:val="0"/>
          <w:bCs w:val="0"/>
          <w:color w:val="000000"/>
          <w:sz w:val="24"/>
          <w:szCs w:val="24"/>
        </w:rPr>
        <w:t>CJJ124-2008</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《城镇污水再生利用工程设计规范》（</w:t>
      </w:r>
      <w:r>
        <w:rPr>
          <w:rFonts w:hint="default" w:ascii="Times New Roman" w:hAnsi="Times New Roman" w:eastAsia="TimesNewRomanPSMT" w:cs="Times New Roman"/>
          <w:b w:val="0"/>
          <w:bCs w:val="0"/>
          <w:color w:val="000000"/>
          <w:sz w:val="24"/>
          <w:szCs w:val="24"/>
        </w:rPr>
        <w:t>GB50335-2016</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《水域纳污能力计算规程》（</w:t>
      </w:r>
      <w:r>
        <w:rPr>
          <w:rFonts w:hint="default" w:ascii="Times New Roman" w:hAnsi="Times New Roman" w:eastAsia="TimesNewRomanPSMT" w:cs="Times New Roman"/>
          <w:b w:val="0"/>
          <w:bCs w:val="0"/>
          <w:color w:val="000000"/>
          <w:sz w:val="24"/>
          <w:szCs w:val="24"/>
        </w:rPr>
        <w:t>GB/T25173-2010</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《饮用水水源保护区划分技术规范》（</w:t>
      </w:r>
      <w:r>
        <w:rPr>
          <w:rFonts w:hint="default" w:ascii="Times New Roman" w:hAnsi="Times New Roman" w:eastAsia="TimesNewRomanPSMT" w:cs="Times New Roman"/>
          <w:b w:val="0"/>
          <w:bCs w:val="0"/>
          <w:color w:val="000000"/>
          <w:sz w:val="24"/>
          <w:szCs w:val="24"/>
        </w:rPr>
        <w:t>HJ 338-2018</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《环境影响评价技术导则 地表水环境》（</w:t>
      </w:r>
      <w:r>
        <w:rPr>
          <w:rFonts w:hint="default" w:ascii="Times New Roman" w:hAnsi="Times New Roman" w:eastAsia="TimesNewRomanPSMT" w:cs="Times New Roman"/>
          <w:b w:val="0"/>
          <w:bCs w:val="0"/>
          <w:color w:val="000000"/>
          <w:sz w:val="24"/>
          <w:szCs w:val="24"/>
        </w:rPr>
        <w:t>HJ2.3-2018</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《水环境监测规范》（</w:t>
      </w:r>
      <w:r>
        <w:rPr>
          <w:rFonts w:hint="default" w:ascii="Times New Roman" w:hAnsi="Times New Roman" w:eastAsia="TimesNewRomanPSMT" w:cs="Times New Roman"/>
          <w:b w:val="0"/>
          <w:bCs w:val="0"/>
          <w:color w:val="000000"/>
          <w:sz w:val="24"/>
          <w:szCs w:val="24"/>
        </w:rPr>
        <w:t>SL219-2013</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《地表水资源质量评价技术规程》（</w:t>
      </w:r>
      <w:r>
        <w:rPr>
          <w:rFonts w:hint="default" w:ascii="Times New Roman" w:hAnsi="Times New Roman" w:eastAsia="TimesNewRomanPSMT" w:cs="Times New Roman"/>
          <w:b w:val="0"/>
          <w:bCs w:val="0"/>
          <w:color w:val="000000"/>
          <w:sz w:val="24"/>
          <w:szCs w:val="24"/>
        </w:rPr>
        <w:t>SL395-2007</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《水资源评价导则》（</w:t>
      </w:r>
      <w:r>
        <w:rPr>
          <w:rFonts w:hint="default" w:ascii="Times New Roman" w:hAnsi="Times New Roman" w:eastAsia="TimesNewRomanPSMT" w:cs="Times New Roman"/>
          <w:b w:val="0"/>
          <w:bCs w:val="0"/>
          <w:color w:val="000000"/>
          <w:sz w:val="24"/>
          <w:szCs w:val="24"/>
        </w:rPr>
        <w:t>SL/T238-1999</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《水利工程水利计算规范》（</w:t>
      </w:r>
      <w:r>
        <w:rPr>
          <w:rFonts w:hint="default" w:ascii="Times New Roman" w:hAnsi="Times New Roman" w:eastAsia="TimesNewRomanPSMT" w:cs="Times New Roman"/>
          <w:b w:val="0"/>
          <w:bCs w:val="0"/>
          <w:color w:val="000000"/>
          <w:sz w:val="24"/>
          <w:szCs w:val="24"/>
        </w:rPr>
        <w:t>SL104-2015</w:t>
      </w:r>
      <w:r>
        <w:rPr>
          <w:rFonts w:hint="default" w:ascii="Times New Roman" w:hAnsi="Times New Roman" w:eastAsia="宋体" w:cs="Times New Roman"/>
          <w:b w:val="0"/>
          <w:bCs w:val="0"/>
          <w:color w:val="000000"/>
          <w:sz w:val="24"/>
          <w:szCs w:val="24"/>
        </w:rPr>
        <w:t>）；</w:t>
      </w:r>
    </w:p>
    <w:p>
      <w:pPr>
        <w:pStyle w:val="63"/>
        <w:numPr>
          <w:ilvl w:val="0"/>
          <w:numId w:val="7"/>
        </w:numPr>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《水文调查规范》（</w:t>
      </w:r>
      <w:r>
        <w:rPr>
          <w:rFonts w:hint="default" w:ascii="Times New Roman" w:hAnsi="Times New Roman" w:eastAsia="TimesNewRomanPSMT" w:cs="Times New Roman"/>
          <w:b w:val="0"/>
          <w:bCs w:val="0"/>
          <w:color w:val="000000"/>
          <w:sz w:val="24"/>
          <w:szCs w:val="24"/>
        </w:rPr>
        <w:t>SL196-2015</w:t>
      </w:r>
      <w:r>
        <w:rPr>
          <w:rFonts w:hint="default" w:ascii="Times New Roman" w:hAnsi="Times New Roman" w:eastAsia="宋体" w:cs="Times New Roman"/>
          <w:b w:val="0"/>
          <w:bCs w:val="0"/>
          <w:color w:val="000000"/>
          <w:sz w:val="24"/>
          <w:szCs w:val="24"/>
        </w:rPr>
        <w:t>）</w:t>
      </w:r>
      <w:r>
        <w:rPr>
          <w:rFonts w:hint="eastAsia" w:ascii="Times New Roman" w:hAnsi="Times New Roman" w:cs="Times New Roman"/>
          <w:b w:val="0"/>
          <w:bCs w:val="0"/>
          <w:color w:val="000000"/>
          <w:sz w:val="24"/>
          <w:szCs w:val="24"/>
          <w:lang w:eastAsia="zh-CN"/>
        </w:rPr>
        <w:t>；</w:t>
      </w:r>
    </w:p>
    <w:p>
      <w:pPr>
        <w:pStyle w:val="63"/>
        <w:numPr>
          <w:ilvl w:val="0"/>
          <w:numId w:val="0"/>
        </w:numPr>
        <w:ind w:firstLine="480" w:firstLineChars="200"/>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14</w:t>
      </w: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《地表水环境质量标准》（</w:t>
      </w:r>
      <w:r>
        <w:rPr>
          <w:rFonts w:hint="default" w:ascii="Times New Roman" w:hAnsi="Times New Roman" w:eastAsia="TimesNewRomanPSMT" w:cs="Times New Roman"/>
          <w:b w:val="0"/>
          <w:bCs w:val="0"/>
          <w:color w:val="000000"/>
          <w:sz w:val="24"/>
          <w:szCs w:val="24"/>
        </w:rPr>
        <w:t>GB3838-2002</w:t>
      </w:r>
      <w:r>
        <w:rPr>
          <w:rFonts w:hint="default" w:ascii="Times New Roman" w:hAnsi="Times New Roman" w:eastAsia="宋体" w:cs="Times New Roman"/>
          <w:b w:val="0"/>
          <w:bCs w:val="0"/>
          <w:color w:val="000000"/>
          <w:sz w:val="24"/>
          <w:szCs w:val="24"/>
        </w:rPr>
        <w:t>）；</w:t>
      </w:r>
    </w:p>
    <w:p>
      <w:pPr>
        <w:pStyle w:val="63"/>
        <w:numPr>
          <w:ilvl w:val="0"/>
          <w:numId w:val="0"/>
        </w:numPr>
        <w:ind w:firstLine="480" w:firstLineChars="200"/>
        <w:rPr>
          <w:rFonts w:hint="default" w:ascii="Times New Roman" w:hAnsi="Times New Roman" w:eastAsia="宋体" w:cs="Times New Roman"/>
          <w:b w:val="0"/>
          <w:bCs w:val="0"/>
          <w:color w:val="000000"/>
          <w:sz w:val="24"/>
          <w:szCs w:val="24"/>
          <w:lang w:eastAsia="zh-CN"/>
        </w:rPr>
      </w:pP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lang w:val="en-US" w:eastAsia="zh-CN"/>
        </w:rPr>
        <w:t>15</w:t>
      </w:r>
      <w:r>
        <w:rPr>
          <w:rFonts w:hint="default" w:ascii="Times New Roman" w:hAnsi="Times New Roman" w:eastAsia="宋体" w:cs="Times New Roman"/>
          <w:b w:val="0"/>
          <w:bCs w:val="0"/>
          <w:color w:val="000000"/>
          <w:sz w:val="24"/>
          <w:szCs w:val="24"/>
          <w:lang w:eastAsia="zh-CN"/>
        </w:rPr>
        <w:t>）</w:t>
      </w:r>
      <w:r>
        <w:rPr>
          <w:rFonts w:hint="default" w:ascii="Times New Roman" w:hAnsi="Times New Roman" w:eastAsia="宋体" w:cs="Times New Roman"/>
          <w:b w:val="0"/>
          <w:bCs w:val="0"/>
          <w:color w:val="000000"/>
          <w:sz w:val="24"/>
          <w:szCs w:val="24"/>
        </w:rPr>
        <w:t>《污水综合排放标准》（</w:t>
      </w:r>
      <w:r>
        <w:rPr>
          <w:rFonts w:hint="default" w:ascii="Times New Roman" w:hAnsi="Times New Roman" w:eastAsia="TimesNewRomanPSMT" w:cs="Times New Roman"/>
          <w:b w:val="0"/>
          <w:bCs w:val="0"/>
          <w:color w:val="000000"/>
          <w:sz w:val="24"/>
          <w:szCs w:val="24"/>
        </w:rPr>
        <w:t>GB8978-1996</w:t>
      </w:r>
      <w:r>
        <w:rPr>
          <w:rFonts w:hint="default" w:ascii="Times New Roman" w:hAnsi="Times New Roman" w:eastAsia="宋体" w:cs="Times New Roman"/>
          <w:b w:val="0"/>
          <w:bCs w:val="0"/>
          <w:color w:val="000000"/>
          <w:sz w:val="24"/>
          <w:szCs w:val="24"/>
        </w:rPr>
        <w:t>）</w:t>
      </w:r>
      <w:r>
        <w:rPr>
          <w:rFonts w:hint="eastAsia" w:ascii="Times New Roman" w:hAnsi="Times New Roman" w:cs="Times New Roman"/>
          <w:b w:val="0"/>
          <w:bCs w:val="0"/>
          <w:color w:val="000000"/>
          <w:sz w:val="24"/>
          <w:szCs w:val="24"/>
          <w:lang w:eastAsia="zh-CN"/>
        </w:rPr>
        <w:t>；</w:t>
      </w:r>
    </w:p>
    <w:p>
      <w:pPr>
        <w:pStyle w:val="63"/>
        <w:numPr>
          <w:ilvl w:val="0"/>
          <w:numId w:val="0"/>
        </w:numPr>
        <w:ind w:firstLine="480" w:firstLineChars="200"/>
        <w:rPr>
          <w:rFonts w:hint="eastAsia"/>
          <w:color w:val="auto"/>
          <w:u w:val="none"/>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16</w:t>
      </w:r>
      <w:r>
        <w:rPr>
          <w:rFonts w:hint="default" w:ascii="Times New Roman" w:hAnsi="Times New Roman" w:cs="Times New Roman"/>
          <w:b w:val="0"/>
          <w:bCs w:val="0"/>
          <w:color w:val="000000"/>
          <w:sz w:val="24"/>
          <w:szCs w:val="24"/>
          <w:lang w:eastAsia="zh-CN"/>
        </w:rPr>
        <w:t>）</w:t>
      </w:r>
      <w:r>
        <w:rPr>
          <w:rFonts w:hint="eastAsia"/>
          <w:color w:val="auto"/>
          <w:u w:val="none"/>
        </w:rPr>
        <w:t>《入河入海排污口监督管理技术指南 整治总则》（HJ1308-2023），2023-11-01实施；</w:t>
      </w:r>
    </w:p>
    <w:p>
      <w:pPr>
        <w:ind w:firstLine="480"/>
        <w:rPr>
          <w:rFonts w:hint="eastAsia" w:eastAsia="宋体"/>
          <w:color w:val="auto"/>
          <w:u w:val="none"/>
          <w:lang w:eastAsia="zh-CN"/>
        </w:rPr>
      </w:pPr>
      <w:r>
        <w:rPr>
          <w:rFonts w:hint="eastAsia"/>
          <w:color w:val="auto"/>
          <w:u w:val="none"/>
          <w:lang w:eastAsia="zh-CN"/>
        </w:rPr>
        <w:t>（</w:t>
      </w:r>
      <w:r>
        <w:rPr>
          <w:rFonts w:hint="eastAsia"/>
          <w:color w:val="auto"/>
          <w:u w:val="none"/>
          <w:lang w:val="en-US" w:eastAsia="zh-CN"/>
        </w:rPr>
        <w:t>17</w:t>
      </w:r>
      <w:r>
        <w:rPr>
          <w:rFonts w:hint="eastAsia"/>
          <w:color w:val="auto"/>
          <w:u w:val="none"/>
          <w:lang w:eastAsia="zh-CN"/>
        </w:rPr>
        <w:t>）</w:t>
      </w:r>
      <w:r>
        <w:rPr>
          <w:rFonts w:hint="eastAsia"/>
          <w:color w:val="auto"/>
          <w:u w:val="none"/>
        </w:rPr>
        <w:t>《入河入海排污口监督管理技术指南 入河排污口规范化建设》（HJ1307-2023），2023-11-01实施</w:t>
      </w:r>
      <w:r>
        <w:rPr>
          <w:rFonts w:hint="eastAsia"/>
          <w:color w:val="auto"/>
          <w:u w:val="none"/>
          <w:lang w:eastAsia="zh-CN"/>
        </w:rPr>
        <w:t>。</w:t>
      </w:r>
    </w:p>
    <w:p>
      <w:pPr>
        <w:pStyle w:val="60"/>
        <w:bidi w:val="0"/>
        <w:rPr>
          <w:rFonts w:hint="default"/>
          <w:lang w:val="en-US" w:eastAsia="zh-CN"/>
        </w:rPr>
      </w:pPr>
      <w:bookmarkStart w:id="43" w:name="_Toc1443"/>
      <w:r>
        <w:rPr>
          <w:rFonts w:hint="eastAsia"/>
          <w:lang w:val="en-US" w:eastAsia="zh-CN"/>
        </w:rPr>
        <w:t>论证范围</w:t>
      </w:r>
      <w:bookmarkEnd w:id="43"/>
    </w:p>
    <w:p>
      <w:pPr>
        <w:keepNext w:val="0"/>
        <w:keepLines w:val="0"/>
        <w:pageBreakBefore w:val="0"/>
        <w:widowControl w:val="0"/>
        <w:kinsoku/>
        <w:wordWrap/>
        <w:overflowPunct/>
        <w:topLinePunct w:val="0"/>
        <w:autoSpaceDE/>
        <w:autoSpaceDN/>
        <w:bidi w:val="0"/>
        <w:adjustRightInd/>
        <w:snapToGrid/>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论证范围根据入河排污口设置位置及其影响范围和程度确定。</w:t>
      </w:r>
    </w:p>
    <w:p>
      <w:pPr>
        <w:pStyle w:val="18"/>
        <w:keepNext w:val="0"/>
        <w:keepLines w:val="0"/>
        <w:pageBreakBefore w:val="0"/>
        <w:widowControl w:val="0"/>
        <w:kinsoku/>
        <w:wordWrap/>
        <w:overflowPunct/>
        <w:topLinePunct w:val="0"/>
        <w:autoSpaceDE/>
        <w:autoSpaceDN/>
        <w:bidi w:val="0"/>
        <w:adjustRightInd/>
        <w:snapToGrid/>
        <w:spacing w:after="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入河排污口管理技术导则》（SL532-2011）：“可能收到入河排污口影响的主要水域和其影响范围内的第三方取、用水户原则上应纳入论证范围。论证工作的基础单元为水功能区，其中入河排污口所在水功能和可能收到影响的周边水功能区，是论证的重点区域；涉及鱼类产卵场等生态敏感点的，论证范围不限于上述水功能区。”根据《入河排污口设置论证基本要求》（试行）：“原则上以受入河排污口影响的主要水域和其影响范围内的第三方取、用水户为论证范围。”</w:t>
      </w:r>
    </w:p>
    <w:p>
      <w:pPr>
        <w:keepNext w:val="0"/>
        <w:keepLines w:val="0"/>
        <w:pageBreakBefore w:val="0"/>
        <w:widowControl w:val="0"/>
        <w:kinsoku/>
        <w:wordWrap/>
        <w:overflowPunct/>
        <w:topLinePunct w:val="0"/>
        <w:autoSpaceDE/>
        <w:autoSpaceDN/>
        <w:bidi w:val="0"/>
        <w:adjustRightInd/>
        <w:snapToGrid/>
        <w:jc w:val="left"/>
        <w:textAlignment w:val="auto"/>
        <w:rPr>
          <w:rFonts w:hint="eastAsia"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湖南润景水业（桃江）有限公司入河排污口位于</w:t>
      </w:r>
      <w:r>
        <w:rPr>
          <w:rFonts w:hint="eastAsia" w:cs="Times New Roman"/>
          <w:color w:val="000000" w:themeColor="text1"/>
          <w:lang w:val="en-US" w:eastAsia="zh-CN"/>
          <w14:textFill>
            <w14:solidFill>
              <w14:schemeClr w14:val="tx1"/>
            </w14:solidFill>
          </w14:textFill>
        </w:rPr>
        <w:t>项目西北侧无名小溪</w:t>
      </w:r>
      <w:r>
        <w:rPr>
          <w:rFonts w:hint="default" w:ascii="Times New Roman" w:hAnsi="Times New Roman" w:cs="Times New Roman"/>
          <w:color w:val="000000" w:themeColor="text1"/>
          <w:lang w:val="en-US" w:eastAsia="zh-CN"/>
          <w14:textFill>
            <w14:solidFill>
              <w14:schemeClr w14:val="tx1"/>
            </w14:solidFill>
          </w14:textFill>
        </w:rPr>
        <w:t>，经纬度坐标为</w:t>
      </w:r>
      <w:r>
        <w:rPr>
          <w:rFonts w:hint="default" w:ascii="Times New Roman" w:hAnsi="Times New Roman" w:cs="Times New Roman"/>
          <w:color w:val="000000" w:themeColor="text1"/>
          <w:lang w:val="en-US" w:eastAsia="zh-CN"/>
          <w14:textFill>
            <w14:solidFill>
              <w14:schemeClr w14:val="tx1"/>
            </w14:solidFill>
          </w14:textFill>
        </w:rPr>
        <w:t>E112°39'46.345"，N28°26'7.141"，根</w:t>
      </w:r>
      <w:r>
        <w:rPr>
          <w:rFonts w:hint="eastAsia" w:ascii="Times New Roman" w:hAnsi="Times New Roman" w:cs="Times New Roman"/>
          <w:color w:val="000000" w:themeColor="text1"/>
          <w:lang w:val="en-US" w:eastAsia="zh-CN"/>
          <w14:textFill>
            <w14:solidFill>
              <w14:schemeClr w14:val="tx1"/>
            </w14:solidFill>
          </w14:textFill>
        </w:rPr>
        <w:t>据本工程废水排放情况，结合项目水环境影响评价等级及纳污水域的环境特点，废水排放主要对排污口所在水域产生影响。根据水文资料，项目废水从</w:t>
      </w:r>
      <w:r>
        <w:rPr>
          <w:rFonts w:hint="eastAsia" w:cs="Times New Roman"/>
          <w:color w:val="000000" w:themeColor="text1"/>
          <w:lang w:val="en-US" w:eastAsia="zh-CN"/>
          <w14:textFill>
            <w14:solidFill>
              <w14:schemeClr w14:val="tx1"/>
            </w14:solidFill>
          </w14:textFill>
        </w:rPr>
        <w:t>西</w:t>
      </w:r>
      <w:r>
        <w:rPr>
          <w:rFonts w:hint="eastAsia"/>
          <w:color w:val="000000" w:themeColor="text1"/>
          <w:lang w:val="en-US" w:eastAsia="zh-CN"/>
          <w14:textFill>
            <w14:solidFill>
              <w14:schemeClr w14:val="tx1"/>
            </w14:solidFill>
          </w14:textFill>
        </w:rPr>
        <w:t>北侧</w:t>
      </w:r>
      <w:r>
        <w:rPr>
          <w:rFonts w:hint="eastAsia" w:ascii="Times New Roman" w:hAnsi="Times New Roman" w:cs="Times New Roman"/>
          <w:color w:val="000000" w:themeColor="text1"/>
          <w:lang w:val="en-US" w:eastAsia="zh-CN"/>
          <w14:textFill>
            <w14:solidFill>
              <w14:schemeClr w14:val="tx1"/>
            </w14:solidFill>
          </w14:textFill>
        </w:rPr>
        <w:t>小溪流入桃花江西干渠，汇入桃花江。根据《益阳市水功能区划》（2013），獭溪又名桃花江，发源于桃江县松木塘镇关山口，流经木家坑、温塘、乌龟洞、响涛源、梓良岩坝下、金光山、小坡头、石牛江、文家渡、板子桥，于桃江镇獭溪河口注入资水，流域面积为407平方公里，全长57.2公里，项目不会发生河水倒流情形。</w:t>
      </w:r>
      <w:r>
        <w:rPr>
          <w:rFonts w:hint="eastAsia" w:cs="Times New Roman"/>
          <w:color w:val="000000" w:themeColor="text1"/>
          <w:u w:val="single"/>
          <w:lang w:val="en-US" w:eastAsia="zh-CN"/>
          <w14:textFill>
            <w14:solidFill>
              <w14:schemeClr w14:val="tx1"/>
            </w14:solidFill>
          </w14:textFill>
        </w:rPr>
        <w:t>本项目</w:t>
      </w:r>
      <w:r>
        <w:rPr>
          <w:rFonts w:hint="eastAsia" w:ascii="Times New Roman" w:hAnsi="Times New Roman" w:cs="Times New Roman"/>
          <w:color w:val="000000" w:themeColor="text1"/>
          <w:u w:val="single"/>
          <w:lang w:val="en-US" w:eastAsia="zh-CN"/>
          <w14:textFill>
            <w14:solidFill>
              <w14:schemeClr w14:val="tx1"/>
            </w14:solidFill>
          </w14:textFill>
        </w:rPr>
        <w:t>论证范围为企业排污口</w:t>
      </w:r>
      <w:r>
        <w:rPr>
          <w:rFonts w:hint="eastAsia"/>
          <w:color w:val="000000" w:themeColor="text1"/>
          <w:u w:val="single"/>
          <w:lang w:val="en-US" w:eastAsia="zh-CN"/>
          <w14:textFill>
            <w14:solidFill>
              <w14:schemeClr w14:val="tx1"/>
            </w14:solidFill>
          </w14:textFill>
        </w:rPr>
        <w:t>西北侧无名</w:t>
      </w:r>
      <w:r>
        <w:rPr>
          <w:rFonts w:hint="eastAsia" w:ascii="Times New Roman" w:hAnsi="Times New Roman" w:cs="Times New Roman"/>
          <w:color w:val="000000" w:themeColor="text1"/>
          <w:u w:val="single"/>
          <w:lang w:val="en-US" w:eastAsia="zh-CN"/>
          <w14:textFill>
            <w14:solidFill>
              <w14:schemeClr w14:val="tx1"/>
            </w14:solidFill>
          </w14:textFill>
        </w:rPr>
        <w:t>小溪上游500m至</w:t>
      </w:r>
      <w:r>
        <w:rPr>
          <w:rFonts w:hint="eastAsia" w:cs="Times New Roman"/>
          <w:color w:val="000000" w:themeColor="text1"/>
          <w:u w:val="single"/>
          <w:lang w:val="en-US" w:eastAsia="zh-CN"/>
          <w14:textFill>
            <w14:solidFill>
              <w14:schemeClr w14:val="tx1"/>
            </w14:solidFill>
          </w14:textFill>
        </w:rPr>
        <w:t>西北侧无名小溪下游3000m</w:t>
      </w:r>
      <w:r>
        <w:rPr>
          <w:rFonts w:hint="eastAsia" w:ascii="Times New Roman" w:hAnsi="Times New Roman" w:cs="Times New Roman"/>
          <w:color w:val="000000" w:themeColor="text1"/>
          <w:u w:val="single"/>
          <w:lang w:val="en-US" w:eastAsia="zh-CN"/>
          <w14:textFill>
            <w14:solidFill>
              <w14:schemeClr w14:val="tx1"/>
            </w14:solidFill>
          </w14:textFill>
        </w:rPr>
        <w:t>。</w:t>
      </w:r>
      <w:r>
        <w:rPr>
          <w:rFonts w:hint="eastAsia" w:cs="Times New Roman"/>
          <w:color w:val="000000" w:themeColor="text1"/>
          <w:u w:val="single"/>
          <w:lang w:val="en-US" w:eastAsia="zh-CN"/>
          <w14:textFill>
            <w14:solidFill>
              <w14:schemeClr w14:val="tx1"/>
            </w14:solidFill>
          </w14:textFill>
        </w:rPr>
        <w:t>论证范围图具体见下图所示。</w:t>
      </w:r>
    </w:p>
    <w:p>
      <w:pPr>
        <w:pStyle w:val="38"/>
        <w:ind w:left="0" w:leftChars="0" w:firstLine="0" w:firstLineChars="0"/>
        <w:jc w:val="center"/>
        <w:rPr>
          <w:rFonts w:hint="eastAsia"/>
          <w:lang w:val="en-US" w:eastAsia="zh-CN"/>
        </w:rPr>
      </w:pPr>
      <w:r>
        <w:rPr>
          <w:rFonts w:hint="eastAsia"/>
          <w:lang w:val="en-US" w:eastAsia="zh-CN"/>
        </w:rPr>
        <w:drawing>
          <wp:inline distT="0" distB="0" distL="114300" distR="114300">
            <wp:extent cx="4900295" cy="3165475"/>
            <wp:effectExtent l="0" t="0" r="14605" b="15875"/>
            <wp:docPr id="6" name="图片 6" descr="排水路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排水路径图"/>
                    <pic:cNvPicPr>
                      <a:picLocks noChangeAspect="1"/>
                    </pic:cNvPicPr>
                  </pic:nvPicPr>
                  <pic:blipFill>
                    <a:blip r:embed="rId19"/>
                    <a:srcRect l="986" t="4637" r="1574" b="6392"/>
                    <a:stretch>
                      <a:fillRect/>
                    </a:stretch>
                  </pic:blipFill>
                  <pic:spPr>
                    <a:xfrm>
                      <a:off x="0" y="0"/>
                      <a:ext cx="4900295" cy="3165475"/>
                    </a:xfrm>
                    <a:prstGeom prst="rect">
                      <a:avLst/>
                    </a:prstGeom>
                  </pic:spPr>
                </pic:pic>
              </a:graphicData>
            </a:graphic>
          </wp:inline>
        </w:drawing>
      </w:r>
    </w:p>
    <w:p>
      <w:pPr>
        <w:pStyle w:val="64"/>
        <w:bidi w:val="0"/>
        <w:rPr>
          <w:rFonts w:hint="eastAsia"/>
          <w:lang w:val="en-US" w:eastAsia="zh-CN"/>
        </w:rPr>
      </w:pPr>
      <w:r>
        <w:rPr>
          <w:rFonts w:hint="eastAsia"/>
          <w:lang w:val="en-US" w:eastAsia="zh-CN"/>
        </w:rPr>
        <w:t>论证范围图</w:t>
      </w:r>
    </w:p>
    <w:p>
      <w:pPr>
        <w:pStyle w:val="60"/>
        <w:bidi w:val="0"/>
        <w:rPr>
          <w:rFonts w:hint="default"/>
          <w:lang w:val="en-US" w:eastAsia="zh-CN"/>
        </w:rPr>
      </w:pPr>
      <w:bookmarkStart w:id="44" w:name="_Toc31712"/>
      <w:r>
        <w:rPr>
          <w:rFonts w:hint="eastAsia"/>
          <w:lang w:val="en-US" w:eastAsia="zh-CN"/>
        </w:rPr>
        <w:t>论证规模</w:t>
      </w:r>
      <w:bookmarkEnd w:id="44"/>
    </w:p>
    <w:p>
      <w:pPr>
        <w:rPr>
          <w:rFonts w:hint="eastAsia"/>
          <w:u w:val="single"/>
          <w:lang w:val="en-US" w:eastAsia="zh-CN"/>
        </w:rPr>
      </w:pPr>
      <w:r>
        <w:rPr>
          <w:rFonts w:hint="eastAsia"/>
          <w:u w:val="single"/>
          <w:lang w:val="en-US" w:eastAsia="zh-CN"/>
        </w:rPr>
        <w:t>本项目论证规模根据环评中废水排放情况而定，从水平衡图可知项目的论证规模为2.92m</w:t>
      </w:r>
      <w:r>
        <w:rPr>
          <w:rFonts w:hint="eastAsia"/>
          <w:u w:val="single"/>
          <w:vertAlign w:val="superscript"/>
          <w:lang w:val="en-US" w:eastAsia="zh-CN"/>
        </w:rPr>
        <w:t>3</w:t>
      </w:r>
      <w:r>
        <w:rPr>
          <w:rFonts w:hint="eastAsia"/>
          <w:u w:val="single"/>
          <w:lang w:val="en-US" w:eastAsia="zh-CN"/>
        </w:rPr>
        <w:t>/d，项目水平衡图见下图所示。</w:t>
      </w:r>
    </w:p>
    <w:p>
      <w:pPr>
        <w:rPr>
          <w:u w:val="single"/>
        </w:rPr>
      </w:pPr>
      <w:r>
        <w:rPr>
          <w:u w:val="single"/>
        </w:rPr>
        <w:object>
          <v:shape id="_x0000_i1025" o:spt="75" type="#_x0000_t75" style="height:216.6pt;width:402.15pt;" o:ole="t" filled="f" o:preferrelative="t" stroked="f" coordsize="21600,21600">
            <v:path/>
            <v:fill on="f" focussize="0,0"/>
            <v:stroke on="f"/>
            <v:imagedata r:id="rId21" o:title=""/>
            <o:lock v:ext="edit" aspectratio="f"/>
            <w10:wrap type="none"/>
            <w10:anchorlock/>
          </v:shape>
          <o:OLEObject Type="Embed" ProgID="Visio.Drawing.11" ShapeID="_x0000_i1025" DrawAspect="Content" ObjectID="_1468075725" r:id="rId20">
            <o:LockedField>false</o:LockedField>
          </o:OLEObject>
        </w:object>
      </w:r>
    </w:p>
    <w:p>
      <w:pPr>
        <w:pStyle w:val="64"/>
        <w:bidi w:val="0"/>
        <w:rPr>
          <w:rFonts w:hint="default"/>
          <w:u w:val="single"/>
          <w:lang w:val="en-US" w:eastAsia="zh-CN"/>
        </w:rPr>
      </w:pPr>
      <w:r>
        <w:rPr>
          <w:rFonts w:hint="eastAsia"/>
          <w:u w:val="single"/>
          <w:lang w:val="en-US" w:eastAsia="zh-CN"/>
        </w:rPr>
        <w:t>项目水平衡图（单位：m</w:t>
      </w:r>
      <w:r>
        <w:rPr>
          <w:rFonts w:hint="eastAsia"/>
          <w:u w:val="single"/>
          <w:vertAlign w:val="superscript"/>
          <w:lang w:val="en-US" w:eastAsia="zh-CN"/>
        </w:rPr>
        <w:t>3</w:t>
      </w:r>
      <w:r>
        <w:rPr>
          <w:rFonts w:hint="eastAsia"/>
          <w:u w:val="single"/>
          <w:lang w:val="en-US" w:eastAsia="zh-CN"/>
        </w:rPr>
        <w:t>/a）</w:t>
      </w:r>
    </w:p>
    <w:p>
      <w:pPr>
        <w:pStyle w:val="60"/>
        <w:bidi w:val="0"/>
        <w:rPr>
          <w:rFonts w:hint="default"/>
          <w:lang w:val="en-US" w:eastAsia="zh-CN"/>
        </w:rPr>
      </w:pPr>
      <w:bookmarkStart w:id="45" w:name="_Toc10102"/>
      <w:r>
        <w:rPr>
          <w:rFonts w:hint="eastAsia"/>
          <w:lang w:val="en-US" w:eastAsia="zh-CN"/>
        </w:rPr>
        <w:t>论证工作等级</w:t>
      </w:r>
      <w:bookmarkEnd w:id="45"/>
    </w:p>
    <w:p>
      <w:pPr>
        <w:rPr>
          <w:rFonts w:hint="eastAsia"/>
          <w:lang w:val="en-US" w:eastAsia="zh-CN"/>
        </w:rPr>
      </w:pPr>
      <w:r>
        <w:rPr>
          <w:rFonts w:hint="eastAsia"/>
          <w:lang w:val="en-US" w:eastAsia="zh-CN"/>
        </w:rPr>
        <w:t>入河排污口设置论证分类分级指标见下表所示。</w:t>
      </w:r>
    </w:p>
    <w:p>
      <w:pPr>
        <w:pStyle w:val="56"/>
        <w:bidi w:val="0"/>
        <w:ind w:left="960" w:leftChars="0" w:firstLineChars="0"/>
        <w:rPr>
          <w:rFonts w:hint="default"/>
          <w:lang w:val="en-US" w:eastAsia="zh-CN"/>
        </w:rPr>
      </w:pPr>
      <w:r>
        <w:rPr>
          <w:rFonts w:hint="eastAsia"/>
          <w:lang w:val="en-US" w:eastAsia="zh-CN"/>
        </w:rPr>
        <w:t>项目入河排污口设置论证工作等级判定</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39"/>
        <w:gridCol w:w="1539"/>
        <w:gridCol w:w="1546"/>
        <w:gridCol w:w="1539"/>
        <w:gridCol w:w="1539"/>
        <w:gridCol w:w="15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539" w:type="dxa"/>
            <w:vMerge w:val="restart"/>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分类指标</w:t>
            </w:r>
          </w:p>
        </w:tc>
        <w:tc>
          <w:tcPr>
            <w:tcW w:w="4624" w:type="dxa"/>
            <w:gridSpan w:val="3"/>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等级</w:t>
            </w:r>
          </w:p>
        </w:tc>
        <w:tc>
          <w:tcPr>
            <w:tcW w:w="1539" w:type="dxa"/>
            <w:vMerge w:val="restart"/>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本工程情况</w:t>
            </w:r>
          </w:p>
        </w:tc>
        <w:tc>
          <w:tcPr>
            <w:tcW w:w="1540" w:type="dxa"/>
            <w:vMerge w:val="restart"/>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等级判定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一级</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二级</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c>
          <w:tcPr>
            <w:tcW w:w="1539" w:type="dxa"/>
            <w:vMerge w:val="continue"/>
            <w:tcBorders>
              <w:tl2br w:val="nil"/>
              <w:tr2bl w:val="nil"/>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1540" w:type="dxa"/>
            <w:vMerge w:val="continue"/>
            <w:tcBorders>
              <w:tl2br w:val="nil"/>
              <w:tr2bl w:val="nil"/>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水功能区管理要求</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涉及一级水功能区中的保护区、保留区、缓冲区及二级水功能区中饮用水水源区</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涉及二级水功能区中的工业、农业、渔业、景观娱乐用水区</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涉及二级水功能区中的排污控制区和过度区</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本项目涉及二级水功能区中的排污控制区和过度区</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水功能区水域纳污现状</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现状污染物入河量超出水功能区水域纳污能力</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现状污染物入河量接近水功能区水域纳污能力</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现状污染物入河量远小于水功能区水域纳污能力</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本项目现状污染物入河量远小于水功能区水域纳污能力</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水生态现状</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现状生态问题敏感；相关水域现状排污对水文情势和水生态环境产生明显影响，同时存在水温或水体富营养化影响问题</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现状生态问题较为敏感；相关水域现状排污对水文情势和水生态环境产生一定影响</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现状无敏感生态问题；相关水域现状排污对水生态环境无影响或影响轻微</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本项目现状无敏感生态问题；相关水域或现状排污对水生态环境无影响或影响轻微</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污染物排放种类</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所排放废水含有毒有机物、重金属、放射性或者持久性化学污染物</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所排放废水含有多种可降解化学污染物</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所排放废水含有少量可降解的污染物</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根据项目废水污染物排放情况可知，排放的废水中的污染物因子简单，只含有少量可降解的污染物</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69" w:hRule="atLeast"/>
        </w:trPr>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废水排放流 量（缺水地 区）（m</w:t>
            </w:r>
            <w:r>
              <w:rPr>
                <w:rFonts w:hint="default" w:ascii="Times New Roman" w:hAnsi="Times New Roman" w:cs="Times New Roman"/>
                <w:color w:val="000000" w:themeColor="text1"/>
                <w:kern w:val="2"/>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2"/>
                <w:sz w:val="21"/>
                <w:szCs w:val="21"/>
                <w:lang w:val="en-US" w:eastAsia="zh-CN"/>
                <w14:textFill>
                  <w14:solidFill>
                    <w14:schemeClr w14:val="tx1"/>
                  </w14:solidFill>
                </w14:textFill>
              </w:rPr>
              <w:t>/h）</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≥1000（300）</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1000~500 （300~100）</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≤500（100）</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不属于缺水地区，废水设施排放流量为0.286m</w:t>
            </w:r>
            <w:r>
              <w:rPr>
                <w:rFonts w:hint="default" w:ascii="Times New Roman" w:hAnsi="Times New Roman" w:cs="Times New Roman"/>
                <w:color w:val="000000" w:themeColor="text1"/>
                <w:kern w:val="2"/>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2"/>
                <w:sz w:val="21"/>
                <w:szCs w:val="21"/>
                <w:lang w:val="en-US" w:eastAsia="zh-CN"/>
                <w14:textFill>
                  <w14:solidFill>
                    <w14:schemeClr w14:val="tx1"/>
                  </w14:solidFill>
                </w14:textFill>
              </w:rPr>
              <w:t>/h</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年度废水排 放量</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大于200万吨</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20~200万吨</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小于20万吨</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本项目废水年排放897m</w:t>
            </w:r>
            <w:r>
              <w:rPr>
                <w:rFonts w:hint="default" w:ascii="Times New Roman" w:hAnsi="Times New Roman" w:cs="Times New Roman"/>
                <w:color w:val="000000" w:themeColor="text1"/>
                <w:kern w:val="2"/>
                <w:sz w:val="21"/>
                <w:szCs w:val="21"/>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2"/>
                <w:sz w:val="21"/>
                <w:szCs w:val="21"/>
                <w:lang w:val="en-US" w:eastAsia="zh-CN"/>
                <w14:textFill>
                  <w14:solidFill>
                    <w14:schemeClr w14:val="tx1"/>
                  </w14:solidFill>
                </w14:textFill>
              </w:rPr>
              <w:t>/a，小于20万吨</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区域水资源状况</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用水紧缺，取用水量达到或超出所分 配用水指标</w:t>
            </w:r>
          </w:p>
        </w:tc>
        <w:tc>
          <w:tcPr>
            <w:tcW w:w="1546"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水资源量一般，取用水量小于或接近所分配用水 指标</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水资源丰沛，取 用水量远小于所分配用水指标</w:t>
            </w:r>
          </w:p>
        </w:tc>
        <w:tc>
          <w:tcPr>
            <w:tcW w:w="1539"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水资源丰沛，取用水量远小于所分配用水指标</w:t>
            </w:r>
          </w:p>
        </w:tc>
        <w:tc>
          <w:tcPr>
            <w:tcW w:w="1540" w:type="dxa"/>
            <w:tcBorders>
              <w:tl2br w:val="nil"/>
              <w:tr2bl w:val="nil"/>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三级</w:t>
            </w:r>
          </w:p>
        </w:tc>
      </w:tr>
    </w:tbl>
    <w:p>
      <w:pPr>
        <w:pStyle w:val="103"/>
        <w:bidi w:val="0"/>
        <w:rPr>
          <w:rFonts w:hint="default" w:ascii="Times New Roman" w:hAnsi="Times New Roman" w:cs="Times New Roman"/>
          <w:color w:val="000000" w:themeColor="text1"/>
          <w:u w:val="none"/>
          <w:lang w:val="en-US" w:eastAsia="zh-CN"/>
          <w14:textFill>
            <w14:solidFill>
              <w14:schemeClr w14:val="tx1"/>
            </w14:solidFill>
          </w14:textFill>
        </w:rPr>
      </w:pPr>
      <w:r>
        <w:rPr>
          <w:rFonts w:hint="default" w:ascii="Times New Roman" w:hAnsi="Times New Roman" w:cs="Times New Roman"/>
          <w:color w:val="000000" w:themeColor="text1"/>
          <w:u w:val="none"/>
          <w:lang w:val="en-US" w:eastAsia="zh-CN"/>
          <w14:textFill>
            <w14:solidFill>
              <w14:schemeClr w14:val="tx1"/>
            </w14:solidFill>
          </w14:textFill>
        </w:rPr>
        <w:t>综上，入河排污口设置论证工作等级由各分类指标等级的最高级分别确定，分类等级由地区水资源与水生态状况、水资源利用状况、水域管理要求、污染物排类型、废水排放量等分类指标的最高级别确定。因此本次入河排污口设置论证工作等级为三级。</w:t>
      </w:r>
    </w:p>
    <w:p>
      <w:pPr>
        <w:pStyle w:val="103"/>
        <w:bidi w:val="0"/>
        <w:rPr>
          <w:rFonts w:hint="default" w:ascii="Times New Roman" w:hAnsi="Times New Roman" w:cs="Times New Roman"/>
          <w:color w:val="000000" w:themeColor="text1"/>
          <w:u w:val="none"/>
          <w:lang w:val="en-US" w:eastAsia="zh-CN"/>
          <w14:textFill>
            <w14:solidFill>
              <w14:schemeClr w14:val="tx1"/>
            </w14:solidFill>
          </w14:textFill>
        </w:rPr>
      </w:pPr>
    </w:p>
    <w:p>
      <w:pPr>
        <w:pStyle w:val="60"/>
        <w:bidi w:val="0"/>
        <w:rPr>
          <w:rFonts w:hint="default"/>
          <w:lang w:val="en-US" w:eastAsia="zh-CN"/>
        </w:rPr>
      </w:pPr>
      <w:bookmarkStart w:id="46" w:name="_Toc6716"/>
      <w:r>
        <w:rPr>
          <w:rFonts w:hint="eastAsia"/>
          <w:lang w:val="en-US" w:eastAsia="zh-CN"/>
        </w:rPr>
        <w:t>论证工作程</w:t>
      </w:r>
      <w:bookmarkEnd w:id="46"/>
    </w:p>
    <w:p>
      <w:pPr>
        <w:pStyle w:val="61"/>
        <w:bidi w:val="0"/>
        <w:rPr>
          <w:rFonts w:hint="default"/>
          <w:lang w:val="en-US" w:eastAsia="zh-CN"/>
        </w:rPr>
      </w:pPr>
      <w:r>
        <w:rPr>
          <w:rFonts w:hint="eastAsia"/>
          <w:lang w:val="en-US" w:eastAsia="zh-CN"/>
        </w:rPr>
        <w:t>现场查勘和资料收集</w:t>
      </w:r>
    </w:p>
    <w:p>
      <w:pPr>
        <w:rPr>
          <w:rFonts w:ascii="宋体" w:hAnsi="宋体" w:eastAsia="宋体" w:cs="宋体"/>
          <w:b w:val="0"/>
          <w:bCs w:val="0"/>
          <w:color w:val="000000"/>
          <w:sz w:val="24"/>
          <w:szCs w:val="24"/>
        </w:rPr>
      </w:pPr>
      <w:r>
        <w:rPr>
          <w:rFonts w:ascii="宋体" w:hAnsi="宋体" w:eastAsia="宋体" w:cs="宋体"/>
          <w:b w:val="0"/>
          <w:bCs w:val="0"/>
          <w:color w:val="000000"/>
          <w:sz w:val="24"/>
          <w:szCs w:val="24"/>
        </w:rPr>
        <w:t>根据初步确定的排污口设置方案，</w:t>
      </w:r>
      <w:r>
        <w:rPr>
          <w:rFonts w:hint="default" w:ascii="宋体" w:hAnsi="宋体" w:eastAsia="宋体" w:cs="宋体"/>
          <w:b w:val="0"/>
          <w:bCs w:val="0"/>
          <w:color w:val="000000"/>
          <w:sz w:val="24"/>
          <w:szCs w:val="24"/>
          <w:lang w:val="en-US" w:eastAsia="zh-CN"/>
        </w:rPr>
        <w:t>湖南格瑞大地环境科技有限公司</w:t>
      </w:r>
      <w:r>
        <w:rPr>
          <w:rFonts w:ascii="宋体" w:hAnsi="宋体" w:eastAsia="宋体" w:cs="宋体"/>
          <w:b w:val="0"/>
          <w:bCs w:val="0"/>
          <w:color w:val="000000"/>
          <w:sz w:val="24"/>
          <w:szCs w:val="24"/>
        </w:rPr>
        <w:t>组织技术人员对现场进行查勘，调查和收集</w:t>
      </w:r>
      <w:r>
        <w:rPr>
          <w:rFonts w:hint="eastAsia" w:ascii="宋体" w:hAnsi="宋体" w:eastAsia="宋体" w:cs="宋体"/>
          <w:b w:val="0"/>
          <w:bCs w:val="0"/>
          <w:color w:val="000000"/>
          <w:sz w:val="24"/>
          <w:szCs w:val="24"/>
          <w:lang w:val="en-US" w:eastAsia="zh-CN"/>
        </w:rPr>
        <w:t>湖南润景水业（桃江）有限公司</w:t>
      </w:r>
      <w:r>
        <w:rPr>
          <w:rFonts w:ascii="宋体" w:hAnsi="宋体" w:eastAsia="宋体" w:cs="宋体"/>
          <w:b w:val="0"/>
          <w:bCs w:val="0"/>
          <w:color w:val="000000"/>
          <w:sz w:val="24"/>
          <w:szCs w:val="24"/>
        </w:rPr>
        <w:t>所在区域的自然环境和社会环境资料，工程基本情况、排污量、废水处理工艺、处理达标情况，排污口设置区域的水文、水质和水生态资料等，充分考虑入河排污口设置方案，采用数模型模拟的方法，预测入河废水在设计水文条件下对水功能区（水域）的影响及范围，论证入河排污口设置的合理性，提出设置入河排污口的建议。</w:t>
      </w:r>
    </w:p>
    <w:p>
      <w:pPr>
        <w:pStyle w:val="18"/>
        <w:rPr>
          <w:rFonts w:hint="eastAsia" w:eastAsia="宋体"/>
          <w:lang w:val="en-US" w:eastAsia="zh-CN"/>
        </w:rPr>
      </w:pPr>
      <w:r>
        <w:rPr>
          <w:rFonts w:hint="eastAsia" w:eastAsia="宋体"/>
          <w:lang w:val="en-US" w:eastAsia="zh-CN"/>
        </w:rPr>
        <w:t>建设项目入河排污口设置论证程序见下图所示。</w:t>
      </w:r>
    </w:p>
    <w:p>
      <w:pPr>
        <w:ind w:left="0" w:leftChars="0" w:firstLine="0" w:firstLineChars="0"/>
      </w:pPr>
      <w:r>
        <w:drawing>
          <wp:inline distT="0" distB="0" distL="114300" distR="114300">
            <wp:extent cx="5672455" cy="8313420"/>
            <wp:effectExtent l="0" t="0" r="12065" b="762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22"/>
                    <a:stretch>
                      <a:fillRect/>
                    </a:stretch>
                  </pic:blipFill>
                  <pic:spPr>
                    <a:xfrm>
                      <a:off x="0" y="0"/>
                      <a:ext cx="5672455" cy="8313420"/>
                    </a:xfrm>
                    <a:prstGeom prst="rect">
                      <a:avLst/>
                    </a:prstGeom>
                    <a:noFill/>
                    <a:ln>
                      <a:noFill/>
                    </a:ln>
                  </pic:spPr>
                </pic:pic>
              </a:graphicData>
            </a:graphic>
          </wp:inline>
        </w:drawing>
      </w:r>
    </w:p>
    <w:p>
      <w:pPr>
        <w:pStyle w:val="64"/>
        <w:bidi w:val="0"/>
        <w:rPr>
          <w:rFonts w:hint="default"/>
          <w:lang w:val="en-US" w:eastAsia="zh-CN"/>
        </w:rPr>
      </w:pPr>
      <w:r>
        <w:rPr>
          <w:rFonts w:hint="eastAsia"/>
          <w:lang w:val="en-US" w:eastAsia="zh-CN"/>
        </w:rPr>
        <w:t xml:space="preserve"> 项目入河排污口设置论证程序图</w:t>
      </w:r>
    </w:p>
    <w:p>
      <w:pPr>
        <w:rPr>
          <w:rFonts w:hint="default"/>
          <w:lang w:val="en-US" w:eastAsia="zh-CN"/>
        </w:rPr>
      </w:pPr>
    </w:p>
    <w:p>
      <w:pPr>
        <w:pStyle w:val="61"/>
        <w:bidi w:val="0"/>
        <w:rPr>
          <w:rFonts w:hint="default"/>
          <w:lang w:val="en-US" w:eastAsia="zh-CN"/>
        </w:rPr>
      </w:pPr>
      <w:r>
        <w:rPr>
          <w:rFonts w:hint="eastAsia"/>
          <w:lang w:val="en-US" w:eastAsia="zh-CN"/>
        </w:rPr>
        <w:t>资料整理</w:t>
      </w:r>
    </w:p>
    <w:p>
      <w:pPr>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根据所搜集的资料，进行整理分析，明确工程布局、工艺流程、排污口位置、主要污染物排放量及污染特征等基本情况；分析排污口所属河段水资源保护管理要求，水环境现状和水生态现状等情况，水功能区的划分情况以及其他取排水用户分布情况等。</w:t>
      </w:r>
    </w:p>
    <w:p>
      <w:pPr>
        <w:pStyle w:val="61"/>
        <w:bidi w:val="0"/>
        <w:rPr>
          <w:rFonts w:hint="default"/>
          <w:lang w:val="en-US" w:eastAsia="zh-CN"/>
        </w:rPr>
      </w:pPr>
      <w:r>
        <w:rPr>
          <w:rFonts w:hint="eastAsia"/>
          <w:lang w:val="en-US" w:eastAsia="zh-CN"/>
        </w:rPr>
        <w:t>建立数学模型</w:t>
      </w:r>
    </w:p>
    <w:p>
      <w:pPr>
        <w:rPr>
          <w:rFonts w:ascii="宋体" w:hAnsi="宋体" w:eastAsia="宋体" w:cs="宋体"/>
          <w:b w:val="0"/>
          <w:bCs w:val="0"/>
          <w:color w:val="000000"/>
          <w:sz w:val="24"/>
          <w:szCs w:val="24"/>
        </w:rPr>
      </w:pPr>
      <w:r>
        <w:rPr>
          <w:rFonts w:ascii="宋体" w:hAnsi="宋体" w:eastAsia="宋体" w:cs="宋体"/>
          <w:b w:val="0"/>
          <w:bCs w:val="0"/>
          <w:color w:val="000000"/>
          <w:sz w:val="24"/>
          <w:szCs w:val="24"/>
        </w:rPr>
        <w:t>根据项目所在河段的水文特性、排污状况确定计算边界，选择合适的数学模型进行分析计算。</w:t>
      </w:r>
    </w:p>
    <w:p>
      <w:pPr>
        <w:pStyle w:val="61"/>
        <w:bidi w:val="0"/>
        <w:rPr>
          <w:rFonts w:hint="default"/>
          <w:lang w:val="en-US" w:eastAsia="zh-CN"/>
        </w:rPr>
      </w:pPr>
      <w:r>
        <w:rPr>
          <w:rFonts w:hint="eastAsia"/>
          <w:lang w:val="en-US" w:eastAsia="zh-CN"/>
        </w:rPr>
        <w:t>污染影响预测分析</w:t>
      </w:r>
    </w:p>
    <w:p>
      <w:pPr>
        <w:rPr>
          <w:rFonts w:ascii="宋体" w:hAnsi="宋体" w:eastAsia="宋体" w:cs="宋体"/>
          <w:b w:val="0"/>
          <w:bCs w:val="0"/>
          <w:color w:val="000000"/>
          <w:sz w:val="24"/>
          <w:szCs w:val="24"/>
        </w:rPr>
      </w:pPr>
      <w:r>
        <w:rPr>
          <w:rFonts w:ascii="宋体" w:hAnsi="宋体" w:eastAsia="宋体" w:cs="宋体"/>
          <w:b w:val="0"/>
          <w:bCs w:val="0"/>
          <w:color w:val="000000"/>
          <w:sz w:val="24"/>
          <w:szCs w:val="24"/>
        </w:rPr>
        <w:t>根据现状及资料分析，得出入河排污口污染物排放产生的影响范围，及所处河段水生态现状，论证分析入河排污口对受纳水体影响程度。论证分析排污口对上下游水功能区内第三方取用水安全的影响，提出入河排污口设置的制约因素。</w:t>
      </w:r>
    </w:p>
    <w:p>
      <w:pPr>
        <w:pStyle w:val="61"/>
        <w:bidi w:val="0"/>
        <w:rPr>
          <w:rFonts w:hint="default"/>
          <w:lang w:val="en-US" w:eastAsia="zh-CN"/>
        </w:rPr>
      </w:pPr>
      <w:r>
        <w:rPr>
          <w:rFonts w:hint="eastAsia"/>
          <w:lang w:val="en-US" w:eastAsia="zh-CN"/>
        </w:rPr>
        <w:t>排污口设置的合理性分析</w:t>
      </w:r>
    </w:p>
    <w:p>
      <w:pPr>
        <w:rPr>
          <w:rFonts w:ascii="宋体" w:hAnsi="宋体" w:eastAsia="宋体" w:cs="宋体"/>
          <w:b w:val="0"/>
          <w:bCs w:val="0"/>
          <w:color w:val="000000"/>
          <w:sz w:val="24"/>
          <w:szCs w:val="24"/>
        </w:rPr>
      </w:pPr>
      <w:r>
        <w:rPr>
          <w:rFonts w:ascii="宋体" w:hAnsi="宋体" w:eastAsia="宋体" w:cs="宋体"/>
          <w:b w:val="0"/>
          <w:bCs w:val="0"/>
          <w:color w:val="000000"/>
          <w:sz w:val="24"/>
          <w:szCs w:val="24"/>
        </w:rPr>
        <w:t>根据影响分析论证的结果，综合考虑水功能区（水域）水质和生态保护要求、第三方权益等因素，分析入河排污口位置、排放浓度和总量是否符合有关要求，论证排污口设置的合理性。</w:t>
      </w:r>
    </w:p>
    <w:p>
      <w:pPr>
        <w:pStyle w:val="60"/>
        <w:bidi w:val="0"/>
        <w:rPr>
          <w:rFonts w:hint="default"/>
          <w:lang w:val="en-US" w:eastAsia="zh-CN"/>
        </w:rPr>
      </w:pPr>
      <w:bookmarkStart w:id="47" w:name="_Toc16387"/>
      <w:r>
        <w:rPr>
          <w:rFonts w:hint="eastAsia"/>
          <w:lang w:val="en-US" w:eastAsia="zh-CN"/>
        </w:rPr>
        <w:t>执行标准</w:t>
      </w:r>
      <w:bookmarkEnd w:id="47"/>
    </w:p>
    <w:p>
      <w:pPr>
        <w:pStyle w:val="61"/>
        <w:bidi w:val="0"/>
        <w:rPr>
          <w:rFonts w:hint="default"/>
          <w:lang w:val="en-US" w:eastAsia="zh-CN"/>
        </w:rPr>
      </w:pPr>
      <w:r>
        <w:rPr>
          <w:rFonts w:hint="eastAsia"/>
          <w:lang w:val="en-US" w:eastAsia="zh-CN"/>
        </w:rPr>
        <w:t>地表水环境质量标准</w:t>
      </w:r>
    </w:p>
    <w:p>
      <w:pPr>
        <w:rPr>
          <w:rFonts w:hint="default" w:ascii="Times New Roman" w:hAnsi="Times New Roman" w:cs="Times New Roman"/>
          <w:lang w:val="en-US" w:eastAsia="zh-CN"/>
        </w:rPr>
      </w:pPr>
      <w:r>
        <w:rPr>
          <w:rFonts w:hint="default" w:ascii="Times New Roman" w:hAnsi="Times New Roman" w:cs="Times New Roman"/>
          <w:lang w:val="en-US" w:eastAsia="zh-CN"/>
        </w:rPr>
        <w:t>根据《益阳市水功能区划》（益阳市水利局，2012年12月）、《湖南省主要地表水系水功能区划》（DB43/023-2005）以及《湖南润景景田饮用水生产项目环境影响报告表》，项目西北侧无名小溪未划定水功能区，管理目标参照执行《地表水环境质量标准》（GB3838-2002）中Ⅲ类水质标准，各评价因子及标准浓度限值见下表所示。</w:t>
      </w:r>
    </w:p>
    <w:p>
      <w:pPr>
        <w:pStyle w:val="56"/>
        <w:bidi w:val="0"/>
        <w:ind w:left="960" w:leftChars="0" w:firstLineChars="0"/>
        <w:rPr>
          <w:rFonts w:hint="default"/>
          <w:vertAlign w:val="baseline"/>
          <w:lang w:val="en-US" w:eastAsia="zh-CN"/>
        </w:rPr>
      </w:pPr>
      <w:r>
        <w:rPr>
          <w:rFonts w:hint="eastAsia"/>
          <w:lang w:val="en-US" w:eastAsia="zh-CN"/>
        </w:rPr>
        <w:t>地表水环境质量评价因子及标准限值一览表</w:t>
      </w:r>
    </w:p>
    <w:tbl>
      <w:tblPr>
        <w:tblStyle w:val="4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027"/>
        <w:gridCol w:w="1027"/>
        <w:gridCol w:w="1027"/>
        <w:gridCol w:w="1027"/>
        <w:gridCol w:w="1027"/>
        <w:gridCol w:w="1027"/>
        <w:gridCol w:w="1027"/>
        <w:gridCol w:w="1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tcBorders>
              <w:top w:val="single" w:color="auto" w:sz="12" w:space="0"/>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评价因子</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pH</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COD</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BOD</w:t>
            </w:r>
            <w:r>
              <w:rPr>
                <w:rFonts w:hint="default" w:ascii="Times New Roman" w:hAnsi="Times New Roman" w:cs="Times New Roman"/>
                <w:color w:val="000000" w:themeColor="text1"/>
                <w:kern w:val="2"/>
                <w:sz w:val="21"/>
                <w:szCs w:val="21"/>
                <w:vertAlign w:val="subscript"/>
                <w:lang w:val="en-US" w:eastAsia="zh-CN"/>
                <w14:textFill>
                  <w14:solidFill>
                    <w14:schemeClr w14:val="tx1"/>
                  </w14:solidFill>
                </w14:textFill>
              </w:rPr>
              <w:t>5</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氨氮</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总磷（以P计）</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eastAsia" w:cs="Times New Roman"/>
                <w:color w:val="000000" w:themeColor="text1"/>
                <w:kern w:val="2"/>
                <w:sz w:val="21"/>
                <w:szCs w:val="21"/>
                <w:lang w:val="en-US" w:eastAsia="zh-CN"/>
                <w14:textFill>
                  <w14:solidFill>
                    <w14:schemeClr w14:val="tx1"/>
                  </w14:solidFill>
                </w14:textFill>
              </w:rPr>
              <w:t>总氮</w:t>
            </w:r>
          </w:p>
        </w:tc>
        <w:tc>
          <w:tcPr>
            <w:tcW w:w="555"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总氮</w:t>
            </w:r>
          </w:p>
        </w:tc>
        <w:tc>
          <w:tcPr>
            <w:tcW w:w="555" w:type="pct"/>
            <w:tcBorders>
              <w:top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4" w:type="pct"/>
            <w:tcBorders>
              <w:left w:val="single" w:color="auto" w:sz="12" w:space="0"/>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Ⅲ类</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6~9</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≤20</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≤4</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≤1.0</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≤0.2</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≤1.0</w:t>
            </w:r>
          </w:p>
        </w:tc>
        <w:tc>
          <w:tcPr>
            <w:tcW w:w="555"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≤1.0</w:t>
            </w:r>
          </w:p>
        </w:tc>
        <w:tc>
          <w:tcPr>
            <w:tcW w:w="555" w:type="pct"/>
            <w:tcBorders>
              <w:bottom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≤0.05</w:t>
            </w:r>
          </w:p>
        </w:tc>
      </w:tr>
    </w:tbl>
    <w:p>
      <w:pPr>
        <w:pStyle w:val="61"/>
        <w:bidi w:val="0"/>
        <w:rPr>
          <w:rFonts w:hint="default"/>
          <w:lang w:val="en-US" w:eastAsia="zh-CN"/>
        </w:rPr>
      </w:pPr>
      <w:r>
        <w:rPr>
          <w:rFonts w:hint="eastAsia"/>
          <w:lang w:val="en-US" w:eastAsia="zh-CN"/>
        </w:rPr>
        <w:t>污水排放标准</w:t>
      </w:r>
    </w:p>
    <w:p>
      <w:pPr>
        <w:rPr>
          <w:rFonts w:hint="eastAsia"/>
          <w:color w:val="000000" w:themeColor="text1"/>
          <w:sz w:val="24"/>
          <w:lang w:val="en-US" w:eastAsia="zh-CN"/>
          <w14:textFill>
            <w14:solidFill>
              <w14:schemeClr w14:val="tx1"/>
            </w14:solidFill>
          </w14:textFill>
        </w:rPr>
      </w:pPr>
      <w:r>
        <w:rPr>
          <w:rFonts w:hint="eastAsia"/>
          <w:lang w:val="en-US" w:eastAsia="zh-CN"/>
        </w:rPr>
        <w:t>本排污口废水执行</w:t>
      </w:r>
      <w:r>
        <w:rPr>
          <w:sz w:val="24"/>
        </w:rPr>
        <w:t>《污水综合排放标准》（GB8978-1996）</w:t>
      </w:r>
      <w:r>
        <w:rPr>
          <w:rFonts w:hint="eastAsia"/>
          <w:sz w:val="24"/>
        </w:rPr>
        <w:t>标准中的一级标准要</w:t>
      </w:r>
      <w:r>
        <w:rPr>
          <w:rFonts w:hint="eastAsia"/>
          <w:color w:val="000000" w:themeColor="text1"/>
          <w:sz w:val="24"/>
          <w14:textFill>
            <w14:solidFill>
              <w14:schemeClr w14:val="tx1"/>
            </w14:solidFill>
          </w14:textFill>
        </w:rPr>
        <w:t>求</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由于</w:t>
      </w:r>
      <w:r>
        <w:rPr>
          <w:sz w:val="24"/>
        </w:rPr>
        <w:t>《污水综合排放标准》（GB8978-1996）</w:t>
      </w:r>
      <w:r>
        <w:rPr>
          <w:rFonts w:hint="eastAsia"/>
          <w:sz w:val="24"/>
          <w:lang w:val="en-US" w:eastAsia="zh-CN"/>
        </w:rPr>
        <w:t>没有总磷总氮的控制标准，本项目总磷总氮参照执行《城镇污水处理厂污染物排放标准》（GB18918-2002）中一级B的标准要求，</w:t>
      </w:r>
      <w:r>
        <w:rPr>
          <w:rFonts w:hint="eastAsia"/>
          <w:color w:val="000000" w:themeColor="text1"/>
          <w:sz w:val="24"/>
          <w:lang w:val="en-US" w:eastAsia="zh-CN"/>
          <w14:textFill>
            <w14:solidFill>
              <w14:schemeClr w14:val="tx1"/>
            </w14:solidFill>
          </w14:textFill>
        </w:rPr>
        <w:t>具体标准值见下表所示。</w:t>
      </w:r>
    </w:p>
    <w:p>
      <w:pPr>
        <w:rPr>
          <w:rFonts w:hint="eastAsia"/>
          <w:color w:val="000000" w:themeColor="text1"/>
          <w:sz w:val="24"/>
          <w:lang w:val="en-US" w:eastAsia="zh-CN"/>
          <w14:textFill>
            <w14:solidFill>
              <w14:schemeClr w14:val="tx1"/>
            </w14:solidFill>
          </w14:textFill>
        </w:rPr>
      </w:pPr>
    </w:p>
    <w:p>
      <w:pPr>
        <w:pStyle w:val="56"/>
        <w:bidi w:val="0"/>
        <w:ind w:left="960" w:leftChars="0" w:firstLineChars="0"/>
        <w:rPr>
          <w:rFonts w:hint="default"/>
          <w:vertAlign w:val="baseline"/>
          <w:lang w:val="en-US" w:eastAsia="zh-CN"/>
        </w:rPr>
      </w:pPr>
      <w:r>
        <w:rPr>
          <w:rFonts w:hint="eastAsia"/>
          <w:vertAlign w:val="baseline"/>
          <w:lang w:val="en-US" w:eastAsia="zh-CN"/>
        </w:rPr>
        <w:t xml:space="preserve">项目废水排放标准一览表 </w:t>
      </w:r>
    </w:p>
    <w:tbl>
      <w:tblPr>
        <w:tblStyle w:val="40"/>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1388"/>
        <w:gridCol w:w="2140"/>
        <w:gridCol w:w="1373"/>
        <w:gridCol w:w="34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序号</w:t>
            </w:r>
          </w:p>
        </w:tc>
        <w:tc>
          <w:tcPr>
            <w:tcW w:w="751"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控制项目</w:t>
            </w:r>
          </w:p>
        </w:tc>
        <w:tc>
          <w:tcPr>
            <w:tcW w:w="1158"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本项目废水执行标准</w:t>
            </w:r>
          </w:p>
        </w:tc>
        <w:tc>
          <w:tcPr>
            <w:tcW w:w="743"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单位</w:t>
            </w:r>
          </w:p>
        </w:tc>
        <w:tc>
          <w:tcPr>
            <w:tcW w:w="1871" w:type="pct"/>
            <w:tcBorders>
              <w:tl2br w:val="nil"/>
              <w:tr2bl w:val="nil"/>
            </w:tcBorders>
            <w:vAlign w:val="center"/>
          </w:tcPr>
          <w:p>
            <w:pPr>
              <w:pStyle w:val="103"/>
              <w:spacing w:before="0" w:line="240" w:lineRule="auto"/>
              <w:ind w:right="0" w:firstLine="0" w:firstLineChars="0"/>
              <w:jc w:val="center"/>
              <w:rPr>
                <w:rFonts w:hint="default"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1</w:t>
            </w:r>
          </w:p>
        </w:tc>
        <w:tc>
          <w:tcPr>
            <w:tcW w:w="751"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PH</w:t>
            </w:r>
          </w:p>
        </w:tc>
        <w:tc>
          <w:tcPr>
            <w:tcW w:w="1158"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6~9</w:t>
            </w:r>
          </w:p>
        </w:tc>
        <w:tc>
          <w:tcPr>
            <w:tcW w:w="743"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无量纲</w:t>
            </w:r>
          </w:p>
        </w:tc>
        <w:tc>
          <w:tcPr>
            <w:tcW w:w="1871" w:type="pct"/>
            <w:vMerge w:val="restar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执行《污水综合排放标准》（GB8978-1996）标准中的一级标准要求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75"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2</w:t>
            </w:r>
          </w:p>
        </w:tc>
        <w:tc>
          <w:tcPr>
            <w:tcW w:w="751"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COD</w:t>
            </w:r>
            <w:r>
              <w:rPr>
                <w:color w:val="000000" w:themeColor="text1"/>
                <w:kern w:val="2"/>
                <w:sz w:val="21"/>
                <w:szCs w:val="21"/>
                <w:vertAlign w:val="subscript"/>
                <w14:textFill>
                  <w14:solidFill>
                    <w14:schemeClr w14:val="tx1"/>
                  </w14:solidFill>
                </w14:textFill>
              </w:rPr>
              <w:t>cr</w:t>
            </w:r>
          </w:p>
        </w:tc>
        <w:tc>
          <w:tcPr>
            <w:tcW w:w="1158"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100</w:t>
            </w:r>
          </w:p>
        </w:tc>
        <w:tc>
          <w:tcPr>
            <w:tcW w:w="743" w:type="pct"/>
            <w:tcBorders>
              <w:tl2br w:val="nil"/>
              <w:tr2bl w:val="nil"/>
            </w:tcBorders>
            <w:vAlign w:val="center"/>
          </w:tcPr>
          <w:p>
            <w:pPr>
              <w:pStyle w:val="103"/>
              <w:spacing w:before="0" w:line="240" w:lineRule="auto"/>
              <w:ind w:right="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mg/L</w:t>
            </w:r>
          </w:p>
        </w:tc>
        <w:tc>
          <w:tcPr>
            <w:tcW w:w="1871" w:type="pct"/>
            <w:vMerge w:val="continue"/>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3</w:t>
            </w:r>
          </w:p>
        </w:tc>
        <w:tc>
          <w:tcPr>
            <w:tcW w:w="751"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BOD</w:t>
            </w:r>
            <w:r>
              <w:rPr>
                <w:color w:val="000000" w:themeColor="text1"/>
                <w:kern w:val="2"/>
                <w:sz w:val="21"/>
                <w:szCs w:val="21"/>
                <w:vertAlign w:val="subscript"/>
                <w14:textFill>
                  <w14:solidFill>
                    <w14:schemeClr w14:val="tx1"/>
                  </w14:solidFill>
                </w14:textFill>
              </w:rPr>
              <w:t>5</w:t>
            </w:r>
          </w:p>
        </w:tc>
        <w:tc>
          <w:tcPr>
            <w:tcW w:w="1158"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30</w:t>
            </w:r>
          </w:p>
        </w:tc>
        <w:tc>
          <w:tcPr>
            <w:tcW w:w="743"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mg/L</w:t>
            </w:r>
          </w:p>
        </w:tc>
        <w:tc>
          <w:tcPr>
            <w:tcW w:w="1871" w:type="pct"/>
            <w:vMerge w:val="continue"/>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4</w:t>
            </w:r>
          </w:p>
        </w:tc>
        <w:tc>
          <w:tcPr>
            <w:tcW w:w="751"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SS</w:t>
            </w:r>
          </w:p>
        </w:tc>
        <w:tc>
          <w:tcPr>
            <w:tcW w:w="1158"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70</w:t>
            </w:r>
          </w:p>
        </w:tc>
        <w:tc>
          <w:tcPr>
            <w:tcW w:w="743"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mg/L</w:t>
            </w:r>
          </w:p>
        </w:tc>
        <w:tc>
          <w:tcPr>
            <w:tcW w:w="1871" w:type="pct"/>
            <w:vMerge w:val="continue"/>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5</w:t>
            </w:r>
          </w:p>
        </w:tc>
        <w:tc>
          <w:tcPr>
            <w:tcW w:w="751"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氨氮</w:t>
            </w:r>
          </w:p>
        </w:tc>
        <w:tc>
          <w:tcPr>
            <w:tcW w:w="1158"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color w:val="000000" w:themeColor="text1"/>
                <w:kern w:val="2"/>
                <w:sz w:val="21"/>
                <w:szCs w:val="21"/>
                <w14:textFill>
                  <w14:solidFill>
                    <w14:schemeClr w14:val="tx1"/>
                  </w14:solidFill>
                </w14:textFill>
              </w:rPr>
              <w:t>15</w:t>
            </w:r>
          </w:p>
        </w:tc>
        <w:tc>
          <w:tcPr>
            <w:tcW w:w="743" w:type="pct"/>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mg/L</w:t>
            </w:r>
          </w:p>
        </w:tc>
        <w:tc>
          <w:tcPr>
            <w:tcW w:w="1871" w:type="pct"/>
            <w:vMerge w:val="continue"/>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6</w:t>
            </w:r>
          </w:p>
        </w:tc>
        <w:tc>
          <w:tcPr>
            <w:tcW w:w="751"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总磷</w:t>
            </w:r>
          </w:p>
        </w:tc>
        <w:tc>
          <w:tcPr>
            <w:tcW w:w="1158"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1</w:t>
            </w:r>
          </w:p>
        </w:tc>
        <w:tc>
          <w:tcPr>
            <w:tcW w:w="743" w:type="pct"/>
            <w:tcBorders>
              <w:tl2br w:val="nil"/>
              <w:tr2bl w:val="nil"/>
            </w:tcBorders>
            <w:vAlign w:val="center"/>
          </w:tcPr>
          <w:p>
            <w:pPr>
              <w:pStyle w:val="103"/>
              <w:spacing w:before="0" w:line="240" w:lineRule="auto"/>
              <w:ind w:right="0" w:firstLine="0" w:firstLineChars="0"/>
              <w:jc w:val="center"/>
              <w:rPr>
                <w:rFonts w:hint="eastAsia"/>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mg/L</w:t>
            </w:r>
          </w:p>
        </w:tc>
        <w:tc>
          <w:tcPr>
            <w:tcW w:w="1871" w:type="pct"/>
            <w:vMerge w:val="restar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参照</w:t>
            </w:r>
            <w:r>
              <w:rPr>
                <w:rFonts w:hint="eastAsia" w:eastAsia="宋体"/>
                <w:color w:val="000000" w:themeColor="text1"/>
                <w:kern w:val="2"/>
                <w:sz w:val="21"/>
                <w:szCs w:val="21"/>
                <w:lang w:val="en-US" w:eastAsia="zh-CN"/>
                <w14:textFill>
                  <w14:solidFill>
                    <w14:schemeClr w14:val="tx1"/>
                  </w14:solidFill>
                </w14:textFill>
              </w:rPr>
              <w:t>《城镇污水处理厂污染物排放标准》（GB18918-2002）中一级B标准要求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7</w:t>
            </w:r>
          </w:p>
        </w:tc>
        <w:tc>
          <w:tcPr>
            <w:tcW w:w="751" w:type="pct"/>
            <w:tcBorders>
              <w:tl2br w:val="nil"/>
              <w:tr2bl w:val="nil"/>
            </w:tcBorders>
            <w:vAlign w:val="center"/>
          </w:tcPr>
          <w:p>
            <w:pPr>
              <w:pStyle w:val="103"/>
              <w:spacing w:before="0" w:line="240" w:lineRule="auto"/>
              <w:ind w:right="0" w:firstLine="0" w:firstLineChars="0"/>
              <w:jc w:val="center"/>
              <w:rPr>
                <w:rFonts w:hint="eastAsia"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总氮</w:t>
            </w:r>
          </w:p>
        </w:tc>
        <w:tc>
          <w:tcPr>
            <w:tcW w:w="1158" w:type="pct"/>
            <w:tcBorders>
              <w:tl2br w:val="nil"/>
              <w:tr2bl w:val="nil"/>
            </w:tcBorders>
            <w:vAlign w:val="center"/>
          </w:tcPr>
          <w:p>
            <w:pPr>
              <w:pStyle w:val="103"/>
              <w:spacing w:before="0" w:line="240" w:lineRule="auto"/>
              <w:ind w:right="0" w:firstLine="0" w:firstLineChars="0"/>
              <w:jc w:val="center"/>
              <w:rPr>
                <w:rFonts w:hint="default" w:eastAsia="宋体"/>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20</w:t>
            </w:r>
          </w:p>
        </w:tc>
        <w:tc>
          <w:tcPr>
            <w:tcW w:w="743" w:type="pct"/>
            <w:tcBorders>
              <w:tl2br w:val="nil"/>
              <w:tr2bl w:val="nil"/>
            </w:tcBorders>
            <w:vAlign w:val="center"/>
          </w:tcPr>
          <w:p>
            <w:pPr>
              <w:pStyle w:val="103"/>
              <w:spacing w:before="0" w:line="240" w:lineRule="auto"/>
              <w:ind w:right="0" w:firstLine="0" w:firstLineChars="0"/>
              <w:jc w:val="center"/>
              <w:rPr>
                <w:rFonts w:hint="eastAsia"/>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mg/L</w:t>
            </w:r>
          </w:p>
        </w:tc>
        <w:tc>
          <w:tcPr>
            <w:tcW w:w="1871" w:type="pct"/>
            <w:vMerge w:val="continue"/>
            <w:tcBorders>
              <w:tl2br w:val="nil"/>
              <w:tr2bl w:val="nil"/>
            </w:tcBorders>
            <w:vAlign w:val="center"/>
          </w:tcPr>
          <w:p>
            <w:pPr>
              <w:pStyle w:val="103"/>
              <w:spacing w:before="0" w:line="240" w:lineRule="auto"/>
              <w:ind w:right="0" w:firstLine="0" w:firstLineChars="0"/>
              <w:jc w:val="center"/>
              <w:rPr>
                <w:color w:val="000000" w:themeColor="text1"/>
                <w:kern w:val="2"/>
                <w:sz w:val="21"/>
                <w:szCs w:val="21"/>
                <w14:textFill>
                  <w14:solidFill>
                    <w14:schemeClr w14:val="tx1"/>
                  </w14:solidFill>
                </w14:textFill>
              </w:rPr>
            </w:pPr>
          </w:p>
        </w:tc>
      </w:tr>
    </w:tbl>
    <w:p>
      <w:pPr>
        <w:pStyle w:val="60"/>
        <w:bidi w:val="0"/>
        <w:rPr>
          <w:rFonts w:hint="default"/>
          <w:lang w:val="en-US" w:eastAsia="zh-CN"/>
        </w:rPr>
      </w:pPr>
      <w:bookmarkStart w:id="48" w:name="_Toc30806"/>
      <w:r>
        <w:rPr>
          <w:rFonts w:hint="eastAsia"/>
          <w:lang w:val="en-US" w:eastAsia="zh-CN"/>
        </w:rPr>
        <w:t>论证的主要内容</w:t>
      </w:r>
      <w:bookmarkEnd w:id="48"/>
    </w:p>
    <w:p>
      <w:pPr>
        <w:keepNext w:val="0"/>
        <w:keepLines w:val="0"/>
        <w:pageBreakBefore w:val="0"/>
        <w:widowControl w:val="0"/>
        <w:numPr>
          <w:ilvl w:val="0"/>
          <w:numId w:val="8"/>
        </w:numPr>
        <w:kinsoku/>
        <w:wordWrap/>
        <w:overflowPunct/>
        <w:topLinePunct w:val="0"/>
        <w:autoSpaceDE/>
        <w:autoSpaceDN/>
        <w:bidi w:val="0"/>
        <w:adjustRightInd/>
        <w:snapToGrid/>
        <w:textAlignment w:val="auto"/>
        <w:rPr>
          <w:rFonts w:hint="eastAsia" w:ascii="宋体" w:hAnsi="宋体" w:eastAsia="宋体" w:cs="宋体"/>
          <w:b w:val="0"/>
          <w:bCs w:val="0"/>
          <w:color w:val="000000"/>
          <w:sz w:val="24"/>
          <w:szCs w:val="24"/>
          <w:lang w:eastAsia="zh-CN"/>
        </w:rPr>
      </w:pPr>
      <w:r>
        <w:rPr>
          <w:rFonts w:ascii="宋体" w:hAnsi="宋体" w:eastAsia="宋体" w:cs="宋体"/>
          <w:b w:val="0"/>
          <w:bCs w:val="0"/>
          <w:color w:val="000000"/>
          <w:sz w:val="24"/>
          <w:szCs w:val="24"/>
        </w:rPr>
        <w:t>建设项目基本情况</w:t>
      </w:r>
      <w:r>
        <w:rPr>
          <w:rFonts w:hint="eastAsia" w:ascii="宋体" w:hAnsi="宋体" w:eastAsia="宋体" w:cs="宋体"/>
          <w:b w:val="0"/>
          <w:bCs w:val="0"/>
          <w:color w:val="000000"/>
          <w:sz w:val="24"/>
          <w:szCs w:val="24"/>
          <w:lang w:eastAsia="zh-CN"/>
        </w:rPr>
        <w:t>；</w:t>
      </w:r>
    </w:p>
    <w:p>
      <w:pPr>
        <w:pStyle w:val="18"/>
        <w:keepNext w:val="0"/>
        <w:keepLines w:val="0"/>
        <w:pageBreakBefore w:val="0"/>
        <w:widowControl w:val="0"/>
        <w:numPr>
          <w:ilvl w:val="0"/>
          <w:numId w:val="8"/>
        </w:numPr>
        <w:kinsoku/>
        <w:wordWrap/>
        <w:overflowPunct/>
        <w:topLinePunct w:val="0"/>
        <w:autoSpaceDE/>
        <w:autoSpaceDN/>
        <w:bidi w:val="0"/>
        <w:adjustRightInd/>
        <w:snapToGrid/>
        <w:spacing w:after="0"/>
        <w:textAlignment w:val="auto"/>
        <w:rPr>
          <w:rFonts w:hint="eastAsia"/>
          <w:lang w:val="en-US" w:eastAsia="zh-CN"/>
        </w:rPr>
      </w:pPr>
      <w:r>
        <w:rPr>
          <w:rFonts w:ascii="宋体" w:hAnsi="宋体" w:eastAsia="宋体" w:cs="宋体"/>
          <w:b w:val="0"/>
          <w:bCs w:val="0"/>
          <w:color w:val="000000"/>
          <w:sz w:val="24"/>
          <w:szCs w:val="24"/>
        </w:rPr>
        <w:t>拟建入河排污口所在水功能区（水域）水质及纳污现状分析</w:t>
      </w:r>
      <w:r>
        <w:rPr>
          <w:rFonts w:hint="eastAsia" w:ascii="宋体" w:hAnsi="宋体" w:eastAsia="宋体" w:cs="宋体"/>
          <w:b w:val="0"/>
          <w:bCs w:val="0"/>
          <w:color w:val="000000"/>
          <w:sz w:val="24"/>
          <w:szCs w:val="24"/>
          <w:lang w:eastAsia="zh-CN"/>
        </w:rPr>
        <w:t>；</w:t>
      </w:r>
    </w:p>
    <w:p>
      <w:pPr>
        <w:keepNext w:val="0"/>
        <w:keepLines w:val="0"/>
        <w:pageBreakBefore w:val="0"/>
        <w:widowControl w:val="0"/>
        <w:numPr>
          <w:ilvl w:val="0"/>
          <w:numId w:val="8"/>
        </w:numPr>
        <w:kinsoku/>
        <w:wordWrap/>
        <w:overflowPunct/>
        <w:topLinePunct w:val="0"/>
        <w:autoSpaceDE/>
        <w:autoSpaceDN/>
        <w:bidi w:val="0"/>
        <w:adjustRightInd/>
        <w:snapToGrid/>
        <w:ind w:left="0" w:leftChars="0" w:firstLine="480" w:firstLineChars="200"/>
        <w:textAlignment w:val="auto"/>
        <w:rPr>
          <w:rFonts w:hint="eastAsia" w:ascii="宋体" w:hAnsi="宋体" w:eastAsia="宋体" w:cs="宋体"/>
          <w:b w:val="0"/>
          <w:bCs w:val="0"/>
          <w:color w:val="000000"/>
          <w:sz w:val="24"/>
          <w:szCs w:val="24"/>
          <w:lang w:eastAsia="zh-CN"/>
        </w:rPr>
      </w:pPr>
      <w:r>
        <w:rPr>
          <w:rFonts w:ascii="宋体" w:hAnsi="宋体" w:eastAsia="宋体" w:cs="宋体"/>
          <w:b w:val="0"/>
          <w:bCs w:val="0"/>
          <w:color w:val="000000"/>
          <w:sz w:val="24"/>
          <w:szCs w:val="24"/>
        </w:rPr>
        <w:t>拟建项目入河排污口设置方案</w:t>
      </w:r>
      <w:r>
        <w:rPr>
          <w:rFonts w:hint="eastAsia" w:ascii="宋体" w:hAnsi="宋体" w:eastAsia="宋体" w:cs="宋体"/>
          <w:b w:val="0"/>
          <w:bCs w:val="0"/>
          <w:color w:val="000000"/>
          <w:sz w:val="24"/>
          <w:szCs w:val="24"/>
          <w:lang w:eastAsia="zh-CN"/>
        </w:rPr>
        <w:t>；</w:t>
      </w:r>
    </w:p>
    <w:p>
      <w:pPr>
        <w:pStyle w:val="18"/>
        <w:keepNext w:val="0"/>
        <w:keepLines w:val="0"/>
        <w:pageBreakBefore w:val="0"/>
        <w:widowControl w:val="0"/>
        <w:numPr>
          <w:ilvl w:val="0"/>
          <w:numId w:val="8"/>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ascii="宋体" w:hAnsi="宋体" w:eastAsia="宋体" w:cs="宋体"/>
          <w:b w:val="0"/>
          <w:bCs w:val="0"/>
          <w:color w:val="000000"/>
          <w:sz w:val="24"/>
          <w:szCs w:val="24"/>
        </w:rPr>
        <w:t>入河排污口设置对水功能区（水域）水质及水生态影响分析</w:t>
      </w:r>
      <w:r>
        <w:rPr>
          <w:rFonts w:hint="eastAsia" w:ascii="宋体" w:hAnsi="宋体" w:eastAsia="宋体" w:cs="宋体"/>
          <w:b w:val="0"/>
          <w:bCs w:val="0"/>
          <w:color w:val="000000"/>
          <w:sz w:val="24"/>
          <w:szCs w:val="24"/>
          <w:lang w:eastAsia="zh-CN"/>
        </w:rPr>
        <w:t>；</w:t>
      </w:r>
    </w:p>
    <w:p>
      <w:pPr>
        <w:keepNext w:val="0"/>
        <w:keepLines w:val="0"/>
        <w:pageBreakBefore w:val="0"/>
        <w:widowControl w:val="0"/>
        <w:numPr>
          <w:ilvl w:val="0"/>
          <w:numId w:val="8"/>
        </w:numPr>
        <w:kinsoku/>
        <w:wordWrap/>
        <w:overflowPunct/>
        <w:topLinePunct w:val="0"/>
        <w:autoSpaceDE/>
        <w:autoSpaceDN/>
        <w:bidi w:val="0"/>
        <w:adjustRightInd/>
        <w:snapToGrid/>
        <w:ind w:left="0" w:leftChars="0" w:firstLine="480" w:firstLineChars="200"/>
        <w:textAlignment w:val="auto"/>
        <w:rPr>
          <w:rFonts w:hint="eastAsia" w:ascii="宋体" w:hAnsi="宋体" w:eastAsia="宋体" w:cs="宋体"/>
          <w:b w:val="0"/>
          <w:bCs w:val="0"/>
          <w:color w:val="000000"/>
          <w:sz w:val="24"/>
          <w:szCs w:val="24"/>
          <w:lang w:eastAsia="zh-CN"/>
        </w:rPr>
      </w:pPr>
      <w:r>
        <w:rPr>
          <w:rFonts w:ascii="宋体" w:hAnsi="宋体" w:eastAsia="宋体" w:cs="宋体"/>
          <w:b w:val="0"/>
          <w:bCs w:val="0"/>
          <w:color w:val="000000"/>
          <w:sz w:val="24"/>
          <w:szCs w:val="24"/>
        </w:rPr>
        <w:t>入河排污口设置对地下水影响分析</w:t>
      </w:r>
      <w:r>
        <w:rPr>
          <w:rFonts w:hint="eastAsia" w:ascii="宋体" w:hAnsi="宋体" w:eastAsia="宋体" w:cs="宋体"/>
          <w:b w:val="0"/>
          <w:bCs w:val="0"/>
          <w:color w:val="000000"/>
          <w:sz w:val="24"/>
          <w:szCs w:val="24"/>
          <w:lang w:eastAsia="zh-CN"/>
        </w:rPr>
        <w:t>；</w:t>
      </w:r>
    </w:p>
    <w:p>
      <w:pPr>
        <w:pStyle w:val="18"/>
        <w:keepNext w:val="0"/>
        <w:keepLines w:val="0"/>
        <w:pageBreakBefore w:val="0"/>
        <w:widowControl w:val="0"/>
        <w:numPr>
          <w:ilvl w:val="0"/>
          <w:numId w:val="8"/>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ascii="宋体" w:hAnsi="宋体" w:eastAsia="宋体" w:cs="宋体"/>
          <w:b w:val="0"/>
          <w:bCs w:val="0"/>
          <w:color w:val="000000"/>
          <w:sz w:val="24"/>
          <w:szCs w:val="24"/>
        </w:rPr>
        <w:t>入河排污口设置对有利害关系的第三者权益的影响分析</w:t>
      </w:r>
      <w:r>
        <w:rPr>
          <w:rFonts w:hint="eastAsia" w:ascii="宋体" w:hAnsi="宋体" w:eastAsia="宋体" w:cs="宋体"/>
          <w:b w:val="0"/>
          <w:bCs w:val="0"/>
          <w:color w:val="000000"/>
          <w:sz w:val="24"/>
          <w:szCs w:val="24"/>
          <w:lang w:eastAsia="zh-CN"/>
        </w:rPr>
        <w:t>；</w:t>
      </w:r>
    </w:p>
    <w:p>
      <w:pPr>
        <w:keepNext w:val="0"/>
        <w:keepLines w:val="0"/>
        <w:pageBreakBefore w:val="0"/>
        <w:widowControl w:val="0"/>
        <w:numPr>
          <w:ilvl w:val="0"/>
          <w:numId w:val="8"/>
        </w:numPr>
        <w:kinsoku/>
        <w:wordWrap/>
        <w:overflowPunct/>
        <w:topLinePunct w:val="0"/>
        <w:autoSpaceDE/>
        <w:autoSpaceDN/>
        <w:bidi w:val="0"/>
        <w:adjustRightInd/>
        <w:snapToGrid/>
        <w:ind w:left="0" w:leftChars="0" w:firstLine="480" w:firstLineChars="200"/>
        <w:textAlignment w:val="auto"/>
        <w:rPr>
          <w:rFonts w:hint="eastAsia" w:ascii="宋体" w:hAnsi="宋体" w:eastAsia="宋体" w:cs="宋体"/>
          <w:b w:val="0"/>
          <w:bCs w:val="0"/>
          <w:color w:val="000000"/>
          <w:sz w:val="24"/>
          <w:szCs w:val="24"/>
          <w:lang w:eastAsia="zh-CN"/>
        </w:rPr>
      </w:pPr>
      <w:r>
        <w:rPr>
          <w:rFonts w:ascii="宋体" w:hAnsi="宋体" w:eastAsia="宋体" w:cs="宋体"/>
          <w:b w:val="0"/>
          <w:bCs w:val="0"/>
          <w:color w:val="000000"/>
          <w:sz w:val="24"/>
          <w:szCs w:val="24"/>
        </w:rPr>
        <w:t>入河排污口设置合理性、可行性分析</w:t>
      </w:r>
      <w:r>
        <w:rPr>
          <w:rFonts w:hint="eastAsia" w:ascii="宋体" w:hAnsi="宋体" w:eastAsia="宋体" w:cs="宋体"/>
          <w:b w:val="0"/>
          <w:bCs w:val="0"/>
          <w:color w:val="000000"/>
          <w:sz w:val="24"/>
          <w:szCs w:val="24"/>
          <w:lang w:eastAsia="zh-CN"/>
        </w:rPr>
        <w:t>；</w:t>
      </w:r>
    </w:p>
    <w:p>
      <w:pPr>
        <w:pStyle w:val="18"/>
        <w:keepNext w:val="0"/>
        <w:keepLines w:val="0"/>
        <w:pageBreakBefore w:val="0"/>
        <w:widowControl w:val="0"/>
        <w:numPr>
          <w:ilvl w:val="0"/>
          <w:numId w:val="8"/>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论证水平年。</w:t>
      </w:r>
    </w:p>
    <w:p>
      <w:pPr>
        <w:pStyle w:val="60"/>
        <w:bidi w:val="0"/>
        <w:rPr>
          <w:rFonts w:hint="default"/>
          <w:lang w:val="en-US" w:eastAsia="zh-CN"/>
        </w:rPr>
      </w:pPr>
      <w:bookmarkStart w:id="49" w:name="_Toc9879"/>
      <w:r>
        <w:rPr>
          <w:rFonts w:hint="eastAsia"/>
          <w:lang w:val="en-US" w:eastAsia="zh-CN"/>
        </w:rPr>
        <w:t>论证水平年</w:t>
      </w:r>
      <w:bookmarkEnd w:id="49"/>
    </w:p>
    <w:p>
      <w:pPr>
        <w:rPr>
          <w:rFonts w:hint="default"/>
          <w:lang w:val="en-US" w:eastAsia="zh-CN"/>
        </w:rPr>
      </w:pPr>
      <w:r>
        <w:rPr>
          <w:rFonts w:ascii="宋体" w:hAnsi="宋体" w:eastAsia="宋体" w:cs="宋体"/>
          <w:b w:val="0"/>
          <w:bCs w:val="0"/>
          <w:color w:val="000000"/>
          <w:sz w:val="24"/>
          <w:szCs w:val="24"/>
        </w:rPr>
        <w:t>入河排污口设置论证水平年的确定尽量与国民经济和社会发展规划、流域或区域水资源规划等有关规定水平年相协调。根据江河流域社会经济发展以及河流水文特征变化情况分析，论证选取</w:t>
      </w:r>
      <w:r>
        <w:rPr>
          <w:rFonts w:ascii="TimesNewRomanPSMT" w:hAnsi="TimesNewRomanPSMT" w:eastAsia="TimesNewRomanPSMT" w:cs="TimesNewRomanPSMT"/>
          <w:b w:val="0"/>
          <w:bCs w:val="0"/>
          <w:color w:val="000000"/>
          <w:sz w:val="24"/>
          <w:szCs w:val="24"/>
        </w:rPr>
        <w:t>2023</w:t>
      </w:r>
      <w:r>
        <w:rPr>
          <w:rFonts w:ascii="宋体" w:hAnsi="宋体" w:eastAsia="宋体" w:cs="宋体"/>
          <w:b w:val="0"/>
          <w:bCs w:val="0"/>
          <w:color w:val="000000"/>
          <w:sz w:val="24"/>
          <w:szCs w:val="24"/>
        </w:rPr>
        <w:t>年为现状水平年，设计水平年近期为</w:t>
      </w:r>
      <w:r>
        <w:rPr>
          <w:rFonts w:hint="default" w:ascii="TimesNewRomanPSMT" w:hAnsi="TimesNewRomanPSMT" w:eastAsia="TimesNewRomanPSMT" w:cs="TimesNewRomanPSMT"/>
          <w:b w:val="0"/>
          <w:bCs w:val="0"/>
          <w:color w:val="000000"/>
          <w:sz w:val="24"/>
          <w:szCs w:val="24"/>
        </w:rPr>
        <w:t>202</w:t>
      </w:r>
      <w:r>
        <w:rPr>
          <w:rFonts w:hint="eastAsia" w:ascii="TimesNewRomanPSMT" w:hAnsi="TimesNewRomanPSMT" w:eastAsia="宋体" w:cs="TimesNewRomanPSMT"/>
          <w:b w:val="0"/>
          <w:bCs w:val="0"/>
          <w:color w:val="000000"/>
          <w:sz w:val="24"/>
          <w:szCs w:val="24"/>
          <w:lang w:val="en-US" w:eastAsia="zh-CN"/>
        </w:rPr>
        <w:t>5</w:t>
      </w:r>
      <w:r>
        <w:rPr>
          <w:rFonts w:ascii="宋体" w:hAnsi="宋体" w:eastAsia="宋体" w:cs="宋体"/>
          <w:b w:val="0"/>
          <w:bCs w:val="0"/>
          <w:color w:val="000000"/>
          <w:sz w:val="24"/>
          <w:szCs w:val="24"/>
        </w:rPr>
        <w:t>年。</w:t>
      </w:r>
    </w:p>
    <w:p>
      <w:pPr>
        <w:pStyle w:val="18"/>
        <w:rPr>
          <w:rFonts w:hint="default"/>
          <w:lang w:val="en-US" w:eastAsia="zh-CN"/>
        </w:rPr>
      </w:pPr>
    </w:p>
    <w:p>
      <w:pPr>
        <w:pStyle w:val="18"/>
        <w:rPr>
          <w:rFonts w:hint="default"/>
          <w:lang w:val="en-US" w:eastAsia="zh-CN"/>
        </w:rPr>
      </w:pPr>
    </w:p>
    <w:p>
      <w:pPr>
        <w:pStyle w:val="59"/>
        <w:keepNext/>
        <w:keepLines w:val="0"/>
        <w:widowControl/>
        <w:kinsoku/>
        <w:wordWrap/>
        <w:overflowPunct/>
        <w:topLinePunct w:val="0"/>
        <w:autoSpaceDE/>
        <w:autoSpaceDN/>
        <w:bidi w:val="0"/>
        <w:adjustRightInd/>
        <w:snapToGrid/>
        <w:spacing w:line="360" w:lineRule="auto"/>
        <w:textAlignment w:val="auto"/>
        <w:rPr>
          <w:rFonts w:hint="eastAsia"/>
          <w:lang w:val="en-US" w:eastAsia="zh-CN"/>
        </w:rPr>
      </w:pPr>
      <w:bookmarkStart w:id="50" w:name="_Toc22933"/>
      <w:r>
        <w:rPr>
          <w:rFonts w:hint="eastAsia"/>
          <w:lang w:val="en-US" w:eastAsia="zh-CN"/>
        </w:rPr>
        <w:t>项目基本概况</w:t>
      </w:r>
      <w:bookmarkEnd w:id="50"/>
    </w:p>
    <w:p>
      <w:pPr>
        <w:pStyle w:val="60"/>
        <w:keepNext/>
        <w:keepLines w:val="0"/>
        <w:widowControl/>
        <w:kinsoku/>
        <w:wordWrap/>
        <w:overflowPunct/>
        <w:topLinePunct w:val="0"/>
        <w:autoSpaceDE/>
        <w:autoSpaceDN/>
        <w:bidi w:val="0"/>
        <w:adjustRightInd/>
        <w:snapToGrid/>
        <w:spacing w:line="360" w:lineRule="auto"/>
        <w:textAlignment w:val="auto"/>
        <w:rPr>
          <w:rFonts w:hint="default"/>
          <w:lang w:val="en-US" w:eastAsia="zh-CN"/>
        </w:rPr>
      </w:pPr>
      <w:bookmarkStart w:id="51" w:name="_Toc32007"/>
      <w:r>
        <w:rPr>
          <w:rFonts w:hint="eastAsia"/>
          <w:lang w:val="en-US" w:eastAsia="zh-CN"/>
        </w:rPr>
        <w:t>项目概况</w:t>
      </w:r>
      <w:bookmarkEnd w:id="51"/>
    </w:p>
    <w:p>
      <w:pPr>
        <w:keepNext w:val="0"/>
        <w:keepLines w:val="0"/>
        <w:pageBreakBefore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项目名称：湖南润景水业（桃江）有限公司入河排污口</w:t>
      </w:r>
    </w:p>
    <w:p>
      <w:pPr>
        <w:pStyle w:val="18"/>
        <w:keepNext w:val="0"/>
        <w:keepLines w:val="0"/>
        <w:pageBreakBefore w:val="0"/>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建设单位：湖南润景水业（桃江）有限公司</w:t>
      </w:r>
    </w:p>
    <w:p>
      <w:pPr>
        <w:keepNext w:val="0"/>
        <w:keepLines w:val="0"/>
        <w:pageBreakBefore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入河排污口位置：项目西北侧无名小溪右岸</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项目排放口坐标为：东经：112°</w:t>
      </w:r>
      <w:r>
        <w:rPr>
          <w:rFonts w:hint="default" w:ascii="Times New Roman" w:hAnsi="Times New Roman" w:cs="Times New Roman"/>
          <w:sz w:val="24"/>
          <w:lang w:val="en-US" w:eastAsia="zh-CN"/>
        </w:rPr>
        <w:t>39</w:t>
      </w:r>
      <w:r>
        <w:rPr>
          <w:rFonts w:hint="default" w:ascii="Times New Roman" w:hAnsi="Times New Roman" w:cs="Times New Roman"/>
          <w:sz w:val="24"/>
        </w:rPr>
        <w:t>'</w:t>
      </w:r>
      <w:r>
        <w:rPr>
          <w:rFonts w:hint="default" w:ascii="Times New Roman" w:hAnsi="Times New Roman" w:cs="Times New Roman"/>
          <w:sz w:val="24"/>
          <w:lang w:val="en-US" w:eastAsia="zh-CN"/>
        </w:rPr>
        <w:t>46.345</w:t>
      </w:r>
      <w:r>
        <w:rPr>
          <w:rFonts w:hint="default" w:ascii="Times New Roman" w:hAnsi="Times New Roman" w:cs="Times New Roman"/>
          <w:sz w:val="24"/>
        </w:rPr>
        <w:t>"，北纬：28°</w:t>
      </w:r>
      <w:r>
        <w:rPr>
          <w:rFonts w:hint="default" w:ascii="Times New Roman" w:hAnsi="Times New Roman" w:cs="Times New Roman"/>
          <w:sz w:val="24"/>
          <w:lang w:val="en-US" w:eastAsia="zh-CN"/>
        </w:rPr>
        <w:t>26</w:t>
      </w:r>
      <w:r>
        <w:rPr>
          <w:rFonts w:hint="default" w:ascii="Times New Roman" w:hAnsi="Times New Roman" w:cs="Times New Roman"/>
          <w:sz w:val="24"/>
        </w:rPr>
        <w:t>'</w:t>
      </w:r>
      <w:r>
        <w:rPr>
          <w:rFonts w:hint="default" w:ascii="Times New Roman" w:hAnsi="Times New Roman" w:cs="Times New Roman"/>
          <w:sz w:val="24"/>
          <w:lang w:val="en-US" w:eastAsia="zh-CN"/>
        </w:rPr>
        <w:t>7.141</w:t>
      </w:r>
      <w:r>
        <w:rPr>
          <w:rFonts w:hint="default" w:ascii="Times New Roman" w:hAnsi="Times New Roman" w:cs="Times New Roman"/>
          <w:sz w:val="24"/>
        </w:rPr>
        <w:t>"。</w:t>
      </w:r>
    </w:p>
    <w:p>
      <w:pPr>
        <w:keepNext w:val="0"/>
        <w:keepLines w:val="0"/>
        <w:pageBreakBefore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入河排污口性质：新建</w:t>
      </w:r>
    </w:p>
    <w:p>
      <w:pPr>
        <w:pStyle w:val="18"/>
        <w:keepNext w:val="0"/>
        <w:keepLines w:val="0"/>
        <w:pageBreakBefore w:val="0"/>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入河排污口类型：工业排污口</w:t>
      </w:r>
    </w:p>
    <w:p>
      <w:pPr>
        <w:keepNext w:val="0"/>
        <w:keepLines w:val="0"/>
        <w:pageBreakBefore w:val="0"/>
        <w:kinsoku/>
        <w:wordWrap/>
        <w:overflowPunct/>
        <w:topLinePunct w:val="0"/>
        <w:autoSpaceDE/>
        <w:autoSpaceDN/>
        <w:bidi w:val="0"/>
        <w:adjustRightInd/>
        <w:snapToGrid/>
        <w:textAlignment w:val="auto"/>
        <w:rPr>
          <w:rFonts w:hint="default"/>
          <w:u w:val="single"/>
          <w:lang w:val="en-US" w:eastAsia="zh-CN"/>
        </w:rPr>
      </w:pPr>
      <w:r>
        <w:rPr>
          <w:rFonts w:hint="eastAsia"/>
          <w:u w:val="single"/>
          <w:lang w:val="en-US" w:eastAsia="zh-CN"/>
        </w:rPr>
        <w:t>排放规律：连续排放</w:t>
      </w:r>
    </w:p>
    <w:p>
      <w:pPr>
        <w:pStyle w:val="18"/>
        <w:keepNext w:val="0"/>
        <w:keepLines w:val="0"/>
        <w:pageBreakBefore w:val="0"/>
        <w:kinsoku/>
        <w:wordWrap/>
        <w:overflowPunct/>
        <w:topLinePunct w:val="0"/>
        <w:autoSpaceDE/>
        <w:autoSpaceDN/>
        <w:bidi w:val="0"/>
        <w:adjustRightInd/>
        <w:snapToGrid/>
        <w:spacing w:after="0"/>
        <w:textAlignment w:val="auto"/>
        <w:rPr>
          <w:rFonts w:ascii="宋体" w:hAnsi="宋体" w:eastAsia="宋体" w:cs="宋体"/>
          <w:b w:val="0"/>
          <w:bCs w:val="0"/>
          <w:color w:val="000000"/>
          <w:sz w:val="24"/>
          <w:szCs w:val="24"/>
        </w:rPr>
      </w:pPr>
      <w:r>
        <w:rPr>
          <w:rFonts w:hint="eastAsia"/>
          <w:lang w:val="en-US" w:eastAsia="zh-CN"/>
        </w:rPr>
        <w:t>入河方式：</w:t>
      </w:r>
      <w:r>
        <w:rPr>
          <w:rFonts w:hint="eastAsia" w:ascii="Times New Roman" w:hAnsi="Times New Roman" w:cs="Times New Roman"/>
          <w:bCs/>
          <w:color w:val="000000" w:themeColor="text1"/>
          <w:szCs w:val="21"/>
          <w:u w:val="single"/>
          <w:lang w:val="en-US" w:eastAsia="zh-CN"/>
          <w14:textFill>
            <w14:solidFill>
              <w14:schemeClr w14:val="tx1"/>
            </w14:solidFill>
          </w14:textFill>
        </w:rPr>
        <w:t>项目</w:t>
      </w:r>
      <w:r>
        <w:rPr>
          <w:rFonts w:hint="eastAsia" w:cs="Times New Roman"/>
          <w:bCs/>
          <w:color w:val="000000" w:themeColor="text1"/>
          <w:szCs w:val="21"/>
          <w:u w:val="single"/>
          <w:lang w:val="en-US" w:eastAsia="zh-CN"/>
          <w14:textFill>
            <w14:solidFill>
              <w14:schemeClr w14:val="tx1"/>
            </w14:solidFill>
          </w14:textFill>
        </w:rPr>
        <w:t>所在厂区</w:t>
      </w:r>
      <w:r>
        <w:rPr>
          <w:rFonts w:hint="eastAsia" w:ascii="Times New Roman" w:hAnsi="Times New Roman" w:cs="Times New Roman"/>
          <w:bCs/>
          <w:color w:val="000000" w:themeColor="text1"/>
          <w:szCs w:val="21"/>
          <w:u w:val="single"/>
          <w:lang w:val="en-US" w:eastAsia="zh-CN"/>
          <w14:textFill>
            <w14:solidFill>
              <w14:schemeClr w14:val="tx1"/>
            </w14:solidFill>
          </w14:textFill>
        </w:rPr>
        <w:t>铺设150米</w:t>
      </w:r>
      <w:r>
        <w:rPr>
          <w:rFonts w:hint="default" w:ascii="Times New Roman" w:hAnsi="Times New Roman" w:eastAsia="宋体" w:cs="Times New Roman"/>
          <w:b w:val="0"/>
          <w:bCs w:val="0"/>
          <w:color w:val="000000" w:themeColor="text1"/>
          <w:sz w:val="24"/>
          <w:szCs w:val="24"/>
          <w:u w:val="single"/>
          <w14:textFill>
            <w14:solidFill>
              <w14:schemeClr w14:val="tx1"/>
            </w14:solidFill>
          </w14:textFill>
        </w:rPr>
        <w:t>管道</w:t>
      </w:r>
      <w:r>
        <w:rPr>
          <w:rFonts w:hint="eastAsia" w:cs="Times New Roman"/>
          <w:b w:val="0"/>
          <w:bCs w:val="0"/>
          <w:color w:val="000000" w:themeColor="text1"/>
          <w:sz w:val="24"/>
          <w:szCs w:val="24"/>
          <w:u w:val="single"/>
          <w:lang w:val="en-US" w:eastAsia="zh-CN"/>
          <w14:textFill>
            <w14:solidFill>
              <w14:schemeClr w14:val="tx1"/>
            </w14:solidFill>
          </w14:textFill>
        </w:rPr>
        <w:t>直接</w:t>
      </w:r>
      <w:r>
        <w:rPr>
          <w:rFonts w:hint="eastAsia" w:ascii="Times New Roman" w:hAnsi="Times New Roman" w:cs="Times New Roman"/>
          <w:b w:val="0"/>
          <w:bCs w:val="0"/>
          <w:color w:val="000000" w:themeColor="text1"/>
          <w:sz w:val="24"/>
          <w:szCs w:val="24"/>
          <w:u w:val="single"/>
          <w:lang w:val="en-US" w:eastAsia="zh-CN"/>
          <w14:textFill>
            <w14:solidFill>
              <w14:schemeClr w14:val="tx1"/>
            </w14:solidFill>
          </w14:textFill>
        </w:rPr>
        <w:t>排放至西北侧无名小溪，入河排污口大小为H=0.5m、R=0.5m、L=150m</w:t>
      </w:r>
      <w:r>
        <w:rPr>
          <w:rFonts w:hint="eastAsia"/>
          <w:sz w:val="24"/>
        </w:rPr>
        <w:t>。</w:t>
      </w:r>
    </w:p>
    <w:p>
      <w:pPr>
        <w:keepNext w:val="0"/>
        <w:keepLines w:val="0"/>
        <w:pageBreakBefore w:val="0"/>
        <w:kinsoku/>
        <w:wordWrap/>
        <w:overflowPunct/>
        <w:topLinePunct w:val="0"/>
        <w:autoSpaceDE/>
        <w:autoSpaceDN/>
        <w:bidi w:val="0"/>
        <w:adjustRightInd/>
        <w:snapToGrid/>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纳污水体：</w:t>
      </w:r>
      <w:r>
        <w:rPr>
          <w:rFonts w:hint="eastAsia"/>
          <w:color w:val="000000" w:themeColor="text1"/>
          <w14:textFill>
            <w14:solidFill>
              <w14:schemeClr w14:val="tx1"/>
            </w14:solidFill>
          </w14:textFill>
        </w:rPr>
        <w:t>处理后排入项目</w:t>
      </w:r>
      <w:r>
        <w:rPr>
          <w:rFonts w:hint="eastAsia"/>
          <w:lang w:val="en-US" w:eastAsia="zh-CN"/>
        </w:rPr>
        <w:t>西北侧无名小溪</w:t>
      </w:r>
      <w:r>
        <w:rPr>
          <w:rFonts w:hint="eastAsia"/>
          <w:color w:val="000000" w:themeColor="text1"/>
          <w14:textFill>
            <w14:solidFill>
              <w14:schemeClr w14:val="tx1"/>
            </w14:solidFill>
          </w14:textFill>
        </w:rPr>
        <w:t>，之后汇入桃花江西干渠，汇入桃花江</w:t>
      </w:r>
      <w:r>
        <w:rPr>
          <w:rFonts w:hint="eastAsia"/>
          <w:color w:val="000000" w:themeColor="text1"/>
          <w:lang w:eastAsia="zh-CN"/>
          <w14:textFill>
            <w14:solidFill>
              <w14:schemeClr w14:val="tx1"/>
            </w14:solidFill>
          </w14:textFill>
        </w:rPr>
        <w:t>。</w:t>
      </w:r>
    </w:p>
    <w:p>
      <w:pPr>
        <w:pStyle w:val="18"/>
        <w:keepNext w:val="0"/>
        <w:keepLines w:val="0"/>
        <w:pageBreakBefore w:val="0"/>
        <w:kinsoku/>
        <w:wordWrap/>
        <w:overflowPunct/>
        <w:topLinePunct w:val="0"/>
        <w:autoSpaceDE/>
        <w:autoSpaceDN/>
        <w:bidi w:val="0"/>
        <w:adjustRightInd/>
        <w:snapToGrid/>
        <w:spacing w:after="0"/>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设计排放规模：</w:t>
      </w:r>
      <w:r>
        <w:rPr>
          <w:rFonts w:hint="eastAsia"/>
          <w:sz w:val="24"/>
          <w:lang w:val="en-US" w:eastAsia="zh-CN"/>
        </w:rPr>
        <w:t>2.92</w:t>
      </w:r>
      <w:r>
        <w:rPr>
          <w:sz w:val="24"/>
        </w:rPr>
        <w:t>m</w:t>
      </w:r>
      <w:r>
        <w:rPr>
          <w:sz w:val="24"/>
          <w:vertAlign w:val="superscript"/>
        </w:rPr>
        <w:t>3</w:t>
      </w:r>
      <w:r>
        <w:rPr>
          <w:sz w:val="24"/>
        </w:rPr>
        <w:t>/d</w:t>
      </w:r>
    </w:p>
    <w:p>
      <w:pPr>
        <w:keepNext w:val="0"/>
        <w:keepLines w:val="0"/>
        <w:pageBreakBefore w:val="0"/>
        <w:kinsoku/>
        <w:wordWrap/>
        <w:overflowPunct/>
        <w:topLinePunct w:val="0"/>
        <w:autoSpaceDE/>
        <w:autoSpaceDN/>
        <w:bidi w:val="0"/>
        <w:adjustRightInd/>
        <w:snapToGrid/>
        <w:textAlignment w:val="auto"/>
        <w:rPr>
          <w:rFonts w:hint="eastAsia"/>
          <w:color w:val="000000" w:themeColor="text1"/>
          <w:sz w:val="24"/>
          <w:lang w:eastAsia="zh-CN"/>
          <w14:textFill>
            <w14:solidFill>
              <w14:schemeClr w14:val="tx1"/>
            </w14:solidFill>
          </w14:textFill>
        </w:rPr>
      </w:pPr>
      <w:r>
        <w:rPr>
          <w:rFonts w:hint="eastAsia" w:ascii="宋体" w:hAnsi="宋体" w:eastAsia="宋体" w:cs="宋体"/>
          <w:b w:val="0"/>
          <w:bCs w:val="0"/>
          <w:color w:val="000000"/>
          <w:sz w:val="24"/>
          <w:szCs w:val="24"/>
          <w:lang w:val="en-US" w:eastAsia="zh-CN"/>
        </w:rPr>
        <w:t>排放标准：</w:t>
      </w:r>
      <w:r>
        <w:rPr>
          <w:rFonts w:hint="eastAsia"/>
          <w:color w:val="000000"/>
          <w:szCs w:val="21"/>
          <w:lang w:val="en-US" w:eastAsia="zh-CN"/>
        </w:rPr>
        <w:t>执行《</w:t>
      </w:r>
      <w:r>
        <w:rPr>
          <w:sz w:val="24"/>
        </w:rPr>
        <w:t>污水综合排放标准》（GB8978-1996）</w:t>
      </w:r>
      <w:r>
        <w:rPr>
          <w:rFonts w:hint="eastAsia"/>
          <w:sz w:val="24"/>
        </w:rPr>
        <w:t>标准中的一级标准要</w:t>
      </w:r>
      <w:r>
        <w:rPr>
          <w:rFonts w:hint="eastAsia"/>
          <w:color w:val="000000" w:themeColor="text1"/>
          <w:sz w:val="24"/>
          <w14:textFill>
            <w14:solidFill>
              <w14:schemeClr w14:val="tx1"/>
            </w14:solidFill>
          </w14:textFill>
        </w:rPr>
        <w:t>求</w:t>
      </w:r>
      <w:r>
        <w:rPr>
          <w:rFonts w:hint="eastAsia"/>
          <w:color w:val="000000" w:themeColor="text1"/>
          <w:sz w:val="24"/>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textAlignment w:val="auto"/>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drawing>
          <wp:inline distT="0" distB="0" distL="114300" distR="114300">
            <wp:extent cx="5339715" cy="3946525"/>
            <wp:effectExtent l="9525" t="9525" r="22860" b="25400"/>
            <wp:docPr id="2" name="图片 2" descr="排口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排口位置图"/>
                    <pic:cNvPicPr>
                      <a:picLocks noChangeAspect="1"/>
                    </pic:cNvPicPr>
                  </pic:nvPicPr>
                  <pic:blipFill>
                    <a:blip r:embed="rId23"/>
                    <a:srcRect l="3779" t="1206" r="3036" b="1426"/>
                    <a:stretch>
                      <a:fillRect/>
                    </a:stretch>
                  </pic:blipFill>
                  <pic:spPr>
                    <a:xfrm>
                      <a:off x="0" y="0"/>
                      <a:ext cx="5339715" cy="3946525"/>
                    </a:xfrm>
                    <a:prstGeom prst="rect">
                      <a:avLst/>
                    </a:prstGeom>
                    <a:ln>
                      <a:solidFill>
                        <a:schemeClr val="tx1"/>
                      </a:solidFill>
                    </a:ln>
                  </pic:spPr>
                </pic:pic>
              </a:graphicData>
            </a:graphic>
          </wp:inline>
        </w:drawing>
      </w:r>
    </w:p>
    <w:p>
      <w:pPr>
        <w:pStyle w:val="64"/>
        <w:bidi w:val="0"/>
        <w:rPr>
          <w:rFonts w:hint="eastAsia"/>
          <w:lang w:eastAsia="zh-CN"/>
        </w:rPr>
      </w:pPr>
      <w:r>
        <w:rPr>
          <w:rFonts w:hint="eastAsia"/>
          <w:lang w:val="en-US" w:eastAsia="zh-CN"/>
        </w:rPr>
        <w:t>排污口设计位置</w:t>
      </w:r>
    </w:p>
    <w:p>
      <w:pPr>
        <w:pStyle w:val="60"/>
        <w:bidi w:val="0"/>
        <w:rPr>
          <w:rFonts w:hint="eastAsia"/>
          <w:lang w:val="en-US" w:eastAsia="zh-CN"/>
        </w:rPr>
      </w:pPr>
      <w:bookmarkStart w:id="52" w:name="_Toc15457"/>
      <w:r>
        <w:rPr>
          <w:rStyle w:val="72"/>
          <w:rFonts w:hint="eastAsia"/>
          <w:b/>
          <w:bCs/>
          <w:lang w:val="en-US" w:eastAsia="zh-CN"/>
        </w:rPr>
        <w:t>主要建设内容</w:t>
      </w:r>
      <w:bookmarkEnd w:id="52"/>
    </w:p>
    <w:p>
      <w:pPr>
        <w:rPr>
          <w:rFonts w:hint="eastAsia"/>
          <w:lang w:eastAsia="zh-CN"/>
        </w:rPr>
      </w:pPr>
      <w:r>
        <w:t>项目</w:t>
      </w:r>
      <w:r>
        <w:rPr>
          <w:rFonts w:hint="eastAsia"/>
        </w:rPr>
        <w:t>总</w:t>
      </w:r>
      <w:r>
        <w:t>建筑面积为</w:t>
      </w:r>
      <w:r>
        <w:rPr>
          <w:rFonts w:hint="eastAsia"/>
        </w:rPr>
        <w:t>35760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t>本项目建设内容主要包括主体工程、储运工程、辅助工程、公用工程及环保工程等，项目具体建设内容详见下表所示</w:t>
      </w:r>
      <w:r>
        <w:rPr>
          <w:rFonts w:hint="eastAsia"/>
          <w:lang w:eastAsia="zh-CN"/>
        </w:rPr>
        <w:t>。</w:t>
      </w:r>
    </w:p>
    <w:p>
      <w:pPr>
        <w:pStyle w:val="56"/>
        <w:bidi w:val="0"/>
        <w:ind w:left="960" w:leftChars="0" w:firstLineChars="0"/>
        <w:rPr>
          <w:rFonts w:hint="eastAsia"/>
          <w:lang w:val="en-US" w:eastAsia="zh-CN"/>
        </w:rPr>
      </w:pPr>
      <w:r>
        <w:rPr>
          <w:rFonts w:hint="eastAsia"/>
          <w:lang w:val="en-US" w:eastAsia="zh-CN"/>
        </w:rPr>
        <w:t>项目组成结构一览表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7"/>
        <w:gridCol w:w="1784"/>
        <w:gridCol w:w="1525"/>
        <w:gridCol w:w="4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bCs/>
                <w:snapToGrid/>
                <w:kern w:val="0"/>
                <w:sz w:val="21"/>
                <w:szCs w:val="21"/>
              </w:rPr>
            </w:pPr>
            <w:r>
              <w:rPr>
                <w:rFonts w:hint="default" w:ascii="Times New Roman" w:hAnsi="Times New Roman" w:cs="Times New Roman"/>
                <w:bCs/>
                <w:snapToGrid/>
                <w:kern w:val="0"/>
                <w:sz w:val="21"/>
                <w:szCs w:val="21"/>
              </w:rPr>
              <w:t>工程</w:t>
            </w:r>
          </w:p>
          <w:p>
            <w:pPr>
              <w:autoSpaceDE w:val="0"/>
              <w:autoSpaceDN w:val="0"/>
              <w:adjustRightInd w:val="0"/>
              <w:snapToGrid w:val="0"/>
              <w:spacing w:line="240" w:lineRule="auto"/>
              <w:ind w:firstLine="0" w:firstLineChars="0"/>
              <w:jc w:val="center"/>
              <w:rPr>
                <w:rFonts w:hint="default" w:ascii="Times New Roman" w:hAnsi="Times New Roman" w:cs="Times New Roman"/>
                <w:bCs/>
                <w:snapToGrid/>
                <w:kern w:val="0"/>
                <w:sz w:val="21"/>
                <w:szCs w:val="21"/>
              </w:rPr>
            </w:pPr>
            <w:r>
              <w:rPr>
                <w:rFonts w:hint="default" w:ascii="Times New Roman" w:hAnsi="Times New Roman" w:cs="Times New Roman"/>
                <w:bCs/>
                <w:snapToGrid/>
                <w:kern w:val="0"/>
                <w:sz w:val="21"/>
                <w:szCs w:val="21"/>
              </w:rPr>
              <w:t>类别</w:t>
            </w: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bCs/>
                <w:snapToGrid/>
                <w:kern w:val="0"/>
                <w:sz w:val="21"/>
                <w:szCs w:val="21"/>
              </w:rPr>
            </w:pPr>
            <w:r>
              <w:rPr>
                <w:rFonts w:hint="default" w:ascii="Times New Roman" w:hAnsi="Times New Roman" w:cs="Times New Roman"/>
                <w:bCs/>
                <w:snapToGrid/>
                <w:kern w:val="0"/>
                <w:sz w:val="21"/>
                <w:szCs w:val="21"/>
              </w:rPr>
              <w:t>项目</w:t>
            </w:r>
          </w:p>
          <w:p>
            <w:pPr>
              <w:autoSpaceDE w:val="0"/>
              <w:autoSpaceDN w:val="0"/>
              <w:adjustRightInd w:val="0"/>
              <w:snapToGrid w:val="0"/>
              <w:spacing w:line="240" w:lineRule="auto"/>
              <w:ind w:firstLine="0" w:firstLineChars="0"/>
              <w:jc w:val="center"/>
              <w:rPr>
                <w:rFonts w:hint="default" w:ascii="Times New Roman" w:hAnsi="Times New Roman" w:cs="Times New Roman"/>
                <w:bCs/>
                <w:snapToGrid/>
                <w:kern w:val="0"/>
                <w:sz w:val="21"/>
                <w:szCs w:val="21"/>
              </w:rPr>
            </w:pPr>
            <w:r>
              <w:rPr>
                <w:rFonts w:hint="default" w:ascii="Times New Roman" w:hAnsi="Times New Roman" w:cs="Times New Roman"/>
                <w:bCs/>
                <w:snapToGrid/>
                <w:kern w:val="0"/>
                <w:sz w:val="21"/>
                <w:szCs w:val="21"/>
              </w:rPr>
              <w:t>名称</w:t>
            </w:r>
          </w:p>
        </w:tc>
        <w:tc>
          <w:tcPr>
            <w:tcW w:w="3354" w:type="pct"/>
            <w:gridSpan w:val="2"/>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bCs/>
                <w:snapToGrid/>
                <w:kern w:val="0"/>
                <w:sz w:val="21"/>
                <w:szCs w:val="21"/>
              </w:rPr>
            </w:pPr>
            <w:r>
              <w:rPr>
                <w:rFonts w:hint="default" w:ascii="Times New Roman" w:hAnsi="Times New Roman" w:cs="Times New Roman"/>
                <w:bCs/>
                <w:snapToGrid/>
                <w:kern w:val="0"/>
                <w:sz w:val="21"/>
                <w:szCs w:val="21"/>
              </w:rPr>
              <w:t>建设内容与规模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80" w:type="pct"/>
            <w:vMerge w:val="restar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主体工程</w:t>
            </w: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u w:val="single"/>
              </w:rPr>
            </w:pPr>
            <w:r>
              <w:rPr>
                <w:rFonts w:hint="default" w:ascii="Times New Roman" w:hAnsi="Times New Roman" w:cs="Times New Roman"/>
                <w:snapToGrid/>
                <w:kern w:val="0"/>
                <w:sz w:val="21"/>
                <w:szCs w:val="21"/>
                <w:u w:val="single"/>
              </w:rPr>
              <w:t>生产厂房1#</w:t>
            </w:r>
          </w:p>
        </w:tc>
        <w:tc>
          <w:tcPr>
            <w:tcW w:w="3354" w:type="pct"/>
            <w:gridSpan w:val="2"/>
            <w:tcBorders>
              <w:tl2br w:val="nil"/>
              <w:tr2bl w:val="nil"/>
            </w:tcBorders>
            <w:vAlign w:val="center"/>
          </w:tcPr>
          <w:p>
            <w:pPr>
              <w:widowControl/>
              <w:adjustRightInd w:val="0"/>
              <w:snapToGrid w:val="0"/>
              <w:spacing w:before="0" w:after="0" w:line="240" w:lineRule="auto"/>
              <w:ind w:left="0" w:leftChars="0" w:right="0" w:firstLine="0" w:firstLineChars="0"/>
              <w:jc w:val="center"/>
              <w:rPr>
                <w:rFonts w:hint="default" w:ascii="Times New Roman" w:hAnsi="Times New Roman" w:eastAsia="宋体" w:cs="Times New Roman"/>
                <w:kern w:val="0"/>
                <w:sz w:val="21"/>
                <w:szCs w:val="21"/>
                <w:u w:val="single"/>
                <w:lang w:val="en-US" w:eastAsia="zh-CN" w:bidi="ar-SA"/>
              </w:rPr>
            </w:pPr>
            <w:r>
              <w:rPr>
                <w:rFonts w:hint="default" w:ascii="Times New Roman" w:hAnsi="Times New Roman" w:eastAsia="宋体" w:cs="Times New Roman"/>
                <w:kern w:val="0"/>
                <w:sz w:val="21"/>
                <w:szCs w:val="21"/>
                <w:u w:val="single"/>
                <w:lang w:val="en-US" w:eastAsia="zh-CN" w:bidi="ar-SA"/>
              </w:rPr>
              <w:t>位于厂区西南处，建筑面积为11386m</w:t>
            </w:r>
            <w:r>
              <w:rPr>
                <w:rFonts w:hint="default" w:ascii="Times New Roman" w:hAnsi="Times New Roman" w:eastAsia="宋体" w:cs="Times New Roman"/>
                <w:kern w:val="0"/>
                <w:sz w:val="21"/>
                <w:szCs w:val="21"/>
                <w:u w:val="single"/>
                <w:vertAlign w:val="superscript"/>
                <w:lang w:val="en-US" w:eastAsia="zh-CN" w:bidi="ar-SA"/>
              </w:rPr>
              <w:t>2</w:t>
            </w:r>
            <w:r>
              <w:rPr>
                <w:rFonts w:hint="default" w:ascii="Times New Roman" w:hAnsi="Times New Roman" w:eastAsia="宋体" w:cs="Times New Roman"/>
                <w:kern w:val="0"/>
                <w:sz w:val="21"/>
                <w:szCs w:val="21"/>
                <w:u w:val="single"/>
                <w:lang w:val="en-US" w:eastAsia="zh-CN" w:bidi="ar-SA"/>
              </w:rPr>
              <w:t>，用于饮用水的生产制备和吹瓶以及饮用水的灌瓶和灌桶。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生产厂房2#</w:t>
            </w:r>
          </w:p>
        </w:tc>
        <w:tc>
          <w:tcPr>
            <w:tcW w:w="3354" w:type="pct"/>
            <w:gridSpan w:val="2"/>
            <w:tcBorders>
              <w:tl2br w:val="nil"/>
              <w:tr2bl w:val="nil"/>
            </w:tcBorders>
            <w:vAlign w:val="center"/>
          </w:tcPr>
          <w:p>
            <w:pPr>
              <w:widowControl/>
              <w:adjustRightInd w:val="0"/>
              <w:snapToGrid w:val="0"/>
              <w:spacing w:before="0" w:after="0" w:line="240" w:lineRule="auto"/>
              <w:ind w:left="0" w:leftChars="0" w:right="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位于厂区的东北处，建筑面积为11240m</w:t>
            </w:r>
            <w:r>
              <w:rPr>
                <w:rFonts w:hint="default" w:ascii="Times New Roman" w:hAnsi="Times New Roman" w:eastAsia="宋体" w:cs="Times New Roman"/>
                <w:kern w:val="0"/>
                <w:sz w:val="21"/>
                <w:szCs w:val="21"/>
                <w:vertAlign w:val="superscript"/>
                <w:lang w:val="en-US" w:eastAsia="zh-CN" w:bidi="ar-SA"/>
              </w:rPr>
              <w:t>2</w:t>
            </w:r>
            <w:r>
              <w:rPr>
                <w:rFonts w:hint="default" w:ascii="Times New Roman" w:hAnsi="Times New Roman" w:eastAsia="宋体" w:cs="Times New Roman"/>
                <w:kern w:val="0"/>
                <w:sz w:val="21"/>
                <w:szCs w:val="21"/>
                <w:lang w:val="en-US" w:eastAsia="zh-CN" w:bidi="ar-SA"/>
              </w:rPr>
              <w:t>，用于饮用水的生产和制备。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color w:val="000000"/>
                <w:kern w:val="0"/>
                <w:sz w:val="21"/>
                <w:szCs w:val="21"/>
              </w:rPr>
              <w:t>取水井</w:t>
            </w:r>
          </w:p>
        </w:tc>
        <w:tc>
          <w:tcPr>
            <w:tcW w:w="3354" w:type="pct"/>
            <w:gridSpan w:val="2"/>
            <w:tcBorders>
              <w:tl2br w:val="nil"/>
              <w:tr2bl w:val="nil"/>
            </w:tcBorders>
            <w:vAlign w:val="center"/>
          </w:tcPr>
          <w:p>
            <w:pPr>
              <w:widowControl/>
              <w:adjustRightInd w:val="0"/>
              <w:snapToGrid w:val="0"/>
              <w:spacing w:before="0" w:after="0" w:line="240" w:lineRule="auto"/>
              <w:ind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共设置4个取水井，源水用不锈钢潜水泵抽取，水井周围设三级卫生防护区，严格保护区范围以4#矿泉井为中心，半径15米内，与取水无关人员不得入内，消除一切可以导致水源污染的因素；保护区要求四周设立防护网，警示性、宣传性标牌，并盖有井房。限制区：在水源不小于30米范围内，无渗水坑、厕所、废渣及堆放垃圾或铺设污水管道，无破坏水源地水文地质条件的活动。检察区范围为水源上游600米，下游200米，旁侧100-300米范围内，长期检查，保证无垃圾、有毒有害废弃物堆放场，保护水源地的补给水源的水质和水量，使水源免受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80" w:type="pct"/>
            <w:vMerge w:val="restar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辅助工程</w:t>
            </w: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实验室</w:t>
            </w:r>
          </w:p>
        </w:tc>
        <w:tc>
          <w:tcPr>
            <w:tcW w:w="3354" w:type="pct"/>
            <w:gridSpan w:val="2"/>
            <w:tcBorders>
              <w:tl2br w:val="nil"/>
              <w:tr2bl w:val="nil"/>
            </w:tcBorders>
            <w:vAlign w:val="center"/>
          </w:tcPr>
          <w:p>
            <w:pPr>
              <w:widowControl/>
              <w:adjustRightInd w:val="0"/>
              <w:snapToGrid w:val="0"/>
              <w:spacing w:before="0" w:after="0" w:line="240" w:lineRule="auto"/>
              <w:ind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用于研发和检验水质是否能达到产品的标准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eastAsia="宋体" w:cs="Times New Roman"/>
                <w:snapToGrid/>
                <w:kern w:val="0"/>
                <w:sz w:val="21"/>
                <w:szCs w:val="21"/>
                <w:lang w:eastAsia="zh-CN"/>
              </w:rPr>
            </w:pPr>
            <w:r>
              <w:rPr>
                <w:rFonts w:hint="default" w:ascii="Times New Roman" w:hAnsi="Times New Roman" w:cs="Times New Roman"/>
                <w:snapToGrid/>
                <w:kern w:val="0"/>
                <w:sz w:val="21"/>
                <w:szCs w:val="21"/>
                <w:lang w:val="en-US" w:eastAsia="zh-CN"/>
              </w:rPr>
              <w:t>办公室</w:t>
            </w:r>
          </w:p>
        </w:tc>
        <w:tc>
          <w:tcPr>
            <w:tcW w:w="3354" w:type="pct"/>
            <w:gridSpan w:val="2"/>
            <w:tcBorders>
              <w:tl2br w:val="nil"/>
              <w:tr2bl w:val="nil"/>
            </w:tcBorders>
            <w:vAlign w:val="center"/>
          </w:tcPr>
          <w:p>
            <w:pPr>
              <w:widowControl/>
              <w:adjustRightInd w:val="0"/>
              <w:snapToGrid w:val="0"/>
              <w:spacing w:before="0" w:after="0" w:line="240" w:lineRule="auto"/>
              <w:ind w:right="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用于员工办公生活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restar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储运工程</w:t>
            </w: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成品仓库1</w:t>
            </w:r>
          </w:p>
        </w:tc>
        <w:tc>
          <w:tcPr>
            <w:tcW w:w="3354" w:type="pct"/>
            <w:gridSpan w:val="2"/>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位于厂区的东侧，建筑面积为6519m</w:t>
            </w:r>
            <w:r>
              <w:rPr>
                <w:rFonts w:hint="default" w:ascii="Times New Roman" w:hAnsi="Times New Roman" w:cs="Times New Roman"/>
                <w:snapToGrid/>
                <w:kern w:val="0"/>
                <w:sz w:val="21"/>
                <w:szCs w:val="21"/>
                <w:vertAlign w:val="superscript"/>
              </w:rPr>
              <w:t>2</w:t>
            </w:r>
            <w:r>
              <w:rPr>
                <w:rFonts w:hint="default" w:ascii="Times New Roman" w:hAnsi="Times New Roman" w:cs="Times New Roman"/>
                <w:snapToGrid/>
                <w:kern w:val="0"/>
                <w:sz w:val="21"/>
                <w:szCs w:val="21"/>
              </w:rPr>
              <w:t>，用于暂存项目产品。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成品仓库2及原料库</w:t>
            </w:r>
          </w:p>
        </w:tc>
        <w:tc>
          <w:tcPr>
            <w:tcW w:w="3354" w:type="pct"/>
            <w:gridSpan w:val="2"/>
            <w:tcBorders>
              <w:tl2br w:val="nil"/>
              <w:tr2bl w:val="nil"/>
            </w:tcBorders>
            <w:vAlign w:val="center"/>
          </w:tcPr>
          <w:p>
            <w:pPr>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位于厂区的东南侧，建筑面积共计6519m</w:t>
            </w:r>
            <w:r>
              <w:rPr>
                <w:rFonts w:hint="default" w:ascii="Times New Roman" w:hAnsi="Times New Roman" w:cs="Times New Roman"/>
                <w:snapToGrid/>
                <w:kern w:val="0"/>
                <w:sz w:val="21"/>
                <w:szCs w:val="21"/>
                <w:vertAlign w:val="superscript"/>
              </w:rPr>
              <w:t>2</w:t>
            </w:r>
            <w:r>
              <w:rPr>
                <w:rFonts w:hint="default" w:ascii="Times New Roman" w:hAnsi="Times New Roman" w:cs="Times New Roman"/>
                <w:snapToGrid/>
                <w:kern w:val="0"/>
                <w:sz w:val="21"/>
                <w:szCs w:val="21"/>
              </w:rPr>
              <w:t>，仓库隔开有分为成品仓库和原料库，原料库主要暂存项目的原料。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restar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公用</w:t>
            </w:r>
          </w:p>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工程</w:t>
            </w: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给水</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用水由自备水井提供</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color w:val="000000"/>
                <w:kern w:val="2"/>
                <w:sz w:val="21"/>
                <w:szCs w:val="21"/>
                <w:u w:val="single"/>
              </w:rPr>
            </w:pPr>
            <w:r>
              <w:rPr>
                <w:rFonts w:hint="default" w:ascii="Times New Roman" w:hAnsi="Times New Roman" w:cs="Times New Roman"/>
                <w:snapToGrid/>
                <w:color w:val="000000"/>
                <w:kern w:val="2"/>
                <w:sz w:val="21"/>
                <w:szCs w:val="21"/>
                <w:u w:val="single"/>
              </w:rPr>
              <w:t>排水</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color w:val="000000"/>
                <w:kern w:val="2"/>
                <w:sz w:val="21"/>
                <w:szCs w:val="21"/>
                <w:u w:val="single"/>
              </w:rPr>
            </w:pPr>
            <w:r>
              <w:rPr>
                <w:rFonts w:hint="default" w:ascii="Times New Roman" w:hAnsi="Times New Roman" w:cs="Times New Roman"/>
                <w:snapToGrid/>
                <w:color w:val="000000"/>
                <w:kern w:val="2"/>
                <w:sz w:val="21"/>
                <w:szCs w:val="21"/>
                <w:u w:val="single"/>
              </w:rPr>
              <w:t>本项目进行雨污分流，</w:t>
            </w:r>
            <w:r>
              <w:rPr>
                <w:rFonts w:hint="default" w:ascii="Times New Roman" w:hAnsi="Times New Roman" w:cs="Times New Roman"/>
                <w:snapToGrid/>
                <w:color w:val="000000"/>
                <w:kern w:val="2"/>
                <w:sz w:val="21"/>
                <w:szCs w:val="21"/>
                <w:u w:val="single"/>
                <w:lang w:val="en-US" w:eastAsia="zh-CN"/>
              </w:rPr>
              <w:t>项目生产区生活废水经化粪池处理后用于农肥不外排，项目营运期</w:t>
            </w:r>
            <w:r>
              <w:rPr>
                <w:rFonts w:hint="default" w:ascii="Times New Roman" w:hAnsi="Times New Roman" w:cs="Times New Roman"/>
                <w:sz w:val="21"/>
                <w:szCs w:val="21"/>
                <w:u w:val="single"/>
                <w:lang w:val="en-US" w:eastAsia="zh-CN"/>
              </w:rPr>
              <w:t>设备清洗废水</w:t>
            </w:r>
            <w:r>
              <w:rPr>
                <w:rFonts w:hint="default" w:ascii="Times New Roman" w:hAnsi="Times New Roman" w:cs="Times New Roman"/>
                <w:sz w:val="21"/>
                <w:szCs w:val="21"/>
                <w:u w:val="single"/>
              </w:rPr>
              <w:t>、车间清洁废水、</w:t>
            </w:r>
            <w:r>
              <w:rPr>
                <w:rFonts w:hint="default" w:ascii="Times New Roman" w:hAnsi="Times New Roman" w:cs="Times New Roman"/>
                <w:sz w:val="21"/>
                <w:szCs w:val="21"/>
                <w:u w:val="single"/>
                <w:lang w:val="en-US" w:eastAsia="zh-CN"/>
              </w:rPr>
              <w:t>实验室纯水制备废水经“</w:t>
            </w:r>
            <w:r>
              <w:rPr>
                <w:rFonts w:hint="default" w:ascii="Times New Roman" w:hAnsi="Times New Roman" w:cs="Times New Roman"/>
                <w:bCs/>
                <w:color w:val="000000" w:themeColor="text1"/>
                <w:sz w:val="21"/>
                <w:szCs w:val="21"/>
                <w:u w:val="single"/>
                <w14:textFill>
                  <w14:solidFill>
                    <w14:schemeClr w14:val="tx1"/>
                  </w14:solidFill>
                </w14:textFill>
              </w:rPr>
              <w:t>格栅→调节池→初沉池→A级生物滤池→O级生物滤池→二沉池→</w:t>
            </w:r>
            <w:r>
              <w:rPr>
                <w:rFonts w:hint="default" w:ascii="Times New Roman" w:hAnsi="Times New Roman" w:cs="Times New Roman"/>
                <w:bCs/>
                <w:color w:val="000000" w:themeColor="text1"/>
                <w:sz w:val="21"/>
                <w:szCs w:val="21"/>
                <w:u w:val="single"/>
                <w:lang w:val="en-US" w:eastAsia="zh-CN"/>
                <w14:textFill>
                  <w14:solidFill>
                    <w14:schemeClr w14:val="tx1"/>
                  </w14:solidFill>
                </w14:textFill>
              </w:rPr>
              <w:t>出水</w:t>
            </w:r>
            <w:r>
              <w:rPr>
                <w:rFonts w:hint="default" w:ascii="Times New Roman" w:hAnsi="Times New Roman" w:cs="Times New Roman"/>
                <w:sz w:val="21"/>
                <w:szCs w:val="21"/>
                <w:u w:val="single"/>
                <w:lang w:val="en-US" w:eastAsia="zh-CN"/>
              </w:rPr>
              <w:t>”</w:t>
            </w:r>
            <w:r>
              <w:rPr>
                <w:rFonts w:hint="default" w:ascii="Times New Roman" w:hAnsi="Times New Roman" w:cs="Times New Roman"/>
                <w:snapToGrid/>
                <w:color w:val="000000"/>
                <w:kern w:val="2"/>
                <w:sz w:val="21"/>
                <w:szCs w:val="21"/>
                <w:u w:val="single"/>
                <w:lang w:val="en-US" w:eastAsia="zh-CN"/>
              </w:rPr>
              <w:t>处理后</w:t>
            </w:r>
            <w:r>
              <w:rPr>
                <w:rFonts w:hint="default" w:ascii="Times New Roman" w:hAnsi="Times New Roman" w:cs="Times New Roman"/>
                <w:snapToGrid/>
                <w:color w:val="000000"/>
                <w:kern w:val="2"/>
                <w:sz w:val="21"/>
                <w:szCs w:val="21"/>
                <w:u w:val="single"/>
              </w:rPr>
              <w:t>达到《污水综合排放标准》（GB8978-1996）标准中的一级标准要求，</w:t>
            </w:r>
            <w:r>
              <w:rPr>
                <w:rFonts w:hint="default" w:ascii="Times New Roman" w:hAnsi="Times New Roman" w:cs="Times New Roman"/>
                <w:bCs/>
                <w:snapToGrid/>
                <w:color w:val="000000"/>
                <w:kern w:val="2"/>
                <w:sz w:val="21"/>
                <w:szCs w:val="21"/>
                <w:u w:val="single"/>
              </w:rPr>
              <w:t>排入项目</w:t>
            </w:r>
            <w:r>
              <w:rPr>
                <w:rFonts w:hint="default" w:ascii="Times New Roman" w:hAnsi="Times New Roman" w:cs="Times New Roman"/>
                <w:bCs/>
                <w:snapToGrid/>
                <w:color w:val="000000"/>
                <w:kern w:val="2"/>
                <w:sz w:val="21"/>
                <w:szCs w:val="21"/>
                <w:u w:val="single"/>
                <w:lang w:val="en-US" w:eastAsia="zh-CN"/>
              </w:rPr>
              <w:t>西北侧的无名小溪</w:t>
            </w:r>
            <w:r>
              <w:rPr>
                <w:rFonts w:hint="default" w:ascii="Times New Roman" w:hAnsi="Times New Roman" w:cs="Times New Roman"/>
                <w:bCs/>
                <w:snapToGrid/>
                <w:color w:val="000000"/>
                <w:kern w:val="2"/>
                <w:sz w:val="21"/>
                <w:szCs w:val="21"/>
                <w:u w:val="single"/>
              </w:rPr>
              <w:t>，之后汇入桃花江西干渠，汇入桃花江。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配电</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用电由市政电网供电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消防系统</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按防火规范要求设置的消防给水系统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restart"/>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环保</w:t>
            </w:r>
          </w:p>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r>
              <w:rPr>
                <w:rFonts w:hint="default" w:ascii="Times New Roman" w:hAnsi="Times New Roman" w:cs="Times New Roman"/>
                <w:snapToGrid/>
                <w:kern w:val="0"/>
                <w:sz w:val="21"/>
                <w:szCs w:val="21"/>
              </w:rPr>
              <w:t>工程</w:t>
            </w: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废水</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color w:val="000000"/>
                <w:kern w:val="2"/>
                <w:sz w:val="21"/>
                <w:szCs w:val="21"/>
                <w:u w:val="single"/>
              </w:rPr>
              <w:t>本项目进行雨污分流，</w:t>
            </w:r>
            <w:r>
              <w:rPr>
                <w:rFonts w:hint="default" w:ascii="Times New Roman" w:hAnsi="Times New Roman" w:cs="Times New Roman"/>
                <w:snapToGrid/>
                <w:color w:val="000000"/>
                <w:kern w:val="2"/>
                <w:sz w:val="21"/>
                <w:szCs w:val="21"/>
                <w:u w:val="single"/>
                <w:lang w:val="en-US" w:eastAsia="zh-CN"/>
              </w:rPr>
              <w:t>项目生产区生活废水经化粪池处理后用于农肥不外排，项目营运期</w:t>
            </w:r>
            <w:r>
              <w:rPr>
                <w:rFonts w:hint="default" w:ascii="Times New Roman" w:hAnsi="Times New Roman" w:cs="Times New Roman"/>
                <w:sz w:val="21"/>
                <w:szCs w:val="21"/>
                <w:u w:val="single"/>
                <w:lang w:val="en-US" w:eastAsia="zh-CN"/>
              </w:rPr>
              <w:t>设备清洗废水</w:t>
            </w:r>
            <w:r>
              <w:rPr>
                <w:rFonts w:hint="default" w:ascii="Times New Roman" w:hAnsi="Times New Roman" w:cs="Times New Roman"/>
                <w:sz w:val="21"/>
                <w:szCs w:val="21"/>
                <w:u w:val="single"/>
              </w:rPr>
              <w:t>、车间清洁废水、</w:t>
            </w:r>
            <w:r>
              <w:rPr>
                <w:rFonts w:hint="default" w:ascii="Times New Roman" w:hAnsi="Times New Roman" w:cs="Times New Roman"/>
                <w:sz w:val="21"/>
                <w:szCs w:val="21"/>
                <w:u w:val="single"/>
                <w:lang w:val="en-US" w:eastAsia="zh-CN"/>
              </w:rPr>
              <w:t>实验室纯水制备废水经“</w:t>
            </w:r>
            <w:r>
              <w:rPr>
                <w:rFonts w:hint="default" w:ascii="Times New Roman" w:hAnsi="Times New Roman" w:cs="Times New Roman"/>
                <w:bCs/>
                <w:color w:val="000000" w:themeColor="text1"/>
                <w:sz w:val="21"/>
                <w:szCs w:val="21"/>
                <w:u w:val="single"/>
                <w14:textFill>
                  <w14:solidFill>
                    <w14:schemeClr w14:val="tx1"/>
                  </w14:solidFill>
                </w14:textFill>
              </w:rPr>
              <w:t>格栅→调节池→初沉池→A级生物滤池→O级生物滤池→二沉池→</w:t>
            </w:r>
            <w:r>
              <w:rPr>
                <w:rFonts w:hint="default" w:ascii="Times New Roman" w:hAnsi="Times New Roman" w:cs="Times New Roman"/>
                <w:bCs/>
                <w:color w:val="000000" w:themeColor="text1"/>
                <w:sz w:val="21"/>
                <w:szCs w:val="21"/>
                <w:u w:val="single"/>
                <w:lang w:val="en-US" w:eastAsia="zh-CN"/>
                <w14:textFill>
                  <w14:solidFill>
                    <w14:schemeClr w14:val="tx1"/>
                  </w14:solidFill>
                </w14:textFill>
              </w:rPr>
              <w:t>出水</w:t>
            </w:r>
            <w:r>
              <w:rPr>
                <w:rFonts w:hint="default" w:ascii="Times New Roman" w:hAnsi="Times New Roman" w:cs="Times New Roman"/>
                <w:sz w:val="21"/>
                <w:szCs w:val="21"/>
                <w:u w:val="single"/>
                <w:lang w:val="en-US" w:eastAsia="zh-CN"/>
              </w:rPr>
              <w:t>”</w:t>
            </w:r>
            <w:r>
              <w:rPr>
                <w:rFonts w:hint="default" w:ascii="Times New Roman" w:hAnsi="Times New Roman" w:cs="Times New Roman"/>
                <w:snapToGrid/>
                <w:color w:val="000000"/>
                <w:kern w:val="2"/>
                <w:sz w:val="21"/>
                <w:szCs w:val="21"/>
                <w:u w:val="single"/>
                <w:lang w:val="en-US" w:eastAsia="zh-CN"/>
              </w:rPr>
              <w:t>处理后</w:t>
            </w:r>
            <w:r>
              <w:rPr>
                <w:rFonts w:hint="default" w:ascii="Times New Roman" w:hAnsi="Times New Roman" w:cs="Times New Roman"/>
                <w:snapToGrid/>
                <w:color w:val="000000"/>
                <w:kern w:val="2"/>
                <w:sz w:val="21"/>
                <w:szCs w:val="21"/>
                <w:u w:val="single"/>
              </w:rPr>
              <w:t>达到《污水综合排放标准》（GB8978-1996）标准中的一级标准要求，</w:t>
            </w:r>
            <w:r>
              <w:rPr>
                <w:rFonts w:hint="default" w:ascii="Times New Roman" w:hAnsi="Times New Roman" w:cs="Times New Roman"/>
                <w:bCs/>
                <w:snapToGrid/>
                <w:color w:val="000000"/>
                <w:kern w:val="2"/>
                <w:sz w:val="21"/>
                <w:szCs w:val="21"/>
                <w:u w:val="single"/>
              </w:rPr>
              <w:t>排入项目</w:t>
            </w:r>
            <w:r>
              <w:rPr>
                <w:rFonts w:hint="default" w:ascii="Times New Roman" w:hAnsi="Times New Roman" w:cs="Times New Roman"/>
                <w:bCs/>
                <w:snapToGrid/>
                <w:color w:val="000000"/>
                <w:kern w:val="2"/>
                <w:sz w:val="21"/>
                <w:szCs w:val="21"/>
                <w:u w:val="single"/>
                <w:lang w:val="en-US" w:eastAsia="zh-CN"/>
              </w:rPr>
              <w:t>西北侧的无名小溪</w:t>
            </w:r>
            <w:r>
              <w:rPr>
                <w:rFonts w:hint="default" w:ascii="Times New Roman" w:hAnsi="Times New Roman" w:cs="Times New Roman"/>
                <w:bCs/>
                <w:snapToGrid/>
                <w:color w:val="000000"/>
                <w:kern w:val="2"/>
                <w:sz w:val="21"/>
                <w:szCs w:val="21"/>
                <w:u w:val="single"/>
              </w:rPr>
              <w:t>，之后汇入桃花江西干渠，汇入桃花江。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废气</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吹瓶有机废气采用UV光解+活性炭吸附处理后由15m高排气筒排放，其他废气以无组织形式排放。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噪声</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低噪声、先进设备、基础减振、隔声、绿化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eastAsia="宋体" w:cs="Times New Roman"/>
                <w:snapToGrid/>
                <w:kern w:val="2"/>
                <w:sz w:val="21"/>
                <w:szCs w:val="21"/>
                <w:lang w:val="en-US" w:eastAsia="zh-CN"/>
              </w:rPr>
            </w:pPr>
            <w:r>
              <w:rPr>
                <w:rFonts w:hint="default" w:ascii="Times New Roman" w:hAnsi="Times New Roman" w:cs="Times New Roman"/>
                <w:snapToGrid/>
                <w:kern w:val="2"/>
                <w:sz w:val="21"/>
                <w:szCs w:val="21"/>
                <w:lang w:val="en-US" w:eastAsia="zh-CN"/>
              </w:rPr>
              <w:t>地下水</w:t>
            </w:r>
          </w:p>
        </w:tc>
        <w:tc>
          <w:tcPr>
            <w:tcW w:w="3354" w:type="pct"/>
            <w:gridSpan w:val="2"/>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eastAsia="宋体" w:cs="Times New Roman"/>
                <w:snapToGrid/>
                <w:kern w:val="2"/>
                <w:sz w:val="21"/>
                <w:szCs w:val="21"/>
                <w:lang w:val="en-US" w:eastAsia="zh-CN"/>
              </w:rPr>
            </w:pPr>
            <w:r>
              <w:rPr>
                <w:rFonts w:hint="default" w:ascii="Times New Roman" w:hAnsi="Times New Roman" w:cs="Times New Roman"/>
                <w:snapToGrid/>
                <w:kern w:val="2"/>
                <w:sz w:val="21"/>
                <w:szCs w:val="21"/>
                <w:lang w:val="en-US" w:eastAsia="zh-CN"/>
              </w:rPr>
              <w:t>本项目井口周围采取止水、井口加盖密封、井口周边地面硬化等措施，减少对地下水的污染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vMerge w:val="restar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固废</w:t>
            </w:r>
          </w:p>
        </w:tc>
        <w:tc>
          <w:tcPr>
            <w:tcW w:w="82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生活垃圾</w:t>
            </w:r>
          </w:p>
        </w:tc>
        <w:tc>
          <w:tcPr>
            <w:tcW w:w="2528"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生活垃圾交由环卫部门统一清运处理。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vMerge w:val="continue"/>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p>
        </w:tc>
        <w:tc>
          <w:tcPr>
            <w:tcW w:w="82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一般固体废物</w:t>
            </w:r>
          </w:p>
        </w:tc>
        <w:tc>
          <w:tcPr>
            <w:tcW w:w="2528"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暂存于一般固废暂存间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680" w:type="pct"/>
            <w:vMerge w:val="continue"/>
            <w:tcBorders>
              <w:tl2br w:val="nil"/>
              <w:tr2bl w:val="nil"/>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snapToGrid/>
                <w:kern w:val="0"/>
                <w:sz w:val="21"/>
                <w:szCs w:val="21"/>
              </w:rPr>
            </w:pPr>
          </w:p>
        </w:tc>
        <w:tc>
          <w:tcPr>
            <w:tcW w:w="965" w:type="pct"/>
            <w:vMerge w:val="continue"/>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p>
        </w:tc>
        <w:tc>
          <w:tcPr>
            <w:tcW w:w="825"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危险废物</w:t>
            </w:r>
          </w:p>
        </w:tc>
        <w:tc>
          <w:tcPr>
            <w:tcW w:w="2528" w:type="pct"/>
            <w:tcBorders>
              <w:tl2br w:val="nil"/>
              <w:tr2bl w:val="nil"/>
            </w:tcBorders>
            <w:vAlign w:val="center"/>
          </w:tcPr>
          <w:p>
            <w:pPr>
              <w:widowControl/>
              <w:adjustRightInd w:val="0"/>
              <w:snapToGrid w:val="0"/>
              <w:spacing w:line="240" w:lineRule="auto"/>
              <w:ind w:firstLine="0" w:firstLineChars="0"/>
              <w:jc w:val="center"/>
              <w:rPr>
                <w:rFonts w:hint="default" w:ascii="Times New Roman" w:hAnsi="Times New Roman" w:cs="Times New Roman"/>
                <w:snapToGrid/>
                <w:kern w:val="2"/>
                <w:sz w:val="21"/>
                <w:szCs w:val="21"/>
              </w:rPr>
            </w:pPr>
            <w:r>
              <w:rPr>
                <w:rFonts w:hint="default" w:ascii="Times New Roman" w:hAnsi="Times New Roman" w:cs="Times New Roman"/>
                <w:snapToGrid/>
                <w:kern w:val="2"/>
                <w:sz w:val="21"/>
                <w:szCs w:val="21"/>
              </w:rPr>
              <w:t>存于危险废物暂存间后，定期交由有资质单位进行处理。</w:t>
            </w:r>
          </w:p>
        </w:tc>
      </w:tr>
    </w:tbl>
    <w:p>
      <w:pPr>
        <w:pStyle w:val="103"/>
        <w:spacing w:before="0" w:line="360" w:lineRule="auto"/>
        <w:ind w:right="0" w:firstLine="480"/>
        <w:rPr>
          <w:rFonts w:hint="default" w:eastAsia="宋体"/>
          <w:color w:val="000000" w:themeColor="text1"/>
          <w:u w:val="single"/>
          <w:lang w:val="en-US" w:eastAsia="zh-CN"/>
          <w14:textFill>
            <w14:solidFill>
              <w14:schemeClr w14:val="tx1"/>
            </w14:solidFill>
          </w14:textFill>
        </w:rPr>
      </w:pPr>
      <w:r>
        <w:rPr>
          <w:rFonts w:hint="default"/>
          <w:color w:val="000000" w:themeColor="text1"/>
          <w:u w:val="single"/>
          <w14:textFill>
            <w14:solidFill>
              <w14:schemeClr w14:val="tx1"/>
            </w14:solidFill>
          </w14:textFill>
        </w:rPr>
        <w:t>本项目饮用水水源类型为地下水，项目有开采井4口，其地理坐标、井深、井口高程详细见下表所示。</w:t>
      </w:r>
      <w:r>
        <w:rPr>
          <w:rFonts w:hint="eastAsia"/>
          <w:color w:val="000000" w:themeColor="text1"/>
          <w:u w:val="single"/>
          <w:lang w:val="en-US" w:eastAsia="zh-CN"/>
          <w14:textFill>
            <w14:solidFill>
              <w14:schemeClr w14:val="tx1"/>
            </w14:solidFill>
          </w14:textFill>
        </w:rPr>
        <w:t>本</w:t>
      </w:r>
      <w:r>
        <w:rPr>
          <w:rFonts w:hint="default"/>
          <w:color w:val="000000" w:themeColor="text1"/>
          <w:u w:val="single"/>
          <w:lang w:val="en-US" w:eastAsia="zh-CN"/>
          <w14:textFill>
            <w14:solidFill>
              <w14:schemeClr w14:val="tx1"/>
            </w14:solidFill>
          </w14:textFill>
        </w:rPr>
        <w:t>项目开采区的井水</w:t>
      </w:r>
      <w:r>
        <w:rPr>
          <w:rFonts w:hint="eastAsia" w:ascii="Times New Roman" w:hAnsi="Times New Roman" w:cs="Times New Roman"/>
          <w:color w:val="000000" w:themeColor="text1"/>
          <w:u w:val="single"/>
          <w:lang w:val="en-US" w:eastAsia="zh-CN"/>
          <w14:textFill>
            <w14:solidFill>
              <w14:schemeClr w14:val="tx1"/>
            </w14:solidFill>
          </w14:textFill>
        </w:rPr>
        <w:t>可</w:t>
      </w:r>
      <w:r>
        <w:rPr>
          <w:rFonts w:hint="default"/>
          <w:color w:val="000000" w:themeColor="text1"/>
          <w:u w:val="single"/>
          <w:lang w:val="en-US" w:eastAsia="zh-CN"/>
          <w14:textFill>
            <w14:solidFill>
              <w14:schemeClr w14:val="tx1"/>
            </w14:solidFill>
          </w14:textFill>
        </w:rPr>
        <w:t>满足《生活饮用水卫生标准》（GB5749-2006</w:t>
      </w:r>
      <w:r>
        <w:rPr>
          <w:rFonts w:hint="eastAsia"/>
          <w:color w:val="000000" w:themeColor="text1"/>
          <w:u w:val="single"/>
          <w:lang w:val="en-US" w:eastAsia="zh-CN"/>
          <w14:textFill>
            <w14:solidFill>
              <w14:schemeClr w14:val="tx1"/>
            </w14:solidFill>
          </w14:textFill>
        </w:rPr>
        <w:t>）</w:t>
      </w:r>
      <w:r>
        <w:rPr>
          <w:rFonts w:hint="default"/>
          <w:color w:val="000000" w:themeColor="text1"/>
          <w:u w:val="single"/>
          <w:lang w:val="en-US" w:eastAsia="zh-CN"/>
          <w14:textFill>
            <w14:solidFill>
              <w14:schemeClr w14:val="tx1"/>
            </w14:solidFill>
          </w14:textFill>
        </w:rPr>
        <w:t>中人居饮用水质量要求，项目用水工艺符合国家规范要求，用水工艺适宜。</w:t>
      </w:r>
    </w:p>
    <w:p>
      <w:pPr>
        <w:pStyle w:val="56"/>
        <w:bidi w:val="0"/>
        <w:ind w:left="960" w:leftChars="0" w:firstLineChars="0"/>
        <w:rPr>
          <w:rFonts w:hint="eastAsia"/>
          <w:lang w:val="en-US" w:eastAsia="zh-CN"/>
        </w:rPr>
      </w:pPr>
      <w:r>
        <w:rPr>
          <w:rFonts w:hint="eastAsia"/>
          <w:lang w:val="en-US" w:eastAsia="zh-CN"/>
        </w:rPr>
        <w:t>项目饮用水水源地各开采井详细情况一览表</w:t>
      </w:r>
    </w:p>
    <w:tbl>
      <w:tblPr>
        <w:tblStyle w:val="40"/>
        <w:tblW w:w="5000" w:type="pct"/>
        <w:tblInd w:w="-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481"/>
        <w:gridCol w:w="867"/>
        <w:gridCol w:w="479"/>
        <w:gridCol w:w="1405"/>
        <w:gridCol w:w="1296"/>
        <w:gridCol w:w="867"/>
        <w:gridCol w:w="1630"/>
        <w:gridCol w:w="173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0" w:type="pct"/>
            <w:gridSpan w:val="2"/>
            <w:vMerge w:val="restar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开采井编号</w:t>
            </w:r>
          </w:p>
        </w:tc>
        <w:tc>
          <w:tcPr>
            <w:tcW w:w="469" w:type="pct"/>
            <w:vMerge w:val="restar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井深（m）</w:t>
            </w:r>
          </w:p>
        </w:tc>
        <w:tc>
          <w:tcPr>
            <w:tcW w:w="259" w:type="pct"/>
            <w:vMerge w:val="restar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椭球高</w:t>
            </w:r>
          </w:p>
        </w:tc>
        <w:tc>
          <w:tcPr>
            <w:tcW w:w="3752" w:type="pct"/>
            <w:gridSpan w:val="5"/>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2000国家大地坐标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0" w:type="pct"/>
            <w:gridSpan w:val="2"/>
            <w:vMerge w:val="continue"/>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p>
        </w:tc>
        <w:tc>
          <w:tcPr>
            <w:tcW w:w="469" w:type="pct"/>
            <w:vMerge w:val="continue"/>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p>
        </w:tc>
        <w:tc>
          <w:tcPr>
            <w:tcW w:w="259" w:type="pct"/>
            <w:vMerge w:val="continue"/>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p>
        </w:tc>
        <w:tc>
          <w:tcPr>
            <w:tcW w:w="7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X（m）</w:t>
            </w:r>
          </w:p>
        </w:tc>
        <w:tc>
          <w:tcPr>
            <w:tcW w:w="70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Y（m）</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Z（m）</w:t>
            </w:r>
          </w:p>
        </w:tc>
        <w:tc>
          <w:tcPr>
            <w:tcW w:w="882"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纬度</w:t>
            </w:r>
          </w:p>
        </w:tc>
        <w:tc>
          <w:tcPr>
            <w:tcW w:w="94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经度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0" w:type="pct"/>
            <w:vMerge w:val="restar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开采井</w:t>
            </w:r>
          </w:p>
        </w:tc>
        <w:tc>
          <w:tcPr>
            <w:tcW w:w="2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#1</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210</w:t>
            </w:r>
          </w:p>
        </w:tc>
        <w:tc>
          <w:tcPr>
            <w:tcW w:w="25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固定解</w:t>
            </w:r>
          </w:p>
        </w:tc>
        <w:tc>
          <w:tcPr>
            <w:tcW w:w="7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3147275.728</w:t>
            </w:r>
          </w:p>
        </w:tc>
        <w:tc>
          <w:tcPr>
            <w:tcW w:w="70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604764.325</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85.903</w:t>
            </w:r>
          </w:p>
        </w:tc>
        <w:tc>
          <w:tcPr>
            <w:tcW w:w="882"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28°26′11.207″</w:t>
            </w:r>
          </w:p>
        </w:tc>
        <w:tc>
          <w:tcPr>
            <w:tcW w:w="94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112°04′9.8335″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0" w:type="pct"/>
            <w:vMerge w:val="continue"/>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p>
        </w:tc>
        <w:tc>
          <w:tcPr>
            <w:tcW w:w="2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91</w:t>
            </w:r>
          </w:p>
        </w:tc>
        <w:tc>
          <w:tcPr>
            <w:tcW w:w="25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固定解</w:t>
            </w:r>
          </w:p>
        </w:tc>
        <w:tc>
          <w:tcPr>
            <w:tcW w:w="7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3147278.554</w:t>
            </w:r>
          </w:p>
        </w:tc>
        <w:tc>
          <w:tcPr>
            <w:tcW w:w="70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604648.534</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74.800</w:t>
            </w:r>
          </w:p>
        </w:tc>
        <w:tc>
          <w:tcPr>
            <w:tcW w:w="882"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28°26′11.333″</w:t>
            </w:r>
          </w:p>
        </w:tc>
        <w:tc>
          <w:tcPr>
            <w:tcW w:w="94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112°04′05.579″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0" w:type="pct"/>
            <w:vMerge w:val="continue"/>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p>
        </w:tc>
        <w:tc>
          <w:tcPr>
            <w:tcW w:w="2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#3</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91</w:t>
            </w:r>
          </w:p>
        </w:tc>
        <w:tc>
          <w:tcPr>
            <w:tcW w:w="25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固定解</w:t>
            </w:r>
          </w:p>
        </w:tc>
        <w:tc>
          <w:tcPr>
            <w:tcW w:w="7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3147118.203</w:t>
            </w:r>
          </w:p>
        </w:tc>
        <w:tc>
          <w:tcPr>
            <w:tcW w:w="70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604612.673</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79.633</w:t>
            </w:r>
          </w:p>
        </w:tc>
        <w:tc>
          <w:tcPr>
            <w:tcW w:w="882"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28°26′06.1356″</w:t>
            </w:r>
          </w:p>
        </w:tc>
        <w:tc>
          <w:tcPr>
            <w:tcW w:w="94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112°04′04.2087″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0" w:type="pct"/>
            <w:vMerge w:val="continue"/>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p>
        </w:tc>
        <w:tc>
          <w:tcPr>
            <w:tcW w:w="2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#4</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55</w:t>
            </w:r>
          </w:p>
        </w:tc>
        <w:tc>
          <w:tcPr>
            <w:tcW w:w="25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固定解</w:t>
            </w:r>
          </w:p>
        </w:tc>
        <w:tc>
          <w:tcPr>
            <w:tcW w:w="760"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3147290.969</w:t>
            </w:r>
          </w:p>
        </w:tc>
        <w:tc>
          <w:tcPr>
            <w:tcW w:w="70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604864.433</w:t>
            </w:r>
          </w:p>
        </w:tc>
        <w:tc>
          <w:tcPr>
            <w:tcW w:w="469"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81.651</w:t>
            </w:r>
          </w:p>
        </w:tc>
        <w:tc>
          <w:tcPr>
            <w:tcW w:w="882"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28°26′11.6724″</w:t>
            </w:r>
          </w:p>
        </w:tc>
        <w:tc>
          <w:tcPr>
            <w:tcW w:w="941" w:type="pct"/>
            <w:tcBorders>
              <w:tl2br w:val="nil"/>
              <w:tr2bl w:val="nil"/>
            </w:tcBorders>
            <w:vAlign w:val="center"/>
          </w:tcPr>
          <w:p>
            <w:pPr>
              <w:widowControl/>
              <w:adjustRightInd w:val="0"/>
              <w:snapToGrid w:val="0"/>
              <w:spacing w:before="0" w:after="0" w:line="240" w:lineRule="auto"/>
              <w:ind w:right="0" w:firstLine="0" w:firstLineChars="0"/>
              <w:jc w:val="center"/>
              <w:rPr>
                <w:rFonts w:ascii="Times New Roman" w:hAnsi="Times New Roman" w:eastAsia="宋体" w:cs="Times New Roman"/>
                <w:bCs/>
                <w:color w:val="000000"/>
                <w:kern w:val="0"/>
                <w:sz w:val="21"/>
                <w:szCs w:val="21"/>
                <w:lang w:val="en-US" w:eastAsia="zh-CN" w:bidi="ar-SA"/>
              </w:rPr>
            </w:pPr>
            <w:r>
              <w:rPr>
                <w:rFonts w:ascii="Times New Roman" w:hAnsi="Times New Roman" w:eastAsia="宋体" w:cs="Times New Roman"/>
                <w:bCs/>
                <w:color w:val="000000"/>
                <w:kern w:val="0"/>
                <w:sz w:val="21"/>
                <w:szCs w:val="21"/>
                <w:lang w:val="en-US" w:eastAsia="zh-CN" w:bidi="ar-SA"/>
              </w:rPr>
              <w:t>112°04′13.5169″</w:t>
            </w:r>
          </w:p>
        </w:tc>
      </w:tr>
    </w:tbl>
    <w:p>
      <w:pPr>
        <w:pStyle w:val="60"/>
        <w:bidi w:val="0"/>
        <w:rPr>
          <w:rFonts w:hint="eastAsia"/>
          <w:lang w:val="en-US" w:eastAsia="zh-CN"/>
        </w:rPr>
      </w:pPr>
      <w:bookmarkStart w:id="53" w:name="_Toc9333"/>
      <w:r>
        <w:rPr>
          <w:rFonts w:hint="eastAsia"/>
          <w:lang w:val="en-US" w:eastAsia="zh-CN"/>
        </w:rPr>
        <w:t>产品方案</w:t>
      </w:r>
      <w:bookmarkEnd w:id="53"/>
    </w:p>
    <w:p>
      <w:pPr>
        <w:spacing w:line="360" w:lineRule="auto"/>
        <w:ind w:firstLine="480" w:firstLineChars="200"/>
        <w:rPr>
          <w:rFonts w:hint="default"/>
          <w:sz w:val="24"/>
          <w:u w:val="single"/>
          <w:lang w:val="en-US" w:eastAsia="zh-CN"/>
        </w:rPr>
      </w:pPr>
      <w:r>
        <w:rPr>
          <w:rFonts w:hint="default"/>
          <w:color w:val="000000" w:themeColor="text1"/>
          <w:sz w:val="24"/>
          <w:u w:val="single"/>
          <w14:textFill>
            <w14:solidFill>
              <w14:schemeClr w14:val="tx1"/>
            </w14:solidFill>
          </w14:textFill>
        </w:rPr>
        <w:t>根据《</w:t>
      </w:r>
      <w:bookmarkStart w:id="54" w:name="_Toc27946"/>
      <w:r>
        <w:rPr>
          <w:rFonts w:hint="default"/>
          <w:color w:val="000000" w:themeColor="text1"/>
          <w:sz w:val="24"/>
          <w:u w:val="single"/>
          <w14:textFill>
            <w14:solidFill>
              <w14:schemeClr w14:val="tx1"/>
            </w14:solidFill>
          </w14:textFill>
        </w:rPr>
        <w:t>湖南润景景田饮用水生产项目</w:t>
      </w:r>
      <w:bookmarkEnd w:id="54"/>
      <w:bookmarkStart w:id="55" w:name="_Toc15105"/>
      <w:r>
        <w:rPr>
          <w:rFonts w:hint="default"/>
          <w:color w:val="000000" w:themeColor="text1"/>
          <w:sz w:val="24"/>
          <w:u w:val="single"/>
          <w14:textFill>
            <w14:solidFill>
              <w14:schemeClr w14:val="tx1"/>
            </w14:solidFill>
          </w14:textFill>
        </w:rPr>
        <w:t>水资源论证报告书</w:t>
      </w:r>
      <w:bookmarkEnd w:id="55"/>
      <w:r>
        <w:rPr>
          <w:rFonts w:hint="default"/>
          <w:color w:val="000000" w:themeColor="text1"/>
          <w:sz w:val="24"/>
          <w:u w:val="single"/>
          <w14:textFill>
            <w14:solidFill>
              <w14:schemeClr w14:val="tx1"/>
            </w14:solidFill>
          </w14:textFill>
        </w:rPr>
        <w:t>》（报批稿）中水资源论证申请取水规模为：日最大取水量</w:t>
      </w:r>
      <w:r>
        <w:rPr>
          <w:rFonts w:hint="eastAsia"/>
          <w:color w:val="000000" w:themeColor="text1"/>
          <w:sz w:val="24"/>
          <w:u w:val="single"/>
          <w:lang w:val="en-US" w:eastAsia="zh-CN"/>
          <w14:textFill>
            <w14:solidFill>
              <w14:schemeClr w14:val="tx1"/>
            </w14:solidFill>
          </w14:textFill>
        </w:rPr>
        <w:t>不能超过</w:t>
      </w:r>
      <w:r>
        <w:rPr>
          <w:rFonts w:hint="default"/>
          <w:color w:val="000000" w:themeColor="text1"/>
          <w:sz w:val="24"/>
          <w:u w:val="single"/>
          <w14:textFill>
            <w14:solidFill>
              <w14:schemeClr w14:val="tx1"/>
            </w14:solidFill>
          </w14:textFill>
        </w:rPr>
        <w:t>220m</w:t>
      </w:r>
      <w:r>
        <w:rPr>
          <w:rFonts w:hint="default"/>
          <w:color w:val="000000" w:themeColor="text1"/>
          <w:sz w:val="24"/>
          <w:u w:val="single"/>
          <w:vertAlign w:val="superscript"/>
          <w14:textFill>
            <w14:solidFill>
              <w14:schemeClr w14:val="tx1"/>
            </w14:solidFill>
          </w14:textFill>
        </w:rPr>
        <w:t>3</w:t>
      </w:r>
      <w:r>
        <w:rPr>
          <w:rFonts w:hint="default"/>
          <w:color w:val="000000" w:themeColor="text1"/>
          <w:sz w:val="24"/>
          <w:u w:val="single"/>
          <w14:textFill>
            <w14:solidFill>
              <w14:schemeClr w14:val="tx1"/>
            </w14:solidFill>
          </w14:textFill>
        </w:rPr>
        <w:t>/d，</w:t>
      </w:r>
      <w:r>
        <w:rPr>
          <w:rFonts w:hint="default"/>
          <w:sz w:val="24"/>
          <w:u w:val="single"/>
        </w:rPr>
        <w:t>本企业饮用水产品方案具体见下表所示。</w:t>
      </w:r>
      <w:r>
        <w:rPr>
          <w:rFonts w:hint="default"/>
          <w:sz w:val="24"/>
          <w:u w:val="single"/>
          <w:lang w:val="en-US" w:eastAsia="zh-CN"/>
        </w:rPr>
        <w:t>瓶装</w:t>
      </w:r>
      <w:r>
        <w:rPr>
          <w:rFonts w:hint="eastAsia"/>
          <w:sz w:val="24"/>
          <w:u w:val="single"/>
          <w:lang w:val="en-US" w:eastAsia="zh-CN"/>
        </w:rPr>
        <w:t>和</w:t>
      </w:r>
      <w:r>
        <w:rPr>
          <w:rFonts w:hint="default"/>
          <w:sz w:val="24"/>
          <w:u w:val="single"/>
          <w:lang w:val="en-US" w:eastAsia="zh-CN"/>
        </w:rPr>
        <w:t>桶装水主要是包装于瓶或桶内的用于饮用的水，用于个人使用和零售。根据《瓶（桶）装饮用纯净水卫生标准》（GB17324-2003）运输产品时应避免日晒雨淋。不得与有毒有害、有异味或影响产品质量的物品混装运输。</w:t>
      </w:r>
    </w:p>
    <w:p>
      <w:pPr>
        <w:pStyle w:val="56"/>
        <w:bidi w:val="0"/>
        <w:ind w:left="960" w:leftChars="0" w:firstLineChars="0"/>
        <w:rPr>
          <w:rFonts w:hint="eastAsia"/>
          <w:lang w:val="en-US" w:eastAsia="zh-CN"/>
        </w:rPr>
      </w:pPr>
      <w:r>
        <w:rPr>
          <w:rFonts w:hint="eastAsia"/>
          <w:lang w:val="en-US" w:eastAsia="zh-CN"/>
        </w:rPr>
        <w:t>产品方案一览表</w:t>
      </w:r>
    </w:p>
    <w:tbl>
      <w:tblPr>
        <w:tblStyle w:val="40"/>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4516"/>
        <w:gridCol w:w="1888"/>
        <w:gridCol w:w="1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9" w:type="pct"/>
            <w:tcBorders>
              <w:top w:val="single" w:color="auto" w:sz="12" w:space="0"/>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序号</w:t>
            </w:r>
          </w:p>
        </w:tc>
        <w:tc>
          <w:tcPr>
            <w:tcW w:w="2444" w:type="pct"/>
            <w:tcBorders>
              <w:top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产品名称</w:t>
            </w:r>
          </w:p>
        </w:tc>
        <w:tc>
          <w:tcPr>
            <w:tcW w:w="1022" w:type="pct"/>
            <w:tcBorders>
              <w:top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生产能力</w:t>
            </w:r>
          </w:p>
        </w:tc>
        <w:tc>
          <w:tcPr>
            <w:tcW w:w="995" w:type="pct"/>
            <w:tcBorders>
              <w:top w:val="single" w:color="auto" w:sz="12" w:space="0"/>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计量单位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 w:type="pc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w:t>
            </w:r>
          </w:p>
        </w:tc>
        <w:tc>
          <w:tcPr>
            <w:tcW w:w="2444"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15L/桶（桶装水）</w:t>
            </w:r>
          </w:p>
        </w:tc>
        <w:tc>
          <w:tcPr>
            <w:tcW w:w="102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100</w:t>
            </w:r>
          </w:p>
        </w:tc>
        <w:tc>
          <w:tcPr>
            <w:tcW w:w="995" w:type="pct"/>
            <w:tcBorders>
              <w:right w:val="single" w:color="auto" w:sz="12" w:space="0"/>
            </w:tcBorders>
            <w:vAlign w:val="center"/>
          </w:tcPr>
          <w:p>
            <w:pPr>
              <w:widowControl w:val="0"/>
              <w:spacing w:after="0"/>
              <w:ind w:left="0" w:leftChars="0" w:firstLine="0" w:firstLineChars="0"/>
              <w:jc w:val="center"/>
              <w:rPr>
                <w:rFonts w:hint="default"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万桶</w:t>
            </w:r>
            <w:r>
              <w:rPr>
                <w:rFonts w:hint="eastAsia" w:ascii="Times New Roman" w:hAnsi="Times New Roman" w:eastAsia="宋体" w:cs="Times New Roman"/>
                <w:kern w:val="0"/>
                <w:sz w:val="21"/>
                <w:szCs w:val="21"/>
                <w:lang w:val="en-US" w:eastAsia="zh-CN" w:bidi="ar-SA"/>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 w:type="pc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2</w:t>
            </w:r>
          </w:p>
        </w:tc>
        <w:tc>
          <w:tcPr>
            <w:tcW w:w="2444"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4.6L/桶（桶装水）</w:t>
            </w:r>
          </w:p>
        </w:tc>
        <w:tc>
          <w:tcPr>
            <w:tcW w:w="102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143</w:t>
            </w:r>
          </w:p>
        </w:tc>
        <w:tc>
          <w:tcPr>
            <w:tcW w:w="995"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万桶</w:t>
            </w:r>
            <w:r>
              <w:rPr>
                <w:rFonts w:hint="eastAsia" w:ascii="Times New Roman" w:hAnsi="Times New Roman" w:eastAsia="宋体" w:cs="Times New Roman"/>
                <w:kern w:val="0"/>
                <w:sz w:val="21"/>
                <w:szCs w:val="21"/>
                <w:lang w:val="en-US" w:eastAsia="zh-CN" w:bidi="ar-SA"/>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 w:type="pct"/>
            <w:tcBorders>
              <w:left w:val="single" w:color="auto" w:sz="12" w:space="0"/>
              <w:bottom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3</w:t>
            </w:r>
          </w:p>
        </w:tc>
        <w:tc>
          <w:tcPr>
            <w:tcW w:w="2444" w:type="pct"/>
            <w:tcBorders>
              <w:bottom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560ml（瓶装水）、360ml（瓶装水）</w:t>
            </w:r>
          </w:p>
        </w:tc>
        <w:tc>
          <w:tcPr>
            <w:tcW w:w="1022" w:type="pct"/>
            <w:tcBorders>
              <w:bottom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20</w:t>
            </w:r>
          </w:p>
        </w:tc>
        <w:tc>
          <w:tcPr>
            <w:tcW w:w="995" w:type="pct"/>
            <w:tcBorders>
              <w:bottom w:val="single" w:color="auto" w:sz="12" w:space="0"/>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万</w:t>
            </w:r>
            <w:r>
              <w:rPr>
                <w:rFonts w:ascii="Times New Roman" w:hAnsi="Times New Roman" w:eastAsia="宋体" w:cs="Times New Roman"/>
                <w:kern w:val="0"/>
                <w:sz w:val="21"/>
                <w:szCs w:val="21"/>
                <w:lang w:val="en-US" w:eastAsia="zh-CN" w:bidi="ar-SA"/>
              </w:rPr>
              <w:t>瓶</w:t>
            </w:r>
            <w:r>
              <w:rPr>
                <w:rFonts w:hint="eastAsia" w:ascii="Times New Roman" w:hAnsi="Times New Roman" w:eastAsia="宋体" w:cs="Times New Roman"/>
                <w:kern w:val="0"/>
                <w:sz w:val="21"/>
                <w:szCs w:val="21"/>
                <w:lang w:val="en-US" w:eastAsia="zh-CN" w:bidi="ar-SA"/>
              </w:rPr>
              <w:t>/年</w:t>
            </w:r>
          </w:p>
        </w:tc>
      </w:tr>
    </w:tbl>
    <w:p>
      <w:pPr>
        <w:pStyle w:val="60"/>
        <w:bidi w:val="0"/>
        <w:rPr>
          <w:rFonts w:hint="eastAsia"/>
          <w:lang w:val="en-US" w:eastAsia="zh-CN"/>
        </w:rPr>
      </w:pPr>
      <w:bookmarkStart w:id="56" w:name="_Toc20543"/>
      <w:r>
        <w:rPr>
          <w:rFonts w:hint="eastAsia"/>
          <w:lang w:val="en-US" w:eastAsia="zh-CN"/>
        </w:rPr>
        <w:t>主要设备</w:t>
      </w:r>
      <w:bookmarkEnd w:id="56"/>
    </w:p>
    <w:p>
      <w:pPr>
        <w:ind w:firstLine="480" w:firstLineChars="200"/>
        <w:rPr>
          <w:rFonts w:hint="eastAsia"/>
          <w:sz w:val="24"/>
        </w:rPr>
      </w:pPr>
      <w:r>
        <w:rPr>
          <w:rFonts w:hint="eastAsia"/>
          <w:sz w:val="24"/>
        </w:rPr>
        <w:t>项目的主要设备情况具体见下表所示。</w:t>
      </w:r>
    </w:p>
    <w:p>
      <w:pPr>
        <w:ind w:firstLine="480" w:firstLineChars="200"/>
        <w:rPr>
          <w:rFonts w:hint="eastAsia"/>
          <w:sz w:val="24"/>
        </w:rPr>
      </w:pPr>
    </w:p>
    <w:p>
      <w:pPr>
        <w:ind w:firstLine="480" w:firstLineChars="200"/>
        <w:rPr>
          <w:rFonts w:hint="eastAsia"/>
          <w:sz w:val="24"/>
        </w:rPr>
      </w:pPr>
    </w:p>
    <w:p>
      <w:pPr>
        <w:ind w:firstLine="480" w:firstLineChars="200"/>
        <w:rPr>
          <w:rFonts w:hint="eastAsia"/>
          <w:sz w:val="24"/>
        </w:rPr>
      </w:pPr>
    </w:p>
    <w:p>
      <w:pPr>
        <w:ind w:firstLine="480" w:firstLineChars="200"/>
        <w:rPr>
          <w:rFonts w:hint="eastAsia"/>
          <w:sz w:val="24"/>
        </w:rPr>
      </w:pPr>
    </w:p>
    <w:p>
      <w:pPr>
        <w:ind w:firstLine="480" w:firstLineChars="200"/>
        <w:rPr>
          <w:rFonts w:hint="eastAsia"/>
          <w:sz w:val="24"/>
        </w:rPr>
      </w:pPr>
    </w:p>
    <w:p>
      <w:pPr>
        <w:pStyle w:val="56"/>
        <w:bidi w:val="0"/>
        <w:ind w:left="960" w:leftChars="0" w:firstLineChars="0"/>
        <w:rPr>
          <w:rFonts w:hint="eastAsia"/>
          <w:lang w:val="en-US" w:eastAsia="zh-CN"/>
        </w:rPr>
      </w:pPr>
      <w:r>
        <w:rPr>
          <w:rFonts w:hint="eastAsia"/>
          <w:lang w:val="en-US" w:eastAsia="zh-CN"/>
        </w:rPr>
        <w:t>主要设备一览表</w:t>
      </w:r>
    </w:p>
    <w:tbl>
      <w:tblPr>
        <w:tblStyle w:val="4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2127"/>
        <w:gridCol w:w="4513"/>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tcBorders>
              <w:top w:val="single" w:color="auto" w:sz="12" w:space="0"/>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序号</w:t>
            </w:r>
          </w:p>
        </w:tc>
        <w:tc>
          <w:tcPr>
            <w:tcW w:w="1151" w:type="pct"/>
            <w:tcBorders>
              <w:top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设备及部件名称</w:t>
            </w:r>
          </w:p>
        </w:tc>
        <w:tc>
          <w:tcPr>
            <w:tcW w:w="2442" w:type="pct"/>
            <w:tcBorders>
              <w:top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型号及简要技术描述</w:t>
            </w:r>
          </w:p>
        </w:tc>
        <w:tc>
          <w:tcPr>
            <w:tcW w:w="659" w:type="pct"/>
            <w:tcBorders>
              <w:top w:val="single" w:color="auto" w:sz="12" w:space="0"/>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原水处理系统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卫生锥底罐体</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V=20m</w:t>
            </w:r>
            <w:r>
              <w:rPr>
                <w:rFonts w:ascii="Times New Roman" w:hAnsi="Times New Roman" w:eastAsia="宋体" w:cs="Times New Roman"/>
                <w:kern w:val="0"/>
                <w:sz w:val="21"/>
                <w:szCs w:val="21"/>
                <w:vertAlign w:val="superscript"/>
                <w:lang w:val="en-US" w:eastAsia="zh-CN" w:bidi="ar-SA"/>
              </w:rPr>
              <w:t>3</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石英砂过滤器</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Q=68m</w:t>
            </w:r>
            <w:r>
              <w:rPr>
                <w:rFonts w:ascii="Times New Roman" w:hAnsi="Times New Roman" w:eastAsia="宋体" w:cs="Times New Roman"/>
                <w:kern w:val="0"/>
                <w:sz w:val="21"/>
                <w:szCs w:val="21"/>
                <w:vertAlign w:val="superscript"/>
                <w:lang w:val="en-US" w:eastAsia="zh-CN" w:bidi="ar-SA"/>
              </w:rPr>
              <w:t>3</w:t>
            </w:r>
            <w:r>
              <w:rPr>
                <w:rFonts w:ascii="Times New Roman" w:hAnsi="Times New Roman" w:eastAsia="宋体" w:cs="Times New Roman"/>
                <w:kern w:val="0"/>
                <w:sz w:val="21"/>
                <w:szCs w:val="21"/>
                <w:lang w:val="en-US" w:eastAsia="zh-CN" w:bidi="ar-SA"/>
              </w:rPr>
              <w:t>/h，配置DN400上料孔，DN250出料孔</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活性炭过滤器</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CYYP-SF-68T，Q=68m</w:t>
            </w:r>
            <w:r>
              <w:rPr>
                <w:rFonts w:ascii="Times New Roman" w:hAnsi="Times New Roman" w:eastAsia="宋体" w:cs="Times New Roman"/>
                <w:kern w:val="0"/>
                <w:sz w:val="21"/>
                <w:szCs w:val="21"/>
                <w:vertAlign w:val="superscript"/>
                <w:lang w:val="en-US" w:eastAsia="zh-CN" w:bidi="ar-SA"/>
              </w:rPr>
              <w:t>3</w:t>
            </w:r>
            <w:r>
              <w:rPr>
                <w:rFonts w:ascii="Times New Roman" w:hAnsi="Times New Roman" w:eastAsia="宋体" w:cs="Times New Roman"/>
                <w:kern w:val="0"/>
                <w:sz w:val="21"/>
                <w:szCs w:val="21"/>
                <w:lang w:val="en-US" w:eastAsia="zh-CN" w:bidi="ar-SA"/>
              </w:rPr>
              <w:t>/h，配置DN400上料孔，DN250出料孔</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精密过滤器</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CYYP-MF-68T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RO膜系统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阻垢剂系统</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增压泵</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CDMF65-60-2，30KW 54m³/H</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膜系统</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CYYP-RO-40T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RO水箱</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CYYP-N-15T，V=15m</w:t>
            </w:r>
            <w:r>
              <w:rPr>
                <w:rFonts w:ascii="Times New Roman" w:hAnsi="Times New Roman" w:eastAsia="宋体" w:cs="Times New Roman"/>
                <w:kern w:val="0"/>
                <w:sz w:val="21"/>
                <w:szCs w:val="21"/>
                <w:vertAlign w:val="superscript"/>
                <w:lang w:val="en-US" w:eastAsia="zh-CN" w:bidi="ar-SA"/>
              </w:rPr>
              <w:t>3</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RO调配泵</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CDMF85-20-2 40~80m³/H，11KW</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UF膜系统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UF调配泵</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CDMF32-20 12-25m³/H，4KW</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工艺补水泵</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CDMF5-5，3m</w:t>
            </w:r>
            <w:r>
              <w:rPr>
                <w:rFonts w:ascii="Times New Roman" w:hAnsi="Times New Roman" w:eastAsia="宋体" w:cs="Times New Roman"/>
                <w:kern w:val="0"/>
                <w:sz w:val="21"/>
                <w:szCs w:val="21"/>
                <w:vertAlign w:val="superscript"/>
                <w:lang w:val="en-US" w:eastAsia="zh-CN" w:bidi="ar-SA"/>
              </w:rPr>
              <w:t>3</w:t>
            </w:r>
            <w:r>
              <w:rPr>
                <w:rFonts w:ascii="Times New Roman" w:hAnsi="Times New Roman" w:eastAsia="宋体" w:cs="Times New Roman"/>
                <w:kern w:val="0"/>
                <w:sz w:val="21"/>
                <w:szCs w:val="21"/>
                <w:lang w:val="en-US" w:eastAsia="zh-CN" w:bidi="ar-SA"/>
              </w:rPr>
              <w:t>/H，30-40m，0.75KW</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超滤水箱</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V=10m</w:t>
            </w:r>
            <w:r>
              <w:rPr>
                <w:rFonts w:ascii="Times New Roman" w:hAnsi="Times New Roman" w:eastAsia="宋体" w:cs="Times New Roman"/>
                <w:kern w:val="0"/>
                <w:sz w:val="21"/>
                <w:szCs w:val="21"/>
                <w:vertAlign w:val="superscript"/>
                <w:lang w:val="en-US" w:eastAsia="zh-CN" w:bidi="ar-SA"/>
              </w:rPr>
              <w:t>3</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呼吸器</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匹配进出水流量、配科百特 0.01 μm 呼吸滤芯</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灌装水臭氧混合系统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灌装水过流泵</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CDMF32-20 30m³/H ，5.5KW</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UV杀菌装置</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≥30m</w:t>
            </w:r>
            <w:r>
              <w:rPr>
                <w:rFonts w:ascii="Times New Roman" w:hAnsi="Times New Roman" w:eastAsia="宋体" w:cs="Times New Roman"/>
                <w:kern w:val="0"/>
                <w:sz w:val="21"/>
                <w:szCs w:val="21"/>
                <w:vertAlign w:val="superscript"/>
                <w:lang w:val="en-US" w:eastAsia="zh-CN" w:bidi="ar-SA"/>
              </w:rPr>
              <w:t>3</w:t>
            </w:r>
            <w:r>
              <w:rPr>
                <w:rFonts w:ascii="Times New Roman" w:hAnsi="Times New Roman" w:eastAsia="宋体" w:cs="Times New Roman"/>
                <w:kern w:val="0"/>
                <w:sz w:val="21"/>
                <w:szCs w:val="21"/>
                <w:lang w:val="en-US" w:eastAsia="zh-CN" w:bidi="ar-SA"/>
              </w:rPr>
              <w:t>/H，灭菌率99.99%，有强度输出功能、有自动温控系统</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UV灯附件</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不锈钢底座、管道过滤器、冷却循环阀阵</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臭氧混合装置</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Q=30m</w:t>
            </w:r>
            <w:r>
              <w:rPr>
                <w:rFonts w:ascii="Times New Roman" w:hAnsi="Times New Roman" w:eastAsia="宋体" w:cs="Times New Roman"/>
                <w:kern w:val="0"/>
                <w:sz w:val="21"/>
                <w:szCs w:val="21"/>
                <w:vertAlign w:val="superscript"/>
                <w:lang w:val="en-US" w:eastAsia="zh-CN" w:bidi="ar-SA"/>
              </w:rPr>
              <w:t>3</w:t>
            </w:r>
            <w:r>
              <w:rPr>
                <w:rFonts w:ascii="Times New Roman" w:hAnsi="Times New Roman" w:eastAsia="宋体" w:cs="Times New Roman"/>
                <w:kern w:val="0"/>
                <w:sz w:val="21"/>
                <w:szCs w:val="21"/>
                <w:lang w:val="en-US" w:eastAsia="zh-CN" w:bidi="ar-SA"/>
              </w:rPr>
              <w:t>/h</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终端过滤器</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DN300*1500Q≥18m /H</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钛棒</w:t>
            </w:r>
          </w:p>
        </w:tc>
        <w:tc>
          <w:tcPr>
            <w:tcW w:w="2442" w:type="pct"/>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2u,40英寸226接口</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冲洗泵</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CDMF5-5，4m</w:t>
            </w:r>
            <w:r>
              <w:rPr>
                <w:rFonts w:ascii="Times New Roman" w:hAnsi="Times New Roman" w:eastAsia="宋体" w:cs="Times New Roman"/>
                <w:color w:val="000000"/>
                <w:kern w:val="0"/>
                <w:sz w:val="21"/>
                <w:szCs w:val="21"/>
                <w:vertAlign w:val="superscript"/>
                <w:lang w:val="en-US" w:eastAsia="zh-CN" w:bidi="ar-SA"/>
              </w:rPr>
              <w:t>3</w:t>
            </w:r>
            <w:r>
              <w:rPr>
                <w:rFonts w:ascii="Times New Roman" w:hAnsi="Times New Roman" w:eastAsia="宋体" w:cs="Times New Roman"/>
                <w:color w:val="000000"/>
                <w:kern w:val="0"/>
                <w:sz w:val="21"/>
                <w:szCs w:val="21"/>
                <w:lang w:val="en-US" w:eastAsia="zh-CN" w:bidi="ar-SA"/>
              </w:rPr>
              <w:t>/H，30-40m，0.75KW</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CIP清洗系统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CIP罐</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CYYP-N-5T</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CIP泵</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CDMF42-20，7.5KW 40m³/H</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CIP精滤器</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CYYP-MF-40T</w:t>
            </w:r>
          </w:p>
        </w:tc>
        <w:tc>
          <w:tcPr>
            <w:tcW w:w="659" w:type="pct"/>
            <w:tcBorders>
              <w:right w:val="single" w:color="auto" w:sz="12" w:space="0"/>
            </w:tcBorders>
            <w:vAlign w:val="center"/>
          </w:tcPr>
          <w:p>
            <w:pPr>
              <w:spacing w:line="240" w:lineRule="auto"/>
              <w:ind w:firstLine="0" w:firstLineChars="0"/>
              <w:jc w:val="center"/>
              <w:rPr>
                <w:rFonts w:ascii="Times New Roman" w:hAnsi="Times New Roman" w:eastAsia="宋体" w:cs="Times New Roman"/>
                <w:snapToGrid/>
                <w:kern w:val="2"/>
                <w:sz w:val="21"/>
                <w:szCs w:val="21"/>
              </w:rPr>
            </w:pPr>
            <w:r>
              <w:rPr>
                <w:rFonts w:ascii="Times New Roman" w:hAnsi="Times New Roman" w:eastAsia="宋体" w:cs="Times New Roman"/>
                <w:snapToGrid/>
                <w:kern w:val="2"/>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电加热系统</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108KW</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吹瓶系统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自动进胚和瓶胚消毒设备</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bCs/>
                <w:kern w:val="0"/>
                <w:sz w:val="21"/>
                <w:szCs w:val="21"/>
                <w:lang w:val="en-US" w:eastAsia="zh-CN" w:bidi="ar-SA"/>
              </w:rPr>
              <w:t>吹灌旋主机</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XLBFC04-20/2800BPH，此机型可生产12L以下瓶型</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风冷式冷水机</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新宋体" w:cs="Times New Roman"/>
                <w:kern w:val="0"/>
                <w:sz w:val="21"/>
                <w:szCs w:val="21"/>
                <w:lang w:val="en-US" w:eastAsia="zh-CN" w:bidi="ar-SA"/>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灌装系统</w:t>
            </w: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冲洗、灌装、旋盖三合一机组</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瀑布式上盖机</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自动调速</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在线洗盖系统</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封闭式的消毒模式</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restart"/>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输送包装</w:t>
            </w: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灯检箱</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配套使用</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宋体" w:cs="Times New Roman"/>
                <w:color w:val="000000"/>
                <w:kern w:val="0"/>
                <w:sz w:val="21"/>
                <w:szCs w:val="21"/>
                <w:lang w:val="en-US" w:eastAsia="zh-CN" w:bidi="ar-SA"/>
              </w:rPr>
              <w:t>膜包机</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25箱/min（2×2）4.8L</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新宋体" w:cs="Times New Roman"/>
                <w:kern w:val="0"/>
                <w:sz w:val="21"/>
                <w:szCs w:val="21"/>
                <w:lang w:val="en-US" w:eastAsia="zh-CN" w:bidi="ar-SA"/>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纸箱裹包机</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25箱/min（1×2）6.8L</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新宋体" w:cs="Times New Roman"/>
                <w:kern w:val="0"/>
                <w:sz w:val="21"/>
                <w:szCs w:val="21"/>
                <w:lang w:val="en-US" w:eastAsia="zh-CN" w:bidi="ar-SA"/>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桶身套袋机</w:t>
            </w:r>
          </w:p>
        </w:tc>
        <w:tc>
          <w:tcPr>
            <w:tcW w:w="2442" w:type="pct"/>
            <w:vAlign w:val="center"/>
          </w:tcPr>
          <w:p>
            <w:pPr>
              <w:widowControl w:val="0"/>
              <w:spacing w:after="0"/>
              <w:ind w:left="0" w:leftChars="0" w:firstLine="0" w:firstLineChars="0"/>
              <w:jc w:val="center"/>
              <w:rPr>
                <w:rFonts w:ascii="Times New Roman" w:hAnsi="Times New Roman" w:eastAsia="宋体" w:cs="Times New Roman"/>
                <w:color w:val="000000"/>
                <w:kern w:val="0"/>
                <w:sz w:val="21"/>
                <w:szCs w:val="21"/>
                <w:lang w:val="en-US" w:eastAsia="zh-CN" w:bidi="ar-SA"/>
              </w:rPr>
            </w:pPr>
            <w:r>
              <w:rPr>
                <w:rFonts w:ascii="Times New Roman" w:hAnsi="Times New Roman" w:eastAsia="新宋体" w:cs="Times New Roman"/>
                <w:kern w:val="0"/>
                <w:sz w:val="21"/>
                <w:szCs w:val="21"/>
                <w:lang w:val="en-US" w:eastAsia="zh-CN" w:bidi="ar-SA"/>
              </w:rPr>
              <w:t>50瓶/min（1×1）10L</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ascii="Times New Roman" w:hAnsi="Times New Roman" w:eastAsia="新宋体" w:cs="Times New Roman"/>
                <w:kern w:val="0"/>
                <w:sz w:val="21"/>
                <w:szCs w:val="21"/>
                <w:lang w:val="en-US" w:eastAsia="zh-CN" w:bidi="ar-SA"/>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新宋体" w:cs="Times New Roman"/>
                <w:kern w:val="0"/>
                <w:sz w:val="21"/>
                <w:szCs w:val="21"/>
                <w:lang w:val="en-US" w:eastAsia="zh-CN" w:bidi="ar-SA"/>
              </w:rPr>
            </w:pPr>
            <w:r>
              <w:rPr>
                <w:rFonts w:ascii="Times New Roman" w:hAnsi="Times New Roman" w:eastAsia="新宋体" w:cs="Times New Roman"/>
                <w:kern w:val="0"/>
                <w:sz w:val="21"/>
                <w:szCs w:val="21"/>
                <w:lang w:val="en-US" w:eastAsia="zh-CN" w:bidi="ar-SA"/>
              </w:rPr>
              <w:t>机器人码垛系统</w:t>
            </w:r>
          </w:p>
        </w:tc>
        <w:tc>
          <w:tcPr>
            <w:tcW w:w="2442" w:type="pct"/>
            <w:vAlign w:val="center"/>
          </w:tcPr>
          <w:p>
            <w:pPr>
              <w:widowControl w:val="0"/>
              <w:spacing w:after="0"/>
              <w:ind w:left="0" w:leftChars="0" w:firstLine="0" w:firstLineChars="0"/>
              <w:jc w:val="center"/>
              <w:rPr>
                <w:rFonts w:ascii="Times New Roman" w:hAnsi="Times New Roman" w:eastAsia="新宋体" w:cs="Times New Roman"/>
                <w:kern w:val="0"/>
                <w:sz w:val="21"/>
                <w:szCs w:val="21"/>
                <w:lang w:val="en-US" w:eastAsia="zh-CN" w:bidi="ar-SA"/>
              </w:rPr>
            </w:pPr>
            <w:r>
              <w:rPr>
                <w:rFonts w:ascii="Times New Roman" w:hAnsi="Times New Roman" w:eastAsia="新宋体" w:cs="Times New Roman"/>
                <w:kern w:val="0"/>
                <w:sz w:val="21"/>
                <w:szCs w:val="21"/>
                <w:lang w:val="en-US" w:eastAsia="zh-CN" w:bidi="ar-SA"/>
              </w:rPr>
              <w: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新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vAlign w:val="center"/>
          </w:tcPr>
          <w:p>
            <w:pPr>
              <w:widowControl w:val="0"/>
              <w:spacing w:after="0"/>
              <w:ind w:left="0" w:leftChars="0" w:firstLine="0" w:firstLineChars="0"/>
              <w:jc w:val="center"/>
              <w:rPr>
                <w:rFonts w:ascii="Times New Roman" w:hAnsi="Times New Roman" w:eastAsia="新宋体" w:cs="Times New Roman"/>
                <w:color w:val="000000"/>
                <w:kern w:val="0"/>
                <w:sz w:val="21"/>
                <w:szCs w:val="21"/>
                <w:lang w:val="en-US" w:eastAsia="zh-CN" w:bidi="ar-SA"/>
              </w:rPr>
            </w:pPr>
            <w:r>
              <w:rPr>
                <w:rFonts w:ascii="Times New Roman" w:hAnsi="Times New Roman" w:eastAsia="新宋体" w:cs="Times New Roman"/>
                <w:color w:val="000000"/>
                <w:kern w:val="0"/>
                <w:sz w:val="21"/>
                <w:szCs w:val="21"/>
                <w:lang w:val="en-US" w:eastAsia="zh-CN" w:bidi="ar-SA"/>
              </w:rPr>
              <w:t>热融胶贴标机</w:t>
            </w:r>
          </w:p>
        </w:tc>
        <w:tc>
          <w:tcPr>
            <w:tcW w:w="2442" w:type="pct"/>
            <w:vAlign w:val="center"/>
          </w:tcPr>
          <w:p>
            <w:pPr>
              <w:widowControl w:val="0"/>
              <w:spacing w:after="0"/>
              <w:ind w:left="0" w:leftChars="0" w:firstLine="0" w:firstLineChars="0"/>
              <w:jc w:val="center"/>
              <w:rPr>
                <w:rFonts w:ascii="Times New Roman" w:hAnsi="Times New Roman" w:eastAsia="新宋体" w:cs="Times New Roman"/>
                <w:kern w:val="0"/>
                <w:sz w:val="21"/>
                <w:szCs w:val="21"/>
                <w:lang w:val="en-US" w:eastAsia="zh-CN" w:bidi="ar-SA"/>
              </w:rPr>
            </w:pPr>
            <w:r>
              <w:rPr>
                <w:rFonts w:hint="eastAsia" w:ascii="Times New Roman" w:hAnsi="Times New Roman" w:eastAsia="新宋体" w:cs="Times New Roman"/>
                <w:kern w:val="0"/>
                <w:sz w:val="21"/>
                <w:szCs w:val="21"/>
                <w:lang w:val="en-US" w:eastAsia="zh-CN" w:bidi="ar-SA"/>
              </w:rPr>
              <w:t>/</w:t>
            </w:r>
          </w:p>
        </w:tc>
        <w:tc>
          <w:tcPr>
            <w:tcW w:w="659" w:type="pct"/>
            <w:tcBorders>
              <w:right w:val="single" w:color="auto" w:sz="12" w:space="0"/>
            </w:tcBorders>
            <w:vAlign w:val="center"/>
          </w:tcPr>
          <w:p>
            <w:pPr>
              <w:widowControl w:val="0"/>
              <w:spacing w:after="0"/>
              <w:ind w:left="0" w:leftChars="0" w:firstLine="0" w:firstLineChars="0"/>
              <w:jc w:val="center"/>
              <w:rPr>
                <w:rFonts w:ascii="Times New Roman" w:hAnsi="Times New Roman" w:eastAsia="新宋体" w:cs="Times New Roman"/>
                <w:color w:val="000000"/>
                <w:kern w:val="0"/>
                <w:sz w:val="21"/>
                <w:szCs w:val="21"/>
                <w:lang w:val="en-US" w:eastAsia="zh-CN" w:bidi="ar-SA"/>
              </w:rPr>
            </w:pPr>
            <w:r>
              <w:rPr>
                <w:rFonts w:ascii="Times New Roman" w:hAnsi="Times New Roman" w:eastAsia="新宋体" w:cs="Times New Roman"/>
                <w:color w:val="000000"/>
                <w:kern w:val="0"/>
                <w:sz w:val="21"/>
                <w:szCs w:val="21"/>
                <w:lang w:val="en-US" w:eastAsia="zh-CN" w:bidi="ar-SA"/>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pct"/>
            <w:vMerge w:val="continue"/>
            <w:tcBorders>
              <w:left w:val="single" w:color="auto" w:sz="12" w:space="0"/>
              <w:bottom w:val="single" w:color="auto" w:sz="12" w:space="0"/>
            </w:tcBorders>
            <w:vAlign w:val="center"/>
          </w:tcPr>
          <w:p>
            <w:pPr>
              <w:widowControl w:val="0"/>
              <w:spacing w:after="0"/>
              <w:ind w:left="0" w:leftChars="0" w:firstLine="0" w:firstLineChars="0"/>
              <w:jc w:val="center"/>
              <w:rPr>
                <w:rFonts w:ascii="Times New Roman" w:hAnsi="Times New Roman" w:eastAsia="宋体" w:cs="Times New Roman"/>
                <w:kern w:val="0"/>
                <w:sz w:val="21"/>
                <w:szCs w:val="21"/>
                <w:lang w:val="en-US" w:eastAsia="zh-CN" w:bidi="ar-SA"/>
              </w:rPr>
            </w:pPr>
          </w:p>
        </w:tc>
        <w:tc>
          <w:tcPr>
            <w:tcW w:w="1151" w:type="pct"/>
            <w:tcBorders>
              <w:bottom w:val="single" w:color="auto" w:sz="12" w:space="0"/>
            </w:tcBorders>
            <w:vAlign w:val="center"/>
          </w:tcPr>
          <w:p>
            <w:pPr>
              <w:widowControl w:val="0"/>
              <w:spacing w:after="0"/>
              <w:ind w:left="0" w:leftChars="0" w:firstLine="0" w:firstLineChars="0"/>
              <w:jc w:val="center"/>
              <w:rPr>
                <w:rFonts w:ascii="Times New Roman" w:hAnsi="Times New Roman" w:eastAsia="新宋体" w:cs="Times New Roman"/>
                <w:color w:val="000000"/>
                <w:kern w:val="0"/>
                <w:sz w:val="21"/>
                <w:szCs w:val="21"/>
                <w:lang w:val="en-US" w:eastAsia="zh-CN" w:bidi="ar-SA"/>
              </w:rPr>
            </w:pPr>
            <w:r>
              <w:rPr>
                <w:rFonts w:ascii="Times New Roman" w:hAnsi="Times New Roman" w:eastAsia="新宋体" w:cs="Times New Roman"/>
                <w:color w:val="000000"/>
                <w:kern w:val="0"/>
                <w:sz w:val="21"/>
                <w:szCs w:val="21"/>
                <w:lang w:val="en-US" w:eastAsia="zh-CN" w:bidi="ar-SA"/>
              </w:rPr>
              <w:t>激光喷码机</w:t>
            </w:r>
          </w:p>
        </w:tc>
        <w:tc>
          <w:tcPr>
            <w:tcW w:w="2442" w:type="pct"/>
            <w:tcBorders>
              <w:bottom w:val="single" w:color="auto" w:sz="12" w:space="0"/>
            </w:tcBorders>
            <w:vAlign w:val="center"/>
          </w:tcPr>
          <w:p>
            <w:pPr>
              <w:widowControl w:val="0"/>
              <w:spacing w:after="0"/>
              <w:ind w:left="0" w:leftChars="0" w:firstLine="0" w:firstLineChars="0"/>
              <w:jc w:val="center"/>
              <w:rPr>
                <w:rFonts w:ascii="Times New Roman" w:hAnsi="Times New Roman" w:eastAsia="新宋体" w:cs="Times New Roman"/>
                <w:kern w:val="0"/>
                <w:sz w:val="21"/>
                <w:szCs w:val="21"/>
                <w:lang w:val="en-US" w:eastAsia="zh-CN" w:bidi="ar-SA"/>
              </w:rPr>
            </w:pPr>
            <w:r>
              <w:rPr>
                <w:rFonts w:hint="eastAsia" w:ascii="Times New Roman" w:hAnsi="Times New Roman" w:eastAsia="新宋体" w:cs="Times New Roman"/>
                <w:kern w:val="0"/>
                <w:sz w:val="21"/>
                <w:szCs w:val="21"/>
                <w:lang w:val="en-US" w:eastAsia="zh-CN" w:bidi="ar-SA"/>
              </w:rPr>
              <w:t>/</w:t>
            </w:r>
          </w:p>
        </w:tc>
        <w:tc>
          <w:tcPr>
            <w:tcW w:w="659" w:type="pct"/>
            <w:tcBorders>
              <w:bottom w:val="single" w:color="auto" w:sz="12" w:space="0"/>
              <w:right w:val="single" w:color="auto" w:sz="12" w:space="0"/>
            </w:tcBorders>
            <w:vAlign w:val="center"/>
          </w:tcPr>
          <w:p>
            <w:pPr>
              <w:widowControl w:val="0"/>
              <w:spacing w:after="0"/>
              <w:ind w:left="0" w:leftChars="0" w:firstLine="0" w:firstLineChars="0"/>
              <w:jc w:val="center"/>
              <w:rPr>
                <w:rFonts w:ascii="Times New Roman" w:hAnsi="Times New Roman" w:eastAsia="新宋体" w:cs="Times New Roman"/>
                <w:color w:val="000000"/>
                <w:kern w:val="0"/>
                <w:sz w:val="21"/>
                <w:szCs w:val="21"/>
                <w:lang w:val="en-US" w:eastAsia="zh-CN" w:bidi="ar-SA"/>
              </w:rPr>
            </w:pPr>
            <w:r>
              <w:rPr>
                <w:rFonts w:ascii="Times New Roman" w:hAnsi="Times New Roman" w:eastAsia="新宋体" w:cs="Times New Roman"/>
                <w:color w:val="000000"/>
                <w:kern w:val="0"/>
                <w:sz w:val="21"/>
                <w:szCs w:val="21"/>
                <w:lang w:val="en-US" w:eastAsia="zh-CN" w:bidi="ar-SA"/>
              </w:rPr>
              <w:t>1台</w:t>
            </w:r>
          </w:p>
        </w:tc>
      </w:tr>
    </w:tbl>
    <w:p>
      <w:pPr>
        <w:pStyle w:val="103"/>
        <w:spacing w:before="0" w:line="360" w:lineRule="auto"/>
        <w:ind w:right="0" w:firstLine="480"/>
        <w:rPr>
          <w:color w:val="000000" w:themeColor="text1"/>
          <w14:textFill>
            <w14:solidFill>
              <w14:schemeClr w14:val="tx1"/>
            </w14:solidFill>
          </w14:textFill>
        </w:rPr>
      </w:pPr>
      <w:r>
        <w:rPr>
          <w:color w:val="000000" w:themeColor="text1"/>
          <w14:textFill>
            <w14:solidFill>
              <w14:schemeClr w14:val="tx1"/>
            </w14:solidFill>
          </w14:textFill>
        </w:rPr>
        <w:t>根据《产业结构调整指导目录（</w:t>
      </w:r>
      <w:r>
        <w:rPr>
          <w:rFonts w:hint="eastAsia"/>
          <w:color w:val="000000" w:themeColor="text1"/>
          <w:lang w:val="en-US" w:eastAsia="zh-CN"/>
          <w14:textFill>
            <w14:solidFill>
              <w14:schemeClr w14:val="tx1"/>
            </w14:solidFill>
          </w14:textFill>
        </w:rPr>
        <w:t>2024</w:t>
      </w:r>
      <w:r>
        <w:rPr>
          <w:color w:val="000000" w:themeColor="text1"/>
          <w14:textFill>
            <w14:solidFill>
              <w14:schemeClr w14:val="tx1"/>
            </w14:solidFill>
          </w14:textFill>
        </w:rPr>
        <w:t>年本）》、《部分工业行业淘汰落后工艺装备和产品指导目录（2010年本）》可知，项目所用设备均不属于国家禁止或者明令淘汰的设备。</w:t>
      </w:r>
    </w:p>
    <w:p>
      <w:pPr>
        <w:pStyle w:val="60"/>
        <w:bidi w:val="0"/>
        <w:rPr>
          <w:rFonts w:hint="eastAsia"/>
          <w:lang w:val="en-US" w:eastAsia="zh-CN"/>
        </w:rPr>
      </w:pPr>
      <w:bookmarkStart w:id="57" w:name="_Toc23932"/>
      <w:r>
        <w:rPr>
          <w:rFonts w:hint="eastAsia"/>
          <w:lang w:val="en-US" w:eastAsia="zh-CN"/>
        </w:rPr>
        <w:t>主要原辅材料用量及能源消耗</w:t>
      </w:r>
      <w:bookmarkEnd w:id="57"/>
    </w:p>
    <w:p>
      <w:pPr>
        <w:keepNext w:val="0"/>
        <w:keepLines w:val="0"/>
        <w:pageBreakBefore w:val="0"/>
        <w:widowControl w:val="0"/>
        <w:numPr>
          <w:ilvl w:val="0"/>
          <w:numId w:val="9"/>
        </w:numPr>
        <w:kinsoku/>
        <w:wordWrap/>
        <w:overflowPunct/>
        <w:topLinePunct w:val="0"/>
        <w:autoSpaceDE/>
        <w:autoSpaceDN/>
        <w:bidi w:val="0"/>
        <w:adjustRightInd/>
        <w:snapToGrid/>
        <w:textAlignment w:val="auto"/>
        <w:rPr>
          <w:rFonts w:hint="eastAsia"/>
          <w:u w:val="single"/>
          <w:lang w:val="en-US" w:eastAsia="zh-CN"/>
        </w:rPr>
      </w:pPr>
      <w:r>
        <w:rPr>
          <w:rFonts w:hint="eastAsia"/>
          <w:u w:val="single"/>
          <w:lang w:val="en-US" w:eastAsia="zh-CN"/>
        </w:rPr>
        <w:t>地下水开采规模</w:t>
      </w:r>
    </w:p>
    <w:p>
      <w:pPr>
        <w:pStyle w:val="18"/>
        <w:spacing w:before="0" w:after="0" w:line="360" w:lineRule="auto"/>
        <w:ind w:right="0" w:firstLine="480" w:firstLineChars="200"/>
        <w:rPr>
          <w:rFonts w:hint="default" w:eastAsia="宋体"/>
          <w:sz w:val="24"/>
          <w:szCs w:val="24"/>
          <w:u w:val="single"/>
          <w:lang w:val="en-US" w:eastAsia="zh-CN"/>
        </w:rPr>
      </w:pPr>
      <w:r>
        <w:rPr>
          <w:rFonts w:hint="eastAsia"/>
          <w:sz w:val="24"/>
          <w:szCs w:val="24"/>
          <w:u w:val="single"/>
        </w:rPr>
        <w:t>本项目主要原材料为地下水，目前设置4口饮用水井，</w:t>
      </w:r>
      <w:r>
        <w:rPr>
          <w:rFonts w:hint="eastAsia"/>
          <w:sz w:val="24"/>
          <w:szCs w:val="24"/>
          <w:u w:val="single"/>
          <w:lang w:val="en-US" w:eastAsia="zh-CN"/>
        </w:rPr>
        <w:t>项目水资源论证报告中限制要求为：</w:t>
      </w:r>
      <w:r>
        <w:rPr>
          <w:rFonts w:hint="eastAsia"/>
          <w:sz w:val="24"/>
          <w:szCs w:val="24"/>
          <w:u w:val="single"/>
        </w:rPr>
        <w:t>年开采量</w:t>
      </w:r>
      <w:r>
        <w:rPr>
          <w:rFonts w:hint="eastAsia"/>
          <w:sz w:val="24"/>
          <w:szCs w:val="24"/>
          <w:u w:val="single"/>
          <w:lang w:val="en-US" w:eastAsia="zh-CN"/>
        </w:rPr>
        <w:t>不得超过</w:t>
      </w:r>
      <w:r>
        <w:rPr>
          <w:rFonts w:hint="eastAsia"/>
          <w:sz w:val="24"/>
          <w:szCs w:val="24"/>
          <w:u w:val="single"/>
          <w:lang w:bidi="ar"/>
        </w:rPr>
        <w:t>7.3</w:t>
      </w:r>
      <w:r>
        <w:rPr>
          <w:rFonts w:hint="eastAsia"/>
          <w:sz w:val="24"/>
          <w:szCs w:val="24"/>
          <w:u w:val="single"/>
        </w:rPr>
        <w:t>万m</w:t>
      </w:r>
      <w:r>
        <w:rPr>
          <w:rFonts w:hint="eastAsia"/>
          <w:sz w:val="24"/>
          <w:szCs w:val="24"/>
          <w:u w:val="single"/>
          <w:vertAlign w:val="superscript"/>
        </w:rPr>
        <w:t>3</w:t>
      </w:r>
      <w:r>
        <w:rPr>
          <w:rFonts w:hint="eastAsia"/>
          <w:sz w:val="24"/>
          <w:szCs w:val="24"/>
          <w:u w:val="single"/>
        </w:rPr>
        <w:t>，其中日开采量</w:t>
      </w:r>
      <w:r>
        <w:rPr>
          <w:rFonts w:hint="eastAsia"/>
          <w:sz w:val="24"/>
          <w:szCs w:val="24"/>
          <w:u w:val="single"/>
          <w:lang w:val="en-US" w:eastAsia="zh-CN"/>
        </w:rPr>
        <w:t>不得超过</w:t>
      </w:r>
      <w:r>
        <w:rPr>
          <w:rFonts w:hint="eastAsia"/>
          <w:sz w:val="24"/>
          <w:szCs w:val="24"/>
          <w:u w:val="single"/>
        </w:rPr>
        <w:t>220m</w:t>
      </w:r>
      <w:r>
        <w:rPr>
          <w:rFonts w:hint="eastAsia"/>
          <w:sz w:val="24"/>
          <w:szCs w:val="24"/>
          <w:u w:val="single"/>
          <w:vertAlign w:val="superscript"/>
        </w:rPr>
        <w:t>3</w:t>
      </w:r>
      <w:r>
        <w:rPr>
          <w:rFonts w:hint="eastAsia"/>
          <w:sz w:val="24"/>
          <w:szCs w:val="24"/>
          <w:u w:val="single"/>
        </w:rPr>
        <w:t>/d</w:t>
      </w:r>
      <w:r>
        <w:rPr>
          <w:rFonts w:hint="eastAsia"/>
          <w:color w:val="000000" w:themeColor="text1"/>
          <w:u w:val="single"/>
          <w:lang w:eastAsia="zh-CN"/>
          <w14:textFill>
            <w14:solidFill>
              <w14:schemeClr w14:val="tx1"/>
            </w14:solidFill>
          </w14:textFill>
        </w:rPr>
        <w:t>，</w:t>
      </w:r>
      <w:r>
        <w:rPr>
          <w:rFonts w:hint="eastAsia"/>
          <w:color w:val="000000" w:themeColor="text1"/>
          <w:sz w:val="24"/>
          <w:szCs w:val="24"/>
          <w:u w:val="single"/>
          <w:lang w:val="en-US" w:eastAsia="zh-CN"/>
          <w14:textFill>
            <w14:solidFill>
              <w14:schemeClr w14:val="tx1"/>
            </w14:solidFill>
          </w14:textFill>
        </w:rPr>
        <w:t>项目开采量满足开采要求。</w:t>
      </w:r>
    </w:p>
    <w:p>
      <w:pPr>
        <w:pStyle w:val="18"/>
        <w:keepNext w:val="0"/>
        <w:keepLines w:val="0"/>
        <w:pageBreakBefore w:val="0"/>
        <w:widowControl w:val="0"/>
        <w:numPr>
          <w:ilvl w:val="0"/>
          <w:numId w:val="9"/>
        </w:numPr>
        <w:kinsoku/>
        <w:wordWrap/>
        <w:overflowPunct/>
        <w:topLinePunct w:val="0"/>
        <w:autoSpaceDE/>
        <w:autoSpaceDN/>
        <w:bidi w:val="0"/>
        <w:adjustRightInd/>
        <w:snapToGrid/>
        <w:spacing w:after="0"/>
        <w:textAlignment w:val="auto"/>
        <w:rPr>
          <w:rFonts w:hint="default"/>
          <w:lang w:val="en-US" w:eastAsia="zh-CN"/>
        </w:rPr>
      </w:pPr>
      <w:r>
        <w:rPr>
          <w:rFonts w:hint="eastAsia"/>
          <w:lang w:val="en-US" w:eastAsia="zh-CN"/>
        </w:rPr>
        <w:t>其他原辅材料消耗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rPr>
      </w:pPr>
      <w:r>
        <w:rPr>
          <w:rFonts w:hint="eastAsia"/>
          <w:sz w:val="24"/>
        </w:rPr>
        <w:t>项目除饮用水外需其他原辅材料详见下表所示。</w:t>
      </w:r>
    </w:p>
    <w:p>
      <w:pPr>
        <w:pStyle w:val="56"/>
        <w:bidi w:val="0"/>
        <w:ind w:left="960" w:leftChars="0" w:firstLineChars="0"/>
        <w:rPr>
          <w:rFonts w:hint="eastAsia"/>
          <w:lang w:val="en-US" w:eastAsia="zh-CN"/>
        </w:rPr>
      </w:pPr>
      <w:r>
        <w:rPr>
          <w:rFonts w:hint="eastAsia"/>
          <w:lang w:val="en-US" w:eastAsia="zh-CN"/>
        </w:rPr>
        <w:t>主要原辅材料及能源消耗一览表</w:t>
      </w:r>
    </w:p>
    <w:tbl>
      <w:tblPr>
        <w:tblStyle w:val="3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
        <w:gridCol w:w="1126"/>
        <w:gridCol w:w="2654"/>
        <w:gridCol w:w="1427"/>
        <w:gridCol w:w="1623"/>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 w:type="pct"/>
            <w:tcBorders>
              <w:top w:val="single" w:color="auto" w:sz="12" w:space="0"/>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bCs/>
                <w:snapToGrid/>
                <w:color w:val="000000"/>
                <w:kern w:val="0"/>
                <w:sz w:val="21"/>
                <w:szCs w:val="21"/>
              </w:rPr>
            </w:pPr>
            <w:r>
              <w:rPr>
                <w:rFonts w:hint="default" w:ascii="Times New Roman" w:hAnsi="Times New Roman" w:eastAsia="宋体" w:cs="Times New Roman"/>
                <w:bCs/>
                <w:snapToGrid/>
                <w:color w:val="000000"/>
                <w:kern w:val="0"/>
                <w:sz w:val="21"/>
                <w:szCs w:val="21"/>
              </w:rPr>
              <w:t>序号</w:t>
            </w:r>
          </w:p>
        </w:tc>
        <w:tc>
          <w:tcPr>
            <w:tcW w:w="609" w:type="pct"/>
            <w:tcBorders>
              <w:top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bCs/>
                <w:snapToGrid/>
                <w:color w:val="000000"/>
                <w:kern w:val="0"/>
                <w:sz w:val="21"/>
                <w:szCs w:val="21"/>
              </w:rPr>
            </w:pPr>
            <w:r>
              <w:rPr>
                <w:rFonts w:hint="default" w:ascii="Times New Roman" w:hAnsi="Times New Roman" w:eastAsia="宋体" w:cs="Times New Roman"/>
                <w:bCs/>
                <w:snapToGrid/>
                <w:color w:val="000000"/>
                <w:kern w:val="0"/>
                <w:sz w:val="21"/>
                <w:szCs w:val="21"/>
              </w:rPr>
              <w:t>类型</w:t>
            </w:r>
          </w:p>
        </w:tc>
        <w:tc>
          <w:tcPr>
            <w:tcW w:w="1436" w:type="pct"/>
            <w:tcBorders>
              <w:top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bCs/>
                <w:snapToGrid/>
                <w:color w:val="000000"/>
                <w:kern w:val="0"/>
                <w:sz w:val="21"/>
                <w:szCs w:val="21"/>
              </w:rPr>
            </w:pPr>
            <w:r>
              <w:rPr>
                <w:rFonts w:hint="default" w:ascii="Times New Roman" w:hAnsi="Times New Roman" w:eastAsia="宋体" w:cs="Times New Roman"/>
                <w:bCs/>
                <w:snapToGrid/>
                <w:color w:val="000000"/>
                <w:kern w:val="0"/>
                <w:sz w:val="21"/>
                <w:szCs w:val="21"/>
              </w:rPr>
              <w:t>名称</w:t>
            </w:r>
          </w:p>
        </w:tc>
        <w:tc>
          <w:tcPr>
            <w:tcW w:w="772" w:type="pct"/>
            <w:tcBorders>
              <w:top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bCs/>
                <w:snapToGrid/>
                <w:color w:val="000000"/>
                <w:kern w:val="0"/>
                <w:sz w:val="21"/>
                <w:szCs w:val="21"/>
              </w:rPr>
            </w:pPr>
            <w:r>
              <w:rPr>
                <w:rFonts w:hint="default" w:ascii="Times New Roman" w:hAnsi="Times New Roman" w:eastAsia="宋体" w:cs="Times New Roman"/>
                <w:bCs/>
                <w:snapToGrid/>
                <w:color w:val="000000"/>
                <w:kern w:val="0"/>
                <w:sz w:val="21"/>
                <w:szCs w:val="21"/>
              </w:rPr>
              <w:t>用量</w:t>
            </w:r>
          </w:p>
        </w:tc>
        <w:tc>
          <w:tcPr>
            <w:tcW w:w="878" w:type="pct"/>
            <w:tcBorders>
              <w:top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bCs/>
                <w:snapToGrid/>
                <w:color w:val="000000"/>
                <w:kern w:val="0"/>
                <w:sz w:val="21"/>
                <w:szCs w:val="21"/>
              </w:rPr>
            </w:pPr>
            <w:r>
              <w:rPr>
                <w:rFonts w:hint="default" w:ascii="Times New Roman" w:hAnsi="Times New Roman" w:eastAsia="宋体" w:cs="Times New Roman"/>
                <w:bCs/>
                <w:snapToGrid/>
                <w:color w:val="000000"/>
                <w:kern w:val="0"/>
                <w:sz w:val="21"/>
                <w:szCs w:val="21"/>
              </w:rPr>
              <w:t>计量单位</w:t>
            </w:r>
          </w:p>
        </w:tc>
        <w:tc>
          <w:tcPr>
            <w:tcW w:w="762" w:type="pct"/>
            <w:tcBorders>
              <w:top w:val="single" w:color="auto" w:sz="12" w:space="0"/>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bCs/>
                <w:snapToGrid/>
                <w:color w:val="000000"/>
                <w:kern w:val="0"/>
                <w:sz w:val="21"/>
                <w:szCs w:val="21"/>
              </w:rPr>
            </w:pPr>
            <w:r>
              <w:rPr>
                <w:rFonts w:hint="default" w:ascii="Times New Roman" w:hAnsi="Times New Roman" w:eastAsia="宋体" w:cs="Times New Roman"/>
                <w:bCs/>
                <w:snapToGrid/>
                <w:color w:val="000000"/>
                <w:kern w:val="0"/>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w:t>
            </w:r>
          </w:p>
        </w:tc>
        <w:tc>
          <w:tcPr>
            <w:tcW w:w="609" w:type="pct"/>
            <w:vMerge w:val="restar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原料</w:t>
            </w: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瓶盖</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50</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t</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2</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PET瓶坯</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2.5</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亿个</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3</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纸箱</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100</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t</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4</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收缩膜</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20</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t</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5</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标签（带不干胶）</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20</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t</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6</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紫外灯管</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12</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根</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7</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钛滤棒</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张</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8</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5</w:t>
            </w:r>
            <w:r>
              <w:rPr>
                <w:rFonts w:hint="default" w:ascii="Times New Roman" w:hAnsi="Times New Roman" w:eastAsia="TimesNewRomanPSMT" w:cs="Times New Roman"/>
                <w:snapToGrid/>
                <w:color w:val="000000"/>
                <w:kern w:val="2"/>
                <w:sz w:val="21"/>
                <w:szCs w:val="21"/>
              </w:rPr>
              <w:t>µm</w:t>
            </w:r>
            <w:r>
              <w:rPr>
                <w:rFonts w:hint="default" w:ascii="Times New Roman" w:hAnsi="Times New Roman" w:eastAsia="宋体" w:cs="Times New Roman"/>
                <w:snapToGrid/>
                <w:color w:val="000000"/>
                <w:kern w:val="2"/>
                <w:sz w:val="21"/>
                <w:szCs w:val="21"/>
              </w:rPr>
              <w:t>滤膜</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8</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根</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9</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w:t>
            </w:r>
            <w:r>
              <w:rPr>
                <w:rFonts w:hint="default" w:ascii="Times New Roman" w:hAnsi="Times New Roman" w:eastAsia="TimesNewRomanPSMT" w:cs="Times New Roman"/>
                <w:snapToGrid/>
                <w:color w:val="000000"/>
                <w:kern w:val="2"/>
                <w:sz w:val="21"/>
                <w:szCs w:val="21"/>
              </w:rPr>
              <w:t>µm</w:t>
            </w:r>
            <w:r>
              <w:rPr>
                <w:rFonts w:hint="default" w:ascii="Times New Roman" w:hAnsi="Times New Roman" w:eastAsia="宋体" w:cs="Times New Roman"/>
                <w:snapToGrid/>
                <w:color w:val="000000"/>
                <w:kern w:val="2"/>
                <w:sz w:val="21"/>
                <w:szCs w:val="21"/>
              </w:rPr>
              <w:t>滤膜</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8</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根</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10</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0.5</w:t>
            </w:r>
            <w:r>
              <w:rPr>
                <w:rFonts w:hint="default" w:ascii="Times New Roman" w:hAnsi="Times New Roman" w:eastAsia="TimesNewRomanPSMT" w:cs="Times New Roman"/>
                <w:snapToGrid/>
                <w:color w:val="000000"/>
                <w:kern w:val="2"/>
                <w:sz w:val="21"/>
                <w:szCs w:val="21"/>
              </w:rPr>
              <w:t>µm</w:t>
            </w:r>
            <w:r>
              <w:rPr>
                <w:rFonts w:hint="default" w:ascii="Times New Roman" w:hAnsi="Times New Roman" w:eastAsia="宋体" w:cs="Times New Roman"/>
                <w:snapToGrid/>
                <w:color w:val="000000"/>
                <w:kern w:val="2"/>
                <w:sz w:val="21"/>
                <w:szCs w:val="21"/>
              </w:rPr>
              <w:t>滤膜</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8</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根</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11</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2"/>
                <w:sz w:val="21"/>
                <w:szCs w:val="21"/>
              </w:rPr>
              <w:t>滤料（石英砂、锰砂等）</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2</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t</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12</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2"/>
                <w:sz w:val="21"/>
                <w:szCs w:val="21"/>
              </w:rPr>
            </w:pPr>
            <w:r>
              <w:rPr>
                <w:rFonts w:hint="default" w:ascii="Times New Roman" w:hAnsi="Times New Roman" w:eastAsia="宋体" w:cs="Times New Roman"/>
                <w:snapToGrid/>
                <w:color w:val="000000"/>
                <w:kern w:val="2"/>
                <w:sz w:val="21"/>
                <w:szCs w:val="21"/>
              </w:rPr>
              <w:t>柠檬酸</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41</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kg</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13</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2"/>
                <w:sz w:val="21"/>
                <w:szCs w:val="21"/>
              </w:rPr>
            </w:pPr>
            <w:r>
              <w:rPr>
                <w:rFonts w:hint="default" w:ascii="Times New Roman" w:hAnsi="Times New Roman" w:eastAsia="宋体" w:cs="Times New Roman"/>
                <w:snapToGrid/>
                <w:color w:val="000000"/>
                <w:kern w:val="2"/>
                <w:sz w:val="21"/>
                <w:szCs w:val="21"/>
              </w:rPr>
              <w:t>氢氧化钠</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125</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kg</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14</w:t>
            </w:r>
          </w:p>
        </w:tc>
        <w:tc>
          <w:tcPr>
            <w:tcW w:w="609" w:type="pct"/>
            <w:vMerge w:val="continue"/>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2"/>
                <w:sz w:val="21"/>
                <w:szCs w:val="21"/>
              </w:rPr>
            </w:pPr>
            <w:r>
              <w:rPr>
                <w:rFonts w:hint="default" w:ascii="Times New Roman" w:hAnsi="Times New Roman" w:eastAsia="宋体" w:cs="Times New Roman"/>
                <w:snapToGrid/>
                <w:color w:val="000000"/>
                <w:kern w:val="2"/>
                <w:sz w:val="21"/>
                <w:szCs w:val="21"/>
              </w:rPr>
              <w:t>检验室药品（营养琼脂培养基、乳糖胆盐发酵管培养基等）</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100</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kg</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rPr>
            </w:pPr>
            <w:r>
              <w:rPr>
                <w:rFonts w:hint="default" w:ascii="Times New Roman" w:hAnsi="Times New Roman" w:eastAsia="宋体" w:cs="Times New Roman"/>
                <w:snapToGrid/>
                <w:color w:val="000000"/>
                <w:kern w:val="0"/>
                <w:sz w:val="21"/>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539" w:type="pct"/>
            <w:tcBorders>
              <w:lef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15</w:t>
            </w:r>
          </w:p>
        </w:tc>
        <w:tc>
          <w:tcPr>
            <w:tcW w:w="609" w:type="pct"/>
            <w:vMerge w:val="restar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能源</w:t>
            </w:r>
          </w:p>
        </w:tc>
        <w:tc>
          <w:tcPr>
            <w:tcW w:w="1436"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水</w:t>
            </w:r>
          </w:p>
        </w:tc>
        <w:tc>
          <w:tcPr>
            <w:tcW w:w="772"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lang w:val="en-US" w:eastAsia="zh-CN"/>
              </w:rPr>
              <w:t>23129.25</w:t>
            </w:r>
          </w:p>
        </w:tc>
        <w:tc>
          <w:tcPr>
            <w:tcW w:w="878" w:type="pct"/>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m</w:t>
            </w:r>
            <w:r>
              <w:rPr>
                <w:rFonts w:hint="default" w:ascii="Times New Roman" w:hAnsi="Times New Roman" w:eastAsia="宋体" w:cs="Times New Roman"/>
                <w:snapToGrid/>
                <w:color w:val="000000"/>
                <w:kern w:val="0"/>
                <w:sz w:val="21"/>
                <w:szCs w:val="21"/>
                <w:u w:val="single"/>
                <w:vertAlign w:val="superscript"/>
              </w:rPr>
              <w:t>3</w:t>
            </w:r>
            <w:r>
              <w:rPr>
                <w:rFonts w:hint="default" w:ascii="Times New Roman" w:hAnsi="Times New Roman" w:eastAsia="宋体" w:cs="Times New Roman"/>
                <w:snapToGrid/>
                <w:color w:val="000000"/>
                <w:kern w:val="0"/>
                <w:sz w:val="21"/>
                <w:szCs w:val="21"/>
                <w:u w:val="single"/>
              </w:rPr>
              <w:t>/a</w:t>
            </w:r>
          </w:p>
        </w:tc>
        <w:tc>
          <w:tcPr>
            <w:tcW w:w="762" w:type="pct"/>
            <w:tcBorders>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井水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9" w:type="pct"/>
            <w:tcBorders>
              <w:left w:val="single" w:color="auto" w:sz="12" w:space="0"/>
              <w:bottom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16</w:t>
            </w:r>
          </w:p>
        </w:tc>
        <w:tc>
          <w:tcPr>
            <w:tcW w:w="609" w:type="pct"/>
            <w:vMerge w:val="continue"/>
            <w:tcBorders>
              <w:bottom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p>
        </w:tc>
        <w:tc>
          <w:tcPr>
            <w:tcW w:w="1436" w:type="pct"/>
            <w:tcBorders>
              <w:bottom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电</w:t>
            </w:r>
          </w:p>
        </w:tc>
        <w:tc>
          <w:tcPr>
            <w:tcW w:w="772" w:type="pct"/>
            <w:tcBorders>
              <w:bottom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12000</w:t>
            </w:r>
          </w:p>
        </w:tc>
        <w:tc>
          <w:tcPr>
            <w:tcW w:w="878" w:type="pct"/>
            <w:tcBorders>
              <w:bottom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Kw·h/a</w:t>
            </w:r>
          </w:p>
        </w:tc>
        <w:tc>
          <w:tcPr>
            <w:tcW w:w="762" w:type="pct"/>
            <w:tcBorders>
              <w:bottom w:val="single" w:color="auto" w:sz="12" w:space="0"/>
              <w:right w:val="single" w:color="auto" w:sz="12" w:space="0"/>
            </w:tcBorders>
            <w:vAlign w:val="center"/>
          </w:tcPr>
          <w:p>
            <w:pPr>
              <w:adjustRightInd w:val="0"/>
              <w:snapToGrid w:val="0"/>
              <w:spacing w:line="240" w:lineRule="auto"/>
              <w:ind w:firstLine="0" w:firstLineChars="0"/>
              <w:jc w:val="center"/>
              <w:rPr>
                <w:rFonts w:hint="default" w:ascii="Times New Roman" w:hAnsi="Times New Roman" w:eastAsia="宋体" w:cs="Times New Roman"/>
                <w:snapToGrid/>
                <w:color w:val="000000"/>
                <w:kern w:val="0"/>
                <w:sz w:val="21"/>
                <w:szCs w:val="21"/>
                <w:u w:val="single"/>
              </w:rPr>
            </w:pPr>
            <w:r>
              <w:rPr>
                <w:rFonts w:hint="default" w:ascii="Times New Roman" w:hAnsi="Times New Roman" w:eastAsia="宋体" w:cs="Times New Roman"/>
                <w:snapToGrid/>
                <w:color w:val="000000"/>
                <w:kern w:val="0"/>
                <w:sz w:val="21"/>
                <w:szCs w:val="21"/>
                <w:u w:val="single"/>
              </w:rPr>
              <w:t>市政供电</w:t>
            </w:r>
          </w:p>
        </w:tc>
      </w:tr>
    </w:tbl>
    <w:p>
      <w:pPr>
        <w:pStyle w:val="103"/>
        <w:bidi w:val="0"/>
        <w:rPr>
          <w:rFonts w:hint="eastAsia"/>
          <w:color w:val="000000" w:themeColor="text1"/>
          <w14:textFill>
            <w14:solidFill>
              <w14:schemeClr w14:val="tx1"/>
            </w14:solidFill>
          </w14:textFill>
        </w:rPr>
      </w:pPr>
      <w:bookmarkStart w:id="58" w:name="_Toc9522"/>
      <w:bookmarkStart w:id="59" w:name="_Toc21325"/>
      <w:bookmarkStart w:id="60" w:name="_Toc28068"/>
      <w:r>
        <w:rPr>
          <w:rFonts w:hint="eastAsia"/>
          <w:color w:val="000000" w:themeColor="text1"/>
          <w14:textFill>
            <w14:solidFill>
              <w14:schemeClr w14:val="tx1"/>
            </w14:solidFill>
          </w14:textFill>
        </w:rPr>
        <w:t>部分原辅材料理化性质如下：</w:t>
      </w:r>
      <w:bookmarkEnd w:id="58"/>
      <w:bookmarkEnd w:id="59"/>
      <w:bookmarkEnd w:id="60"/>
    </w:p>
    <w:p>
      <w:pPr>
        <w:pStyle w:val="56"/>
        <w:bidi w:val="0"/>
        <w:ind w:left="960" w:leftChars="0" w:firstLineChars="0"/>
        <w:rPr>
          <w:rFonts w:hint="eastAsia"/>
          <w:lang w:val="en-US" w:eastAsia="zh-CN"/>
        </w:rPr>
      </w:pPr>
      <w:r>
        <w:rPr>
          <w:rFonts w:hint="eastAsia"/>
          <w:lang w:val="en-US" w:eastAsia="zh-CN"/>
        </w:rPr>
        <w:t>原料材料理化性质一览表</w:t>
      </w:r>
    </w:p>
    <w:tbl>
      <w:tblPr>
        <w:tblStyle w:val="4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149"/>
        <w:gridCol w:w="7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tcBorders>
              <w:top w:val="single" w:color="auto" w:sz="12" w:space="0"/>
              <w:left w:val="single" w:color="auto" w:sz="12" w:space="0"/>
            </w:tcBorders>
            <w:vAlign w:val="center"/>
          </w:tcPr>
          <w:p>
            <w:pPr>
              <w:pStyle w:val="195"/>
              <w:adjustRightInd w:val="0"/>
              <w:snapToGrid w:val="0"/>
              <w:spacing w:line="240" w:lineRule="auto"/>
              <w:ind w:firstLine="0" w:firstLineChars="0"/>
              <w:jc w:val="center"/>
              <w:rPr>
                <w:sz w:val="21"/>
              </w:rPr>
            </w:pPr>
            <w:r>
              <w:rPr>
                <w:sz w:val="21"/>
              </w:rPr>
              <w:t>序号</w:t>
            </w:r>
          </w:p>
        </w:tc>
        <w:tc>
          <w:tcPr>
            <w:tcW w:w="622" w:type="pct"/>
            <w:tcBorders>
              <w:top w:val="single" w:color="auto" w:sz="12" w:space="0"/>
            </w:tcBorders>
            <w:vAlign w:val="center"/>
          </w:tcPr>
          <w:p>
            <w:pPr>
              <w:pStyle w:val="195"/>
              <w:adjustRightInd w:val="0"/>
              <w:snapToGrid w:val="0"/>
              <w:spacing w:line="240" w:lineRule="auto"/>
              <w:ind w:firstLine="0" w:firstLineChars="0"/>
              <w:jc w:val="center"/>
              <w:rPr>
                <w:sz w:val="21"/>
              </w:rPr>
            </w:pPr>
            <w:r>
              <w:rPr>
                <w:sz w:val="21"/>
              </w:rPr>
              <w:t>名称</w:t>
            </w:r>
          </w:p>
        </w:tc>
        <w:tc>
          <w:tcPr>
            <w:tcW w:w="4001" w:type="pct"/>
            <w:tcBorders>
              <w:top w:val="single" w:color="auto" w:sz="12" w:space="0"/>
              <w:right w:val="single" w:color="auto" w:sz="12" w:space="0"/>
            </w:tcBorders>
            <w:vAlign w:val="center"/>
          </w:tcPr>
          <w:p>
            <w:pPr>
              <w:pStyle w:val="195"/>
              <w:adjustRightInd w:val="0"/>
              <w:snapToGrid w:val="0"/>
              <w:spacing w:line="240" w:lineRule="auto"/>
              <w:ind w:firstLine="0" w:firstLineChars="0"/>
              <w:jc w:val="center"/>
              <w:rPr>
                <w:sz w:val="21"/>
              </w:rPr>
            </w:pPr>
            <w:r>
              <w:rPr>
                <w:sz w:val="21"/>
              </w:rPr>
              <w:t>理化性质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6" w:type="pct"/>
            <w:tcBorders>
              <w:left w:val="single" w:color="auto" w:sz="12" w:space="0"/>
            </w:tcBorders>
            <w:vAlign w:val="center"/>
          </w:tcPr>
          <w:p>
            <w:pPr>
              <w:pStyle w:val="195"/>
              <w:numPr>
                <w:ilvl w:val="255"/>
                <w:numId w:val="0"/>
              </w:numPr>
              <w:adjustRightInd w:val="0"/>
              <w:snapToGrid w:val="0"/>
              <w:spacing w:line="240" w:lineRule="auto"/>
              <w:jc w:val="center"/>
              <w:rPr>
                <w:sz w:val="21"/>
              </w:rPr>
            </w:pPr>
            <w:r>
              <w:rPr>
                <w:sz w:val="21"/>
              </w:rPr>
              <w:t>1</w:t>
            </w:r>
          </w:p>
        </w:tc>
        <w:tc>
          <w:tcPr>
            <w:tcW w:w="622" w:type="pct"/>
            <w:vAlign w:val="center"/>
          </w:tcPr>
          <w:p>
            <w:pPr>
              <w:pStyle w:val="195"/>
              <w:adjustRightInd w:val="0"/>
              <w:snapToGrid w:val="0"/>
              <w:spacing w:line="240" w:lineRule="auto"/>
              <w:ind w:firstLine="0" w:firstLineChars="0"/>
              <w:jc w:val="center"/>
              <w:rPr>
                <w:rFonts w:eastAsiaTheme="minorEastAsia"/>
                <w:sz w:val="21"/>
              </w:rPr>
            </w:pPr>
            <w:r>
              <w:rPr>
                <w:rFonts w:eastAsiaTheme="minorEastAsia"/>
                <w:sz w:val="21"/>
              </w:rPr>
              <w:t>PET瓶坯</w:t>
            </w:r>
          </w:p>
        </w:tc>
        <w:tc>
          <w:tcPr>
            <w:tcW w:w="4001" w:type="pct"/>
            <w:tcBorders>
              <w:right w:val="single" w:color="auto" w:sz="12" w:space="0"/>
            </w:tcBorders>
          </w:tcPr>
          <w:p>
            <w:pPr>
              <w:pStyle w:val="195"/>
              <w:adjustRightInd w:val="0"/>
              <w:snapToGrid w:val="0"/>
              <w:spacing w:line="240" w:lineRule="auto"/>
              <w:ind w:firstLine="0" w:firstLineChars="0"/>
              <w:rPr>
                <w:sz w:val="21"/>
              </w:rPr>
            </w:pPr>
            <w:r>
              <w:rPr>
                <w:color w:val="000000"/>
                <w:sz w:val="21"/>
              </w:rPr>
              <w:t>本项目由于有两种产品规格，分别为</w:t>
            </w:r>
            <w:r>
              <w:rPr>
                <w:rFonts w:eastAsia="TimesNewRomanPSMT"/>
                <w:color w:val="000000"/>
                <w:sz w:val="21"/>
              </w:rPr>
              <w:t>570ml</w:t>
            </w:r>
            <w:r>
              <w:rPr>
                <w:color w:val="000000"/>
                <w:sz w:val="21"/>
              </w:rPr>
              <w:t>、</w:t>
            </w:r>
            <w:r>
              <w:rPr>
                <w:rFonts w:eastAsia="TimesNewRomanPSMT"/>
                <w:color w:val="000000"/>
                <w:sz w:val="21"/>
              </w:rPr>
              <w:t>1.14L</w:t>
            </w:r>
            <w:r>
              <w:rPr>
                <w:color w:val="000000"/>
                <w:sz w:val="21"/>
              </w:rPr>
              <w:t>，因此采用的瓶坯也有两种规格，分别为</w:t>
            </w:r>
            <w:r>
              <w:rPr>
                <w:rFonts w:eastAsia="TimesNewRomanPSMT"/>
                <w:color w:val="000000"/>
                <w:sz w:val="21"/>
              </w:rPr>
              <w:t>23.94g</w:t>
            </w:r>
            <w:r>
              <w:rPr>
                <w:color w:val="000000"/>
                <w:sz w:val="21"/>
              </w:rPr>
              <w:t>紫坯和</w:t>
            </w:r>
            <w:r>
              <w:rPr>
                <w:rFonts w:eastAsia="TimesNewRomanPSMT"/>
                <w:color w:val="000000"/>
                <w:sz w:val="21"/>
              </w:rPr>
              <w:t>32g</w:t>
            </w:r>
            <w:r>
              <w:rPr>
                <w:color w:val="000000"/>
                <w:sz w:val="21"/>
              </w:rPr>
              <w:t>紫坯，成份均为聚对苯二甲酸乙二酯。聚对苯二甲酸二乙酯</w:t>
            </w:r>
            <w:r>
              <w:rPr>
                <w:rFonts w:eastAsia="TimesNewRomanPSMT"/>
                <w:color w:val="000000"/>
                <w:sz w:val="21"/>
              </w:rPr>
              <w:t>PET</w:t>
            </w:r>
            <w:r>
              <w:rPr>
                <w:color w:val="000000"/>
                <w:sz w:val="21"/>
              </w:rPr>
              <w:t>（</w:t>
            </w:r>
            <w:r>
              <w:rPr>
                <w:rFonts w:eastAsia="TimesNewRomanPSMT"/>
                <w:color w:val="000000"/>
                <w:sz w:val="21"/>
              </w:rPr>
              <w:t>Polyethylene terephthalate</w:t>
            </w:r>
            <w:r>
              <w:rPr>
                <w:color w:val="000000"/>
                <w:sz w:val="21"/>
              </w:rPr>
              <w:t>）或</w:t>
            </w:r>
            <w:r>
              <w:rPr>
                <w:rFonts w:eastAsia="TimesNewRomanPSMT"/>
                <w:color w:val="000000"/>
                <w:sz w:val="21"/>
              </w:rPr>
              <w:t>PETP</w:t>
            </w:r>
            <w:r>
              <w:rPr>
                <w:color w:val="000000"/>
                <w:sz w:val="21"/>
              </w:rPr>
              <w:t>俗称涤纶树脂。它是对苯二甲酸与乙二醇的缩聚物，与</w:t>
            </w:r>
            <w:r>
              <w:rPr>
                <w:rFonts w:eastAsia="TimesNewRomanPSMT"/>
                <w:color w:val="000000"/>
                <w:sz w:val="21"/>
              </w:rPr>
              <w:t>PBT</w:t>
            </w:r>
            <w:r>
              <w:rPr>
                <w:color w:val="000000"/>
                <w:sz w:val="21"/>
              </w:rPr>
              <w:t>一起统称为热塑性聚酯，或饱和聚酯。热变形温度</w:t>
            </w:r>
            <w:r>
              <w:rPr>
                <w:rFonts w:eastAsia="TimesNewRomanPSMT"/>
                <w:color w:val="000000"/>
                <w:sz w:val="21"/>
              </w:rPr>
              <w:t>98</w:t>
            </w:r>
            <w:r>
              <w:rPr>
                <w:color w:val="000000"/>
                <w:sz w:val="21"/>
              </w:rPr>
              <w:t>℃</w:t>
            </w:r>
            <w:r>
              <w:rPr>
                <w:rFonts w:eastAsia="TimesNewRomanPSMT"/>
                <w:color w:val="000000"/>
                <w:sz w:val="21"/>
              </w:rPr>
              <w:t>(1. 82MPa)</w:t>
            </w:r>
            <w:r>
              <w:rPr>
                <w:color w:val="000000"/>
                <w:sz w:val="21"/>
              </w:rPr>
              <w:t>，分解温度</w:t>
            </w:r>
            <w:r>
              <w:rPr>
                <w:rFonts w:eastAsia="TimesNewRomanPSMT"/>
                <w:color w:val="000000"/>
                <w:sz w:val="21"/>
              </w:rPr>
              <w:t>353</w:t>
            </w:r>
            <w:r>
              <w:rPr>
                <w:color w:val="000000"/>
                <w:sz w:val="21"/>
              </w:rPr>
              <w:t>℃。具有优良的机械性能．刚性高．硬度大，吸水性很小，尺寸稳定性好。韧性好，耐冲击、耐摩擦、耐蠕变。耐化学性好，溶于甲酚、浓硫酸、硝基苯、三氯醋酸、氯苯酚，不溶于甲醇、乙醇、丙酮、烷烃。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6" w:type="pct"/>
            <w:tcBorders>
              <w:left w:val="single" w:color="auto" w:sz="12" w:space="0"/>
              <w:bottom w:val="single" w:color="auto" w:sz="12" w:space="0"/>
            </w:tcBorders>
            <w:vAlign w:val="center"/>
          </w:tcPr>
          <w:p>
            <w:pPr>
              <w:pStyle w:val="195"/>
              <w:numPr>
                <w:ilvl w:val="255"/>
                <w:numId w:val="0"/>
              </w:numPr>
              <w:adjustRightInd w:val="0"/>
              <w:snapToGrid w:val="0"/>
              <w:spacing w:line="240" w:lineRule="auto"/>
              <w:jc w:val="center"/>
              <w:rPr>
                <w:sz w:val="21"/>
              </w:rPr>
            </w:pPr>
            <w:r>
              <w:rPr>
                <w:sz w:val="21"/>
              </w:rPr>
              <w:t>2</w:t>
            </w:r>
          </w:p>
        </w:tc>
        <w:tc>
          <w:tcPr>
            <w:tcW w:w="622" w:type="pct"/>
            <w:tcBorders>
              <w:bottom w:val="single" w:color="auto" w:sz="12" w:space="0"/>
            </w:tcBorders>
            <w:vAlign w:val="center"/>
          </w:tcPr>
          <w:p>
            <w:pPr>
              <w:pStyle w:val="195"/>
              <w:adjustRightInd w:val="0"/>
              <w:snapToGrid w:val="0"/>
              <w:spacing w:line="240" w:lineRule="auto"/>
              <w:ind w:firstLine="0" w:firstLineChars="0"/>
              <w:jc w:val="center"/>
              <w:rPr>
                <w:sz w:val="21"/>
              </w:rPr>
            </w:pPr>
            <w:r>
              <w:rPr>
                <w:sz w:val="21"/>
              </w:rPr>
              <w:t>柠檬酸</w:t>
            </w:r>
          </w:p>
        </w:tc>
        <w:tc>
          <w:tcPr>
            <w:tcW w:w="4001" w:type="pct"/>
            <w:tcBorders>
              <w:bottom w:val="single" w:color="auto" w:sz="12" w:space="0"/>
              <w:right w:val="single" w:color="auto" w:sz="12" w:space="0"/>
            </w:tcBorders>
          </w:tcPr>
          <w:p>
            <w:pPr>
              <w:pStyle w:val="195"/>
              <w:adjustRightInd w:val="0"/>
              <w:snapToGrid w:val="0"/>
              <w:spacing w:line="240" w:lineRule="auto"/>
              <w:ind w:firstLine="0" w:firstLineChars="0"/>
              <w:rPr>
                <w:sz w:val="21"/>
              </w:rPr>
            </w:pPr>
            <w:r>
              <w:rPr>
                <w:sz w:val="21"/>
              </w:rPr>
              <w:t>柠檬酸是一种重要的有机酸，又名枸橼酸，无色晶体，常含一分子结晶水，无臭，有很强的酸味，易溶于水。其钙盐在冷水中比热水中易溶解，此性质常用来鉴定和分离柠檬酸。结晶时控制适宜的温度可获得无水柠檬酸。在工业，食品业，化妆业等具有极多的用途。本项目外购固态柠檬酸，采用塑料桶或塑料袋装，存于危化品储存室，最大储存量为200kg，在使用前加水调配至0.5~1.5%的柠檬酸。</w:t>
            </w:r>
          </w:p>
        </w:tc>
      </w:tr>
    </w:tbl>
    <w:p>
      <w:pPr>
        <w:pStyle w:val="60"/>
        <w:bidi w:val="0"/>
        <w:rPr>
          <w:rFonts w:hint="eastAsia"/>
          <w:lang w:val="en-US" w:eastAsia="zh-CN"/>
        </w:rPr>
      </w:pPr>
      <w:bookmarkStart w:id="61" w:name="_Toc3559"/>
      <w:r>
        <w:rPr>
          <w:rFonts w:hint="eastAsia"/>
          <w:lang w:val="en-US" w:eastAsia="zh-CN"/>
        </w:rPr>
        <w:t>总平面布置</w:t>
      </w:r>
      <w:bookmarkEnd w:id="61"/>
    </w:p>
    <w:p>
      <w:pPr>
        <w:pStyle w:val="169"/>
        <w:keepNext w:val="0"/>
        <w:keepLines w:val="0"/>
        <w:pageBreakBefore w:val="0"/>
        <w:widowControl w:val="0"/>
        <w:kinsoku/>
        <w:wordWrap/>
        <w:overflowPunct/>
        <w:topLinePunct w:val="0"/>
        <w:autoSpaceDE/>
        <w:autoSpaceDN/>
        <w:bidi w:val="0"/>
        <w:adjustRightInd w:val="0"/>
        <w:snapToGrid w:val="0"/>
        <w:ind w:firstLine="480"/>
        <w:textAlignment w:val="auto"/>
        <w:rPr>
          <w:rFonts w:hint="eastAsia" w:eastAsia="宋体"/>
          <w:snapToGrid/>
          <w:kern w:val="2"/>
          <w:sz w:val="24"/>
          <w:szCs w:val="24"/>
          <w:lang w:val="en-US"/>
        </w:rPr>
      </w:pPr>
      <w:r>
        <w:rPr>
          <w:rFonts w:hint="eastAsia" w:eastAsia="宋体"/>
          <w:snapToGrid/>
          <w:kern w:val="2"/>
          <w:sz w:val="24"/>
          <w:szCs w:val="24"/>
          <w:lang w:val="en-US"/>
        </w:rPr>
        <w:t>项目场地呈多边形，西侧为农田，规划道路与S230相接，其余三侧均为山体。场地入口设置在用地西侧，道路宽8m，满足人行和车行的要求，厂区内部设置两个生产车间和两个仓库，项目分区域布置。项目生产线工艺布局清晰，办公生产分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u w:val="single"/>
          <w:lang w:val="en-US" w:eastAsia="zh-CN"/>
        </w:rPr>
      </w:pPr>
      <w:r>
        <w:rPr>
          <w:rFonts w:hint="eastAsia" w:ascii="Times New Roman" w:hAnsi="Times New Roman" w:cs="Times New Roman"/>
          <w:sz w:val="24"/>
          <w:u w:val="single"/>
          <w:lang w:val="en-US" w:eastAsia="zh-CN"/>
        </w:rPr>
        <w:t>根据《瓶（桶）装饮用纯净水卫生标准》（GB17324-2003）中贮存要求成品应贮存在干燥通风良好的场所，不得与有毒有害有异味易挥发易腐蚀的物品同时贮存。项目厂区设施单独的成品仓库，符合《瓶（桶）装饮用纯净水卫生标准》（GB17324-2003）的要求。吹瓶生产线位于</w:t>
      </w:r>
      <w:r>
        <w:rPr>
          <w:rFonts w:hint="eastAsia" w:cs="Times New Roman"/>
          <w:sz w:val="24"/>
          <w:u w:val="single"/>
          <w:lang w:val="en-US" w:eastAsia="zh-CN"/>
        </w:rPr>
        <w:t>罐瓶的生产车间一起</w:t>
      </w:r>
      <w:r>
        <w:rPr>
          <w:rFonts w:hint="eastAsia" w:ascii="Times New Roman" w:hAnsi="Times New Roman" w:cs="Times New Roman"/>
          <w:sz w:val="24"/>
          <w:u w:val="single"/>
          <w:lang w:val="en-US" w:eastAsia="zh-CN"/>
        </w:rPr>
        <w:t>。</w:t>
      </w:r>
      <w:r>
        <w:rPr>
          <w:rFonts w:hint="eastAsia" w:cs="Times New Roman"/>
          <w:sz w:val="24"/>
          <w:u w:val="single"/>
          <w:lang w:val="en-US" w:eastAsia="zh-CN"/>
        </w:rPr>
        <w:t>项目水处理工序</w:t>
      </w:r>
      <w:r>
        <w:rPr>
          <w:rFonts w:hint="eastAsia" w:ascii="Times New Roman" w:hAnsi="Times New Roman" w:cs="Times New Roman"/>
          <w:sz w:val="24"/>
          <w:u w:val="single"/>
          <w:lang w:val="en-US" w:eastAsia="zh-CN"/>
        </w:rPr>
        <w:t>位于厂区中部为北侧，有利于厂区瓶装水的罐装。</w:t>
      </w:r>
    </w:p>
    <w:p>
      <w:pPr>
        <w:pStyle w:val="169"/>
        <w:keepNext w:val="0"/>
        <w:keepLines w:val="0"/>
        <w:pageBreakBefore w:val="0"/>
        <w:widowControl w:val="0"/>
        <w:kinsoku/>
        <w:wordWrap/>
        <w:overflowPunct/>
        <w:topLinePunct w:val="0"/>
        <w:autoSpaceDE/>
        <w:autoSpaceDN/>
        <w:bidi w:val="0"/>
        <w:adjustRightInd w:val="0"/>
        <w:snapToGrid w:val="0"/>
        <w:ind w:firstLine="480"/>
        <w:textAlignment w:val="auto"/>
        <w:rPr>
          <w:rFonts w:eastAsia="宋体"/>
          <w:snapToGrid/>
          <w:kern w:val="2"/>
          <w:sz w:val="24"/>
          <w:szCs w:val="24"/>
          <w:lang w:val="en-US"/>
        </w:rPr>
      </w:pPr>
      <w:r>
        <w:rPr>
          <w:rFonts w:hint="eastAsia" w:eastAsia="宋体"/>
          <w:snapToGrid/>
          <w:kern w:val="2"/>
          <w:sz w:val="24"/>
          <w:szCs w:val="24"/>
          <w:lang w:val="en-US"/>
        </w:rPr>
        <w:t>综上所述，项目充分利用场地空间，构建物布局合理，可实现雨污分流，可满足环境保护要求。项目总平面布局合理。</w:t>
      </w:r>
    </w:p>
    <w:p>
      <w:pPr>
        <w:pStyle w:val="60"/>
        <w:bidi w:val="0"/>
        <w:rPr>
          <w:rFonts w:hint="eastAsia"/>
          <w:lang w:val="en-US" w:eastAsia="zh-CN"/>
        </w:rPr>
      </w:pPr>
      <w:bookmarkStart w:id="62" w:name="_Toc5741"/>
      <w:r>
        <w:rPr>
          <w:rFonts w:hint="eastAsia"/>
          <w:lang w:val="en-US" w:eastAsia="zh-CN"/>
        </w:rPr>
        <w:t>劳动定员及工作制定</w:t>
      </w:r>
      <w:bookmarkEnd w:id="62"/>
    </w:p>
    <w:p>
      <w:pPr>
        <w:rPr>
          <w:sz w:val="24"/>
        </w:rPr>
      </w:pPr>
      <w:r>
        <w:rPr>
          <w:sz w:val="24"/>
        </w:rPr>
        <w:t>本项目设置劳动定员</w:t>
      </w:r>
      <w:r>
        <w:rPr>
          <w:rFonts w:hint="eastAsia"/>
          <w:sz w:val="24"/>
        </w:rPr>
        <w:t>20</w:t>
      </w:r>
      <w:r>
        <w:rPr>
          <w:sz w:val="24"/>
        </w:rPr>
        <w:t>人，年工作</w:t>
      </w:r>
      <w:r>
        <w:rPr>
          <w:rFonts w:hint="eastAsia"/>
          <w:sz w:val="24"/>
        </w:rPr>
        <w:t>300</w:t>
      </w:r>
      <w:r>
        <w:rPr>
          <w:sz w:val="24"/>
        </w:rPr>
        <w:t>天，1班制，每班工作8小时，年工作</w:t>
      </w:r>
      <w:r>
        <w:rPr>
          <w:rFonts w:hint="eastAsia"/>
          <w:sz w:val="24"/>
        </w:rPr>
        <w:t>2400</w:t>
      </w:r>
      <w:r>
        <w:rPr>
          <w:sz w:val="24"/>
        </w:rPr>
        <w:t>小时。</w:t>
      </w:r>
    </w:p>
    <w:p>
      <w:pPr>
        <w:pStyle w:val="60"/>
        <w:bidi w:val="0"/>
        <w:rPr>
          <w:rFonts w:hint="eastAsia"/>
          <w:lang w:val="en-US" w:eastAsia="zh-CN"/>
        </w:rPr>
      </w:pPr>
      <w:bookmarkStart w:id="63" w:name="_Toc2293"/>
      <w:r>
        <w:rPr>
          <w:rFonts w:hint="eastAsia"/>
          <w:lang w:val="en-US" w:eastAsia="zh-CN"/>
        </w:rPr>
        <w:t>生产工艺流程</w:t>
      </w:r>
      <w:bookmarkEnd w:id="63"/>
    </w:p>
    <w:p>
      <w:pPr>
        <w:rPr>
          <w:rFonts w:hint="eastAsia"/>
          <w:lang w:val="en-US" w:eastAsia="zh-CN"/>
        </w:rPr>
      </w:pPr>
      <w:r>
        <w:rPr>
          <w:rFonts w:hint="eastAsia"/>
          <w:lang w:val="en-US" w:eastAsia="zh-CN"/>
        </w:rPr>
        <w:t>本项目生产工艺流程具体见下图所示。</w:t>
      </w:r>
    </w:p>
    <w:p>
      <w:pPr>
        <w:pStyle w:val="18"/>
        <w:rPr>
          <w:sz w:val="24"/>
        </w:rPr>
      </w:pPr>
      <w:r>
        <w:rPr>
          <w:sz w:val="24"/>
        </w:rPr>
        <w:object>
          <v:shape id="_x0000_i1026" o:spt="75" type="#_x0000_t75" style="height:459.5pt;width:357.45pt;" o:ole="t" filled="f" o:preferrelative="t" stroked="f" coordsize="21600,21600">
            <v:path/>
            <v:fill on="f" focussize="0,0"/>
            <v:stroke on="f" joinstyle="miter"/>
            <v:imagedata r:id="rId25" o:title=""/>
            <o:lock v:ext="edit" aspectratio="f"/>
            <w10:wrap type="none"/>
            <w10:anchorlock/>
          </v:shape>
          <o:OLEObject Type="Embed" ProgID="Visio.Drawing.15" ShapeID="_x0000_i1026" DrawAspect="Content" ObjectID="_1468075726" r:id="rId24">
            <o:LockedField>false</o:LockedField>
          </o:OLEObject>
        </w:object>
      </w:r>
    </w:p>
    <w:p>
      <w:pPr>
        <w:pStyle w:val="64"/>
        <w:bidi w:val="0"/>
        <w:rPr>
          <w:rFonts w:hint="default"/>
          <w:lang w:val="en-US" w:eastAsia="zh-CN"/>
        </w:rPr>
      </w:pPr>
      <w:r>
        <w:rPr>
          <w:rFonts w:hint="eastAsia"/>
          <w:lang w:val="en-US" w:eastAsia="zh-CN"/>
        </w:rPr>
        <w:t>项目工艺流程及产污节点示意图</w:t>
      </w:r>
    </w:p>
    <w:p>
      <w:pPr>
        <w:keepNext w:val="0"/>
        <w:keepLines w:val="0"/>
        <w:pageBreakBefore w:val="0"/>
        <w:kinsoku/>
        <w:wordWrap/>
        <w:overflowPunct/>
        <w:topLinePunct w:val="0"/>
        <w:autoSpaceDE/>
        <w:autoSpaceDN/>
        <w:bidi w:val="0"/>
        <w:adjustRightInd w:val="0"/>
        <w:snapToGrid w:val="0"/>
        <w:textAlignment w:val="auto"/>
        <w:rPr>
          <w:rFonts w:hint="eastAsia"/>
          <w:lang w:val="en-US" w:eastAsia="zh-CN"/>
        </w:rPr>
      </w:pPr>
      <w:r>
        <w:rPr>
          <w:rFonts w:hint="eastAsia"/>
          <w:lang w:val="en-US" w:eastAsia="zh-CN"/>
        </w:rPr>
        <w:t>工艺简述：</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rPr>
      </w:pPr>
      <w:r>
        <w:rPr>
          <w:rFonts w:hint="eastAsia"/>
          <w:sz w:val="24"/>
        </w:rPr>
        <w:t>本项目以饮用水作为原料，从水井管道进入水处理系统，再进入吹灌旋一体机进行封装，最后进行检验包装。</w:t>
      </w:r>
    </w:p>
    <w:p>
      <w:pPr>
        <w:pStyle w:val="18"/>
        <w:keepNext w:val="0"/>
        <w:keepLines w:val="0"/>
        <w:pageBreakBefore w:val="0"/>
        <w:numPr>
          <w:ilvl w:val="0"/>
          <w:numId w:val="10"/>
        </w:numPr>
        <w:kinsoku/>
        <w:wordWrap/>
        <w:overflowPunct/>
        <w:topLinePunct w:val="0"/>
        <w:autoSpaceDE/>
        <w:autoSpaceDN/>
        <w:bidi w:val="0"/>
        <w:adjustRightInd w:val="0"/>
        <w:snapToGrid w:val="0"/>
        <w:spacing w:before="0" w:after="0" w:line="360" w:lineRule="auto"/>
        <w:ind w:right="0" w:firstLine="480" w:firstLineChars="200"/>
        <w:textAlignment w:val="auto"/>
        <w:rPr>
          <w:sz w:val="24"/>
          <w:szCs w:val="24"/>
        </w:rPr>
      </w:pPr>
      <w:r>
        <w:rPr>
          <w:rFonts w:hint="eastAsia"/>
          <w:sz w:val="24"/>
          <w:szCs w:val="24"/>
        </w:rPr>
        <w:t>水处理系统</w:t>
      </w:r>
    </w:p>
    <w:p>
      <w:pPr>
        <w:pStyle w:val="18"/>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sz w:val="24"/>
          <w:szCs w:val="24"/>
        </w:rPr>
      </w:pPr>
      <w:r>
        <w:rPr>
          <w:sz w:val="24"/>
          <w:szCs w:val="24"/>
        </w:rPr>
        <w:t>水处理系统主要包括多介质过滤、三级精滤、UV杀菌，视水质情况添加臭氧或二氧化碳、到成品水储存。</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rPr>
      </w:pPr>
      <w:r>
        <w:rPr>
          <w:rFonts w:hint="eastAsia"/>
          <w:sz w:val="24"/>
        </w:rPr>
        <w:t>①源水储存：在水处理内设置一个原水箱，饮用水从水井中抽出后通过管道进入源水箱，再从源水箱通过管道多介质过滤器。该原水箱只有在整条生产线运营过程中才会使用，不会将饮用水抽出暂存在原水箱后，关闭后续工艺。</w:t>
      </w:r>
    </w:p>
    <w:p>
      <w:pPr>
        <w:pStyle w:val="18"/>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sz w:val="24"/>
          <w:szCs w:val="24"/>
        </w:rPr>
      </w:pPr>
      <w:r>
        <w:rPr>
          <w:sz w:val="24"/>
          <w:szCs w:val="24"/>
        </w:rPr>
        <w:t>②</w:t>
      </w:r>
      <w:r>
        <w:rPr>
          <w:rFonts w:hint="eastAsia"/>
          <w:sz w:val="24"/>
          <w:szCs w:val="24"/>
        </w:rPr>
        <w:t>多介质过滤：在多介质过滤器中，利用一种或几种过滤介质，在一定的压力下把浊度较高的水通过一定厚度的粒状或非粒状材料，从而有效的除去悬浮杂质使水澄清的过程，本项目用到的滤料有石英砂、锰砂等。主要用于降低水中的色度和浑浊度。在此工序主要产生废滤料。</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sz w:val="24"/>
        </w:rPr>
      </w:pPr>
      <w:r>
        <w:rPr>
          <w:rFonts w:hint="eastAsia"/>
          <w:sz w:val="24"/>
        </w:rPr>
        <w:t>③</w:t>
      </w:r>
      <w:r>
        <w:rPr>
          <w:color w:val="000000"/>
          <w:kern w:val="0"/>
          <w:sz w:val="24"/>
          <w:lang w:bidi="ar"/>
        </w:rPr>
        <w:t>三级精滤：本项目在</w:t>
      </w:r>
      <w:r>
        <w:rPr>
          <w:rFonts w:eastAsia="TimesNewRomanPSMT"/>
          <w:color w:val="000000"/>
          <w:kern w:val="0"/>
          <w:sz w:val="24"/>
          <w:lang w:bidi="ar"/>
        </w:rPr>
        <w:t>5μ</w:t>
      </w:r>
      <w:r>
        <w:rPr>
          <w:color w:val="000000"/>
          <w:kern w:val="0"/>
          <w:sz w:val="24"/>
          <w:lang w:bidi="ar"/>
        </w:rPr>
        <w:t>精密过滤器、</w:t>
      </w:r>
      <w:r>
        <w:rPr>
          <w:rFonts w:eastAsia="TimesNewRomanPSMT"/>
          <w:color w:val="000000"/>
          <w:kern w:val="0"/>
          <w:sz w:val="24"/>
          <w:lang w:bidi="ar"/>
        </w:rPr>
        <w:t>1μ</w:t>
      </w:r>
      <w:r>
        <w:rPr>
          <w:color w:val="000000"/>
          <w:kern w:val="0"/>
          <w:sz w:val="24"/>
          <w:lang w:bidi="ar"/>
        </w:rPr>
        <w:t>精密过滤器、</w:t>
      </w:r>
      <w:r>
        <w:rPr>
          <w:rFonts w:eastAsia="TimesNewRomanPSMT"/>
          <w:color w:val="000000"/>
          <w:kern w:val="0"/>
          <w:sz w:val="24"/>
          <w:lang w:bidi="ar"/>
        </w:rPr>
        <w:t>0.5μ</w:t>
      </w:r>
      <w:r>
        <w:rPr>
          <w:color w:val="000000"/>
          <w:kern w:val="0"/>
          <w:sz w:val="24"/>
          <w:lang w:bidi="ar"/>
        </w:rPr>
        <w:t>精密过滤器中进行</w:t>
      </w:r>
      <w:r>
        <w:rPr>
          <w:rFonts w:eastAsia="TimesNewRomanPSMT"/>
          <w:color w:val="000000"/>
          <w:kern w:val="0"/>
          <w:sz w:val="24"/>
          <w:lang w:bidi="ar"/>
        </w:rPr>
        <w:t>5μ</w:t>
      </w:r>
      <w:r>
        <w:rPr>
          <w:color w:val="000000"/>
          <w:kern w:val="0"/>
          <w:sz w:val="24"/>
          <w:lang w:bidi="ar"/>
        </w:rPr>
        <w:t>精密过滤、</w:t>
      </w:r>
      <w:r>
        <w:rPr>
          <w:rFonts w:eastAsia="TimesNewRomanPSMT"/>
          <w:color w:val="000000"/>
          <w:kern w:val="0"/>
          <w:sz w:val="24"/>
          <w:lang w:bidi="ar"/>
        </w:rPr>
        <w:t>1μ</w:t>
      </w:r>
      <w:r>
        <w:rPr>
          <w:color w:val="000000"/>
          <w:kern w:val="0"/>
          <w:sz w:val="24"/>
          <w:lang w:bidi="ar"/>
        </w:rPr>
        <w:t>精密过滤、</w:t>
      </w:r>
      <w:r>
        <w:rPr>
          <w:rFonts w:eastAsia="TimesNewRomanPSMT"/>
          <w:color w:val="000000"/>
          <w:kern w:val="0"/>
          <w:sz w:val="24"/>
          <w:lang w:bidi="ar"/>
        </w:rPr>
        <w:t>0.5μ</w:t>
      </w:r>
      <w:r>
        <w:rPr>
          <w:color w:val="000000"/>
          <w:kern w:val="0"/>
          <w:sz w:val="24"/>
          <w:lang w:bidi="ar"/>
        </w:rPr>
        <w:t>精密过滤三级精滤，分别用于有效截留去除水中的</w:t>
      </w:r>
      <w:r>
        <w:rPr>
          <w:rFonts w:eastAsia="TimesNewRomanPSMT"/>
          <w:color w:val="000000"/>
          <w:kern w:val="0"/>
          <w:sz w:val="24"/>
          <w:lang w:bidi="ar"/>
        </w:rPr>
        <w:t>5μ</w:t>
      </w:r>
      <w:r>
        <w:rPr>
          <w:color w:val="000000"/>
          <w:kern w:val="0"/>
          <w:sz w:val="24"/>
          <w:lang w:bidi="ar"/>
        </w:rPr>
        <w:t>以上的颗粒物，</w:t>
      </w:r>
      <w:r>
        <w:rPr>
          <w:rFonts w:eastAsia="TimesNewRomanPSMT"/>
          <w:color w:val="000000"/>
          <w:kern w:val="0"/>
          <w:sz w:val="24"/>
          <w:lang w:bidi="ar"/>
        </w:rPr>
        <w:t>1μ</w:t>
      </w:r>
      <w:r>
        <w:rPr>
          <w:color w:val="000000"/>
          <w:kern w:val="0"/>
          <w:sz w:val="24"/>
          <w:lang w:bidi="ar"/>
        </w:rPr>
        <w:t>以上的颗粒物和</w:t>
      </w:r>
      <w:r>
        <w:rPr>
          <w:rFonts w:eastAsia="TimesNewRomanPSMT"/>
          <w:color w:val="000000"/>
          <w:kern w:val="0"/>
          <w:sz w:val="24"/>
          <w:lang w:bidi="ar"/>
        </w:rPr>
        <w:t>0.5μ</w:t>
      </w:r>
      <w:r>
        <w:rPr>
          <w:color w:val="000000"/>
          <w:kern w:val="0"/>
          <w:sz w:val="24"/>
          <w:lang w:bidi="ar"/>
        </w:rPr>
        <w:t>以上的颗粒物，达到进一步降低水浊度、净化水质的效果。其中</w:t>
      </w:r>
      <w:r>
        <w:rPr>
          <w:rFonts w:eastAsia="TimesNewRomanPSMT"/>
          <w:color w:val="000000"/>
          <w:kern w:val="0"/>
          <w:sz w:val="24"/>
          <w:lang w:bidi="ar"/>
        </w:rPr>
        <w:t>5μ</w:t>
      </w:r>
      <w:r>
        <w:rPr>
          <w:color w:val="000000"/>
          <w:kern w:val="0"/>
          <w:sz w:val="24"/>
          <w:lang w:bidi="ar"/>
        </w:rPr>
        <w:t>精密过滤器中放置</w:t>
      </w:r>
      <w:r>
        <w:rPr>
          <w:rFonts w:eastAsia="TimesNewRomanPSMT"/>
          <w:color w:val="000000"/>
          <w:kern w:val="0"/>
          <w:sz w:val="24"/>
          <w:lang w:bidi="ar"/>
        </w:rPr>
        <w:t>4</w:t>
      </w:r>
      <w:r>
        <w:rPr>
          <w:color w:val="000000"/>
          <w:kern w:val="0"/>
          <w:sz w:val="24"/>
          <w:lang w:bidi="ar"/>
        </w:rPr>
        <w:t>根</w:t>
      </w:r>
      <w:r>
        <w:rPr>
          <w:rFonts w:eastAsia="TimesNewRomanPSMT"/>
          <w:color w:val="000000"/>
          <w:kern w:val="0"/>
          <w:sz w:val="24"/>
          <w:lang w:bidi="ar"/>
        </w:rPr>
        <w:t>5μ</w:t>
      </w:r>
      <w:r>
        <w:rPr>
          <w:color w:val="000000"/>
          <w:kern w:val="0"/>
          <w:sz w:val="24"/>
          <w:lang w:bidi="ar"/>
        </w:rPr>
        <w:t>滤膜，</w:t>
      </w:r>
      <w:r>
        <w:rPr>
          <w:rFonts w:eastAsia="TimesNewRomanPSMT"/>
          <w:color w:val="000000"/>
          <w:kern w:val="0"/>
          <w:sz w:val="24"/>
          <w:lang w:bidi="ar"/>
        </w:rPr>
        <w:t>1μ</w:t>
      </w:r>
      <w:r>
        <w:rPr>
          <w:color w:val="000000"/>
          <w:kern w:val="0"/>
          <w:sz w:val="24"/>
          <w:lang w:bidi="ar"/>
        </w:rPr>
        <w:t>精密过滤器中放置</w:t>
      </w:r>
      <w:r>
        <w:rPr>
          <w:rFonts w:eastAsia="TimesNewRomanPSMT"/>
          <w:color w:val="000000"/>
          <w:kern w:val="0"/>
          <w:sz w:val="24"/>
          <w:lang w:bidi="ar"/>
        </w:rPr>
        <w:t>4</w:t>
      </w:r>
      <w:r>
        <w:rPr>
          <w:color w:val="000000"/>
          <w:kern w:val="0"/>
          <w:sz w:val="24"/>
          <w:lang w:bidi="ar"/>
        </w:rPr>
        <w:t>根</w:t>
      </w:r>
      <w:r>
        <w:rPr>
          <w:rFonts w:eastAsia="TimesNewRomanPSMT"/>
          <w:color w:val="000000"/>
          <w:kern w:val="0"/>
          <w:sz w:val="24"/>
          <w:lang w:bidi="ar"/>
        </w:rPr>
        <w:t>1μ</w:t>
      </w:r>
      <w:r>
        <w:rPr>
          <w:color w:val="000000"/>
          <w:kern w:val="0"/>
          <w:sz w:val="24"/>
          <w:lang w:bidi="ar"/>
        </w:rPr>
        <w:t>滤膜，</w:t>
      </w:r>
      <w:r>
        <w:rPr>
          <w:rFonts w:eastAsia="TimesNewRomanPSMT"/>
          <w:color w:val="000000"/>
          <w:kern w:val="0"/>
          <w:sz w:val="24"/>
          <w:lang w:bidi="ar"/>
        </w:rPr>
        <w:t>0.5μ</w:t>
      </w:r>
      <w:r>
        <w:rPr>
          <w:color w:val="000000"/>
          <w:kern w:val="0"/>
          <w:sz w:val="24"/>
          <w:lang w:bidi="ar"/>
        </w:rPr>
        <w:t>精密过滤器中放置</w:t>
      </w:r>
      <w:r>
        <w:rPr>
          <w:rFonts w:eastAsia="TimesNewRomanPSMT"/>
          <w:color w:val="000000"/>
          <w:kern w:val="0"/>
          <w:sz w:val="24"/>
          <w:lang w:bidi="ar"/>
        </w:rPr>
        <w:t>4</w:t>
      </w:r>
      <w:r>
        <w:rPr>
          <w:color w:val="000000"/>
          <w:kern w:val="0"/>
          <w:sz w:val="24"/>
          <w:lang w:bidi="ar"/>
        </w:rPr>
        <w:t>根</w:t>
      </w:r>
      <w:r>
        <w:rPr>
          <w:rFonts w:eastAsia="TimesNewRomanPSMT"/>
          <w:color w:val="000000"/>
          <w:kern w:val="0"/>
          <w:sz w:val="24"/>
          <w:lang w:bidi="ar"/>
        </w:rPr>
        <w:t>0.5μ</w:t>
      </w:r>
      <w:r>
        <w:rPr>
          <w:color w:val="000000"/>
          <w:kern w:val="0"/>
          <w:sz w:val="24"/>
          <w:lang w:bidi="ar"/>
        </w:rPr>
        <w:t>滤膜，在此工序中主要产生废滤膜，每半年更换一次。</w:t>
      </w:r>
    </w:p>
    <w:p>
      <w:pPr>
        <w:pStyle w:val="18"/>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sz w:val="24"/>
          <w:szCs w:val="24"/>
        </w:rPr>
      </w:pPr>
      <w:r>
        <w:rPr>
          <w:sz w:val="24"/>
          <w:szCs w:val="24"/>
        </w:rPr>
        <w:t>④UV杀菌：在UV杀菌系统内设置12根紫外灯作为一组，进行UV杀菌。在此工序中主要产生废紫外灯，1万h更换1次。本项目年生产300天，日生产8小时，年生产时间为2400h，即约每1年3个月更换1次。</w:t>
      </w:r>
    </w:p>
    <w:p>
      <w:pPr>
        <w:pStyle w:val="18"/>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color w:val="000000"/>
          <w:sz w:val="24"/>
          <w:szCs w:val="24"/>
        </w:rPr>
      </w:pPr>
      <w:r>
        <w:rPr>
          <w:sz w:val="24"/>
          <w:szCs w:val="24"/>
        </w:rPr>
        <w:t>⑤添加CO</w:t>
      </w:r>
      <w:r>
        <w:rPr>
          <w:sz w:val="24"/>
          <w:szCs w:val="24"/>
          <w:vertAlign w:val="subscript"/>
        </w:rPr>
        <w:t>2</w:t>
      </w:r>
      <w:r>
        <w:rPr>
          <w:color w:val="000000"/>
          <w:sz w:val="24"/>
          <w:szCs w:val="24"/>
        </w:rPr>
        <w:t>：</w:t>
      </w:r>
      <w:r>
        <w:rPr>
          <w:rFonts w:hint="eastAsia"/>
          <w:color w:val="000000"/>
          <w:sz w:val="24"/>
          <w:szCs w:val="24"/>
        </w:rPr>
        <w:t>采用成品C</w:t>
      </w:r>
      <w:r>
        <w:rPr>
          <w:color w:val="000000"/>
          <w:sz w:val="24"/>
          <w:szCs w:val="24"/>
        </w:rPr>
        <w:t>O</w:t>
      </w:r>
      <w:r>
        <w:rPr>
          <w:color w:val="000000"/>
          <w:sz w:val="24"/>
          <w:szCs w:val="24"/>
          <w:vertAlign w:val="subscript"/>
        </w:rPr>
        <w:t>2</w:t>
      </w:r>
      <w:r>
        <w:rPr>
          <w:rFonts w:hint="eastAsia"/>
          <w:color w:val="000000"/>
          <w:sz w:val="24"/>
          <w:szCs w:val="24"/>
        </w:rPr>
        <w:t>气瓶，不现场制备C</w:t>
      </w:r>
      <w:r>
        <w:rPr>
          <w:color w:val="000000"/>
          <w:sz w:val="24"/>
          <w:szCs w:val="24"/>
        </w:rPr>
        <w:t>O</w:t>
      </w:r>
      <w:r>
        <w:rPr>
          <w:color w:val="000000"/>
          <w:sz w:val="24"/>
          <w:szCs w:val="24"/>
          <w:vertAlign w:val="subscript"/>
        </w:rPr>
        <w:t>2</w:t>
      </w:r>
      <w:r>
        <w:rPr>
          <w:rFonts w:hint="eastAsia"/>
          <w:color w:val="000000"/>
          <w:sz w:val="24"/>
          <w:szCs w:val="24"/>
        </w:rPr>
        <w:t>，</w:t>
      </w:r>
      <w:r>
        <w:rPr>
          <w:color w:val="000000"/>
          <w:sz w:val="24"/>
          <w:szCs w:val="24"/>
        </w:rPr>
        <w:t>这一步是设备和原辅材料均备好，会根据水质检测情况确定是否</w:t>
      </w:r>
      <w:r>
        <w:rPr>
          <w:rFonts w:hint="eastAsia"/>
          <w:color w:val="000000"/>
          <w:sz w:val="24"/>
          <w:szCs w:val="24"/>
        </w:rPr>
        <w:t>需</w:t>
      </w:r>
      <w:r>
        <w:rPr>
          <w:color w:val="000000"/>
          <w:sz w:val="24"/>
          <w:szCs w:val="24"/>
        </w:rPr>
        <w:t>要使用。这一步主要是控制水中的溴酸盐，若源水的溴化物含量比较高的时候，在下一步臭氧杀菌的时候，溴化物将会氧化生成溴酸盐。在此添加食品级</w:t>
      </w:r>
      <w:r>
        <w:rPr>
          <w:rFonts w:eastAsia="TimesNewRomanPSMT"/>
          <w:color w:val="000000"/>
          <w:sz w:val="24"/>
          <w:szCs w:val="24"/>
        </w:rPr>
        <w:t>CO</w:t>
      </w:r>
      <w:r>
        <w:rPr>
          <w:rFonts w:eastAsia="TimesNewRomanPSMT"/>
          <w:color w:val="000000"/>
          <w:sz w:val="24"/>
          <w:szCs w:val="24"/>
          <w:vertAlign w:val="subscript"/>
        </w:rPr>
        <w:t>2</w:t>
      </w:r>
      <w:r>
        <w:rPr>
          <w:color w:val="000000"/>
          <w:sz w:val="24"/>
          <w:szCs w:val="24"/>
        </w:rPr>
        <w:t>，可降低水的</w:t>
      </w:r>
      <w:r>
        <w:rPr>
          <w:rFonts w:eastAsia="TimesNewRomanPSMT"/>
          <w:color w:val="000000"/>
          <w:sz w:val="24"/>
          <w:szCs w:val="24"/>
        </w:rPr>
        <w:t>pH</w:t>
      </w:r>
      <w:r>
        <w:rPr>
          <w:color w:val="000000"/>
          <w:sz w:val="24"/>
          <w:szCs w:val="24"/>
        </w:rPr>
        <w:t>，从而阻碍氧将水中的溴化物氧化层溴酸盐。在此工序主要产生废气体瓶。</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rPr>
      </w:pPr>
      <w:r>
        <w:rPr>
          <w:rFonts w:hint="eastAsia"/>
          <w:sz w:val="24"/>
        </w:rPr>
        <w:t>⑥臭氧杀菌：利用高压电离使空气中的部分氧气分解聚合为臭氧，采用臭氧灭菌方式对净化后的水进行灭菌。臭氧能氧化分解细菌内部葡萄糖所需的酶，使细菌灭火死亡；直接与细菌、病毒作用，破坏细胞器和DNA、RNA，使细菌的新城代谢受到破坏，导致细菌死亡；透过细胞膜组织，侵入细胞内，作用于外膜的脂蛋白和内部的脂多糖，使细菌发生通透性畸变而溶解死亡。臭氧的添加量为0.08~0.15ppm。</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rPr>
      </w:pPr>
      <w:r>
        <w:rPr>
          <w:rFonts w:hint="eastAsia"/>
          <w:sz w:val="24"/>
        </w:rPr>
        <w:t>⑦成品水储存：经过滤、灭菌后的成品储存在储水罐中。</w:t>
      </w:r>
    </w:p>
    <w:p>
      <w:pPr>
        <w:pStyle w:val="18"/>
        <w:keepNext w:val="0"/>
        <w:keepLines w:val="0"/>
        <w:pageBreakBefore w:val="0"/>
        <w:numPr>
          <w:ilvl w:val="0"/>
          <w:numId w:val="10"/>
        </w:numPr>
        <w:kinsoku/>
        <w:wordWrap/>
        <w:overflowPunct/>
        <w:topLinePunct w:val="0"/>
        <w:autoSpaceDE/>
        <w:autoSpaceDN/>
        <w:bidi w:val="0"/>
        <w:adjustRightInd w:val="0"/>
        <w:snapToGrid w:val="0"/>
        <w:spacing w:before="0" w:after="0" w:line="360" w:lineRule="auto"/>
        <w:ind w:right="0" w:firstLine="480" w:firstLineChars="200"/>
        <w:textAlignment w:val="auto"/>
        <w:rPr>
          <w:sz w:val="24"/>
          <w:szCs w:val="24"/>
        </w:rPr>
      </w:pPr>
      <w:r>
        <w:rPr>
          <w:rFonts w:hint="eastAsia"/>
          <w:sz w:val="24"/>
          <w:szCs w:val="24"/>
        </w:rPr>
        <w:t>在洁净车间内：</w:t>
      </w:r>
      <w:r>
        <w:rPr>
          <w:sz w:val="24"/>
          <w:szCs w:val="24"/>
        </w:rPr>
        <w:t>本项目生产车间采用自带洁净室及洁净环境自动恢复功能的吹瓶、灌装、旋盖一体的“三合一吹灌旋一体机”。该设备采用玻璃罩密封，空气净化工艺为初效、中效、高效三级过滤，其主要流程是：洁净室外的新风由预过滤器进入组合式净化空调箱，先通过初效过滤器过滤，进入混合段；新风与回风混合后经表冷段、风机段、均流段、加热段、加湿段，加湿段进行除水、制冷、加热和加湿调节，最后经中效过滤，送达总送风口，总送风由送风管送至高效过滤器过滤后送入洁净室。该工艺能有效去除空气中的悬浮粒子、沉降菌，使清洁作业区整体洁净度达1000级，能够满足《食品安全国家标准包装饮用水生产卫生规范》（GB19304-2018）中对灌装车间清洁度要求。</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ascii="宋体" w:hAnsi="宋体" w:cs="宋体"/>
          <w:color w:val="000000"/>
          <w:sz w:val="24"/>
        </w:rPr>
      </w:pPr>
      <w:r>
        <w:rPr>
          <w:rFonts w:hint="eastAsia"/>
          <w:sz w:val="24"/>
        </w:rPr>
        <w:t>①钛滤：</w:t>
      </w:r>
      <w:r>
        <w:rPr>
          <w:rFonts w:ascii="宋体" w:hAnsi="宋体" w:cs="宋体"/>
          <w:color w:val="000000"/>
          <w:sz w:val="24"/>
        </w:rPr>
        <w:t>钛滤是采用钛过滤器，用钛滤棒，该钛过滤棒不需更换，每半年采</w:t>
      </w:r>
      <w:r>
        <w:rPr>
          <w:rFonts w:hint="eastAsia" w:ascii="宋体" w:hAnsi="宋体" w:cs="宋体"/>
          <w:color w:val="000000"/>
          <w:sz w:val="24"/>
        </w:rPr>
        <w:t>清洗一次</w:t>
      </w:r>
      <w:r>
        <w:rPr>
          <w:rFonts w:ascii="宋体" w:hAnsi="宋体" w:cs="宋体"/>
          <w:color w:val="000000"/>
          <w:sz w:val="24"/>
        </w:rPr>
        <w:t>。</w:t>
      </w:r>
    </w:p>
    <w:p>
      <w:pPr>
        <w:pStyle w:val="18"/>
        <w:keepNext w:val="0"/>
        <w:keepLines w:val="0"/>
        <w:pageBreakBefore w:val="0"/>
        <w:kinsoku/>
        <w:wordWrap/>
        <w:overflowPunct/>
        <w:topLinePunct w:val="0"/>
        <w:autoSpaceDE/>
        <w:autoSpaceDN/>
        <w:bidi w:val="0"/>
        <w:adjustRightInd w:val="0"/>
        <w:snapToGrid w:val="0"/>
        <w:spacing w:before="0" w:after="0" w:line="360" w:lineRule="auto"/>
        <w:ind w:right="0" w:firstLine="480" w:firstLineChars="200"/>
        <w:textAlignment w:val="auto"/>
        <w:rPr>
          <w:rFonts w:ascii="宋体" w:hAnsi="宋体" w:cs="宋体"/>
          <w:color w:val="000000"/>
          <w:sz w:val="24"/>
          <w:szCs w:val="24"/>
        </w:rPr>
      </w:pPr>
      <w:r>
        <w:rPr>
          <w:sz w:val="24"/>
          <w:szCs w:val="24"/>
        </w:rPr>
        <w:t>②</w:t>
      </w:r>
      <w:r>
        <w:rPr>
          <w:rFonts w:hint="eastAsia"/>
          <w:sz w:val="24"/>
          <w:szCs w:val="24"/>
        </w:rPr>
        <w:t>三合一</w:t>
      </w:r>
      <w:r>
        <w:rPr>
          <w:rFonts w:ascii="宋体" w:hAnsi="宋体" w:cs="宋体"/>
          <w:color w:val="000000"/>
          <w:sz w:val="24"/>
          <w:szCs w:val="24"/>
        </w:rPr>
        <w:t>灌旋一体机是以“吹瓶单元"、“灌装单元"和“旋盖单元"为基础，通过对光、机、电、气等多个学科的综合应用，应用伺服系统进行同步控制，实现对多个单元设备一体化控制和生产</w:t>
      </w:r>
      <w:r>
        <w:rPr>
          <w:rFonts w:hint="eastAsia" w:ascii="宋体" w:hAnsi="宋体" w:cs="宋体"/>
          <w:color w:val="000000"/>
          <w:sz w:val="24"/>
          <w:szCs w:val="24"/>
        </w:rPr>
        <w:t>。</w:t>
      </w:r>
    </w:p>
    <w:p>
      <w:pPr>
        <w:numPr>
          <w:ilvl w:val="0"/>
          <w:numId w:val="11"/>
        </w:numPr>
        <w:adjustRightInd w:val="0"/>
        <w:snapToGrid w:val="0"/>
        <w:spacing w:line="360" w:lineRule="auto"/>
        <w:ind w:firstLine="480" w:firstLineChars="200"/>
        <w:rPr>
          <w:sz w:val="24"/>
        </w:rPr>
      </w:pPr>
      <w:r>
        <w:rPr>
          <w:rFonts w:hint="eastAsia"/>
          <w:sz w:val="24"/>
        </w:rPr>
        <w:t>吹瓶</w:t>
      </w:r>
    </w:p>
    <w:p>
      <w:pPr>
        <w:pStyle w:val="18"/>
        <w:adjustRightInd w:val="0"/>
        <w:spacing w:before="0" w:after="0" w:line="360" w:lineRule="auto"/>
        <w:ind w:right="0" w:firstLine="480" w:firstLineChars="200"/>
        <w:rPr>
          <w:rFonts w:ascii="宋体" w:hAnsi="宋体" w:cs="宋体"/>
          <w:color w:val="000000"/>
          <w:sz w:val="24"/>
          <w:szCs w:val="24"/>
        </w:rPr>
      </w:pPr>
      <w:r>
        <w:rPr>
          <w:rFonts w:ascii="宋体" w:hAnsi="宋体" w:cs="宋体"/>
          <w:color w:val="000000"/>
          <w:sz w:val="24"/>
          <w:szCs w:val="24"/>
        </w:rPr>
        <w:t>供坯、理坯：瓶坯从供坯斗进入提升机输送至理坯器，通过理坯、使瓶坯自动排列进入星轮送入加温区。理坯过程完全实现自动控制，理坯效率高而不伤瓶坯。项目外购的瓶坯带有微量的粉尘，通过吹灌旋一体机去除。吹灌旋一体机设置有离子除尘装置，在光电感应开关的感应下，高压气流将离子发生装置所产生的大量正负离子迅速吹向瓶坯表面，中和瓶坯表面所积累的静电电荷，同时，高速气流将静电吸收的尘粒吹除，通过抽风的方式把微量粉尘抽走。</w:t>
      </w:r>
    </w:p>
    <w:p>
      <w:pPr>
        <w:adjustRightInd w:val="0"/>
        <w:snapToGrid w:val="0"/>
        <w:spacing w:line="360" w:lineRule="auto"/>
        <w:ind w:firstLine="480" w:firstLineChars="200"/>
        <w:rPr>
          <w:rFonts w:ascii="宋体" w:hAnsi="宋体" w:cs="宋体"/>
          <w:color w:val="000000"/>
          <w:sz w:val="24"/>
        </w:rPr>
      </w:pPr>
      <w:r>
        <w:rPr>
          <w:rFonts w:ascii="TimesNewRomanPSMT" w:hAnsi="TimesNewRomanPSMT" w:eastAsia="TimesNewRomanPSMT" w:cs="TimesNewRomanPSMT"/>
          <w:color w:val="000000"/>
          <w:sz w:val="24"/>
        </w:rPr>
        <w:t>UV</w:t>
      </w:r>
      <w:r>
        <w:rPr>
          <w:rFonts w:ascii="宋体" w:hAnsi="宋体" w:cs="宋体"/>
          <w:color w:val="000000"/>
          <w:sz w:val="24"/>
        </w:rPr>
        <w:t>杀菌：经离子除尘后的瓶坯再经紫外灯</w:t>
      </w:r>
      <w:r>
        <w:rPr>
          <w:rFonts w:ascii="TimesNewRomanPSMT" w:hAnsi="TimesNewRomanPSMT" w:eastAsia="TimesNewRomanPSMT" w:cs="TimesNewRomanPSMT"/>
          <w:color w:val="000000"/>
          <w:sz w:val="24"/>
        </w:rPr>
        <w:t>UV</w:t>
      </w:r>
      <w:r>
        <w:rPr>
          <w:rFonts w:ascii="宋体" w:hAnsi="宋体" w:cs="宋体"/>
          <w:color w:val="000000"/>
          <w:sz w:val="24"/>
        </w:rPr>
        <w:t>杀菌，该工序主要产生废紫外灯管。</w:t>
      </w:r>
    </w:p>
    <w:p>
      <w:pPr>
        <w:pStyle w:val="18"/>
        <w:adjustRightInd w:val="0"/>
        <w:spacing w:before="0" w:after="0" w:line="360" w:lineRule="auto"/>
        <w:ind w:right="0" w:firstLine="480" w:firstLineChars="200"/>
        <w:rPr>
          <w:rFonts w:ascii="宋体" w:hAnsi="宋体" w:cs="宋体"/>
          <w:color w:val="000000"/>
          <w:sz w:val="24"/>
          <w:szCs w:val="24"/>
        </w:rPr>
      </w:pPr>
      <w:r>
        <w:rPr>
          <w:rFonts w:ascii="宋体" w:hAnsi="宋体" w:cs="宋体"/>
          <w:color w:val="000000"/>
          <w:sz w:val="24"/>
          <w:szCs w:val="24"/>
        </w:rPr>
        <w:t>吹瓶成型：装载好的瓶坯由可翻转芯轴携带，芯轴沿变加速度翻转导轨将瓶坯平稳地翻转为瓶口向下坯身向上的状态，该状态是最有利于对瓶口螺纹部分进行隔热防护的最佳工艺状态，同时，携带着瓶坯的芯轴在公转链条的带动下还在匀速自转，匀速经过外侧加温灯箱和内侧冷却系统，系统配有红外线加热灯管，使整个瓶坯获得最佳的工艺温度（</w:t>
      </w:r>
      <w:r>
        <w:rPr>
          <w:rFonts w:ascii="TimesNewRomanPSMT" w:hAnsi="TimesNewRomanPSMT" w:eastAsia="TimesNewRomanPSMT" w:cs="TimesNewRomanPSMT"/>
          <w:color w:val="000000"/>
          <w:sz w:val="24"/>
          <w:szCs w:val="24"/>
        </w:rPr>
        <w:t>100~130</w:t>
      </w:r>
      <w:r>
        <w:rPr>
          <w:rFonts w:ascii="宋体" w:hAnsi="宋体" w:cs="宋体"/>
          <w:color w:val="000000"/>
          <w:sz w:val="24"/>
          <w:szCs w:val="24"/>
        </w:rPr>
        <w:t>℃）。专用的机械手沿一定的凸轮曲线将加热后的瓶坯传送至模具中，瓶坯经拉伸预吹，然后通入过高压气最终吹成瓶形。专用的机械手沿一定的凸轮曲线将吹制成型的瓶向外输送。</w:t>
      </w:r>
    </w:p>
    <w:p>
      <w:pPr>
        <w:pStyle w:val="18"/>
        <w:numPr>
          <w:ilvl w:val="0"/>
          <w:numId w:val="11"/>
        </w:numPr>
        <w:adjustRightInd w:val="0"/>
        <w:spacing w:before="0" w:after="0" w:line="360" w:lineRule="auto"/>
        <w:ind w:right="0" w:firstLine="480" w:firstLineChars="200"/>
        <w:rPr>
          <w:sz w:val="24"/>
          <w:szCs w:val="24"/>
        </w:rPr>
      </w:pPr>
      <w:r>
        <w:rPr>
          <w:rFonts w:hint="eastAsia"/>
          <w:sz w:val="24"/>
          <w:szCs w:val="24"/>
        </w:rPr>
        <w:t>灌瓶</w:t>
      </w:r>
    </w:p>
    <w:p>
      <w:pPr>
        <w:pStyle w:val="18"/>
        <w:adjustRightInd w:val="0"/>
        <w:spacing w:before="0" w:after="0" w:line="360" w:lineRule="auto"/>
        <w:ind w:right="0" w:firstLine="480" w:firstLineChars="200"/>
      </w:pPr>
      <w:r>
        <w:rPr>
          <w:rFonts w:ascii="宋体" w:hAnsi="宋体" w:cs="宋体"/>
          <w:color w:val="000000"/>
          <w:sz w:val="24"/>
          <w:szCs w:val="24"/>
        </w:rPr>
        <w:t>吹制的瓶子通过过渡拨轮传送至灌装机。进入灌装机的瓶子由提升气缸上的瓶夹卡住瓶口保持，并在凸轮作用下实现上升与下降。灌装机采用重力灌装方式，瓶口上升顶开灌装阀开始灌装，当物料上升到堵住回气孔位置时结束灌装。灌装结束后瓶口下降离开灌装阀。</w:t>
      </w:r>
    </w:p>
    <w:p>
      <w:pPr>
        <w:pStyle w:val="18"/>
        <w:numPr>
          <w:ilvl w:val="0"/>
          <w:numId w:val="11"/>
        </w:numPr>
        <w:adjustRightInd w:val="0"/>
        <w:spacing w:before="0" w:after="0" w:line="360" w:lineRule="auto"/>
        <w:ind w:right="0" w:firstLine="480" w:firstLineChars="200"/>
        <w:rPr>
          <w:sz w:val="24"/>
          <w:szCs w:val="24"/>
        </w:rPr>
      </w:pPr>
      <w:r>
        <w:rPr>
          <w:rFonts w:hint="eastAsia"/>
          <w:sz w:val="24"/>
          <w:szCs w:val="24"/>
        </w:rPr>
        <w:t>旋盖</w:t>
      </w:r>
    </w:p>
    <w:p>
      <w:pPr>
        <w:adjustRightInd w:val="0"/>
        <w:snapToGrid w:val="0"/>
        <w:spacing w:line="360" w:lineRule="auto"/>
        <w:ind w:firstLine="480" w:firstLineChars="200"/>
      </w:pPr>
      <w:r>
        <w:rPr>
          <w:rFonts w:ascii="宋体" w:hAnsi="宋体" w:cs="宋体"/>
          <w:color w:val="000000"/>
          <w:sz w:val="24"/>
        </w:rPr>
        <w:t>本项目外购成品瓶盖进行生产，瓶盖从供盖斗输送至理盖器，通过理盖、使瓶坯自动排列进入旋盖机（自带蒸汽消毒装置）。在此过程中采用紫外灯管进行照射，进行</w:t>
      </w:r>
      <w:r>
        <w:rPr>
          <w:rFonts w:ascii="TimesNewRomanPSMT" w:hAnsi="TimesNewRomanPSMT" w:eastAsia="TimesNewRomanPSMT" w:cs="TimesNewRomanPSMT"/>
          <w:color w:val="000000"/>
          <w:sz w:val="24"/>
        </w:rPr>
        <w:t>UV</w:t>
      </w:r>
      <w:r>
        <w:rPr>
          <w:rFonts w:ascii="宋体" w:hAnsi="宋体" w:cs="宋体"/>
          <w:color w:val="000000"/>
          <w:sz w:val="24"/>
        </w:rPr>
        <w:t>杀菌，再加上旋盖机自带的蒸汽消毒装置，进行了蒸汽消毒。已灌装水的瓶子通过过渡拨轮进入旋盖机，旋盖机上的止旋刀卡住瓶颈部位，保持瓶子直立并防止旋转。旋盖头在旋盖机上保持公转并自转，在凸轮作用下实现抓盖、套盖、旋盖、脱盖动作，完成整个封盖过程。成品瓶通过出瓶 拨轮从旋盖机传送到出瓶输送链上，由输送链传送出三合一灌装机。</w:t>
      </w:r>
    </w:p>
    <w:p>
      <w:pPr>
        <w:pStyle w:val="18"/>
        <w:adjustRightInd w:val="0"/>
        <w:spacing w:before="0" w:after="0" w:line="360" w:lineRule="auto"/>
        <w:ind w:right="0" w:firstLine="480" w:firstLineChars="200"/>
        <w:rPr>
          <w:sz w:val="24"/>
          <w:szCs w:val="24"/>
        </w:rPr>
      </w:pPr>
      <w:r>
        <w:rPr>
          <w:rFonts w:hint="eastAsia"/>
          <w:sz w:val="24"/>
          <w:szCs w:val="24"/>
        </w:rPr>
        <w:t>D、液位检：液位检仪自动检测已封盖的水，避免有空瓶或不满足设置液位的产品。该工序主要产生不合格产品。</w:t>
      </w:r>
    </w:p>
    <w:p>
      <w:pPr>
        <w:pStyle w:val="18"/>
        <w:numPr>
          <w:ilvl w:val="0"/>
          <w:numId w:val="10"/>
        </w:numPr>
        <w:adjustRightInd w:val="0"/>
        <w:spacing w:before="0" w:after="0" w:line="360" w:lineRule="auto"/>
        <w:ind w:right="0" w:firstLine="480" w:firstLineChars="200"/>
        <w:rPr>
          <w:sz w:val="24"/>
          <w:szCs w:val="24"/>
        </w:rPr>
      </w:pPr>
      <w:r>
        <w:rPr>
          <w:rFonts w:hint="eastAsia"/>
          <w:sz w:val="24"/>
          <w:szCs w:val="24"/>
        </w:rPr>
        <w:t>包装检验</w:t>
      </w:r>
    </w:p>
    <w:p>
      <w:pPr>
        <w:pStyle w:val="18"/>
        <w:adjustRightInd w:val="0"/>
        <w:spacing w:before="0" w:after="0" w:line="360" w:lineRule="auto"/>
        <w:ind w:right="0" w:firstLine="480" w:firstLineChars="200"/>
      </w:pPr>
      <w:r>
        <w:rPr>
          <w:sz w:val="24"/>
          <w:szCs w:val="24"/>
        </w:rPr>
        <w:t>①贴标：采用套标设备，将外购的成品标签贴（带不干胶）贴在瓶身。贴标工序使用外购成品标签上自带的不干胶作为粘合剂，不加热，直接将标签背后不干胶的贴纸撕开后粘贴，因此，该工序不会产生废气。</w:t>
      </w:r>
    </w:p>
    <w:p>
      <w:pPr>
        <w:pStyle w:val="195"/>
        <w:adjustRightInd w:val="0"/>
        <w:snapToGrid w:val="0"/>
        <w:rPr>
          <w:szCs w:val="24"/>
        </w:rPr>
      </w:pPr>
      <w:r>
        <w:rPr>
          <w:szCs w:val="24"/>
        </w:rPr>
        <w:t>②激光打码：在瓶身上激光打码生产日期。</w:t>
      </w:r>
    </w:p>
    <w:p>
      <w:pPr>
        <w:pStyle w:val="195"/>
        <w:adjustRightInd w:val="0"/>
        <w:snapToGrid w:val="0"/>
        <w:rPr>
          <w:szCs w:val="24"/>
        </w:rPr>
      </w:pPr>
      <w:r>
        <w:rPr>
          <w:szCs w:val="24"/>
        </w:rPr>
        <w:t>③标签、打码检：采用标签、打码检验机对标签和打码进行检验，避免无标签或无生产日期的产品产生。该工序主要产生不合格产品，返回贴标或打码工序。</w:t>
      </w:r>
    </w:p>
    <w:p>
      <w:pPr>
        <w:pStyle w:val="195"/>
        <w:adjustRightInd w:val="0"/>
        <w:snapToGrid w:val="0"/>
        <w:rPr>
          <w:szCs w:val="24"/>
        </w:rPr>
      </w:pPr>
      <w:r>
        <w:rPr>
          <w:szCs w:val="24"/>
        </w:rPr>
        <w:t>④包装：部分成品需采用包裹机，外购成品纸箱进行包装；部分成品需采用缩膜机，外购成品膜进行膜包装。</w:t>
      </w:r>
    </w:p>
    <w:p>
      <w:pPr>
        <w:pStyle w:val="195"/>
        <w:adjustRightInd w:val="0"/>
        <w:snapToGrid w:val="0"/>
        <w:rPr>
          <w:szCs w:val="24"/>
        </w:rPr>
      </w:pPr>
      <w:r>
        <w:rPr>
          <w:szCs w:val="24"/>
        </w:rPr>
        <w:t>⑤激光打码：包装后，在包装纸箱和包装膜上激光打码批号，生产日期等。</w:t>
      </w:r>
    </w:p>
    <w:p>
      <w:pPr>
        <w:pStyle w:val="195"/>
        <w:adjustRightInd w:val="0"/>
        <w:snapToGrid w:val="0"/>
        <w:rPr>
          <w:szCs w:val="24"/>
        </w:rPr>
      </w:pPr>
      <w:r>
        <w:rPr>
          <w:szCs w:val="24"/>
        </w:rPr>
        <w:t>⑥码垛：将装箱的瓶装水或桶装水进行码垛，采用叉车送至成品库堆放。</w:t>
      </w:r>
    </w:p>
    <w:p>
      <w:pPr>
        <w:pStyle w:val="195"/>
        <w:adjustRightInd w:val="0"/>
        <w:snapToGrid w:val="0"/>
        <w:rPr>
          <w:szCs w:val="24"/>
        </w:rPr>
      </w:pPr>
      <w:r>
        <w:rPr>
          <w:szCs w:val="24"/>
        </w:rPr>
        <w:t>⑦成品入库：产品入库，采用库房的立库系统堆放。</w:t>
      </w:r>
    </w:p>
    <w:p>
      <w:pPr>
        <w:pStyle w:val="18"/>
        <w:numPr>
          <w:ilvl w:val="0"/>
          <w:numId w:val="10"/>
        </w:numPr>
        <w:adjustRightInd w:val="0"/>
        <w:spacing w:before="0" w:after="0" w:line="360" w:lineRule="auto"/>
        <w:ind w:right="0" w:firstLine="480" w:firstLineChars="200"/>
        <w:rPr>
          <w:sz w:val="24"/>
          <w:szCs w:val="24"/>
        </w:rPr>
      </w:pPr>
      <w:r>
        <w:rPr>
          <w:rFonts w:hint="eastAsia"/>
          <w:sz w:val="24"/>
          <w:szCs w:val="24"/>
        </w:rPr>
        <w:t>滤料（滤芯）更换</w:t>
      </w:r>
    </w:p>
    <w:p>
      <w:pPr>
        <w:pStyle w:val="195"/>
        <w:adjustRightInd w:val="0"/>
        <w:snapToGrid w:val="0"/>
        <w:rPr>
          <w:rFonts w:ascii="宋体" w:hAnsi="宋体" w:cs="宋体"/>
          <w:color w:val="000000"/>
          <w:szCs w:val="24"/>
        </w:rPr>
      </w:pPr>
      <w:r>
        <w:rPr>
          <w:rFonts w:ascii="宋体" w:hAnsi="宋体" w:cs="宋体"/>
          <w:color w:val="000000"/>
          <w:szCs w:val="24"/>
        </w:rPr>
        <w:t>水处理系统石英砂、硼砂定期更换，一般</w:t>
      </w:r>
      <w:r>
        <w:rPr>
          <w:rFonts w:ascii="TimesNewRomanPSMT" w:hAnsi="TimesNewRomanPSMT" w:eastAsia="TimesNewRomanPSMT" w:cs="TimesNewRomanPSMT"/>
          <w:color w:val="000000"/>
          <w:szCs w:val="24"/>
        </w:rPr>
        <w:t>1~2</w:t>
      </w:r>
      <w:r>
        <w:rPr>
          <w:rFonts w:ascii="宋体" w:hAnsi="宋体" w:cs="宋体"/>
          <w:color w:val="000000"/>
          <w:szCs w:val="24"/>
        </w:rPr>
        <w:t>年更换一次；三级精滤膜一般半年更换一次；紫外灯约</w:t>
      </w:r>
      <w:r>
        <w:rPr>
          <w:rFonts w:ascii="TimesNewRomanPSMT" w:hAnsi="TimesNewRomanPSMT" w:eastAsia="TimesNewRomanPSMT" w:cs="TimesNewRomanPSMT"/>
          <w:color w:val="000000"/>
          <w:szCs w:val="24"/>
        </w:rPr>
        <w:t>4</w:t>
      </w:r>
      <w:r>
        <w:rPr>
          <w:rFonts w:ascii="宋体" w:hAnsi="宋体" w:cs="宋体"/>
          <w:color w:val="000000"/>
          <w:szCs w:val="24"/>
        </w:rPr>
        <w:t>年更换一次。更换下来的废砂、废滤膜分类收集，交由环卫部门处置；废紫外灯管在厂内危废暂存间暂存后交由资质单位处置。 灌装整线空气净化系统滤芯也需定期更换，一般</w:t>
      </w:r>
      <w:r>
        <w:rPr>
          <w:rFonts w:ascii="TimesNewRomanPSMT" w:hAnsi="TimesNewRomanPSMT" w:eastAsia="TimesNewRomanPSMT" w:cs="TimesNewRomanPSMT"/>
          <w:color w:val="000000"/>
          <w:szCs w:val="24"/>
        </w:rPr>
        <w:t>1~2</w:t>
      </w:r>
      <w:r>
        <w:rPr>
          <w:rFonts w:ascii="宋体" w:hAnsi="宋体" w:cs="宋体"/>
          <w:color w:val="000000"/>
          <w:szCs w:val="24"/>
        </w:rPr>
        <w:t>年更换一次，废滤芯上主要为吸附的颗粒物。更换下来的废滤芯交由环卫部门处置。</w:t>
      </w:r>
    </w:p>
    <w:p>
      <w:pPr>
        <w:pStyle w:val="195"/>
        <w:adjustRightInd w:val="0"/>
        <w:snapToGrid w:val="0"/>
        <w:rPr>
          <w:rFonts w:ascii="宋体" w:hAnsi="宋体" w:cs="宋体"/>
          <w:color w:val="000000"/>
          <w:szCs w:val="24"/>
        </w:rPr>
      </w:pPr>
    </w:p>
    <w:p>
      <w:pPr>
        <w:pStyle w:val="60"/>
        <w:bidi w:val="0"/>
        <w:rPr>
          <w:rFonts w:hint="eastAsia"/>
          <w:lang w:val="en-US" w:eastAsia="zh-CN"/>
        </w:rPr>
      </w:pPr>
      <w:bookmarkStart w:id="64" w:name="_Toc16579"/>
      <w:r>
        <w:rPr>
          <w:rFonts w:hint="eastAsia"/>
          <w:lang w:val="en-US" w:eastAsia="zh-CN"/>
        </w:rPr>
        <w:t>废水来源及构成</w:t>
      </w:r>
      <w:bookmarkEnd w:id="64"/>
    </w:p>
    <w:p>
      <w:pPr>
        <w:pStyle w:val="61"/>
        <w:bidi w:val="0"/>
        <w:rPr>
          <w:rFonts w:hint="eastAsia"/>
          <w:lang w:val="en-US" w:eastAsia="zh-CN"/>
        </w:rPr>
      </w:pPr>
      <w:r>
        <w:rPr>
          <w:rFonts w:hint="eastAsia"/>
          <w:lang w:val="en-US" w:eastAsia="zh-CN"/>
        </w:rPr>
        <w:t>给水</w:t>
      </w:r>
    </w:p>
    <w:p>
      <w:pPr>
        <w:spacing w:line="360" w:lineRule="auto"/>
        <w:ind w:firstLine="480" w:firstLineChars="200"/>
        <w:rPr>
          <w:color w:val="000000" w:themeColor="text1"/>
          <w:sz w:val="24"/>
          <w:szCs w:val="24"/>
          <w:u w:val="single"/>
          <w14:textFill>
            <w14:solidFill>
              <w14:schemeClr w14:val="tx1"/>
            </w14:solidFill>
          </w14:textFill>
        </w:rPr>
      </w:pPr>
      <w:r>
        <w:rPr>
          <w:rFonts w:hint="eastAsia"/>
          <w:color w:val="000000" w:themeColor="text1"/>
          <w:sz w:val="24"/>
          <w:szCs w:val="24"/>
          <w:u w:val="single"/>
          <w14:textFill>
            <w14:solidFill>
              <w14:schemeClr w14:val="tx1"/>
            </w14:solidFill>
          </w14:textFill>
        </w:rPr>
        <w:t>本项目井水主要用于生产用水、灌装、设备清洗、生活用水、实验用水。</w:t>
      </w:r>
    </w:p>
    <w:p>
      <w:pPr>
        <w:pStyle w:val="18"/>
        <w:numPr>
          <w:ilvl w:val="0"/>
          <w:numId w:val="12"/>
        </w:numPr>
        <w:snapToGrid/>
        <w:spacing w:before="0" w:after="0" w:line="360" w:lineRule="auto"/>
        <w:ind w:right="0" w:firstLine="480" w:firstLineChars="200"/>
        <w:rPr>
          <w:color w:val="000000" w:themeColor="text1"/>
          <w:sz w:val="24"/>
          <w:szCs w:val="24"/>
          <w:u w:val="single"/>
          <w14:textFill>
            <w14:solidFill>
              <w14:schemeClr w14:val="tx1"/>
            </w14:solidFill>
          </w14:textFill>
        </w:rPr>
      </w:pPr>
      <w:r>
        <w:rPr>
          <w:rFonts w:hint="eastAsia"/>
          <w:color w:val="000000" w:themeColor="text1"/>
          <w:sz w:val="24"/>
          <w:szCs w:val="24"/>
          <w:u w:val="single"/>
          <w14:textFill>
            <w14:solidFill>
              <w14:schemeClr w14:val="tx1"/>
            </w14:solidFill>
          </w14:textFill>
        </w:rPr>
        <w:t>生产用水</w:t>
      </w:r>
    </w:p>
    <w:p>
      <w:pPr>
        <w:spacing w:line="360" w:lineRule="auto"/>
        <w:ind w:firstLine="480" w:firstLineChars="200"/>
        <w:rPr>
          <w:rFonts w:hint="eastAsia"/>
          <w:color w:val="000000" w:themeColor="text1"/>
          <w:sz w:val="24"/>
          <w:szCs w:val="24"/>
          <w:u w:val="single"/>
          <w14:textFill>
            <w14:solidFill>
              <w14:schemeClr w14:val="tx1"/>
            </w14:solidFill>
          </w14:textFill>
        </w:rPr>
      </w:pPr>
      <w:r>
        <w:rPr>
          <w:rFonts w:hint="eastAsia"/>
          <w:sz w:val="24"/>
          <w:szCs w:val="24"/>
          <w:u w:val="single"/>
        </w:rPr>
        <w:t>本项目生产用水主要是</w:t>
      </w:r>
      <w:r>
        <w:rPr>
          <w:rFonts w:hint="eastAsia"/>
          <w:sz w:val="24"/>
          <w:szCs w:val="24"/>
          <w:u w:val="single"/>
          <w:lang w:val="en-US" w:eastAsia="zh-CN"/>
        </w:rPr>
        <w:t>井</w:t>
      </w:r>
      <w:r>
        <w:rPr>
          <w:rFonts w:hint="eastAsia"/>
          <w:sz w:val="24"/>
          <w:szCs w:val="24"/>
          <w:u w:val="single"/>
        </w:rPr>
        <w:t>水，根据企业提供的资料，本项目年产15L/桶（桶装水）100万桶/年、4.6L/桶（桶装水）143万桶/年、560ml（瓶装水）、360ml（瓶装水）20万瓶，则合计灌瓶和灌桶需要的水量为21762m</w:t>
      </w:r>
      <w:r>
        <w:rPr>
          <w:rFonts w:hint="eastAsia"/>
          <w:sz w:val="24"/>
          <w:szCs w:val="24"/>
          <w:u w:val="single"/>
          <w:vertAlign w:val="superscript"/>
        </w:rPr>
        <w:t>3</w:t>
      </w:r>
      <w:r>
        <w:rPr>
          <w:rFonts w:hint="eastAsia"/>
          <w:sz w:val="24"/>
          <w:szCs w:val="24"/>
          <w:u w:val="single"/>
        </w:rPr>
        <w:t>/a。</w:t>
      </w:r>
    </w:p>
    <w:p>
      <w:pPr>
        <w:pStyle w:val="18"/>
        <w:spacing w:before="0" w:after="0" w:line="360" w:lineRule="auto"/>
        <w:ind w:right="0" w:firstLine="480" w:firstLineChars="200"/>
        <w:rPr>
          <w:rFonts w:hint="eastAsia" w:eastAsia="宋体"/>
          <w:sz w:val="24"/>
          <w:szCs w:val="24"/>
          <w:u w:val="single"/>
          <w:lang w:val="en-US" w:eastAsia="zh-CN"/>
        </w:rPr>
      </w:pPr>
      <w:r>
        <w:rPr>
          <w:rFonts w:hint="eastAsia"/>
          <w:sz w:val="24"/>
          <w:szCs w:val="24"/>
          <w:u w:val="single"/>
        </w:rPr>
        <w:t>本项目使用多种过滤器，过滤器需要定期清洗，使用原水进行清洗，项目过滤器反冲洗源水用水量为480m</w:t>
      </w:r>
      <w:r>
        <w:rPr>
          <w:rFonts w:hint="eastAsia"/>
          <w:sz w:val="24"/>
          <w:szCs w:val="24"/>
          <w:u w:val="single"/>
          <w:vertAlign w:val="superscript"/>
        </w:rPr>
        <w:t>3</w:t>
      </w:r>
      <w:r>
        <w:rPr>
          <w:rFonts w:hint="eastAsia"/>
          <w:sz w:val="24"/>
          <w:szCs w:val="24"/>
          <w:u w:val="single"/>
        </w:rPr>
        <w:t>/a</w:t>
      </w:r>
      <w:r>
        <w:rPr>
          <w:rFonts w:hint="eastAsia"/>
          <w:sz w:val="24"/>
          <w:szCs w:val="24"/>
          <w:u w:val="single"/>
          <w:lang w:eastAsia="zh-CN"/>
        </w:rPr>
        <w:t>。</w:t>
      </w:r>
    </w:p>
    <w:p>
      <w:pPr>
        <w:numPr>
          <w:ilvl w:val="0"/>
          <w:numId w:val="12"/>
        </w:numPr>
        <w:spacing w:line="360" w:lineRule="auto"/>
        <w:ind w:firstLine="480" w:firstLineChars="200"/>
        <w:rPr>
          <w:sz w:val="24"/>
          <w:szCs w:val="24"/>
          <w:u w:val="single"/>
        </w:rPr>
      </w:pPr>
      <w:r>
        <w:rPr>
          <w:rFonts w:hint="eastAsia"/>
          <w:sz w:val="24"/>
          <w:szCs w:val="24"/>
          <w:u w:val="single"/>
        </w:rPr>
        <w:t>纯水制备用水</w:t>
      </w:r>
    </w:p>
    <w:p>
      <w:pPr>
        <w:pStyle w:val="38"/>
        <w:spacing w:after="0" w:line="360" w:lineRule="auto"/>
        <w:ind w:left="0" w:leftChars="0" w:firstLine="480"/>
        <w:rPr>
          <w:rFonts w:hint="eastAsia" w:eastAsia="宋体"/>
          <w:color w:val="000000" w:themeColor="text1"/>
          <w:sz w:val="24"/>
          <w:szCs w:val="24"/>
          <w:u w:val="single"/>
          <w:lang w:val="en-US" w:eastAsia="zh-CN"/>
          <w14:textFill>
            <w14:solidFill>
              <w14:schemeClr w14:val="tx1"/>
            </w14:solidFill>
          </w14:textFill>
        </w:rPr>
      </w:pPr>
      <w:r>
        <w:rPr>
          <w:rFonts w:hint="eastAsia"/>
          <w:sz w:val="24"/>
          <w:szCs w:val="24"/>
          <w:u w:val="single"/>
        </w:rPr>
        <w:t>本项目实验室用</w:t>
      </w:r>
      <w:r>
        <w:rPr>
          <w:color w:val="000000" w:themeColor="text1"/>
          <w:sz w:val="24"/>
          <w:szCs w:val="24"/>
          <w:u w:val="single"/>
          <w14:textFill>
            <w14:solidFill>
              <w14:schemeClr w14:val="tx1"/>
            </w14:solidFill>
          </w14:textFill>
        </w:rPr>
        <w:t>器皿清洗用水</w:t>
      </w:r>
      <w:r>
        <w:rPr>
          <w:rFonts w:hint="eastAsia"/>
          <w:color w:val="000000" w:themeColor="text1"/>
          <w:sz w:val="24"/>
          <w:szCs w:val="24"/>
          <w:u w:val="single"/>
          <w14:textFill>
            <w14:solidFill>
              <w14:schemeClr w14:val="tx1"/>
            </w14:solidFill>
          </w14:textFill>
        </w:rPr>
        <w:t>量为9</w:t>
      </w:r>
      <w:r>
        <w:rPr>
          <w:color w:val="000000" w:themeColor="text1"/>
          <w:sz w:val="24"/>
          <w:szCs w:val="24"/>
          <w:u w:val="single"/>
          <w14:textFill>
            <w14:solidFill>
              <w14:schemeClr w14:val="tx1"/>
            </w14:solidFill>
          </w14:textFill>
        </w:rPr>
        <w:t>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/a</w:t>
      </w:r>
      <w:r>
        <w:rPr>
          <w:rFonts w:hint="eastAsia"/>
          <w:color w:val="000000" w:themeColor="text1"/>
          <w:sz w:val="24"/>
          <w:szCs w:val="24"/>
          <w:u w:val="single"/>
          <w14:textFill>
            <w14:solidFill>
              <w14:schemeClr w14:val="tx1"/>
            </w14:solidFill>
          </w14:textFill>
        </w:rPr>
        <w:t>，</w:t>
      </w:r>
      <w:r>
        <w:rPr>
          <w:color w:val="000000" w:themeColor="text1"/>
          <w:sz w:val="24"/>
          <w:szCs w:val="24"/>
          <w:u w:val="single"/>
          <w14:textFill>
            <w14:solidFill>
              <w14:schemeClr w14:val="tx1"/>
            </w14:solidFill>
          </w14:textFill>
        </w:rPr>
        <w:t>检验分析用水（包括配置溶液、稀释溶液）</w:t>
      </w:r>
      <w:r>
        <w:rPr>
          <w:rFonts w:hint="eastAsia"/>
          <w:color w:val="000000" w:themeColor="text1"/>
          <w:sz w:val="24"/>
          <w:szCs w:val="24"/>
          <w:u w:val="single"/>
          <w14:textFill>
            <w14:solidFill>
              <w14:schemeClr w14:val="tx1"/>
            </w14:solidFill>
          </w14:textFill>
        </w:rPr>
        <w:t>为</w:t>
      </w:r>
      <w:r>
        <w:rPr>
          <w:color w:val="000000" w:themeColor="text1"/>
          <w:sz w:val="24"/>
          <w:szCs w:val="24"/>
          <w:u w:val="single"/>
          <w14:textFill>
            <w14:solidFill>
              <w14:schemeClr w14:val="tx1"/>
            </w14:solidFill>
          </w14:textFill>
        </w:rPr>
        <w:t>6m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/a</w:t>
      </w:r>
      <w:r>
        <w:rPr>
          <w:rFonts w:hint="eastAsia"/>
          <w:color w:val="000000" w:themeColor="text1"/>
          <w:sz w:val="24"/>
          <w:szCs w:val="24"/>
          <w:u w:val="single"/>
          <w14:textFill>
            <w14:solidFill>
              <w14:schemeClr w14:val="tx1"/>
            </w14:solidFill>
          </w14:textFill>
        </w:rPr>
        <w:t>，</w:t>
      </w:r>
      <w:r>
        <w:rPr>
          <w:color w:val="000000" w:themeColor="text1"/>
          <w:sz w:val="24"/>
          <w:szCs w:val="24"/>
          <w:u w:val="single"/>
          <w14:textFill>
            <w14:solidFill>
              <w14:schemeClr w14:val="tx1"/>
            </w14:solidFill>
          </w14:textFill>
        </w:rPr>
        <w:t>实验纯水采用实验室纯水机（采用电加热蒸汽法制备）制备纯水使用，</w:t>
      </w:r>
      <w:r>
        <w:rPr>
          <w:rFonts w:hint="eastAsia"/>
          <w:color w:val="000000" w:themeColor="text1"/>
          <w:sz w:val="24"/>
          <w:szCs w:val="24"/>
          <w:u w:val="single"/>
          <w14:textFill>
            <w14:solidFill>
              <w14:schemeClr w14:val="tx1"/>
            </w14:solidFill>
          </w14:textFill>
        </w:rPr>
        <w:t>纯水制备率以80%计</w:t>
      </w:r>
      <w:r>
        <w:rPr>
          <w:rFonts w:hint="eastAsia"/>
          <w:color w:val="000000" w:themeColor="text1"/>
          <w:sz w:val="24"/>
          <w:szCs w:val="24"/>
          <w:u w:val="single"/>
          <w:lang w:eastAsia="zh-CN"/>
          <w14:textFill>
            <w14:solidFill>
              <w14:schemeClr w14:val="tx1"/>
            </w14:solidFill>
          </w14:textFill>
        </w:rPr>
        <w:t>，</w:t>
      </w:r>
      <w:r>
        <w:rPr>
          <w:color w:val="000000"/>
          <w:sz w:val="24"/>
          <w:szCs w:val="24"/>
          <w:u w:val="single"/>
        </w:rPr>
        <w:t>则实验室</w:t>
      </w:r>
      <w:r>
        <w:rPr>
          <w:rFonts w:hint="eastAsia"/>
          <w:color w:val="000000"/>
          <w:sz w:val="24"/>
          <w:szCs w:val="24"/>
          <w:u w:val="single"/>
        </w:rPr>
        <w:t>纯水制备</w:t>
      </w:r>
      <w:r>
        <w:rPr>
          <w:color w:val="000000"/>
          <w:sz w:val="24"/>
          <w:szCs w:val="24"/>
          <w:u w:val="single"/>
        </w:rPr>
        <w:t>用水约为</w:t>
      </w:r>
      <w:r>
        <w:rPr>
          <w:rFonts w:hint="eastAsia"/>
          <w:color w:val="000000"/>
          <w:sz w:val="24"/>
          <w:szCs w:val="24"/>
          <w:u w:val="single"/>
          <w:lang w:val="en-US" w:eastAsia="zh-CN"/>
        </w:rPr>
        <w:t>17.25</w:t>
      </w:r>
      <w:r>
        <w:rPr>
          <w:rFonts w:eastAsia="TimesNewRomanPSMT"/>
          <w:color w:val="000000"/>
          <w:sz w:val="24"/>
          <w:szCs w:val="24"/>
          <w:u w:val="single"/>
        </w:rPr>
        <w:t>m</w:t>
      </w:r>
      <w:r>
        <w:rPr>
          <w:rFonts w:eastAsia="TimesNewRomanPSMT"/>
          <w:color w:val="000000"/>
          <w:sz w:val="24"/>
          <w:szCs w:val="24"/>
          <w:u w:val="single"/>
          <w:vertAlign w:val="superscript"/>
        </w:rPr>
        <w:t>3</w:t>
      </w:r>
      <w:r>
        <w:rPr>
          <w:rFonts w:eastAsia="TimesNewRomanPSMT"/>
          <w:color w:val="000000"/>
          <w:sz w:val="24"/>
          <w:szCs w:val="24"/>
          <w:u w:val="single"/>
        </w:rPr>
        <w:t>/a</w:t>
      </w:r>
      <w:r>
        <w:rPr>
          <w:color w:val="000000"/>
          <w:sz w:val="24"/>
          <w:szCs w:val="24"/>
          <w:u w:val="single"/>
        </w:rPr>
        <w:t>。</w:t>
      </w:r>
      <w:r>
        <w:rPr>
          <w:rFonts w:hint="eastAsia"/>
          <w:color w:val="000000"/>
          <w:sz w:val="24"/>
          <w:szCs w:val="24"/>
          <w:u w:val="single"/>
          <w:lang w:val="en-US" w:eastAsia="zh-CN"/>
        </w:rPr>
        <w:t>本项目纯水制备废水产生量为</w:t>
      </w:r>
      <w:r>
        <w:rPr>
          <w:color w:val="000000" w:themeColor="text1"/>
          <w:sz w:val="24"/>
          <w:szCs w:val="24"/>
          <w:u w:val="single"/>
          <w14:textFill>
            <w14:solidFill>
              <w14:schemeClr w14:val="tx1"/>
            </w14:solidFill>
          </w14:textFill>
        </w:rPr>
        <w:t>6m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/a</w:t>
      </w:r>
      <w:r>
        <w:rPr>
          <w:rFonts w:hint="eastAsia"/>
          <w:color w:val="000000" w:themeColor="text1"/>
          <w:sz w:val="24"/>
          <w:szCs w:val="24"/>
          <w:u w:val="single"/>
          <w:lang w:eastAsia="zh-CN"/>
          <w14:textFill>
            <w14:solidFill>
              <w14:schemeClr w14:val="tx1"/>
            </w14:solidFill>
          </w14:textFill>
        </w:rPr>
        <w:t>。</w:t>
      </w:r>
    </w:p>
    <w:p>
      <w:pPr>
        <w:pStyle w:val="18"/>
        <w:numPr>
          <w:ilvl w:val="0"/>
          <w:numId w:val="12"/>
        </w:numPr>
        <w:snapToGrid/>
        <w:spacing w:before="0" w:after="0" w:line="360" w:lineRule="auto"/>
        <w:ind w:right="0" w:firstLine="480" w:firstLineChars="200"/>
        <w:rPr>
          <w:sz w:val="24"/>
          <w:szCs w:val="24"/>
          <w:u w:val="single"/>
        </w:rPr>
      </w:pPr>
      <w:r>
        <w:rPr>
          <w:rFonts w:hint="eastAsia"/>
          <w:sz w:val="24"/>
          <w:szCs w:val="24"/>
          <w:u w:val="single"/>
        </w:rPr>
        <w:t>车间清洗用水</w:t>
      </w:r>
    </w:p>
    <w:p>
      <w:pPr>
        <w:spacing w:line="360" w:lineRule="auto"/>
        <w:ind w:firstLine="480" w:firstLineChars="200"/>
        <w:rPr>
          <w:color w:val="000000" w:themeColor="text1"/>
          <w:sz w:val="24"/>
          <w:szCs w:val="24"/>
          <w:u w:val="single"/>
          <w14:textFill>
            <w14:solidFill>
              <w14:schemeClr w14:val="tx1"/>
            </w14:solidFill>
          </w14:textFill>
        </w:rPr>
      </w:pPr>
      <w:r>
        <w:rPr>
          <w:color w:val="000000" w:themeColor="text1"/>
          <w:sz w:val="24"/>
          <w:szCs w:val="24"/>
          <w:u w:val="single"/>
          <w14:textFill>
            <w14:solidFill>
              <w14:schemeClr w14:val="tx1"/>
            </w14:solidFill>
          </w14:textFill>
        </w:rPr>
        <w:t>根据建设单位提供的资料，车间、仓库均清洁采用清扫和拖布清洁方式，车间和仓库清洁用水量约为2m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/d（600m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/a）</w:t>
      </w:r>
      <w:r>
        <w:rPr>
          <w:rFonts w:hint="eastAsia"/>
          <w:color w:val="000000" w:themeColor="text1"/>
          <w:sz w:val="24"/>
          <w:szCs w:val="24"/>
          <w:u w:val="single"/>
          <w14:textFill>
            <w14:solidFill>
              <w14:schemeClr w14:val="tx1"/>
            </w14:solidFill>
          </w14:textFill>
        </w:rPr>
        <w:t>。</w:t>
      </w:r>
    </w:p>
    <w:p>
      <w:pPr>
        <w:numPr>
          <w:ilvl w:val="0"/>
          <w:numId w:val="12"/>
        </w:numPr>
        <w:spacing w:line="360" w:lineRule="auto"/>
        <w:ind w:firstLine="480" w:firstLineChars="200"/>
        <w:rPr>
          <w:sz w:val="24"/>
          <w:szCs w:val="24"/>
          <w:u w:val="single"/>
        </w:rPr>
      </w:pPr>
      <w:r>
        <w:rPr>
          <w:rFonts w:hint="eastAsia"/>
          <w:sz w:val="24"/>
          <w:szCs w:val="24"/>
          <w:u w:val="single"/>
        </w:rPr>
        <w:t>生活用水</w:t>
      </w:r>
    </w:p>
    <w:p>
      <w:pPr>
        <w:pStyle w:val="18"/>
        <w:spacing w:before="0" w:after="0" w:line="360" w:lineRule="auto"/>
        <w:ind w:right="0" w:firstLine="480" w:firstLineChars="200"/>
        <w:rPr>
          <w:rFonts w:hint="eastAsia"/>
          <w:color w:val="000000" w:themeColor="text1"/>
          <w:sz w:val="24"/>
          <w:szCs w:val="24"/>
          <w:u w:val="single"/>
          <w14:textFill>
            <w14:solidFill>
              <w14:schemeClr w14:val="tx1"/>
            </w14:solidFill>
          </w14:textFill>
        </w:rPr>
      </w:pPr>
      <w:r>
        <w:rPr>
          <w:rFonts w:hint="eastAsia"/>
          <w:sz w:val="24"/>
          <w:szCs w:val="24"/>
          <w:u w:val="single"/>
        </w:rPr>
        <w:t>本项目劳动定员20人，职工生活用水主要包括</w:t>
      </w:r>
      <w:r>
        <w:rPr>
          <w:color w:val="000000" w:themeColor="text1"/>
          <w:sz w:val="24"/>
          <w:szCs w:val="24"/>
          <w:u w:val="single"/>
          <w14:textFill>
            <w14:solidFill>
              <w14:schemeClr w14:val="tx1"/>
            </w14:solidFill>
          </w14:textFill>
        </w:rPr>
        <w:t>生活、冲厕、洗手用水等。根据《湖南省用水定额地方标准》</w:t>
      </w:r>
      <w:r>
        <w:rPr>
          <w:color w:val="000000" w:themeColor="text1"/>
          <w:sz w:val="24"/>
          <w:szCs w:val="24"/>
          <w:u w:val="single"/>
          <w:lang w:bidi="en-US"/>
          <w14:textFill>
            <w14:solidFill>
              <w14:schemeClr w14:val="tx1"/>
            </w14:solidFill>
          </w14:textFill>
        </w:rPr>
        <w:t>(</w:t>
      </w:r>
      <w:r>
        <w:rPr>
          <w:rFonts w:eastAsia="Times New Roman"/>
          <w:color w:val="000000" w:themeColor="text1"/>
          <w:sz w:val="24"/>
          <w:szCs w:val="24"/>
          <w:u w:val="single"/>
          <w:lang w:bidi="en-US"/>
          <w14:textFill>
            <w14:solidFill>
              <w14:schemeClr w14:val="tx1"/>
            </w14:solidFill>
          </w14:textFill>
        </w:rPr>
        <w:t>DB43/T388-2020</w:t>
      </w:r>
      <w:r>
        <w:rPr>
          <w:color w:val="000000" w:themeColor="text1"/>
          <w:sz w:val="24"/>
          <w:szCs w:val="24"/>
          <w:u w:val="single"/>
          <w:lang w:bidi="en-US"/>
          <w14:textFill>
            <w14:solidFill>
              <w14:schemeClr w14:val="tx1"/>
            </w14:solidFill>
          </w14:textFill>
        </w:rPr>
        <w:t>)</w:t>
      </w:r>
      <w:r>
        <w:rPr>
          <w:color w:val="000000" w:themeColor="text1"/>
          <w:sz w:val="24"/>
          <w:szCs w:val="24"/>
          <w:u w:val="single"/>
          <w14:textFill>
            <w14:solidFill>
              <w14:schemeClr w14:val="tx1"/>
            </w14:solidFill>
          </w14:textFill>
        </w:rPr>
        <w:t>生活用水定额</w:t>
      </w:r>
      <w:r>
        <w:rPr>
          <w:rFonts w:hint="eastAsia"/>
          <w:color w:val="000000" w:themeColor="text1"/>
          <w:sz w:val="24"/>
          <w:szCs w:val="24"/>
          <w:u w:val="single"/>
          <w14:textFill>
            <w14:solidFill>
              <w14:schemeClr w14:val="tx1"/>
            </w14:solidFill>
          </w14:textFill>
        </w:rPr>
        <w:t>45</w:t>
      </w:r>
      <w:r>
        <w:rPr>
          <w:color w:val="000000" w:themeColor="text1"/>
          <w:sz w:val="24"/>
          <w:szCs w:val="24"/>
          <w:u w:val="single"/>
          <w14:textFill>
            <w14:solidFill>
              <w14:schemeClr w14:val="tx1"/>
            </w14:solidFill>
          </w14:textFill>
        </w:rPr>
        <w:t>L/人·d计算，</w:t>
      </w:r>
      <w:r>
        <w:rPr>
          <w:rFonts w:hint="eastAsia"/>
          <w:color w:val="000000" w:themeColor="text1"/>
          <w:sz w:val="24"/>
          <w:szCs w:val="24"/>
          <w:u w:val="single"/>
          <w14:textFill>
            <w14:solidFill>
              <w14:schemeClr w14:val="tx1"/>
            </w14:solidFill>
          </w14:textFill>
        </w:rPr>
        <w:t>0.9</w:t>
      </w:r>
      <w:r>
        <w:rPr>
          <w:color w:val="000000" w:themeColor="text1"/>
          <w:sz w:val="24"/>
          <w:szCs w:val="24"/>
          <w:u w:val="single"/>
          <w14:textFill>
            <w14:solidFill>
              <w14:schemeClr w14:val="tx1"/>
            </w14:solidFill>
          </w14:textFill>
        </w:rPr>
        <w:t>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/d</w:t>
      </w:r>
      <w:r>
        <w:rPr>
          <w:rFonts w:hint="eastAsia"/>
          <w:color w:val="000000" w:themeColor="text1"/>
          <w:sz w:val="24"/>
          <w:szCs w:val="24"/>
          <w:u w:val="single"/>
          <w14:textFill>
            <w14:solidFill>
              <w14:schemeClr w14:val="tx1"/>
            </w14:solidFill>
          </w14:textFill>
        </w:rPr>
        <w:t>，全年工作300天，则员工生活用水量为270</w:t>
      </w:r>
      <w:r>
        <w:rPr>
          <w:color w:val="000000" w:themeColor="text1"/>
          <w:sz w:val="24"/>
          <w:szCs w:val="24"/>
          <w:u w:val="single"/>
          <w14:textFill>
            <w14:solidFill>
              <w14:schemeClr w14:val="tx1"/>
            </w14:solidFill>
          </w14:textFill>
        </w:rPr>
        <w:t>m</w:t>
      </w:r>
      <w:r>
        <w:rPr>
          <w:color w:val="000000" w:themeColor="text1"/>
          <w:sz w:val="24"/>
          <w:szCs w:val="24"/>
          <w:u w:val="single"/>
          <w:vertAlign w:val="superscript"/>
          <w14:textFill>
            <w14:solidFill>
              <w14:schemeClr w14:val="tx1"/>
            </w14:solidFill>
          </w14:textFill>
        </w:rPr>
        <w:t>3</w:t>
      </w:r>
      <w:r>
        <w:rPr>
          <w:color w:val="000000" w:themeColor="text1"/>
          <w:sz w:val="24"/>
          <w:szCs w:val="24"/>
          <w:u w:val="single"/>
          <w14:textFill>
            <w14:solidFill>
              <w14:schemeClr w14:val="tx1"/>
            </w14:solidFill>
          </w14:textFill>
        </w:rPr>
        <w:t>/</w:t>
      </w:r>
      <w:r>
        <w:rPr>
          <w:rFonts w:hint="eastAsia"/>
          <w:color w:val="000000" w:themeColor="text1"/>
          <w:sz w:val="24"/>
          <w:szCs w:val="24"/>
          <w:u w:val="single"/>
          <w14:textFill>
            <w14:solidFill>
              <w14:schemeClr w14:val="tx1"/>
            </w14:solidFill>
          </w14:textFill>
        </w:rPr>
        <w:t>a。</w:t>
      </w:r>
    </w:p>
    <w:p>
      <w:pPr>
        <w:pStyle w:val="18"/>
        <w:spacing w:before="0" w:after="0" w:line="360" w:lineRule="auto"/>
        <w:ind w:right="0" w:firstLine="480" w:firstLineChars="200"/>
        <w:rPr>
          <w:rFonts w:hint="eastAsia"/>
          <w:color w:val="000000" w:themeColor="text1"/>
          <w:u w:val="single"/>
          <w:lang w:val="en-US" w:eastAsia="zh-CN"/>
          <w14:textFill>
            <w14:solidFill>
              <w14:schemeClr w14:val="tx1"/>
            </w14:solidFill>
          </w14:textFill>
        </w:rPr>
      </w:pPr>
      <w:r>
        <w:rPr>
          <w:rFonts w:hint="eastAsia"/>
          <w:color w:val="000000" w:themeColor="text1"/>
          <w:u w:val="single"/>
          <w:lang w:val="en-US" w:eastAsia="zh-CN"/>
          <w14:textFill>
            <w14:solidFill>
              <w14:schemeClr w14:val="tx1"/>
            </w14:solidFill>
          </w14:textFill>
        </w:rPr>
        <w:t>项目用水情况详见下图所示。</w:t>
      </w:r>
    </w:p>
    <w:p>
      <w:pPr>
        <w:pStyle w:val="103"/>
        <w:spacing w:before="0" w:line="360" w:lineRule="auto"/>
        <w:ind w:right="0" w:firstLine="480"/>
        <w:rPr>
          <w:rFonts w:hint="default"/>
          <w:color w:val="000000" w:themeColor="text1"/>
          <w:lang w:val="en-US" w:eastAsia="zh-CN"/>
          <w14:textFill>
            <w14:solidFill>
              <w14:schemeClr w14:val="tx1"/>
            </w14:solidFill>
          </w14:textFill>
        </w:rPr>
      </w:pPr>
      <w:r>
        <w:object>
          <v:shape id="_x0000_i1027" o:spt="75" type="#_x0000_t75" style="height:154.2pt;width:327.7pt;" o:ole="t" filled="f" o:preferrelative="t" stroked="f" coordsize="21600,21600">
            <v:path/>
            <v:fill on="f" focussize="0,0"/>
            <v:stroke on="f"/>
            <v:imagedata r:id="rId27" o:title=""/>
            <o:lock v:ext="edit" aspectratio="f"/>
            <w10:wrap type="none"/>
            <w10:anchorlock/>
          </v:shape>
          <o:OLEObject Type="Embed" ProgID="Visio.Drawing.11" ShapeID="_x0000_i1027" DrawAspect="Content" ObjectID="_1468075727" r:id="rId26">
            <o:LockedField>false</o:LockedField>
          </o:OLEObject>
        </w:object>
      </w:r>
    </w:p>
    <w:p>
      <w:pPr>
        <w:pStyle w:val="64"/>
        <w:bidi w:val="0"/>
        <w:rPr>
          <w:rFonts w:hint="eastAsia"/>
          <w:lang w:val="en-US" w:eastAsia="zh-CN"/>
        </w:rPr>
      </w:pPr>
      <w:r>
        <w:rPr>
          <w:rFonts w:hint="eastAsia"/>
          <w:lang w:val="en-US" w:eastAsia="zh-CN"/>
        </w:rPr>
        <w:t>项目水平衡图（单位：m</w:t>
      </w:r>
      <w:r>
        <w:rPr>
          <w:rFonts w:hint="eastAsia"/>
          <w:vertAlign w:val="superscript"/>
          <w:lang w:val="en-US" w:eastAsia="zh-CN"/>
        </w:rPr>
        <w:t>3</w:t>
      </w:r>
      <w:r>
        <w:rPr>
          <w:rFonts w:hint="eastAsia"/>
          <w:vertAlign w:val="baseline"/>
          <w:lang w:val="en-US" w:eastAsia="zh-CN"/>
        </w:rPr>
        <w:t>/a</w:t>
      </w:r>
      <w:r>
        <w:rPr>
          <w:rFonts w:hint="eastAsia"/>
          <w:lang w:val="en-US" w:eastAsia="zh-CN"/>
        </w:rPr>
        <w:t>）</w:t>
      </w:r>
    </w:p>
    <w:p>
      <w:pPr>
        <w:pStyle w:val="61"/>
        <w:bidi w:val="0"/>
        <w:rPr>
          <w:rFonts w:hint="eastAsia"/>
          <w:lang w:val="en-US" w:eastAsia="zh-CN"/>
        </w:rPr>
      </w:pPr>
      <w:r>
        <w:rPr>
          <w:rFonts w:hint="eastAsia"/>
          <w:lang w:val="en-US" w:eastAsia="zh-CN"/>
        </w:rPr>
        <w:t>排水</w:t>
      </w:r>
    </w:p>
    <w:p>
      <w:pPr>
        <w:pStyle w:val="103"/>
        <w:spacing w:before="0" w:line="360" w:lineRule="auto"/>
        <w:ind w:right="0"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本项目排水采用雨污分流制，生活废水和生产废水分别处理</w:t>
      </w:r>
      <w:r>
        <w:rPr>
          <w:color w:val="000000" w:themeColor="text1"/>
          <w:u w:val="single"/>
          <w14:textFill>
            <w14:solidFill>
              <w14:schemeClr w14:val="tx1"/>
            </w14:solidFill>
          </w14:textFill>
        </w:rPr>
        <w:t>。</w:t>
      </w:r>
    </w:p>
    <w:p>
      <w:pPr>
        <w:pStyle w:val="103"/>
        <w:spacing w:before="0" w:line="360" w:lineRule="auto"/>
        <w:ind w:right="0" w:firstLine="480"/>
        <w:rPr>
          <w:rFonts w:hint="eastAsia"/>
          <w:color w:val="000000" w:themeColor="text1"/>
          <w:u w:val="single"/>
          <w:lang w:val="en-US" w:eastAsia="zh-CN"/>
          <w14:textFill>
            <w14:solidFill>
              <w14:schemeClr w14:val="tx1"/>
            </w14:solidFill>
          </w14:textFill>
        </w:rPr>
      </w:pPr>
      <w:r>
        <w:rPr>
          <w:rFonts w:hint="eastAsia"/>
          <w:color w:val="000000" w:themeColor="text1"/>
          <w:u w:val="single"/>
          <w14:textFill>
            <w14:solidFill>
              <w14:schemeClr w14:val="tx1"/>
            </w14:solidFill>
          </w14:textFill>
        </w:rPr>
        <w:t>本项目进行雨污分流，</w:t>
      </w:r>
      <w:r>
        <w:rPr>
          <w:rFonts w:hint="eastAsia"/>
          <w:color w:val="000000" w:themeColor="text1"/>
          <w:u w:val="single"/>
          <w:lang w:val="en-US" w:eastAsia="zh-CN"/>
          <w14:textFill>
            <w14:solidFill>
              <w14:schemeClr w14:val="tx1"/>
            </w14:solidFill>
          </w14:textFill>
        </w:rPr>
        <w:t>项目生产区生活废水经化粪池处理后用于农肥不外排，项目营运期设备清洗废水</w:t>
      </w:r>
      <w:r>
        <w:rPr>
          <w:rFonts w:hint="eastAsia"/>
          <w:color w:val="000000" w:themeColor="text1"/>
          <w:u w:val="single"/>
          <w14:textFill>
            <w14:solidFill>
              <w14:schemeClr w14:val="tx1"/>
            </w14:solidFill>
          </w14:textFill>
        </w:rPr>
        <w:t>、车间清洁废水、</w:t>
      </w:r>
      <w:r>
        <w:rPr>
          <w:rFonts w:hint="eastAsia"/>
          <w:color w:val="000000" w:themeColor="text1"/>
          <w:u w:val="single"/>
          <w:lang w:val="en-US" w:eastAsia="zh-CN"/>
          <w14:textFill>
            <w14:solidFill>
              <w14:schemeClr w14:val="tx1"/>
            </w14:solidFill>
          </w14:textFill>
        </w:rPr>
        <w:t>实验室纯水制备废水经“</w:t>
      </w:r>
      <w:r>
        <w:rPr>
          <w:rFonts w:hint="eastAsia"/>
          <w:color w:val="000000" w:themeColor="text1"/>
          <w:u w:val="single"/>
          <w14:textFill>
            <w14:solidFill>
              <w14:schemeClr w14:val="tx1"/>
            </w14:solidFill>
          </w14:textFill>
        </w:rPr>
        <w:t>格栅→调节池→初沉池→A级生物滤池→O级生物滤池→二沉池→</w:t>
      </w:r>
      <w:r>
        <w:rPr>
          <w:rFonts w:hint="eastAsia"/>
          <w:color w:val="000000" w:themeColor="text1"/>
          <w:u w:val="single"/>
          <w:lang w:val="en-US" w:eastAsia="zh-CN"/>
          <w14:textFill>
            <w14:solidFill>
              <w14:schemeClr w14:val="tx1"/>
            </w14:solidFill>
          </w14:textFill>
        </w:rPr>
        <w:t>出水”处理后</w:t>
      </w:r>
      <w:r>
        <w:rPr>
          <w:rFonts w:hint="eastAsia"/>
          <w:color w:val="000000" w:themeColor="text1"/>
          <w:u w:val="single"/>
          <w14:textFill>
            <w14:solidFill>
              <w14:schemeClr w14:val="tx1"/>
            </w14:solidFill>
          </w14:textFill>
        </w:rPr>
        <w:t>达到《污水综合排放标准》（GB8978-1996）标准中的一级标准要求，排入项目</w:t>
      </w:r>
      <w:r>
        <w:rPr>
          <w:rFonts w:hint="eastAsia"/>
          <w:color w:val="000000" w:themeColor="text1"/>
          <w:u w:val="single"/>
          <w:lang w:val="en-US" w:eastAsia="zh-CN"/>
          <w14:textFill>
            <w14:solidFill>
              <w14:schemeClr w14:val="tx1"/>
            </w14:solidFill>
          </w14:textFill>
        </w:rPr>
        <w:t>西北侧的无名小溪</w:t>
      </w:r>
      <w:r>
        <w:rPr>
          <w:rFonts w:hint="eastAsia"/>
          <w:color w:val="000000" w:themeColor="text1"/>
          <w:u w:val="single"/>
          <w14:textFill>
            <w14:solidFill>
              <w14:schemeClr w14:val="tx1"/>
            </w14:solidFill>
          </w14:textFill>
        </w:rPr>
        <w:t>，之后汇入桃花江西干渠，汇入桃花江。</w:t>
      </w:r>
    </w:p>
    <w:p>
      <w:pPr>
        <w:adjustRightInd w:val="0"/>
        <w:snapToGrid w:val="0"/>
        <w:spacing w:line="360" w:lineRule="auto"/>
        <w:ind w:firstLine="480" w:firstLineChars="200"/>
        <w:rPr>
          <w:color w:val="000000" w:themeColor="text1"/>
          <w:sz w:val="24"/>
          <w:u w:val="single"/>
          <w14:textFill>
            <w14:solidFill>
              <w14:schemeClr w14:val="tx1"/>
            </w14:solidFill>
          </w14:textFill>
        </w:rPr>
      </w:pPr>
      <w:r>
        <w:rPr>
          <w:rFonts w:hint="eastAsia"/>
          <w:sz w:val="24"/>
          <w:u w:val="single"/>
        </w:rPr>
        <w:t>本项目营运期废水主要为设备清洗水、车间清洁废水、实验室</w:t>
      </w:r>
      <w:r>
        <w:rPr>
          <w:rFonts w:hint="eastAsia"/>
          <w:sz w:val="24"/>
          <w:u w:val="single"/>
          <w:lang w:val="en-US" w:eastAsia="zh-CN"/>
        </w:rPr>
        <w:t>纯水制备废水</w:t>
      </w:r>
      <w:r>
        <w:rPr>
          <w:rFonts w:hint="eastAsia"/>
          <w:sz w:val="24"/>
          <w:u w:val="single"/>
        </w:rPr>
        <w:t>和生活废水</w:t>
      </w:r>
      <w:r>
        <w:rPr>
          <w:rFonts w:hint="eastAsia"/>
          <w:color w:val="000000" w:themeColor="text1"/>
          <w:sz w:val="24"/>
          <w:u w:val="single"/>
          <w14:textFill>
            <w14:solidFill>
              <w14:schemeClr w14:val="tx1"/>
            </w14:solidFill>
          </w14:textFill>
        </w:rPr>
        <w:t>。</w:t>
      </w:r>
    </w:p>
    <w:p>
      <w:pPr>
        <w:numPr>
          <w:ilvl w:val="0"/>
          <w:numId w:val="13"/>
        </w:numPr>
        <w:adjustRightInd w:val="0"/>
        <w:snapToGrid w:val="0"/>
        <w:spacing w:line="360" w:lineRule="auto"/>
        <w:ind w:firstLine="480" w:firstLineChars="200"/>
        <w:rPr>
          <w:sz w:val="24"/>
          <w:u w:val="single"/>
        </w:rPr>
      </w:pPr>
      <w:r>
        <w:rPr>
          <w:rFonts w:hint="eastAsia"/>
          <w:sz w:val="24"/>
          <w:u w:val="single"/>
        </w:rPr>
        <w:t>设备清洗用水</w:t>
      </w:r>
    </w:p>
    <w:p>
      <w:pPr>
        <w:pStyle w:val="38"/>
        <w:adjustRightInd w:val="0"/>
        <w:snapToGrid w:val="0"/>
        <w:spacing w:after="0" w:line="360" w:lineRule="auto"/>
        <w:ind w:left="0" w:leftChars="0" w:firstLine="480"/>
        <w:rPr>
          <w:sz w:val="24"/>
          <w:u w:val="single"/>
        </w:rPr>
      </w:pPr>
      <w:r>
        <w:rPr>
          <w:rFonts w:hint="eastAsia"/>
          <w:sz w:val="24"/>
          <w:u w:val="single"/>
        </w:rPr>
        <w:t>清洗：水处理系统过滤装置、成品水储罐以管道均需定期清洗。</w:t>
      </w:r>
    </w:p>
    <w:p>
      <w:pPr>
        <w:widowControl/>
        <w:adjustRightInd w:val="0"/>
        <w:snapToGrid w:val="0"/>
        <w:spacing w:line="360" w:lineRule="auto"/>
        <w:ind w:firstLine="480" w:firstLineChars="200"/>
        <w:jc w:val="both"/>
        <w:rPr>
          <w:color w:val="000000"/>
          <w:kern w:val="0"/>
          <w:sz w:val="24"/>
          <w:u w:val="single"/>
          <w:lang w:bidi="ar"/>
        </w:rPr>
      </w:pPr>
      <w:r>
        <w:rPr>
          <w:color w:val="000000"/>
          <w:kern w:val="0"/>
          <w:sz w:val="24"/>
          <w:u w:val="single"/>
          <w:lang w:bidi="ar"/>
        </w:rPr>
        <w:t>A.本项目生产线配套就地清洗系统CIP清洗除首次运营进行清洗外，每次停车后开车均需要清洗，根据建设单位提供其他</w:t>
      </w:r>
      <w:r>
        <w:rPr>
          <w:rFonts w:hint="eastAsia"/>
          <w:color w:val="000000"/>
          <w:kern w:val="0"/>
          <w:sz w:val="24"/>
          <w:u w:val="single"/>
          <w:lang w:bidi="ar"/>
        </w:rPr>
        <w:t>饮用水</w:t>
      </w:r>
      <w:r>
        <w:rPr>
          <w:color w:val="000000"/>
          <w:kern w:val="0"/>
          <w:sz w:val="24"/>
          <w:u w:val="single"/>
          <w:lang w:bidi="ar"/>
        </w:rPr>
        <w:t>厂的运营经验，每年以两次清洗计，每次清洗用水量约为36.4m</w:t>
      </w:r>
      <w:r>
        <w:rPr>
          <w:color w:val="000000"/>
          <w:kern w:val="0"/>
          <w:sz w:val="24"/>
          <w:u w:val="single"/>
          <w:vertAlign w:val="superscript"/>
          <w:lang w:bidi="ar"/>
        </w:rPr>
        <w:t>3</w:t>
      </w:r>
      <w:r>
        <w:rPr>
          <w:color w:val="000000"/>
          <w:kern w:val="0"/>
          <w:sz w:val="24"/>
          <w:u w:val="single"/>
          <w:lang w:bidi="ar"/>
        </w:rPr>
        <w:t>，年用水量为72.8m</w:t>
      </w:r>
      <w:r>
        <w:rPr>
          <w:color w:val="000000"/>
          <w:kern w:val="0"/>
          <w:sz w:val="24"/>
          <w:u w:val="single"/>
          <w:vertAlign w:val="superscript"/>
          <w:lang w:bidi="ar"/>
        </w:rPr>
        <w:t>3</w:t>
      </w:r>
      <w:r>
        <w:rPr>
          <w:color w:val="000000"/>
          <w:kern w:val="0"/>
          <w:sz w:val="24"/>
          <w:u w:val="single"/>
          <w:lang w:bidi="ar"/>
        </w:rPr>
        <w:t>。</w:t>
      </w:r>
    </w:p>
    <w:p>
      <w:pPr>
        <w:numPr>
          <w:ilvl w:val="255"/>
          <w:numId w:val="0"/>
        </w:numPr>
        <w:adjustRightInd w:val="0"/>
        <w:snapToGrid w:val="0"/>
        <w:spacing w:line="360" w:lineRule="auto"/>
        <w:ind w:firstLine="480" w:firstLineChars="200"/>
        <w:rPr>
          <w:sz w:val="24"/>
          <w:u w:val="single"/>
        </w:rPr>
      </w:pPr>
      <w:r>
        <w:rPr>
          <w:rFonts w:hint="eastAsia"/>
          <w:color w:val="000000"/>
          <w:kern w:val="0"/>
          <w:sz w:val="24"/>
          <w:u w:val="single"/>
          <w:lang w:bidi="ar"/>
        </w:rPr>
        <w:t>B.</w:t>
      </w:r>
      <w:r>
        <w:rPr>
          <w:color w:val="000000"/>
          <w:kern w:val="0"/>
          <w:sz w:val="24"/>
          <w:u w:val="single"/>
          <w:lang w:bidi="ar"/>
        </w:rPr>
        <w:t>水处理系统中水箱、管道清洗，每日1次，年工作时间300天，采用成品水电加热后进行清洗</w:t>
      </w:r>
      <w:r>
        <w:rPr>
          <w:sz w:val="24"/>
          <w:u w:val="single"/>
        </w:rPr>
        <w:t>年用水量为</w:t>
      </w:r>
      <w:r>
        <w:rPr>
          <w:rFonts w:hint="eastAsia"/>
          <w:sz w:val="24"/>
          <w:u w:val="single"/>
        </w:rPr>
        <w:t>406.2</w:t>
      </w:r>
      <w:r>
        <w:rPr>
          <w:sz w:val="24"/>
          <w:u w:val="single"/>
        </w:rPr>
        <w:t>m</w:t>
      </w:r>
      <w:r>
        <w:rPr>
          <w:sz w:val="24"/>
          <w:u w:val="single"/>
          <w:vertAlign w:val="superscript"/>
        </w:rPr>
        <w:t>3</w:t>
      </w:r>
      <w:r>
        <w:rPr>
          <w:sz w:val="24"/>
          <w:u w:val="single"/>
        </w:rPr>
        <w:t>。</w:t>
      </w:r>
    </w:p>
    <w:p>
      <w:pPr>
        <w:pStyle w:val="38"/>
        <w:numPr>
          <w:ilvl w:val="0"/>
          <w:numId w:val="14"/>
        </w:numPr>
        <w:adjustRightInd w:val="0"/>
        <w:snapToGrid w:val="0"/>
        <w:spacing w:after="0" w:line="360" w:lineRule="auto"/>
        <w:ind w:left="0" w:leftChars="0" w:firstLine="480"/>
        <w:rPr>
          <w:sz w:val="24"/>
          <w:u w:val="single"/>
        </w:rPr>
      </w:pPr>
      <w:r>
        <w:rPr>
          <w:sz w:val="24"/>
          <w:u w:val="single"/>
        </w:rPr>
        <w:t>钛滤棒清洗半年一次，采用成品水进行清洗，一次约为0.5m</w:t>
      </w:r>
      <w:r>
        <w:rPr>
          <w:sz w:val="24"/>
          <w:u w:val="single"/>
          <w:vertAlign w:val="superscript"/>
        </w:rPr>
        <w:t>3</w:t>
      </w:r>
      <w:r>
        <w:rPr>
          <w:sz w:val="24"/>
          <w:u w:val="single"/>
        </w:rPr>
        <w:t>，年用水量为1m</w:t>
      </w:r>
      <w:r>
        <w:rPr>
          <w:sz w:val="24"/>
          <w:u w:val="single"/>
          <w:vertAlign w:val="superscript"/>
        </w:rPr>
        <w:t>3</w:t>
      </w:r>
      <w:r>
        <w:rPr>
          <w:sz w:val="24"/>
          <w:u w:val="single"/>
        </w:rPr>
        <w:t>。</w:t>
      </w:r>
    </w:p>
    <w:p>
      <w:pPr>
        <w:adjustRightInd w:val="0"/>
        <w:snapToGrid w:val="0"/>
        <w:spacing w:line="360" w:lineRule="auto"/>
        <w:ind w:firstLine="480" w:firstLineChars="200"/>
        <w:rPr>
          <w:sz w:val="24"/>
          <w:u w:val="single"/>
        </w:rPr>
      </w:pPr>
      <w:r>
        <w:rPr>
          <w:sz w:val="24"/>
          <w:u w:val="single"/>
        </w:rPr>
        <w:t>设清洗用水合计</w:t>
      </w:r>
      <w:r>
        <w:rPr>
          <w:rFonts w:hint="eastAsia"/>
          <w:sz w:val="24"/>
          <w:u w:val="single"/>
        </w:rPr>
        <w:t>480</w:t>
      </w:r>
      <w:r>
        <w:rPr>
          <w:sz w:val="24"/>
          <w:u w:val="single"/>
        </w:rPr>
        <w:t>m</w:t>
      </w:r>
      <w:r>
        <w:rPr>
          <w:sz w:val="24"/>
          <w:u w:val="single"/>
          <w:vertAlign w:val="superscript"/>
        </w:rPr>
        <w:t>3</w:t>
      </w:r>
      <w:r>
        <w:rPr>
          <w:sz w:val="24"/>
          <w:u w:val="single"/>
        </w:rPr>
        <w:t>/a，设备清洗废水排放量按照80%计算，则本项目设备清洗废水产生量约为</w:t>
      </w:r>
      <w:r>
        <w:rPr>
          <w:rFonts w:hint="eastAsia"/>
          <w:sz w:val="24"/>
          <w:u w:val="single"/>
        </w:rPr>
        <w:t>384</w:t>
      </w:r>
      <w:r>
        <w:rPr>
          <w:sz w:val="24"/>
          <w:u w:val="single"/>
        </w:rPr>
        <w:t>m</w:t>
      </w:r>
      <w:r>
        <w:rPr>
          <w:sz w:val="24"/>
          <w:u w:val="single"/>
          <w:vertAlign w:val="superscript"/>
        </w:rPr>
        <w:t>3</w:t>
      </w:r>
      <w:r>
        <w:rPr>
          <w:sz w:val="24"/>
          <w:u w:val="single"/>
        </w:rPr>
        <w:t>/a，</w:t>
      </w:r>
      <w:r>
        <w:rPr>
          <w:rFonts w:hint="eastAsia"/>
          <w:sz w:val="24"/>
          <w:u w:val="single"/>
        </w:rPr>
        <w:t>项目</w:t>
      </w:r>
      <w:r>
        <w:rPr>
          <w:sz w:val="24"/>
          <w:u w:val="single"/>
        </w:rPr>
        <w:t>日常设备清洗废水中主要污染物为SS</w:t>
      </w:r>
      <w:r>
        <w:rPr>
          <w:rFonts w:hint="eastAsia"/>
          <w:sz w:val="24"/>
          <w:u w:val="single"/>
          <w:lang w:val="en-US" w:eastAsia="zh-CN"/>
        </w:rPr>
        <w:t>和含盐量，SS的浓度为：40mg/L、含盐量约400mg/L</w:t>
      </w:r>
      <w:r>
        <w:rPr>
          <w:sz w:val="24"/>
          <w:u w:val="single"/>
        </w:rPr>
        <w:t>，</w:t>
      </w:r>
      <w:r>
        <w:rPr>
          <w:rFonts w:hint="eastAsia"/>
          <w:sz w:val="24"/>
          <w:u w:val="single"/>
          <w:lang w:val="en-US" w:eastAsia="zh-CN"/>
        </w:rPr>
        <w:t>进入企业自建的污水处理站处理，</w:t>
      </w:r>
      <w:r>
        <w:rPr>
          <w:rFonts w:hint="eastAsia"/>
          <w:color w:val="000000" w:themeColor="text1"/>
          <w:sz w:val="24"/>
          <w:u w:val="single"/>
          <w:lang w:val="en-US" w:eastAsia="zh-CN"/>
          <w14:textFill>
            <w14:solidFill>
              <w14:schemeClr w14:val="tx1"/>
            </w14:solidFill>
          </w14:textFill>
        </w:rPr>
        <w:t>经处理达到</w:t>
      </w:r>
      <w:r>
        <w:rPr>
          <w:rFonts w:hint="eastAsia"/>
          <w:color w:val="000000" w:themeColor="text1"/>
          <w:sz w:val="24"/>
          <w:u w:val="single"/>
          <w14:textFill>
            <w14:solidFill>
              <w14:schemeClr w14:val="tx1"/>
            </w14:solidFill>
          </w14:textFill>
        </w:rPr>
        <w:t>《污水综合排放标准》（GB8978-1996）标准中的一级标准要求排入项目</w:t>
      </w:r>
      <w:r>
        <w:rPr>
          <w:rFonts w:hint="eastAsia"/>
          <w:color w:val="000000" w:themeColor="text1"/>
          <w:sz w:val="24"/>
          <w:u w:val="single"/>
          <w:lang w:val="en-US" w:eastAsia="zh-CN"/>
          <w14:textFill>
            <w14:solidFill>
              <w14:schemeClr w14:val="tx1"/>
            </w14:solidFill>
          </w14:textFill>
        </w:rPr>
        <w:t>西北侧</w:t>
      </w:r>
      <w:r>
        <w:rPr>
          <w:rFonts w:hint="eastAsia"/>
          <w:color w:val="000000" w:themeColor="text1"/>
          <w:sz w:val="24"/>
          <w:u w:val="single"/>
          <w14:textFill>
            <w14:solidFill>
              <w14:schemeClr w14:val="tx1"/>
            </w14:solidFill>
          </w14:textFill>
        </w:rPr>
        <w:t>的</w:t>
      </w:r>
      <w:r>
        <w:rPr>
          <w:rFonts w:hint="eastAsia"/>
          <w:color w:val="000000" w:themeColor="text1"/>
          <w:sz w:val="24"/>
          <w:u w:val="single"/>
          <w:lang w:val="en-US" w:eastAsia="zh-CN"/>
          <w14:textFill>
            <w14:solidFill>
              <w14:schemeClr w14:val="tx1"/>
            </w14:solidFill>
          </w14:textFill>
        </w:rPr>
        <w:t>无名小溪</w:t>
      </w:r>
      <w:r>
        <w:rPr>
          <w:rFonts w:hint="eastAsia"/>
          <w:sz w:val="24"/>
          <w:u w:val="single"/>
        </w:rPr>
        <w:t>。</w:t>
      </w:r>
    </w:p>
    <w:p>
      <w:pPr>
        <w:pStyle w:val="38"/>
        <w:numPr>
          <w:ilvl w:val="0"/>
          <w:numId w:val="13"/>
        </w:numPr>
        <w:adjustRightInd w:val="0"/>
        <w:snapToGrid w:val="0"/>
        <w:spacing w:after="0" w:line="360" w:lineRule="auto"/>
        <w:ind w:left="0" w:leftChars="0" w:firstLine="480"/>
        <w:rPr>
          <w:sz w:val="24"/>
          <w:u w:val="single"/>
        </w:rPr>
      </w:pPr>
      <w:r>
        <w:rPr>
          <w:sz w:val="24"/>
          <w:u w:val="single"/>
        </w:rPr>
        <w:t>车间清洁废水</w:t>
      </w:r>
    </w:p>
    <w:p>
      <w:pPr>
        <w:adjustRightInd w:val="0"/>
        <w:snapToGrid w:val="0"/>
        <w:spacing w:line="360" w:lineRule="auto"/>
        <w:ind w:firstLine="480" w:firstLineChars="200"/>
        <w:rPr>
          <w:rFonts w:hint="default" w:ascii="Times New Roman" w:hAnsi="Times New Roman" w:cs="Times New Roman"/>
          <w:color w:val="000000" w:themeColor="text1"/>
          <w:sz w:val="24"/>
          <w:u w:val="single"/>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根据建设单位提供的资料，车间、仓库均清洁采用清扫和拖布清洁方式，车间和仓库清洁用水量约为2m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/d（600m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/a），车间清洁废水产生量按照水量的80%计算，则本项目车间清洁废水产生量约为1.6m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/d（480m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/a），</w:t>
      </w:r>
      <w:r>
        <w:rPr>
          <w:rFonts w:hint="default" w:ascii="Times New Roman" w:hAnsi="Times New Roman" w:cs="Times New Roman"/>
          <w:color w:val="000000" w:themeColor="text1"/>
          <w:sz w:val="24"/>
          <w:u w:val="single"/>
          <w:lang w:val="en-US" w:eastAsia="zh-CN"/>
          <w14:textFill>
            <w14:solidFill>
              <w14:schemeClr w14:val="tx1"/>
            </w14:solidFill>
          </w14:textFill>
        </w:rPr>
        <w:t>主要污染物为SS、NH</w:t>
      </w:r>
      <w:r>
        <w:rPr>
          <w:rFonts w:hint="default" w:ascii="Times New Roman" w:hAnsi="Times New Roman" w:cs="Times New Roman"/>
          <w:color w:val="000000" w:themeColor="text1"/>
          <w:sz w:val="24"/>
          <w:u w:val="single"/>
          <w:vertAlign w:val="subscript"/>
          <w:lang w:val="en-US" w:eastAsia="zh-CN"/>
          <w14:textFill>
            <w14:solidFill>
              <w14:schemeClr w14:val="tx1"/>
            </w14:solidFill>
          </w14:textFill>
        </w:rPr>
        <w:t>3</w:t>
      </w:r>
      <w:r>
        <w:rPr>
          <w:rFonts w:hint="default" w:ascii="Times New Roman" w:hAnsi="Times New Roman" w:cs="Times New Roman"/>
          <w:color w:val="000000" w:themeColor="text1"/>
          <w:sz w:val="24"/>
          <w:u w:val="single"/>
          <w:lang w:val="en-US" w:eastAsia="zh-CN"/>
          <w14:textFill>
            <w14:solidFill>
              <w14:schemeClr w14:val="tx1"/>
            </w14:solidFill>
          </w14:textFill>
        </w:rPr>
        <w:t>-N、COD</w:t>
      </w:r>
      <w:r>
        <w:rPr>
          <w:rFonts w:hint="default" w:ascii="Times New Roman" w:hAnsi="Times New Roman" w:cs="Times New Roman"/>
          <w:color w:val="000000" w:themeColor="text1"/>
          <w:sz w:val="24"/>
          <w:u w:val="single"/>
          <w:vertAlign w:val="subscript"/>
          <w:lang w:val="en-US" w:eastAsia="zh-CN"/>
          <w14:textFill>
            <w14:solidFill>
              <w14:schemeClr w14:val="tx1"/>
            </w14:solidFill>
          </w14:textFill>
        </w:rPr>
        <w:t>cr</w:t>
      </w:r>
      <w:r>
        <w:rPr>
          <w:rFonts w:hint="default" w:ascii="Times New Roman" w:hAnsi="Times New Roman" w:cs="Times New Roman"/>
          <w:color w:val="000000" w:themeColor="text1"/>
          <w:sz w:val="24"/>
          <w:u w:val="single"/>
          <w:lang w:val="en-US" w:eastAsia="zh-CN"/>
          <w14:textFill>
            <w14:solidFill>
              <w14:schemeClr w14:val="tx1"/>
            </w14:solidFill>
          </w14:textFill>
        </w:rPr>
        <w:t>、TP、TN，经企业自建污水处理站</w:t>
      </w:r>
      <w:r>
        <w:rPr>
          <w:rFonts w:hint="default" w:ascii="Times New Roman" w:hAnsi="Times New Roman" w:cs="Times New Roman"/>
          <w:color w:val="000000" w:themeColor="text1"/>
          <w:sz w:val="24"/>
          <w:u w:val="single"/>
          <w14:textFill>
            <w14:solidFill>
              <w14:schemeClr w14:val="tx1"/>
            </w14:solidFill>
          </w14:textFill>
        </w:rPr>
        <w:t>处理</w:t>
      </w:r>
      <w:r>
        <w:rPr>
          <w:rFonts w:hint="default" w:ascii="Times New Roman" w:hAnsi="Times New Roman" w:cs="Times New Roman"/>
          <w:color w:val="000000" w:themeColor="text1"/>
          <w:sz w:val="24"/>
          <w:u w:val="single"/>
          <w:lang w:val="en-US" w:eastAsia="zh-CN"/>
          <w14:textFill>
            <w14:solidFill>
              <w14:schemeClr w14:val="tx1"/>
            </w14:solidFill>
          </w14:textFill>
        </w:rPr>
        <w:t>（格栅→调节池→初沉池→A级生物滤池→O级生物滤池→二沉池→出水）</w:t>
      </w:r>
      <w:r>
        <w:rPr>
          <w:rFonts w:hint="default" w:ascii="Times New Roman" w:hAnsi="Times New Roman" w:cs="Times New Roman"/>
          <w:color w:val="000000" w:themeColor="text1"/>
          <w:sz w:val="24"/>
          <w:u w:val="single"/>
          <w14:textFill>
            <w14:solidFill>
              <w14:schemeClr w14:val="tx1"/>
            </w14:solidFill>
          </w14:textFill>
        </w:rPr>
        <w:t>达《污水综合排放标准》（GB8978-1996）标准中的一级标准要求排入项目</w:t>
      </w:r>
      <w:r>
        <w:rPr>
          <w:rFonts w:hint="default" w:ascii="Times New Roman" w:hAnsi="Times New Roman" w:cs="Times New Roman"/>
          <w:color w:val="000000" w:themeColor="text1"/>
          <w:sz w:val="24"/>
          <w:u w:val="single"/>
          <w:lang w:val="en-US" w:eastAsia="zh-CN"/>
          <w14:textFill>
            <w14:solidFill>
              <w14:schemeClr w14:val="tx1"/>
            </w14:solidFill>
          </w14:textFill>
        </w:rPr>
        <w:t>西北侧</w:t>
      </w:r>
      <w:r>
        <w:rPr>
          <w:rFonts w:hint="default" w:ascii="Times New Roman" w:hAnsi="Times New Roman" w:cs="Times New Roman"/>
          <w:color w:val="000000" w:themeColor="text1"/>
          <w:sz w:val="24"/>
          <w:u w:val="single"/>
          <w14:textFill>
            <w14:solidFill>
              <w14:schemeClr w14:val="tx1"/>
            </w14:solidFill>
          </w14:textFill>
        </w:rPr>
        <w:t>的</w:t>
      </w:r>
      <w:r>
        <w:rPr>
          <w:rFonts w:hint="default" w:ascii="Times New Roman" w:hAnsi="Times New Roman" w:cs="Times New Roman"/>
          <w:color w:val="000000" w:themeColor="text1"/>
          <w:sz w:val="24"/>
          <w:u w:val="single"/>
          <w:lang w:val="en-US" w:eastAsia="zh-CN"/>
          <w14:textFill>
            <w14:solidFill>
              <w14:schemeClr w14:val="tx1"/>
            </w14:solidFill>
          </w14:textFill>
        </w:rPr>
        <w:t>无名小溪</w:t>
      </w:r>
      <w:r>
        <w:rPr>
          <w:rFonts w:hint="default" w:ascii="Times New Roman" w:hAnsi="Times New Roman" w:cs="Times New Roman"/>
          <w:color w:val="000000" w:themeColor="text1"/>
          <w:sz w:val="24"/>
          <w:u w:val="single"/>
          <w14:textFill>
            <w14:solidFill>
              <w14:schemeClr w14:val="tx1"/>
            </w14:solidFill>
          </w14:textFill>
        </w:rPr>
        <w:t>。</w:t>
      </w:r>
    </w:p>
    <w:p>
      <w:pPr>
        <w:pStyle w:val="2"/>
      </w:pPr>
    </w:p>
    <w:p/>
    <w:p>
      <w:pPr>
        <w:numPr>
          <w:ilvl w:val="0"/>
          <w:numId w:val="13"/>
        </w:numPr>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u w:val="single"/>
          <w14:textFill>
            <w14:solidFill>
              <w14:schemeClr w14:val="tx1"/>
            </w14:solidFill>
          </w14:textFill>
        </w:rPr>
        <w:t>实验废水</w:t>
      </w:r>
    </w:p>
    <w:p>
      <w:pPr>
        <w:pStyle w:val="38"/>
        <w:adjustRightInd w:val="0"/>
        <w:snapToGrid w:val="0"/>
        <w:spacing w:after="0" w:line="360" w:lineRule="auto"/>
        <w:ind w:left="0" w:leftChars="0" w:firstLine="480"/>
        <w:rPr>
          <w:rFonts w:hint="default" w:ascii="Times New Roman" w:hAnsi="Times New Roman" w:eastAsia="宋体" w:cs="Times New Roman"/>
          <w:color w:val="000000" w:themeColor="text1"/>
          <w:sz w:val="24"/>
          <w:u w:val="single"/>
          <w:lang w:eastAsia="zh-CN"/>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生产过程中需要定期对源水及产品的理化指标和生物指标进行检验。根据建设单位提供资料，检验分析用水（包括配置溶液、稀释溶液）约0.02m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/d（6m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/a），实验室器皿清洗用水约0.03m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/d（9m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/a）</w:t>
      </w:r>
      <w:r>
        <w:rPr>
          <w:rFonts w:hint="default" w:ascii="Times New Roman" w:hAnsi="Times New Roman" w:cs="Times New Roman"/>
          <w:color w:val="000000" w:themeColor="text1"/>
          <w:sz w:val="24"/>
          <w:u w:val="single"/>
          <w:lang w:eastAsia="zh-CN"/>
          <w14:textFill>
            <w14:solidFill>
              <w14:schemeClr w14:val="tx1"/>
            </w14:solidFill>
          </w14:textFill>
        </w:rPr>
        <w:t>，</w:t>
      </w:r>
      <w:r>
        <w:rPr>
          <w:rFonts w:hint="default" w:ascii="Times New Roman" w:hAnsi="Times New Roman" w:cs="Times New Roman"/>
          <w:color w:val="000000" w:themeColor="text1"/>
          <w:sz w:val="24"/>
          <w:u w:val="single"/>
          <w14:textFill>
            <w14:solidFill>
              <w14:schemeClr w14:val="tx1"/>
            </w14:solidFill>
          </w14:textFill>
        </w:rPr>
        <w:t>属于危险废物，统一收集后送有资质的单位处置，不外排</w:t>
      </w:r>
      <w:r>
        <w:rPr>
          <w:rFonts w:hint="default" w:ascii="Times New Roman" w:hAnsi="Times New Roman" w:cs="Times New Roman"/>
          <w:color w:val="000000" w:themeColor="text1"/>
          <w:sz w:val="24"/>
          <w:u w:val="single"/>
          <w:lang w:eastAsia="zh-CN"/>
          <w14:textFill>
            <w14:solidFill>
              <w14:schemeClr w14:val="tx1"/>
            </w14:solidFill>
          </w14:textFill>
        </w:rPr>
        <w:t>。</w:t>
      </w:r>
    </w:p>
    <w:p>
      <w:pPr>
        <w:adjustRightInd w:val="0"/>
        <w:snapToGrid w:val="0"/>
        <w:spacing w:line="360" w:lineRule="auto"/>
        <w:ind w:firstLine="480" w:firstLineChars="200"/>
        <w:rPr>
          <w:rFonts w:hint="default" w:ascii="Times New Roman" w:hAnsi="Times New Roman" w:eastAsia="宋体" w:cs="Times New Roman"/>
          <w:color w:val="000000" w:themeColor="text1"/>
          <w:sz w:val="24"/>
          <w:u w:val="single"/>
          <w:lang w:val="en-US" w:eastAsia="zh-CN"/>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纯水制备过程产生的</w:t>
      </w:r>
      <w:r>
        <w:rPr>
          <w:rFonts w:hint="default" w:ascii="Times New Roman" w:hAnsi="Times New Roman" w:cs="Times New Roman"/>
          <w:color w:val="000000" w:themeColor="text1"/>
          <w:sz w:val="24"/>
          <w:u w:val="single"/>
          <w:lang w:val="en-US" w:eastAsia="zh-CN"/>
          <w14:textFill>
            <w14:solidFill>
              <w14:schemeClr w14:val="tx1"/>
            </w14:solidFill>
          </w14:textFill>
        </w:rPr>
        <w:t>废水量为</w:t>
      </w:r>
      <w:r>
        <w:rPr>
          <w:rFonts w:hint="default" w:ascii="Times New Roman" w:hAnsi="Times New Roman" w:cs="Times New Roman"/>
          <w:color w:val="000000" w:themeColor="text1"/>
          <w:sz w:val="24"/>
          <w:szCs w:val="24"/>
          <w:u w:val="single"/>
          <w14:textFill>
            <w14:solidFill>
              <w14:schemeClr w14:val="tx1"/>
            </w14:solidFill>
          </w14:textFill>
        </w:rPr>
        <w:t>6m</w:t>
      </w:r>
      <w:r>
        <w:rPr>
          <w:rFonts w:hint="default" w:ascii="Times New Roman" w:hAnsi="Times New Roman" w:cs="Times New Roman"/>
          <w:color w:val="000000" w:themeColor="text1"/>
          <w:sz w:val="24"/>
          <w:szCs w:val="24"/>
          <w:u w:val="single"/>
          <w:vertAlign w:val="superscript"/>
          <w14:textFill>
            <w14:solidFill>
              <w14:schemeClr w14:val="tx1"/>
            </w14:solidFill>
          </w14:textFill>
        </w:rPr>
        <w:t>3</w:t>
      </w:r>
      <w:r>
        <w:rPr>
          <w:rFonts w:hint="default" w:ascii="Times New Roman" w:hAnsi="Times New Roman" w:cs="Times New Roman"/>
          <w:color w:val="000000" w:themeColor="text1"/>
          <w:sz w:val="24"/>
          <w:szCs w:val="24"/>
          <w:u w:val="single"/>
          <w14:textFill>
            <w14:solidFill>
              <w14:schemeClr w14:val="tx1"/>
            </w14:solidFill>
          </w14:textFill>
        </w:rPr>
        <w:t>/a</w:t>
      </w:r>
      <w:r>
        <w:rPr>
          <w:rFonts w:hint="default" w:ascii="Times New Roman" w:hAnsi="Times New Roman" w:cs="Times New Roman"/>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u w:val="single"/>
          <w14:textFill>
            <w14:solidFill>
              <w14:schemeClr w14:val="tx1"/>
            </w14:solidFill>
          </w14:textFill>
        </w:rPr>
        <w:t>经</w:t>
      </w:r>
      <w:r>
        <w:rPr>
          <w:rFonts w:hint="default" w:ascii="Times New Roman" w:hAnsi="Times New Roman" w:cs="Times New Roman"/>
          <w:color w:val="000000" w:themeColor="text1"/>
          <w:sz w:val="24"/>
          <w:u w:val="single"/>
          <w:lang w:val="en-US" w:eastAsia="zh-CN"/>
          <w14:textFill>
            <w14:solidFill>
              <w14:schemeClr w14:val="tx1"/>
            </w14:solidFill>
          </w14:textFill>
        </w:rPr>
        <w:t>企业自建污水处理站（格栅→调节池→初沉池→A级生物滤池→O级生物滤池→二沉池→出水）</w:t>
      </w:r>
      <w:r>
        <w:rPr>
          <w:rFonts w:hint="default" w:ascii="Times New Roman" w:hAnsi="Times New Roman" w:cs="Times New Roman"/>
          <w:color w:val="000000" w:themeColor="text1"/>
          <w:sz w:val="24"/>
          <w:u w:val="single"/>
          <w14:textFill>
            <w14:solidFill>
              <w14:schemeClr w14:val="tx1"/>
            </w14:solidFill>
          </w14:textFill>
        </w:rPr>
        <w:t>处理达《污水综合排放标准》（GB8978-1996）标准中的一级标准要求排入项目</w:t>
      </w:r>
      <w:r>
        <w:rPr>
          <w:rFonts w:hint="default" w:ascii="Times New Roman" w:hAnsi="Times New Roman" w:cs="Times New Roman"/>
          <w:color w:val="000000" w:themeColor="text1"/>
          <w:sz w:val="24"/>
          <w:u w:val="single"/>
          <w:lang w:val="en-US" w:eastAsia="zh-CN"/>
          <w14:textFill>
            <w14:solidFill>
              <w14:schemeClr w14:val="tx1"/>
            </w14:solidFill>
          </w14:textFill>
        </w:rPr>
        <w:t>西北侧</w:t>
      </w:r>
      <w:r>
        <w:rPr>
          <w:rFonts w:hint="default" w:ascii="Times New Roman" w:hAnsi="Times New Roman" w:cs="Times New Roman"/>
          <w:color w:val="000000" w:themeColor="text1"/>
          <w:sz w:val="24"/>
          <w:u w:val="single"/>
          <w14:textFill>
            <w14:solidFill>
              <w14:schemeClr w14:val="tx1"/>
            </w14:solidFill>
          </w14:textFill>
        </w:rPr>
        <w:t>的</w:t>
      </w:r>
      <w:r>
        <w:rPr>
          <w:rFonts w:hint="default" w:ascii="Times New Roman" w:hAnsi="Times New Roman" w:cs="Times New Roman"/>
          <w:color w:val="000000" w:themeColor="text1"/>
          <w:sz w:val="24"/>
          <w:u w:val="single"/>
          <w:lang w:val="en-US" w:eastAsia="zh-CN"/>
          <w14:textFill>
            <w14:solidFill>
              <w14:schemeClr w14:val="tx1"/>
            </w14:solidFill>
          </w14:textFill>
        </w:rPr>
        <w:t>无名小溪</w:t>
      </w:r>
      <w:r>
        <w:rPr>
          <w:rFonts w:hint="default" w:ascii="Times New Roman" w:hAnsi="Times New Roman" w:cs="Times New Roman"/>
          <w:color w:val="000000" w:themeColor="text1"/>
          <w:sz w:val="24"/>
          <w:u w:val="single"/>
          <w14:textFill>
            <w14:solidFill>
              <w14:schemeClr w14:val="tx1"/>
            </w14:solidFill>
          </w14:textFill>
        </w:rPr>
        <w:t>。</w:t>
      </w:r>
    </w:p>
    <w:p>
      <w:pPr>
        <w:numPr>
          <w:ilvl w:val="255"/>
          <w:numId w:val="0"/>
        </w:numPr>
        <w:adjustRightInd w:val="0"/>
        <w:snapToGrid w:val="0"/>
        <w:spacing w:line="360" w:lineRule="auto"/>
        <w:ind w:firstLine="480" w:firstLineChars="200"/>
        <w:rPr>
          <w:color w:val="000000" w:themeColor="text1"/>
          <w:sz w:val="24"/>
          <w:u w:val="single"/>
          <w14:textFill>
            <w14:solidFill>
              <w14:schemeClr w14:val="tx1"/>
            </w14:solidFill>
          </w14:textFill>
        </w:rPr>
      </w:pPr>
      <w:r>
        <w:rPr>
          <w:rFonts w:hint="eastAsia"/>
          <w:color w:val="000000" w:themeColor="text1"/>
          <w:sz w:val="24"/>
          <w:u w:val="single"/>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4</w:t>
      </w:r>
      <w:r>
        <w:rPr>
          <w:rFonts w:hint="eastAsia"/>
          <w:color w:val="000000" w:themeColor="text1"/>
          <w:sz w:val="24"/>
          <w:u w:val="single"/>
          <w14:textFill>
            <w14:solidFill>
              <w14:schemeClr w14:val="tx1"/>
            </w14:solidFill>
          </w14:textFill>
        </w:rPr>
        <w:t>）生活废水</w:t>
      </w:r>
    </w:p>
    <w:p>
      <w:pPr>
        <w:adjustRightInd w:val="0"/>
        <w:snapToGrid w:val="0"/>
        <w:spacing w:line="360" w:lineRule="auto"/>
        <w:ind w:firstLine="480" w:firstLineChars="200"/>
        <w:rPr>
          <w:rFonts w:hint="default" w:ascii="Times New Roman" w:hAnsi="Times New Roman" w:cs="Times New Roman"/>
          <w:color w:val="000000" w:themeColor="text1"/>
          <w:sz w:val="24"/>
          <w:u w:val="single"/>
          <w14:textFill>
            <w14:solidFill>
              <w14:schemeClr w14:val="tx1"/>
            </w14:solidFill>
          </w14:textFill>
        </w:rPr>
      </w:pPr>
      <w:r>
        <w:rPr>
          <w:rFonts w:hint="default" w:ascii="Times New Roman" w:hAnsi="Times New Roman" w:cs="Times New Roman"/>
          <w:color w:val="000000" w:themeColor="text1"/>
          <w:sz w:val="24"/>
          <w:u w:val="single"/>
          <w14:textFill>
            <w14:solidFill>
              <w14:schemeClr w14:val="tx1"/>
            </w14:solidFill>
          </w14:textFill>
        </w:rPr>
        <w:t>本项目劳动定员20人，职工生活用水主要包括生活、冲厕、洗手用水等。根据《湖南省用水定额地方标准》</w:t>
      </w:r>
      <w:r>
        <w:rPr>
          <w:rFonts w:hint="default" w:ascii="Times New Roman" w:hAnsi="Times New Roman" w:cs="Times New Roman"/>
          <w:color w:val="000000" w:themeColor="text1"/>
          <w:sz w:val="24"/>
          <w:u w:val="single"/>
          <w:lang w:bidi="en-US"/>
          <w14:textFill>
            <w14:solidFill>
              <w14:schemeClr w14:val="tx1"/>
            </w14:solidFill>
          </w14:textFill>
        </w:rPr>
        <w:t>(</w:t>
      </w:r>
      <w:r>
        <w:rPr>
          <w:rFonts w:hint="default" w:ascii="Times New Roman" w:hAnsi="Times New Roman" w:eastAsia="Times New Roman" w:cs="Times New Roman"/>
          <w:color w:val="000000" w:themeColor="text1"/>
          <w:sz w:val="24"/>
          <w:u w:val="single"/>
          <w:lang w:bidi="en-US"/>
          <w14:textFill>
            <w14:solidFill>
              <w14:schemeClr w14:val="tx1"/>
            </w14:solidFill>
          </w14:textFill>
        </w:rPr>
        <w:t>DB43/T388-2020</w:t>
      </w:r>
      <w:r>
        <w:rPr>
          <w:rFonts w:hint="default" w:ascii="Times New Roman" w:hAnsi="Times New Roman" w:cs="Times New Roman"/>
          <w:color w:val="000000" w:themeColor="text1"/>
          <w:sz w:val="24"/>
          <w:u w:val="single"/>
          <w:lang w:bidi="en-US"/>
          <w14:textFill>
            <w14:solidFill>
              <w14:schemeClr w14:val="tx1"/>
            </w14:solidFill>
          </w14:textFill>
        </w:rPr>
        <w:t>)</w:t>
      </w:r>
      <w:r>
        <w:rPr>
          <w:rFonts w:hint="default" w:ascii="Times New Roman" w:hAnsi="Times New Roman" w:cs="Times New Roman"/>
          <w:color w:val="000000" w:themeColor="text1"/>
          <w:sz w:val="24"/>
          <w:u w:val="single"/>
          <w14:textFill>
            <w14:solidFill>
              <w14:schemeClr w14:val="tx1"/>
            </w14:solidFill>
          </w14:textFill>
        </w:rPr>
        <w:t>生活用水定额45L/人·d计算，0.9m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/d，全年工作300天，全面用水量为270m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/a。项目生活污水排放系数按85%计算，则生活污水排放量为0.77m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/d（231m</w:t>
      </w:r>
      <w:r>
        <w:rPr>
          <w:rFonts w:hint="default" w:ascii="Times New Roman" w:hAnsi="Times New Roman" w:cs="Times New Roman"/>
          <w:color w:val="000000" w:themeColor="text1"/>
          <w:sz w:val="24"/>
          <w:u w:val="single"/>
          <w:vertAlign w:val="superscript"/>
          <w14:textFill>
            <w14:solidFill>
              <w14:schemeClr w14:val="tx1"/>
            </w14:solidFill>
          </w14:textFill>
        </w:rPr>
        <w:t>3</w:t>
      </w:r>
      <w:r>
        <w:rPr>
          <w:rFonts w:hint="default" w:ascii="Times New Roman" w:hAnsi="Times New Roman" w:cs="Times New Roman"/>
          <w:color w:val="000000" w:themeColor="text1"/>
          <w:sz w:val="24"/>
          <w:u w:val="single"/>
          <w14:textFill>
            <w14:solidFill>
              <w14:schemeClr w14:val="tx1"/>
            </w14:solidFill>
          </w14:textFill>
        </w:rPr>
        <w:t>/a）</w:t>
      </w:r>
      <w:r>
        <w:rPr>
          <w:rFonts w:hint="default" w:ascii="Times New Roman" w:hAnsi="Times New Roman" w:cs="Times New Roman"/>
          <w:color w:val="000000" w:themeColor="text1"/>
          <w:sz w:val="24"/>
          <w:u w:val="single"/>
          <w:lang w:eastAsia="zh-CN"/>
          <w14:textFill>
            <w14:solidFill>
              <w14:schemeClr w14:val="tx1"/>
            </w14:solidFill>
          </w14:textFill>
        </w:rPr>
        <w:t>，</w:t>
      </w:r>
      <w:r>
        <w:rPr>
          <w:rFonts w:hint="default" w:ascii="Times New Roman" w:hAnsi="Times New Roman" w:cs="Times New Roman"/>
          <w:color w:val="000000" w:themeColor="text1"/>
          <w:sz w:val="24"/>
          <w:u w:val="single"/>
          <w:lang w:val="en-US" w:eastAsia="zh-CN"/>
          <w14:textFill>
            <w14:solidFill>
              <w14:schemeClr w14:val="tx1"/>
            </w14:solidFill>
          </w14:textFill>
        </w:rPr>
        <w:t>主要污染物为pH、COD</w:t>
      </w:r>
      <w:r>
        <w:rPr>
          <w:rFonts w:hint="default" w:ascii="Times New Roman" w:hAnsi="Times New Roman" w:cs="Times New Roman"/>
          <w:color w:val="000000" w:themeColor="text1"/>
          <w:sz w:val="24"/>
          <w:u w:val="single"/>
          <w:vertAlign w:val="subscript"/>
          <w:lang w:val="en-US" w:eastAsia="zh-CN"/>
          <w14:textFill>
            <w14:solidFill>
              <w14:schemeClr w14:val="tx1"/>
            </w14:solidFill>
          </w14:textFill>
        </w:rPr>
        <w:t>cr</w:t>
      </w:r>
      <w:r>
        <w:rPr>
          <w:rFonts w:hint="default" w:ascii="Times New Roman" w:hAnsi="Times New Roman" w:cs="Times New Roman"/>
          <w:color w:val="000000" w:themeColor="text1"/>
          <w:sz w:val="24"/>
          <w:u w:val="single"/>
          <w:lang w:val="en-US" w:eastAsia="zh-CN"/>
          <w14:textFill>
            <w14:solidFill>
              <w14:schemeClr w14:val="tx1"/>
            </w14:solidFill>
          </w14:textFill>
        </w:rPr>
        <w:t>、BOD</w:t>
      </w:r>
      <w:r>
        <w:rPr>
          <w:rFonts w:hint="default" w:ascii="Times New Roman" w:hAnsi="Times New Roman" w:cs="Times New Roman"/>
          <w:color w:val="000000" w:themeColor="text1"/>
          <w:sz w:val="24"/>
          <w:u w:val="single"/>
          <w:vertAlign w:val="subscript"/>
          <w:lang w:val="en-US" w:eastAsia="zh-CN"/>
          <w14:textFill>
            <w14:solidFill>
              <w14:schemeClr w14:val="tx1"/>
            </w14:solidFill>
          </w14:textFill>
        </w:rPr>
        <w:t>5</w:t>
      </w:r>
      <w:r>
        <w:rPr>
          <w:rFonts w:hint="default" w:ascii="Times New Roman" w:hAnsi="Times New Roman" w:cs="Times New Roman"/>
          <w:color w:val="000000" w:themeColor="text1"/>
          <w:sz w:val="24"/>
          <w:u w:val="single"/>
          <w:lang w:val="en-US" w:eastAsia="zh-CN"/>
          <w14:textFill>
            <w14:solidFill>
              <w14:schemeClr w14:val="tx1"/>
            </w14:solidFill>
          </w14:textFill>
        </w:rPr>
        <w:t>、SS、NH</w:t>
      </w:r>
      <w:r>
        <w:rPr>
          <w:rFonts w:hint="default" w:ascii="Times New Roman" w:hAnsi="Times New Roman" w:cs="Times New Roman"/>
          <w:color w:val="000000" w:themeColor="text1"/>
          <w:sz w:val="24"/>
          <w:u w:val="single"/>
          <w:vertAlign w:val="subscript"/>
          <w:lang w:val="en-US" w:eastAsia="zh-CN"/>
          <w14:textFill>
            <w14:solidFill>
              <w14:schemeClr w14:val="tx1"/>
            </w14:solidFill>
          </w14:textFill>
        </w:rPr>
        <w:t>3</w:t>
      </w:r>
      <w:r>
        <w:rPr>
          <w:rFonts w:hint="default" w:ascii="Times New Roman" w:hAnsi="Times New Roman" w:cs="Times New Roman"/>
          <w:color w:val="000000" w:themeColor="text1"/>
          <w:sz w:val="24"/>
          <w:u w:val="single"/>
          <w:lang w:val="en-US" w:eastAsia="zh-CN"/>
          <w14:textFill>
            <w14:solidFill>
              <w14:schemeClr w14:val="tx1"/>
            </w14:solidFill>
          </w14:textFill>
        </w:rPr>
        <w:t>-N，本项目生活废水经化粪池处理后用于林地农肥</w:t>
      </w:r>
      <w:r>
        <w:rPr>
          <w:rFonts w:hint="default" w:ascii="Times New Roman" w:hAnsi="Times New Roman" w:cs="Times New Roman"/>
          <w:color w:val="000000" w:themeColor="text1"/>
          <w:sz w:val="24"/>
          <w:u w:val="single"/>
          <w:lang w:eastAsia="zh-CN"/>
          <w14:textFill>
            <w14:solidFill>
              <w14:schemeClr w14:val="tx1"/>
            </w14:solidFill>
          </w14:textFill>
        </w:rPr>
        <w:t>，</w:t>
      </w:r>
      <w:r>
        <w:rPr>
          <w:rFonts w:hint="default" w:ascii="Times New Roman" w:hAnsi="Times New Roman" w:cs="Times New Roman"/>
          <w:color w:val="000000" w:themeColor="text1"/>
          <w:sz w:val="24"/>
          <w:u w:val="single"/>
          <w:lang w:val="en-US" w:eastAsia="zh-CN"/>
          <w14:textFill>
            <w14:solidFill>
              <w14:schemeClr w14:val="tx1"/>
            </w14:solidFill>
          </w14:textFill>
        </w:rPr>
        <w:t>不外排。</w:t>
      </w:r>
    </w:p>
    <w:p>
      <w:pPr>
        <w:pStyle w:val="60"/>
        <w:bidi w:val="0"/>
        <w:rPr>
          <w:rFonts w:hint="eastAsia"/>
          <w:u w:val="single"/>
          <w:lang w:val="en-US" w:eastAsia="zh-CN"/>
        </w:rPr>
      </w:pPr>
      <w:bookmarkStart w:id="65" w:name="_Toc4121"/>
      <w:r>
        <w:rPr>
          <w:rFonts w:hint="eastAsia"/>
          <w:u w:val="single"/>
          <w:lang w:val="en-US" w:eastAsia="zh-CN"/>
        </w:rPr>
        <w:t>废水产生、治理及排放情况</w:t>
      </w:r>
      <w:bookmarkEnd w:id="65"/>
    </w:p>
    <w:p>
      <w:pPr>
        <w:pStyle w:val="61"/>
        <w:bidi w:val="0"/>
        <w:rPr>
          <w:rFonts w:hint="eastAsia"/>
          <w:u w:val="single"/>
          <w:lang w:val="en-US" w:eastAsia="zh-CN"/>
        </w:rPr>
      </w:pPr>
      <w:r>
        <w:rPr>
          <w:rFonts w:hint="eastAsia"/>
          <w:u w:val="single"/>
          <w:lang w:val="en-US" w:eastAsia="zh-CN"/>
        </w:rPr>
        <w:t>废水产生及治理情况</w:t>
      </w:r>
    </w:p>
    <w:p>
      <w:pPr>
        <w:pStyle w:val="103"/>
        <w:spacing w:before="0" w:line="360" w:lineRule="auto"/>
        <w:ind w:right="0"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本项目排水采用雨污分流制，生活废水和生产废水分别处理</w:t>
      </w:r>
      <w:r>
        <w:rPr>
          <w:color w:val="000000" w:themeColor="text1"/>
          <w:u w:val="single"/>
          <w14:textFill>
            <w14:solidFill>
              <w14:schemeClr w14:val="tx1"/>
            </w14:solidFill>
          </w14:textFill>
        </w:rPr>
        <w:t>。</w:t>
      </w:r>
    </w:p>
    <w:p>
      <w:pPr>
        <w:pStyle w:val="103"/>
        <w:spacing w:before="0" w:line="360" w:lineRule="auto"/>
        <w:ind w:right="0"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本项目进行雨污分流，</w:t>
      </w:r>
      <w:r>
        <w:rPr>
          <w:rFonts w:hint="eastAsia"/>
          <w:color w:val="000000" w:themeColor="text1"/>
          <w:u w:val="single"/>
          <w:lang w:val="en-US" w:eastAsia="zh-CN"/>
          <w14:textFill>
            <w14:solidFill>
              <w14:schemeClr w14:val="tx1"/>
            </w14:solidFill>
          </w14:textFill>
        </w:rPr>
        <w:t>项目生产区生活废水经化粪池处理后用于农肥不外排，项目营运期设备清洗废水</w:t>
      </w:r>
      <w:r>
        <w:rPr>
          <w:rFonts w:hint="eastAsia"/>
          <w:color w:val="000000" w:themeColor="text1"/>
          <w:u w:val="single"/>
          <w14:textFill>
            <w14:solidFill>
              <w14:schemeClr w14:val="tx1"/>
            </w14:solidFill>
          </w14:textFill>
        </w:rPr>
        <w:t>、车间清洁废水、</w:t>
      </w:r>
      <w:r>
        <w:rPr>
          <w:rFonts w:hint="eastAsia"/>
          <w:color w:val="000000" w:themeColor="text1"/>
          <w:u w:val="single"/>
          <w:lang w:val="en-US" w:eastAsia="zh-CN"/>
          <w14:textFill>
            <w14:solidFill>
              <w14:schemeClr w14:val="tx1"/>
            </w14:solidFill>
          </w14:textFill>
        </w:rPr>
        <w:t>实验室纯水制备废水经“</w:t>
      </w:r>
      <w:r>
        <w:rPr>
          <w:rFonts w:hint="eastAsia"/>
          <w:color w:val="000000" w:themeColor="text1"/>
          <w:u w:val="single"/>
          <w14:textFill>
            <w14:solidFill>
              <w14:schemeClr w14:val="tx1"/>
            </w14:solidFill>
          </w14:textFill>
        </w:rPr>
        <w:t>格栅→调节池→初沉池→A级生物滤池→O级生物滤池→二沉池→</w:t>
      </w:r>
      <w:r>
        <w:rPr>
          <w:rFonts w:hint="eastAsia"/>
          <w:color w:val="000000" w:themeColor="text1"/>
          <w:u w:val="single"/>
          <w:lang w:val="en-US" w:eastAsia="zh-CN"/>
          <w14:textFill>
            <w14:solidFill>
              <w14:schemeClr w14:val="tx1"/>
            </w14:solidFill>
          </w14:textFill>
        </w:rPr>
        <w:t>出水”处理后</w:t>
      </w:r>
      <w:r>
        <w:rPr>
          <w:rFonts w:hint="eastAsia"/>
          <w:color w:val="000000" w:themeColor="text1"/>
          <w:u w:val="single"/>
          <w14:textFill>
            <w14:solidFill>
              <w14:schemeClr w14:val="tx1"/>
            </w14:solidFill>
          </w14:textFill>
        </w:rPr>
        <w:t>达到《污水综合排放标准》（GB8978-1996）标准中的一级标准要求，排入项目</w:t>
      </w:r>
      <w:r>
        <w:rPr>
          <w:rFonts w:hint="eastAsia"/>
          <w:color w:val="000000" w:themeColor="text1"/>
          <w:u w:val="single"/>
          <w:lang w:val="en-US" w:eastAsia="zh-CN"/>
          <w14:textFill>
            <w14:solidFill>
              <w14:schemeClr w14:val="tx1"/>
            </w14:solidFill>
          </w14:textFill>
        </w:rPr>
        <w:t>西北侧的无名小溪</w:t>
      </w:r>
      <w:r>
        <w:rPr>
          <w:rFonts w:hint="eastAsia"/>
          <w:color w:val="000000" w:themeColor="text1"/>
          <w:u w:val="single"/>
          <w14:textFill>
            <w14:solidFill>
              <w14:schemeClr w14:val="tx1"/>
            </w14:solidFill>
          </w14:textFill>
        </w:rPr>
        <w:t>，之后汇入桃花江西干渠，汇入桃花江。</w:t>
      </w:r>
    </w:p>
    <w:p>
      <w:pPr>
        <w:pStyle w:val="38"/>
        <w:adjustRightInd w:val="0"/>
        <w:snapToGrid w:val="0"/>
        <w:spacing w:after="0" w:line="360" w:lineRule="auto"/>
        <w:ind w:left="0" w:leftChars="0" w:firstLine="480"/>
        <w:rPr>
          <w:rFonts w:hint="eastAsia"/>
          <w:sz w:val="24"/>
          <w:u w:val="single"/>
        </w:rPr>
      </w:pPr>
      <w:r>
        <w:rPr>
          <w:rFonts w:hint="eastAsia"/>
          <w:sz w:val="24"/>
          <w:u w:val="single"/>
        </w:rPr>
        <w:t>项目水污染产生及处理后情况见下表所示。</w:t>
      </w:r>
    </w:p>
    <w:p>
      <w:pPr>
        <w:pStyle w:val="56"/>
        <w:bidi w:val="0"/>
        <w:ind w:left="960" w:leftChars="0" w:firstLineChars="0"/>
        <w:rPr>
          <w:rFonts w:hint="eastAsia"/>
          <w:u w:val="single"/>
          <w:lang w:val="en-US" w:eastAsia="zh-CN"/>
        </w:rPr>
      </w:pPr>
      <w:r>
        <w:rPr>
          <w:rFonts w:hint="eastAsia"/>
          <w:u w:val="single"/>
          <w:lang w:val="en-US" w:eastAsia="zh-CN"/>
        </w:rPr>
        <w:t>项目水污染产生及处理后情况一览表</w:t>
      </w:r>
    </w:p>
    <w:tbl>
      <w:tblPr>
        <w:tblStyle w:val="39"/>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48"/>
        <w:gridCol w:w="1479"/>
        <w:gridCol w:w="1252"/>
        <w:gridCol w:w="1585"/>
        <w:gridCol w:w="1252"/>
        <w:gridCol w:w="1585"/>
        <w:gridCol w:w="10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5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污染类型</w:t>
            </w:r>
          </w:p>
        </w:tc>
        <w:tc>
          <w:tcPr>
            <w:tcW w:w="800"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污染物</w:t>
            </w:r>
          </w:p>
        </w:tc>
        <w:tc>
          <w:tcPr>
            <w:tcW w:w="153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产生情况</w:t>
            </w:r>
          </w:p>
        </w:tc>
        <w:tc>
          <w:tcPr>
            <w:tcW w:w="1534"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处理后情况</w:t>
            </w:r>
          </w:p>
        </w:tc>
        <w:tc>
          <w:tcPr>
            <w:tcW w:w="5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废水去向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10"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产生浓度（mg/L</w:t>
            </w:r>
            <w:r>
              <w:rPr>
                <w:rStyle w:val="206"/>
                <w:rFonts w:hint="default" w:ascii="Times New Roman" w:hAnsi="Times New Roman" w:cs="Times New Roman"/>
                <w:snapToGrid w:val="0"/>
                <w:color w:val="000000" w:themeColor="text1"/>
                <w:lang w:val="en-US" w:eastAsia="zh-CN" w:bidi="ar"/>
                <w14:textFill>
                  <w14:solidFill>
                    <w14:schemeClr w14:val="tx1"/>
                  </w14:solidFill>
                </w14:textFill>
              </w:rPr>
              <w:t>）</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产生量（t/a</w:t>
            </w:r>
            <w:r>
              <w:rPr>
                <w:rStyle w:val="206"/>
                <w:rFonts w:hint="default" w:ascii="Times New Roman" w:hAnsi="Times New Roman" w:cs="Times New Roman"/>
                <w:snapToGrid w:val="0"/>
                <w:color w:val="000000" w:themeColor="text1"/>
                <w:lang w:val="en-US" w:eastAsia="zh-CN" w:bidi="ar"/>
                <w14:textFill>
                  <w14:solidFill>
                    <w14:schemeClr w14:val="tx1"/>
                  </w14:solidFill>
                </w14:textFill>
              </w:rPr>
              <w:t>）</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处理后浓度（mg/L</w:t>
            </w:r>
            <w:r>
              <w:rPr>
                <w:rStyle w:val="206"/>
                <w:rFonts w:hint="default" w:ascii="Times New Roman" w:hAnsi="Times New Roman" w:cs="Times New Roman"/>
                <w:snapToGrid w:val="0"/>
                <w:color w:val="000000" w:themeColor="text1"/>
                <w:lang w:val="en-US" w:eastAsia="zh-CN" w:bidi="ar"/>
                <w14:textFill>
                  <w14:solidFill>
                    <w14:schemeClr w14:val="tx1"/>
                  </w14:solidFill>
                </w14:textFill>
              </w:rPr>
              <w:t>）</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处理后的量（t/a</w:t>
            </w:r>
            <w:r>
              <w:rPr>
                <w:rStyle w:val="206"/>
                <w:rFonts w:hint="default" w:ascii="Times New Roman" w:hAnsi="Times New Roman" w:cs="Times New Roman"/>
                <w:snapToGrid w:val="0"/>
                <w:color w:val="000000" w:themeColor="text1"/>
                <w:lang w:val="en-US" w:eastAsia="zh-CN" w:bidi="ar"/>
                <w14:textFill>
                  <w14:solidFill>
                    <w14:schemeClr w14:val="tx1"/>
                  </w14:solidFill>
                </w14:textFill>
              </w:rPr>
              <w:t>）</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26" w:hRule="atLeast"/>
        </w:trPr>
        <w:tc>
          <w:tcPr>
            <w:tcW w:w="5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设备清洗384m</w:t>
            </w:r>
            <w:r>
              <w:rPr>
                <w:rFonts w:hint="default" w:ascii="Times New Roman" w:hAnsi="Times New Roman" w:eastAsia="宋体" w:cs="Times New Roman"/>
                <w:i w:val="0"/>
                <w:iCs w:val="0"/>
                <w:snapToGrid w:val="0"/>
                <w:color w:val="000000" w:themeColor="text1"/>
                <w:kern w:val="0"/>
                <w:sz w:val="21"/>
                <w:szCs w:val="21"/>
                <w:u w:val="singl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/a</w:t>
            </w: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SS</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40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0.015</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0.00768</w:t>
            </w:r>
          </w:p>
        </w:tc>
        <w:tc>
          <w:tcPr>
            <w:tcW w:w="5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经厂区自建污水处理站处理后排入项目西北侧无名小溪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全盐量</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400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0.1536</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0.0768</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车间清洁废水480m</w:t>
            </w:r>
            <w:r>
              <w:rPr>
                <w:rFonts w:hint="default" w:ascii="Times New Roman" w:hAnsi="Times New Roman" w:eastAsia="宋体" w:cs="Times New Roman"/>
                <w:i w:val="0"/>
                <w:iCs w:val="0"/>
                <w:snapToGrid w:val="0"/>
                <w:color w:val="000000" w:themeColor="text1"/>
                <w:kern w:val="0"/>
                <w:sz w:val="21"/>
                <w:szCs w:val="21"/>
                <w:u w:val="singl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/a</w:t>
            </w: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SS</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100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0.048</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0.0096</w:t>
            </w:r>
          </w:p>
        </w:tc>
        <w:tc>
          <w:tcPr>
            <w:tcW w:w="5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both"/>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经厂区自建污水处理站处理后排入项目西北侧无名小溪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化学需氧量</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150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0.072</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100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0.048</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BOD</w:t>
            </w:r>
            <w:r>
              <w:rPr>
                <w:rFonts w:hint="default" w:ascii="Times New Roman" w:hAnsi="Times New Roman" w:eastAsia="宋体" w:cs="Times New Roman"/>
                <w:i w:val="0"/>
                <w:iCs w:val="0"/>
                <w:snapToGrid w:val="0"/>
                <w:color w:val="000000" w:themeColor="text1"/>
                <w:kern w:val="0"/>
                <w:sz w:val="21"/>
                <w:szCs w:val="21"/>
                <w:u w:val="single"/>
                <w:vertAlign w:val="subscript"/>
                <w:lang w:val="en-US" w:eastAsia="zh-CN" w:bidi="ar"/>
                <w14:textFill>
                  <w14:solidFill>
                    <w14:schemeClr w14:val="tx1"/>
                  </w14:solidFill>
                </w14:textFill>
              </w:rPr>
              <w:t>5</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45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0.0216</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30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0.0144</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氨氮</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0.012</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0.0072</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总磷</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.00048</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0.00048</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总氮</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0.0096</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0.0096</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0" w:hRule="atLeast"/>
        </w:trPr>
        <w:tc>
          <w:tcPr>
            <w:tcW w:w="5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实验室纯水制备废水6m</w:t>
            </w:r>
            <w:r>
              <w:rPr>
                <w:rFonts w:hint="default" w:ascii="Times New Roman" w:hAnsi="Times New Roman" w:eastAsia="宋体" w:cs="Times New Roman"/>
                <w:i w:val="0"/>
                <w:iCs w:val="0"/>
                <w:snapToGrid w:val="0"/>
                <w:color w:val="000000" w:themeColor="text1"/>
                <w:kern w:val="0"/>
                <w:sz w:val="21"/>
                <w:szCs w:val="21"/>
                <w:u w:val="singl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/a</w:t>
            </w: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SS</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40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0.00024</w:t>
            </w:r>
          </w:p>
        </w:tc>
        <w:tc>
          <w:tcPr>
            <w:tcW w:w="677" w:type="pct"/>
            <w:tcBorders>
              <w:tl2br w:val="nil"/>
              <w:tr2bl w:val="nil"/>
            </w:tcBorders>
            <w:shd w:val="clear" w:color="auto" w:fill="auto"/>
            <w:vAlign w:val="center"/>
          </w:tcPr>
          <w:p>
            <w:pPr>
              <w:keepNext w:val="0"/>
              <w:keepLines w:val="0"/>
              <w:pageBreakBefore w:val="0"/>
              <w:widowControl/>
              <w:suppressLineNumbers w:val="0"/>
              <w:tabs>
                <w:tab w:val="center" w:pos="518"/>
              </w:tabs>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0.00012</w:t>
            </w:r>
          </w:p>
        </w:tc>
        <w:tc>
          <w:tcPr>
            <w:tcW w:w="5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both"/>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经厂区自建污水处理站处理后排入项目西北侧无名小溪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COD</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0.00072</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100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0.0006</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NH</w:t>
            </w:r>
            <w:r>
              <w:rPr>
                <w:rStyle w:val="207"/>
                <w:rFonts w:hint="default" w:ascii="Times New Roman" w:hAnsi="Times New Roman" w:eastAsia="宋体" w:cs="Times New Roman"/>
                <w:snapToGrid w:val="0"/>
                <w:color w:val="000000" w:themeColor="text1"/>
                <w:lang w:val="en-US" w:eastAsia="zh-CN" w:bidi="ar"/>
                <w14:textFill>
                  <w14:solidFill>
                    <w14:schemeClr w14:val="tx1"/>
                  </w14:solidFill>
                </w14:textFill>
              </w:rPr>
              <w:t>3</w:t>
            </w: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-N</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0.00009</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0.00009</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BOD</w:t>
            </w:r>
            <w:r>
              <w:rPr>
                <w:rStyle w:val="208"/>
                <w:rFonts w:hint="default" w:ascii="Times New Roman" w:hAnsi="Times New Roman" w:eastAsia="宋体" w:cs="Times New Roman"/>
                <w:snapToGrid w:val="0"/>
                <w:color w:val="000000" w:themeColor="text1"/>
                <w:lang w:val="en-US" w:eastAsia="zh-CN" w:bidi="ar"/>
                <w14:textFill>
                  <w14:solidFill>
                    <w14:schemeClr w14:val="tx1"/>
                  </w14:solidFill>
                </w14:textFill>
              </w:rPr>
              <w:t>5</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45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0.00027</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30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0.00018</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5" w:hRule="atLeast"/>
        </w:trPr>
        <w:tc>
          <w:tcPr>
            <w:tcW w:w="5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生活废水231m</w:t>
            </w:r>
            <w:r>
              <w:rPr>
                <w:rFonts w:hint="default" w:ascii="Times New Roman" w:hAnsi="Times New Roman" w:eastAsia="宋体" w:cs="Times New Roman"/>
                <w:i w:val="0"/>
                <w:iCs w:val="0"/>
                <w:snapToGrid w:val="0"/>
                <w:color w:val="000000" w:themeColor="text1"/>
                <w:kern w:val="0"/>
                <w:sz w:val="21"/>
                <w:szCs w:val="21"/>
                <w:u w:val="single"/>
                <w:vertAlign w:val="superscript"/>
                <w:lang w:val="en-US" w:eastAsia="zh-CN" w:bidi="ar"/>
                <w14:textFill>
                  <w14:solidFill>
                    <w14:schemeClr w14:val="tx1"/>
                  </w14:solidFill>
                </w14:textFill>
              </w:rPr>
              <w:t>3</w:t>
            </w: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/a</w:t>
            </w: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COD</w:t>
            </w:r>
            <w:r>
              <w:rPr>
                <w:rStyle w:val="207"/>
                <w:rFonts w:hint="default" w:ascii="Times New Roman" w:hAnsi="Times New Roman" w:eastAsia="宋体" w:cs="Times New Roman"/>
                <w:snapToGrid w:val="0"/>
                <w:color w:val="000000" w:themeColor="text1"/>
                <w:lang w:val="en-US" w:eastAsia="zh-CN" w:bidi="ar"/>
                <w14:textFill>
                  <w14:solidFill>
                    <w14:schemeClr w14:val="tx1"/>
                  </w14:solidFill>
                </w14:textFill>
              </w:rPr>
              <w:t>cr</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0.05</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100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0.0231</w:t>
            </w:r>
          </w:p>
        </w:tc>
        <w:tc>
          <w:tcPr>
            <w:tcW w:w="5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both"/>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用于农肥，不外排。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BOD</w:t>
            </w:r>
            <w:r>
              <w:rPr>
                <w:rStyle w:val="207"/>
                <w:rFonts w:hint="default" w:ascii="Times New Roman" w:hAnsi="Times New Roman" w:eastAsia="宋体" w:cs="Times New Roman"/>
                <w:snapToGrid w:val="0"/>
                <w:color w:val="000000" w:themeColor="text1"/>
                <w:lang w:val="en-US" w:eastAsia="zh-CN" w:bidi="ar"/>
                <w14:textFill>
                  <w14:solidFill>
                    <w14:schemeClr w14:val="tx1"/>
                  </w14:solidFill>
                </w14:textFill>
              </w:rPr>
              <w:t>5</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110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0.025</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30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0.0069</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NH</w:t>
            </w:r>
            <w:r>
              <w:rPr>
                <w:rStyle w:val="207"/>
                <w:rFonts w:hint="default" w:ascii="Times New Roman" w:hAnsi="Times New Roman" w:eastAsia="宋体" w:cs="Times New Roman"/>
                <w:snapToGrid w:val="0"/>
                <w:color w:val="000000" w:themeColor="text1"/>
                <w:lang w:val="en-US" w:eastAsia="zh-CN" w:bidi="ar"/>
                <w14:textFill>
                  <w14:solidFill>
                    <w14:schemeClr w14:val="tx1"/>
                  </w14:solidFill>
                </w14:textFill>
              </w:rPr>
              <w:t>3</w:t>
            </w: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-N</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20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0.0046</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15</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0.0035</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5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c>
          <w:tcPr>
            <w:tcW w:w="80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SS</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130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0.03</w:t>
            </w:r>
          </w:p>
        </w:tc>
        <w:tc>
          <w:tcPr>
            <w:tcW w:w="67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70</w:t>
            </w:r>
          </w:p>
        </w:tc>
        <w:tc>
          <w:tcPr>
            <w:tcW w:w="85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u w:val="single"/>
                <w:lang w:val="en-US" w:eastAsia="zh-CN" w:bidi="ar"/>
                <w14:textFill>
                  <w14:solidFill>
                    <w14:schemeClr w14:val="tx1"/>
                  </w14:solidFill>
                </w14:textFill>
              </w:rPr>
              <w:t>0.016</w:t>
            </w:r>
          </w:p>
        </w:tc>
        <w:tc>
          <w:tcPr>
            <w:tcW w:w="5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i w:val="0"/>
                <w:iCs w:val="0"/>
                <w:color w:val="000000" w:themeColor="text1"/>
                <w:sz w:val="21"/>
                <w:szCs w:val="21"/>
                <w:u w:val="single"/>
                <w14:textFill>
                  <w14:solidFill>
                    <w14:schemeClr w14:val="tx1"/>
                  </w14:solidFill>
                </w14:textFill>
              </w:rPr>
            </w:pPr>
          </w:p>
        </w:tc>
      </w:tr>
    </w:tbl>
    <w:p>
      <w:pPr>
        <w:pStyle w:val="61"/>
        <w:bidi w:val="0"/>
        <w:rPr>
          <w:rFonts w:hint="eastAsia"/>
          <w:lang w:val="en-US" w:eastAsia="zh-CN"/>
        </w:rPr>
      </w:pPr>
      <w:r>
        <w:rPr>
          <w:rFonts w:hint="eastAsia"/>
          <w:lang w:val="en-US" w:eastAsia="zh-CN"/>
        </w:rPr>
        <w:t>废水治理措施可行性</w:t>
      </w:r>
    </w:p>
    <w:p>
      <w:pPr>
        <w:pStyle w:val="22"/>
        <w:numPr>
          <w:ilvl w:val="0"/>
          <w:numId w:val="15"/>
        </w:numPr>
        <w:spacing w:line="360" w:lineRule="auto"/>
        <w:ind w:firstLine="480" w:firstLineChars="200"/>
        <w:rPr>
          <w:rFonts w:ascii="Times New Roman" w:hAnsi="Times New Roman"/>
          <w:sz w:val="24"/>
          <w:szCs w:val="24"/>
        </w:rPr>
      </w:pPr>
      <w:r>
        <w:rPr>
          <w:rFonts w:ascii="Times New Roman" w:hAnsi="Times New Roman"/>
          <w:sz w:val="24"/>
          <w:szCs w:val="24"/>
        </w:rPr>
        <w:t>项目废水排放情况</w:t>
      </w:r>
    </w:p>
    <w:p>
      <w:pPr>
        <w:pStyle w:val="17"/>
        <w:spacing w:line="360" w:lineRule="auto"/>
        <w:ind w:firstLine="480" w:firstLineChars="200"/>
        <w:rPr>
          <w:rFonts w:ascii="Times New Roman" w:hAnsi="Times New Roman"/>
          <w:color w:val="000000" w:themeColor="text1"/>
          <w:sz w:val="24"/>
          <w:szCs w:val="24"/>
          <w:u w:val="single"/>
          <w14:textFill>
            <w14:solidFill>
              <w14:schemeClr w14:val="tx1"/>
            </w14:solidFill>
          </w14:textFill>
        </w:rPr>
      </w:pPr>
      <w:r>
        <w:rPr>
          <w:rFonts w:ascii="Times New Roman" w:hAnsi="Times New Roman"/>
          <w:color w:val="000000" w:themeColor="text1"/>
          <w:sz w:val="24"/>
          <w:szCs w:val="24"/>
          <w:u w:val="single"/>
          <w14:textFill>
            <w14:solidFill>
              <w14:schemeClr w14:val="tx1"/>
            </w14:solidFill>
          </w14:textFill>
        </w:rPr>
        <w:t>项目废水总产生量为</w:t>
      </w:r>
      <w:r>
        <w:rPr>
          <w:rFonts w:hint="default" w:ascii="Times New Roman" w:hAnsi="Times New Roman"/>
          <w:color w:val="000000" w:themeColor="text1"/>
          <w:sz w:val="24"/>
          <w:szCs w:val="24"/>
          <w:u w:val="single"/>
          <w:lang w:val="en-US" w:eastAsia="zh-CN"/>
          <w14:textFill>
            <w14:solidFill>
              <w14:schemeClr w14:val="tx1"/>
            </w14:solidFill>
          </w14:textFill>
        </w:rPr>
        <w:t>876</w:t>
      </w:r>
      <w:r>
        <w:rPr>
          <w:rFonts w:ascii="Times New Roman" w:hAnsi="Times New Roman"/>
          <w:color w:val="000000" w:themeColor="text1"/>
          <w:sz w:val="24"/>
          <w:szCs w:val="24"/>
          <w:u w:val="single"/>
          <w14:textFill>
            <w14:solidFill>
              <w14:schemeClr w14:val="tx1"/>
            </w14:solidFill>
          </w14:textFill>
        </w:rPr>
        <w:t>m</w:t>
      </w:r>
      <w:r>
        <w:rPr>
          <w:rFonts w:ascii="Times New Roman" w:hAnsi="Times New Roman"/>
          <w:color w:val="000000" w:themeColor="text1"/>
          <w:sz w:val="24"/>
          <w:szCs w:val="24"/>
          <w:u w:val="single"/>
          <w:vertAlign w:val="superscript"/>
          <w14:textFill>
            <w14:solidFill>
              <w14:schemeClr w14:val="tx1"/>
            </w14:solidFill>
          </w14:textFill>
        </w:rPr>
        <w:t>3</w:t>
      </w:r>
      <w:r>
        <w:rPr>
          <w:rFonts w:ascii="Times New Roman" w:hAnsi="Times New Roman"/>
          <w:color w:val="000000" w:themeColor="text1"/>
          <w:sz w:val="24"/>
          <w:szCs w:val="24"/>
          <w:u w:val="single"/>
          <w14:textFill>
            <w14:solidFill>
              <w14:schemeClr w14:val="tx1"/>
            </w14:solidFill>
          </w14:textFill>
        </w:rPr>
        <w:t>/a，</w:t>
      </w:r>
      <w:r>
        <w:rPr>
          <w:rFonts w:hint="default" w:ascii="Times New Roman" w:hAnsi="Times New Roman"/>
          <w:color w:val="000000" w:themeColor="text1"/>
          <w:sz w:val="24"/>
          <w:szCs w:val="24"/>
          <w:u w:val="single"/>
          <w:lang w:val="en-US" w:eastAsia="zh-CN"/>
          <w14:textFill>
            <w14:solidFill>
              <w14:schemeClr w14:val="tx1"/>
            </w14:solidFill>
          </w14:textFill>
        </w:rPr>
        <w:t>设备清洗废水</w:t>
      </w:r>
      <w:r>
        <w:rPr>
          <w:rFonts w:ascii="Times New Roman" w:hAnsi="Times New Roman"/>
          <w:color w:val="000000" w:themeColor="text1"/>
          <w:sz w:val="24"/>
          <w:szCs w:val="24"/>
          <w:u w:val="single"/>
          <w14:textFill>
            <w14:solidFill>
              <w14:schemeClr w14:val="tx1"/>
            </w14:solidFill>
          </w14:textFill>
        </w:rPr>
        <w:t>、车间清洁废水、</w:t>
      </w:r>
      <w:r>
        <w:rPr>
          <w:rFonts w:hint="default" w:ascii="Times New Roman" w:hAnsi="Times New Roman"/>
          <w:color w:val="000000" w:themeColor="text1"/>
          <w:sz w:val="24"/>
          <w:szCs w:val="24"/>
          <w:u w:val="single"/>
          <w:lang w:val="en-US" w:eastAsia="zh-CN"/>
          <w14:textFill>
            <w14:solidFill>
              <w14:schemeClr w14:val="tx1"/>
            </w14:solidFill>
          </w14:textFill>
        </w:rPr>
        <w:t>实验室纯水制备废水经设备清洗废水、车间清洁废水、实验室纯水制备废水经</w:t>
      </w:r>
      <w:r>
        <w:rPr>
          <w:rFonts w:hint="eastAsia" w:ascii="Times New Roman" w:hAnsi="Times New Roman"/>
          <w:color w:val="000000" w:themeColor="text1"/>
          <w:sz w:val="24"/>
          <w:szCs w:val="24"/>
          <w:u w:val="single"/>
          <w:lang w:val="en-US" w:eastAsia="zh-CN"/>
          <w14:textFill>
            <w14:solidFill>
              <w14:schemeClr w14:val="tx1"/>
            </w14:solidFill>
          </w14:textFill>
        </w:rPr>
        <w:t>“</w:t>
      </w:r>
      <w:r>
        <w:rPr>
          <w:rFonts w:hint="default" w:ascii="Times New Roman" w:hAnsi="Times New Roman"/>
          <w:color w:val="000000" w:themeColor="text1"/>
          <w:sz w:val="24"/>
          <w:szCs w:val="24"/>
          <w:u w:val="single"/>
          <w:lang w:val="en-US" w:eastAsia="zh-CN"/>
          <w14:textFill>
            <w14:solidFill>
              <w14:schemeClr w14:val="tx1"/>
            </w14:solidFill>
          </w14:textFill>
        </w:rPr>
        <w:t>格栅→调节池→初沉池→A级生物滤池→O级生物滤池→二沉池→</w:t>
      </w:r>
      <w:r>
        <w:rPr>
          <w:rFonts w:hint="eastAsia" w:ascii="Times New Roman" w:hAnsi="Times New Roman"/>
          <w:color w:val="000000" w:themeColor="text1"/>
          <w:sz w:val="24"/>
          <w:szCs w:val="24"/>
          <w:u w:val="single"/>
          <w:lang w:val="en-US" w:eastAsia="zh-CN"/>
          <w14:textFill>
            <w14:solidFill>
              <w14:schemeClr w14:val="tx1"/>
            </w14:solidFill>
          </w14:textFill>
        </w:rPr>
        <w:t>出水”</w:t>
      </w:r>
      <w:r>
        <w:rPr>
          <w:rFonts w:hint="default" w:ascii="Times New Roman" w:hAnsi="Times New Roman"/>
          <w:color w:val="000000" w:themeColor="text1"/>
          <w:sz w:val="24"/>
          <w:szCs w:val="24"/>
          <w:u w:val="single"/>
          <w14:textFill>
            <w14:solidFill>
              <w14:schemeClr w14:val="tx1"/>
            </w14:solidFill>
          </w14:textFill>
        </w:rPr>
        <w:t>处理达到《污水综合排放标准》（GB8978-1996）</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的一级标准要求</w:t>
      </w:r>
      <w:r>
        <w:rPr>
          <w:rFonts w:hint="default" w:ascii="Times New Roman" w:hAnsi="Times New Roman"/>
          <w:color w:val="000000" w:themeColor="text1"/>
          <w:sz w:val="24"/>
          <w:szCs w:val="24"/>
          <w:u w:val="single"/>
          <w14:textFill>
            <w14:solidFill>
              <w14:schemeClr w14:val="tx1"/>
            </w14:solidFill>
          </w14:textFill>
        </w:rPr>
        <w:t>后排入项目</w:t>
      </w:r>
      <w:r>
        <w:rPr>
          <w:rFonts w:hint="eastAsia" w:ascii="Times New Roman" w:hAnsi="Times New Roman" w:cs="Times New Roman"/>
          <w:color w:val="000000" w:themeColor="text1"/>
          <w:sz w:val="24"/>
          <w:szCs w:val="24"/>
          <w:u w:val="single"/>
          <w:lang w:val="en-US" w:eastAsia="zh-CN"/>
          <w14:textFill>
            <w14:solidFill>
              <w14:schemeClr w14:val="tx1"/>
            </w14:solidFill>
          </w14:textFill>
        </w:rPr>
        <w:t>西北侧的无名小溪</w:t>
      </w:r>
      <w:r>
        <w:rPr>
          <w:rFonts w:ascii="Times New Roman" w:hAnsi="Times New Roman"/>
          <w:color w:val="000000" w:themeColor="text1"/>
          <w:sz w:val="24"/>
          <w:szCs w:val="24"/>
          <w:u w:val="single"/>
          <w14:textFill>
            <w14:solidFill>
              <w14:schemeClr w14:val="tx1"/>
            </w14:solidFill>
          </w14:textFill>
        </w:rPr>
        <w:t>。</w:t>
      </w:r>
      <w:bookmarkStart w:id="124" w:name="_GoBack"/>
      <w:bookmarkEnd w:id="124"/>
    </w:p>
    <w:p>
      <w:pPr>
        <w:pStyle w:val="195"/>
        <w:rPr>
          <w:rFonts w:hint="eastAsia" w:cs="Times New Roman"/>
          <w:color w:val="000000" w:themeColor="text1"/>
          <w:szCs w:val="24"/>
          <w:u w:val="single"/>
          <w:lang w:val="en-US" w:eastAsia="zh-CN"/>
          <w14:textFill>
            <w14:solidFill>
              <w14:schemeClr w14:val="tx1"/>
            </w14:solidFill>
          </w14:textFill>
        </w:rPr>
      </w:pPr>
      <w:r>
        <w:rPr>
          <w:rFonts w:hint="default" w:ascii="Times New Roman" w:hAnsi="Times New Roman" w:cs="Times New Roman"/>
          <w:color w:val="000000" w:themeColor="text1"/>
          <w:szCs w:val="24"/>
          <w:u w:val="single"/>
          <w:lang w:val="en-US" w:eastAsia="zh-CN"/>
          <w14:textFill>
            <w14:solidFill>
              <w14:schemeClr w14:val="tx1"/>
            </w14:solidFill>
          </w14:textFill>
        </w:rPr>
        <w:t>项目生产废水处理工艺：项目生产废水主要为反冲洗水</w:t>
      </w:r>
      <w:r>
        <w:rPr>
          <w:rFonts w:hint="eastAsia" w:ascii="Times New Roman" w:hAnsi="Times New Roman" w:cs="Times New Roman"/>
          <w:color w:val="000000" w:themeColor="text1"/>
          <w:szCs w:val="24"/>
          <w:u w:val="single"/>
          <w:lang w:val="en-US" w:eastAsia="zh-CN"/>
          <w14:textFill>
            <w14:solidFill>
              <w14:schemeClr w14:val="tx1"/>
            </w14:solidFill>
          </w14:textFill>
        </w:rPr>
        <w:t>和设备清洗时</w:t>
      </w:r>
      <w:r>
        <w:rPr>
          <w:rFonts w:hint="default" w:ascii="Times New Roman" w:hAnsi="Times New Roman" w:cs="Times New Roman"/>
          <w:color w:val="000000" w:themeColor="text1"/>
          <w:szCs w:val="24"/>
          <w:u w:val="single"/>
          <w:lang w:val="en-US" w:eastAsia="zh-CN"/>
          <w14:textFill>
            <w14:solidFill>
              <w14:schemeClr w14:val="tx1"/>
            </w14:solidFill>
          </w14:textFill>
        </w:rPr>
        <w:t>消毒</w:t>
      </w:r>
      <w:r>
        <w:rPr>
          <w:rFonts w:hint="eastAsia" w:ascii="Times New Roman" w:hAnsi="Times New Roman" w:cs="Times New Roman"/>
          <w:color w:val="000000" w:themeColor="text1"/>
          <w:szCs w:val="24"/>
          <w:u w:val="single"/>
          <w:lang w:val="en-US" w:eastAsia="zh-CN"/>
          <w14:textFill>
            <w14:solidFill>
              <w14:schemeClr w14:val="tx1"/>
            </w14:solidFill>
          </w14:textFill>
        </w:rPr>
        <w:t>产生的废水</w:t>
      </w:r>
      <w:r>
        <w:rPr>
          <w:rFonts w:hint="default" w:ascii="Times New Roman" w:hAnsi="Times New Roman" w:cs="Times New Roman"/>
          <w:color w:val="000000" w:themeColor="text1"/>
          <w:szCs w:val="24"/>
          <w:u w:val="single"/>
          <w:lang w:val="en-US" w:eastAsia="zh-CN"/>
          <w14:textFill>
            <w14:solidFill>
              <w14:schemeClr w14:val="tx1"/>
            </w14:solidFill>
          </w14:textFill>
        </w:rPr>
        <w:t>。反冲洗废水水质较好，主要污染物为悬浮物，经沉淀池后悬浮物浓度大大降低；项目车间设备清洗消毒，消毒设备产生的水含酸性和氧化性</w:t>
      </w:r>
      <w:r>
        <w:rPr>
          <w:rFonts w:hint="eastAsia" w:cs="Times New Roman"/>
          <w:color w:val="000000" w:themeColor="text1"/>
          <w:szCs w:val="24"/>
          <w:u w:val="single"/>
          <w:lang w:val="en-US" w:eastAsia="zh-CN"/>
          <w14:textFill>
            <w14:solidFill>
              <w14:schemeClr w14:val="tx1"/>
            </w14:solidFill>
          </w14:textFill>
        </w:rPr>
        <w:t>。</w:t>
      </w:r>
    </w:p>
    <w:p>
      <w:pPr>
        <w:widowControl/>
        <w:spacing w:line="360" w:lineRule="auto"/>
        <w:ind w:firstLine="480" w:firstLineChars="200"/>
        <w:jc w:val="left"/>
        <w:rPr>
          <w:sz w:val="24"/>
          <w:u w:val="single"/>
        </w:rPr>
      </w:pPr>
      <w:r>
        <w:rPr>
          <w:color w:val="000000"/>
          <w:kern w:val="0"/>
          <w:sz w:val="24"/>
          <w:u w:val="single"/>
          <w:lang w:bidi="ar"/>
        </w:rPr>
        <w:t xml:space="preserve">①一体化污水处理设施可行性分析 </w:t>
      </w:r>
    </w:p>
    <w:p>
      <w:pPr>
        <w:widowControl/>
        <w:numPr>
          <w:ilvl w:val="0"/>
          <w:numId w:val="16"/>
        </w:numPr>
        <w:spacing w:line="360" w:lineRule="auto"/>
        <w:ind w:firstLine="480" w:firstLineChars="200"/>
        <w:jc w:val="left"/>
        <w:rPr>
          <w:rFonts w:ascii="宋体" w:hAnsi="宋体" w:cs="宋体"/>
          <w:color w:val="000000"/>
          <w:kern w:val="0"/>
          <w:sz w:val="24"/>
          <w:u w:val="single"/>
          <w:lang w:bidi="ar"/>
        </w:rPr>
      </w:pPr>
      <w:r>
        <w:rPr>
          <w:color w:val="000000"/>
          <w:kern w:val="0"/>
          <w:sz w:val="24"/>
          <w:u w:val="single"/>
          <w:lang w:bidi="ar"/>
        </w:rPr>
        <w:t>处理能力根据测算，进入一体化污水处理设施处理的包括生活污水、车间清洁废水、实验废水，废水量为</w:t>
      </w:r>
      <w:r>
        <w:rPr>
          <w:rFonts w:hint="eastAsia"/>
          <w:color w:val="000000"/>
          <w:kern w:val="0"/>
          <w:sz w:val="24"/>
          <w:u w:val="single"/>
          <w:lang w:val="en-US" w:eastAsia="zh-CN" w:bidi="ar"/>
        </w:rPr>
        <w:t>2.92</w:t>
      </w:r>
      <w:r>
        <w:rPr>
          <w:rFonts w:eastAsia="TimesNewRomanPSMT"/>
          <w:color w:val="000000"/>
          <w:kern w:val="0"/>
          <w:sz w:val="24"/>
          <w:u w:val="single"/>
          <w:lang w:bidi="ar"/>
        </w:rPr>
        <w:t>m</w:t>
      </w:r>
      <w:r>
        <w:rPr>
          <w:rFonts w:eastAsia="TimesNewRomanPSMT"/>
          <w:color w:val="000000"/>
          <w:kern w:val="0"/>
          <w:sz w:val="24"/>
          <w:u w:val="single"/>
          <w:vertAlign w:val="superscript"/>
          <w:lang w:bidi="ar"/>
        </w:rPr>
        <w:t>3</w:t>
      </w:r>
      <w:r>
        <w:rPr>
          <w:rFonts w:eastAsia="TimesNewRomanPSMT"/>
          <w:color w:val="000000"/>
          <w:kern w:val="0"/>
          <w:sz w:val="24"/>
          <w:u w:val="single"/>
          <w:lang w:bidi="ar"/>
        </w:rPr>
        <w:t>/d</w:t>
      </w:r>
      <w:r>
        <w:rPr>
          <w:color w:val="000000"/>
          <w:kern w:val="0"/>
          <w:sz w:val="24"/>
          <w:u w:val="single"/>
          <w:lang w:bidi="ar"/>
        </w:rPr>
        <w:t>，本评价建议项目需设置一座处理能力</w:t>
      </w:r>
      <w:r>
        <w:rPr>
          <w:rFonts w:hint="eastAsia"/>
          <w:color w:val="000000"/>
          <w:kern w:val="0"/>
          <w:sz w:val="24"/>
          <w:u w:val="single"/>
          <w:lang w:val="en-US" w:eastAsia="zh-CN" w:bidi="ar"/>
        </w:rPr>
        <w:t>10</w:t>
      </w:r>
      <w:r>
        <w:rPr>
          <w:rFonts w:eastAsia="TimesNewRomanPSMT"/>
          <w:color w:val="000000"/>
          <w:kern w:val="0"/>
          <w:sz w:val="24"/>
          <w:u w:val="single"/>
          <w:lang w:bidi="ar"/>
        </w:rPr>
        <w:t>m</w:t>
      </w:r>
      <w:r>
        <w:rPr>
          <w:rFonts w:eastAsia="TimesNewRomanPSMT"/>
          <w:color w:val="000000"/>
          <w:kern w:val="0"/>
          <w:sz w:val="24"/>
          <w:u w:val="single"/>
          <w:vertAlign w:val="superscript"/>
          <w:lang w:bidi="ar"/>
        </w:rPr>
        <w:t>3</w:t>
      </w:r>
      <w:r>
        <w:rPr>
          <w:rFonts w:eastAsia="TimesNewRomanPSMT"/>
          <w:color w:val="000000"/>
          <w:kern w:val="0"/>
          <w:sz w:val="24"/>
          <w:u w:val="single"/>
          <w:lang w:bidi="ar"/>
        </w:rPr>
        <w:t>/d</w:t>
      </w:r>
      <w:r>
        <w:rPr>
          <w:rFonts w:ascii="宋体" w:hAnsi="宋体" w:cs="宋体"/>
          <w:color w:val="000000"/>
          <w:kern w:val="0"/>
          <w:sz w:val="24"/>
          <w:u w:val="single"/>
          <w:lang w:bidi="ar"/>
        </w:rPr>
        <w:t>的一体化污水处理设施，对综合废水进行处理，处理能力可满足要求。</w:t>
      </w:r>
    </w:p>
    <w:p>
      <w:pPr>
        <w:pStyle w:val="2"/>
      </w:pPr>
    </w:p>
    <w:p/>
    <w:p>
      <w:pPr>
        <w:pStyle w:val="2"/>
      </w:pPr>
    </w:p>
    <w:p>
      <w:pPr>
        <w:pStyle w:val="38"/>
        <w:numPr>
          <w:ilvl w:val="0"/>
          <w:numId w:val="16"/>
        </w:numPr>
        <w:spacing w:after="0" w:line="360" w:lineRule="auto"/>
        <w:ind w:left="0" w:leftChars="0" w:firstLine="480"/>
        <w:rPr>
          <w:sz w:val="24"/>
          <w:u w:val="single"/>
        </w:rPr>
      </w:pPr>
      <w:r>
        <w:rPr>
          <w:rFonts w:hint="eastAsia"/>
          <w:sz w:val="24"/>
          <w:u w:val="single"/>
        </w:rPr>
        <w:t>处理工艺</w:t>
      </w:r>
    </w:p>
    <w:p>
      <w:pPr>
        <w:rPr>
          <w:rFonts w:hint="eastAsia"/>
          <w:sz w:val="24"/>
          <w:u w:val="single"/>
        </w:rPr>
      </w:pPr>
      <w:r>
        <w:rPr>
          <w:rFonts w:hint="eastAsia"/>
          <w:sz w:val="24"/>
          <w:u w:val="single"/>
        </w:rPr>
        <w:t>项目拟采用一体化生化处理设施对项目废水进行处理，具体工艺如下：</w:t>
      </w:r>
    </w:p>
    <w:p>
      <w:pPr>
        <w:pStyle w:val="18"/>
      </w:pPr>
      <w:r>
        <w:object>
          <v:shape id="_x0000_i1028" o:spt="75" type="#_x0000_t75" style="height:128.45pt;width:374.25pt;" o:ole="t" filled="f" o:preferrelative="t" stroked="f" coordsize="21600,21600">
            <v:path/>
            <v:fill on="f" focussize="0,0"/>
            <v:stroke on="f"/>
            <v:imagedata r:id="rId29" o:title=""/>
            <o:lock v:ext="edit" aspectratio="f"/>
            <w10:wrap type="none"/>
            <w10:anchorlock/>
          </v:shape>
          <o:OLEObject Type="Embed" ProgID="Visio.Drawing.15" ShapeID="_x0000_i1028" DrawAspect="Content" ObjectID="_1468075728" r:id="rId28">
            <o:LockedField>false</o:LockedField>
          </o:OLEObject>
        </w:object>
      </w:r>
    </w:p>
    <w:p>
      <w:pPr>
        <w:pStyle w:val="64"/>
        <w:bidi w:val="0"/>
        <w:rPr>
          <w:rFonts w:hint="eastAsia"/>
          <w:lang w:val="en-US" w:eastAsia="zh-CN"/>
        </w:rPr>
      </w:pPr>
      <w:r>
        <w:rPr>
          <w:rFonts w:hint="eastAsia"/>
          <w:lang w:val="en-US" w:eastAsia="zh-CN"/>
        </w:rPr>
        <w:t>污水处理设施工艺流程图</w:t>
      </w:r>
    </w:p>
    <w:p>
      <w:pPr>
        <w:pStyle w:val="38"/>
        <w:numPr>
          <w:ilvl w:val="0"/>
          <w:numId w:val="16"/>
        </w:numPr>
        <w:spacing w:after="0" w:line="360" w:lineRule="auto"/>
        <w:ind w:left="0" w:leftChars="0" w:firstLine="480"/>
        <w:rPr>
          <w:sz w:val="24"/>
          <w:u w:val="single"/>
        </w:rPr>
      </w:pPr>
      <w:r>
        <w:rPr>
          <w:rFonts w:hint="eastAsia"/>
          <w:sz w:val="24"/>
          <w:u w:val="single"/>
        </w:rPr>
        <w:t>处理效果</w:t>
      </w:r>
    </w:p>
    <w:p>
      <w:pPr>
        <w:pStyle w:val="195"/>
        <w:rPr>
          <w:rFonts w:hint="eastAsia" w:ascii="宋体" w:hAnsi="宋体" w:cs="宋体"/>
          <w:color w:val="000000"/>
          <w:szCs w:val="24"/>
          <w:u w:val="single"/>
        </w:rPr>
      </w:pPr>
      <w:r>
        <w:rPr>
          <w:rFonts w:ascii="宋体" w:hAnsi="宋体" w:cs="宋体"/>
          <w:color w:val="000000"/>
          <w:szCs w:val="24"/>
          <w:u w:val="single"/>
        </w:rPr>
        <w:t>初沉池对含有</w:t>
      </w:r>
      <w:r>
        <w:rPr>
          <w:rFonts w:ascii="TimesNewRomanPSMT" w:hAnsi="TimesNewRomanPSMT" w:eastAsia="TimesNewRomanPSMT" w:cs="TimesNewRomanPSMT"/>
          <w:color w:val="000000"/>
          <w:szCs w:val="24"/>
          <w:u w:val="single"/>
        </w:rPr>
        <w:t>SS</w:t>
      </w:r>
      <w:r>
        <w:rPr>
          <w:rFonts w:ascii="宋体" w:hAnsi="宋体" w:cs="宋体"/>
          <w:color w:val="000000"/>
          <w:szCs w:val="24"/>
          <w:u w:val="single"/>
        </w:rPr>
        <w:t>的车间清洁废水起到将</w:t>
      </w:r>
      <w:r>
        <w:rPr>
          <w:rFonts w:ascii="TimesNewRomanPSMT" w:hAnsi="TimesNewRomanPSMT" w:eastAsia="TimesNewRomanPSMT" w:cs="TimesNewRomanPSMT"/>
          <w:color w:val="000000"/>
          <w:szCs w:val="24"/>
          <w:u w:val="single"/>
        </w:rPr>
        <w:t>SS</w:t>
      </w:r>
      <w:r>
        <w:rPr>
          <w:rFonts w:ascii="宋体" w:hAnsi="宋体" w:cs="宋体"/>
          <w:color w:val="000000"/>
          <w:szCs w:val="24"/>
          <w:u w:val="single"/>
        </w:rPr>
        <w:t>沉淀的效果；</w:t>
      </w:r>
      <w:r>
        <w:rPr>
          <w:rFonts w:ascii="TimesNewRomanPSMT" w:hAnsi="TimesNewRomanPSMT" w:eastAsia="TimesNewRomanPSMT" w:cs="TimesNewRomanPSMT"/>
          <w:color w:val="000000"/>
          <w:szCs w:val="24"/>
          <w:u w:val="single"/>
        </w:rPr>
        <w:t>A/O</w:t>
      </w:r>
      <w:r>
        <w:rPr>
          <w:rFonts w:ascii="宋体" w:hAnsi="宋体" w:cs="宋体"/>
          <w:color w:val="000000"/>
          <w:szCs w:val="24"/>
          <w:u w:val="single"/>
        </w:rPr>
        <w:t>生物池对经预处理池处理后的生活污水以及实验废水较为有效，可有效降低废水中的</w:t>
      </w:r>
      <w:r>
        <w:rPr>
          <w:rFonts w:ascii="TimesNewRomanPSMT" w:hAnsi="TimesNewRomanPSMT" w:eastAsia="TimesNewRomanPSMT" w:cs="TimesNewRomanPSMT"/>
          <w:color w:val="000000"/>
          <w:szCs w:val="24"/>
          <w:u w:val="single"/>
        </w:rPr>
        <w:t>BOD</w:t>
      </w:r>
      <w:r>
        <w:rPr>
          <w:rFonts w:ascii="TimesNewRomanPSMT" w:hAnsi="TimesNewRomanPSMT" w:eastAsia="TimesNewRomanPSMT" w:cs="TimesNewRomanPSMT"/>
          <w:color w:val="000000"/>
          <w:sz w:val="15"/>
          <w:szCs w:val="15"/>
          <w:u w:val="single"/>
        </w:rPr>
        <w:t>5</w:t>
      </w:r>
      <w:r>
        <w:rPr>
          <w:rFonts w:ascii="宋体" w:hAnsi="宋体" w:cs="宋体"/>
          <w:color w:val="000000"/>
          <w:szCs w:val="24"/>
          <w:u w:val="single"/>
        </w:rPr>
        <w:t>和</w:t>
      </w:r>
      <w:r>
        <w:rPr>
          <w:rFonts w:ascii="TimesNewRomanPSMT" w:hAnsi="TimesNewRomanPSMT" w:eastAsia="TimesNewRomanPSMT" w:cs="TimesNewRomanPSMT"/>
          <w:color w:val="000000"/>
          <w:szCs w:val="24"/>
          <w:u w:val="single"/>
        </w:rPr>
        <w:t>COD</w:t>
      </w:r>
      <w:r>
        <w:rPr>
          <w:rFonts w:ascii="宋体" w:hAnsi="宋体" w:cs="宋体"/>
          <w:color w:val="000000"/>
          <w:szCs w:val="24"/>
          <w:u w:val="single"/>
        </w:rPr>
        <w:t>；位于生化之后的二沉池，主要沉淀有机污泥。根据以上工艺流程可知，项目废水处理装置具有处理效果好，出水稳定达标的特点。根据相关工程经验，正常运作的条件下，出水可稳定达标，工艺是可行的，能确保废水出水水质达标。</w:t>
      </w:r>
      <w:r>
        <w:rPr>
          <w:rFonts w:hint="eastAsia" w:ascii="Times New Roman" w:hAnsi="Times New Roman" w:cs="Times New Roman"/>
          <w:color w:val="000000" w:themeColor="text1"/>
          <w:szCs w:val="24"/>
          <w:u w:val="single"/>
          <w:lang w:val="en-US" w:eastAsia="zh-CN"/>
          <w14:textFill>
            <w14:solidFill>
              <w14:schemeClr w14:val="tx1"/>
            </w14:solidFill>
          </w14:textFill>
        </w:rPr>
        <w:t>项目生活废水经化粪池处理后用于农肥不外排</w:t>
      </w:r>
      <w:r>
        <w:rPr>
          <w:rFonts w:ascii="Times New Roman" w:hAnsi="Times New Roman" w:cs="Times New Roman"/>
          <w:color w:val="000000" w:themeColor="text1"/>
          <w:szCs w:val="24"/>
          <w:u w:val="single"/>
          <w14:textFill>
            <w14:solidFill>
              <w14:schemeClr w14:val="tx1"/>
            </w14:solidFill>
          </w14:textFill>
        </w:rPr>
        <w:t>。</w:t>
      </w:r>
    </w:p>
    <w:p>
      <w:pPr>
        <w:pStyle w:val="195"/>
        <w:rPr>
          <w:rFonts w:hint="eastAsia" w:ascii="宋体" w:hAnsi="宋体" w:cs="宋体"/>
          <w:color w:val="000000"/>
          <w:szCs w:val="24"/>
          <w:u w:val="single"/>
        </w:rPr>
      </w:pPr>
      <w:r>
        <w:rPr>
          <w:rFonts w:hint="eastAsia" w:ascii="宋体" w:hAnsi="宋体" w:cs="宋体"/>
          <w:color w:val="000000"/>
          <w:szCs w:val="24"/>
          <w:u w:val="single"/>
        </w:rPr>
        <w:t xml:space="preserve"> 综上所述，本项目厂区共设置一个</w:t>
      </w:r>
      <w:r>
        <w:rPr>
          <w:rFonts w:hint="eastAsia" w:ascii="宋体" w:hAnsi="宋体" w:cs="宋体"/>
          <w:color w:val="000000"/>
          <w:szCs w:val="24"/>
          <w:u w:val="single"/>
          <w:lang w:val="en-US" w:eastAsia="zh-CN"/>
        </w:rPr>
        <w:t>废水</w:t>
      </w:r>
      <w:r>
        <w:rPr>
          <w:rFonts w:hint="eastAsia" w:ascii="宋体" w:hAnsi="宋体" w:cs="宋体"/>
          <w:color w:val="000000"/>
          <w:szCs w:val="24"/>
          <w:u w:val="single"/>
        </w:rPr>
        <w:t>排放口。具体的排放口情况见下表所示。</w:t>
      </w: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195"/>
        <w:rPr>
          <w:rFonts w:hint="eastAsia" w:ascii="宋体" w:hAnsi="宋体" w:cs="宋体"/>
          <w:color w:val="000000"/>
          <w:szCs w:val="24"/>
          <w:u w:val="single"/>
        </w:rPr>
      </w:pPr>
    </w:p>
    <w:p>
      <w:pPr>
        <w:pStyle w:val="56"/>
        <w:bidi w:val="0"/>
        <w:ind w:left="960" w:leftChars="0" w:firstLineChars="0"/>
        <w:rPr>
          <w:rFonts w:hint="eastAsia"/>
          <w:lang w:val="en-US" w:eastAsia="zh-CN"/>
        </w:rPr>
      </w:pPr>
      <w:r>
        <w:rPr>
          <w:rFonts w:hint="eastAsia"/>
          <w:lang w:val="en-US" w:eastAsia="zh-CN"/>
        </w:rPr>
        <w:t>废水产排污节点、污染物及污染治理设施信息一览表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5"/>
        <w:gridCol w:w="938"/>
        <w:gridCol w:w="804"/>
        <w:gridCol w:w="1093"/>
        <w:gridCol w:w="482"/>
        <w:gridCol w:w="525"/>
        <w:gridCol w:w="793"/>
        <w:gridCol w:w="868"/>
        <w:gridCol w:w="611"/>
        <w:gridCol w:w="1574"/>
        <w:gridCol w:w="11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29" w:type="pct"/>
            <w:vMerge w:val="restart"/>
            <w:tcBorders>
              <w:tl2br w:val="nil"/>
              <w:tr2bl w:val="nil"/>
            </w:tcBorders>
            <w:vAlign w:val="center"/>
          </w:tcPr>
          <w:p>
            <w:pPr>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0"/>
                <w:sz w:val="21"/>
                <w:szCs w:val="21"/>
                <w:lang w:val="zh-CN"/>
              </w:rPr>
            </w:pPr>
            <w:r>
              <w:rPr>
                <w:rFonts w:hint="default" w:ascii="Times New Roman" w:hAnsi="Times New Roman" w:eastAsia="宋体" w:cs="Times New Roman"/>
                <w:bCs/>
                <w:snapToGrid/>
                <w:kern w:val="0"/>
                <w:sz w:val="21"/>
                <w:szCs w:val="21"/>
                <w:lang w:val="zh-CN"/>
              </w:rPr>
              <w:t>废水类别</w:t>
            </w:r>
          </w:p>
          <w:p>
            <w:pPr>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生产废水</w:t>
            </w:r>
          </w:p>
        </w:tc>
        <w:tc>
          <w:tcPr>
            <w:tcW w:w="507"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污染物种类</w:t>
            </w:r>
          </w:p>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434"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废水去向</w:t>
            </w:r>
          </w:p>
        </w:tc>
        <w:tc>
          <w:tcPr>
            <w:tcW w:w="1136" w:type="pct"/>
            <w:gridSpan w:val="3"/>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污染治理设施</w:t>
            </w:r>
          </w:p>
        </w:tc>
        <w:tc>
          <w:tcPr>
            <w:tcW w:w="429"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1"/>
                <w:sz w:val="21"/>
                <w:szCs w:val="21"/>
              </w:rPr>
              <w:t>废水排放量</w:t>
            </w:r>
          </w:p>
        </w:tc>
        <w:tc>
          <w:tcPr>
            <w:tcW w:w="1651" w:type="pct"/>
            <w:gridSpan w:val="3"/>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排放口基本情况</w:t>
            </w:r>
          </w:p>
        </w:tc>
        <w:tc>
          <w:tcPr>
            <w:tcW w:w="610"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排放标准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blHeader/>
          <w:jc w:val="center"/>
        </w:trPr>
        <w:tc>
          <w:tcPr>
            <w:tcW w:w="229"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507"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434"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591"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污染治理设施名称</w:t>
            </w:r>
          </w:p>
        </w:tc>
        <w:tc>
          <w:tcPr>
            <w:tcW w:w="260"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污染治理设施工艺</w:t>
            </w:r>
          </w:p>
        </w:tc>
        <w:tc>
          <w:tcPr>
            <w:tcW w:w="284" w:type="pct"/>
            <w:vMerge w:val="restar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是否为可行技术</w:t>
            </w:r>
          </w:p>
        </w:tc>
        <w:tc>
          <w:tcPr>
            <w:tcW w:w="429"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1651" w:type="pct"/>
            <w:gridSpan w:val="3"/>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610"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3" w:hRule="atLeast"/>
          <w:tblHeader/>
          <w:jc w:val="center"/>
        </w:trPr>
        <w:tc>
          <w:tcPr>
            <w:tcW w:w="229"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507" w:type="pct"/>
            <w:vMerge w:val="continue"/>
            <w:tcBorders>
              <w:bottom w:val="single" w:color="000000" w:sz="4" w:space="0"/>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434" w:type="pct"/>
            <w:vMerge w:val="continue"/>
            <w:tcBorders>
              <w:bottom w:val="single" w:color="000000" w:sz="4" w:space="0"/>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591"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260"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284"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429"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c>
          <w:tcPr>
            <w:tcW w:w="469" w:type="pc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编号</w:t>
            </w:r>
          </w:p>
        </w:tc>
        <w:tc>
          <w:tcPr>
            <w:tcW w:w="330" w:type="pct"/>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类型</w:t>
            </w:r>
          </w:p>
        </w:tc>
        <w:tc>
          <w:tcPr>
            <w:tcW w:w="851" w:type="pct"/>
            <w:tcBorders>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地理</w:t>
            </w:r>
          </w:p>
          <w:p>
            <w:pPr>
              <w:keepNext/>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rPr>
              <w:t>坐标</w:t>
            </w:r>
          </w:p>
        </w:tc>
        <w:tc>
          <w:tcPr>
            <w:tcW w:w="610" w:type="pct"/>
            <w:vMerge w:val="continue"/>
            <w:tcBorders>
              <w:tl2br w:val="nil"/>
              <w:tr2bl w:val="nil"/>
            </w:tcBorders>
            <w:vAlign w:val="center"/>
          </w:tcPr>
          <w:p>
            <w:pPr>
              <w:keepNext/>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81" w:hRule="atLeast"/>
          <w:tblHeader/>
          <w:jc w:val="center"/>
        </w:trPr>
        <w:tc>
          <w:tcPr>
            <w:tcW w:w="229" w:type="pct"/>
            <w:vMerge w:val="continue"/>
            <w:tcBorders>
              <w:tl2br w:val="nil"/>
              <w:tr2bl w:val="nil"/>
            </w:tcBorders>
            <w:vAlign w:val="center"/>
          </w:tcPr>
          <w:p>
            <w:pPr>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snapToGrid/>
                <w:kern w:val="0"/>
                <w:sz w:val="21"/>
                <w:szCs w:val="21"/>
                <w:lang w:val="zh-CN"/>
              </w:rPr>
            </w:pPr>
          </w:p>
        </w:tc>
        <w:tc>
          <w:tcPr>
            <w:tcW w:w="507" w:type="pct"/>
            <w:tcBorders>
              <w:top w:val="single" w:color="000000" w:sz="4" w:space="0"/>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lang w:val="en-US" w:eastAsia="zh-CN"/>
                <w14:textFill>
                  <w14:solidFill>
                    <w14:schemeClr w14:val="tx1"/>
                  </w14:solidFill>
                </w14:textFill>
              </w:rPr>
              <w:t>p</w:t>
            </w:r>
            <w:r>
              <w:rPr>
                <w:rFonts w:hint="default" w:ascii="Times New Roman" w:hAnsi="Times New Roman" w:cs="Times New Roman"/>
                <w:bCs/>
                <w:color w:val="000000" w:themeColor="text1"/>
                <w:sz w:val="21"/>
                <w:szCs w:val="21"/>
                <w14:textFill>
                  <w14:solidFill>
                    <w14:schemeClr w14:val="tx1"/>
                  </w14:solidFill>
                </w14:textFill>
              </w:rPr>
              <w:t>H、COD、BOD</w:t>
            </w:r>
            <w:r>
              <w:rPr>
                <w:rFonts w:hint="default" w:ascii="Times New Roman" w:hAnsi="Times New Roman" w:cs="Times New Roman"/>
                <w:bCs/>
                <w:color w:val="000000" w:themeColor="text1"/>
                <w:sz w:val="21"/>
                <w:szCs w:val="21"/>
                <w:vertAlign w:val="subscript"/>
                <w14:textFill>
                  <w14:solidFill>
                    <w14:schemeClr w14:val="tx1"/>
                  </w14:solidFill>
                </w14:textFill>
              </w:rPr>
              <w:t>5</w:t>
            </w:r>
            <w:r>
              <w:rPr>
                <w:rFonts w:hint="default" w:ascii="Times New Roman" w:hAnsi="Times New Roman" w:cs="Times New Roman"/>
                <w:bCs/>
                <w:color w:val="000000" w:themeColor="text1"/>
                <w:sz w:val="21"/>
                <w:szCs w:val="21"/>
                <w14:textFill>
                  <w14:solidFill>
                    <w14:schemeClr w14:val="tx1"/>
                  </w14:solidFill>
                </w14:textFill>
              </w:rPr>
              <w:t>、SS、氨氮</w:t>
            </w:r>
            <w:r>
              <w:rPr>
                <w:rFonts w:hint="default" w:ascii="Times New Roman" w:hAnsi="Times New Roman"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TP</w:t>
            </w:r>
            <w:r>
              <w:rPr>
                <w:rFonts w:hint="default" w:ascii="Times New Roman" w:hAnsi="Times New Roman" w:cs="Times New Roman"/>
                <w:bCs/>
                <w:color w:val="000000" w:themeColor="text1"/>
                <w:sz w:val="21"/>
                <w:szCs w:val="21"/>
                <w:lang w:eastAsia="zh-CN"/>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TN</w:t>
            </w:r>
          </w:p>
        </w:tc>
        <w:tc>
          <w:tcPr>
            <w:tcW w:w="434" w:type="pct"/>
            <w:tcBorders>
              <w:top w:val="single" w:color="000000" w:sz="4" w:space="0"/>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lang w:val="en-US" w:eastAsia="zh-CN"/>
                <w14:textFill>
                  <w14:solidFill>
                    <w14:schemeClr w14:val="tx1"/>
                  </w14:solidFill>
                </w14:textFill>
              </w:rPr>
              <w:t>排入项目西北侧无名小溪</w:t>
            </w:r>
          </w:p>
        </w:tc>
        <w:tc>
          <w:tcPr>
            <w:tcW w:w="591" w:type="pct"/>
            <w:tcBorders>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lang w:val="en-US"/>
              </w:rPr>
            </w:pPr>
            <w:r>
              <w:rPr>
                <w:rFonts w:hint="default" w:ascii="Times New Roman" w:hAnsi="Times New Roman" w:eastAsia="宋体" w:cs="Times New Roman"/>
                <w:bCs/>
                <w:snapToGrid/>
                <w:kern w:val="2"/>
                <w:sz w:val="21"/>
                <w:szCs w:val="21"/>
                <w:lang w:val="en-US" w:eastAsia="zh-CN"/>
              </w:rPr>
              <w:t>格栅→调节池→初沉池→A级生物滤池→O级生物滤池→二沉池→</w:t>
            </w:r>
            <w:r>
              <w:rPr>
                <w:rFonts w:hint="default" w:ascii="Times New Roman" w:hAnsi="Times New Roman" w:cs="Times New Roman"/>
                <w:bCs/>
                <w:snapToGrid/>
                <w:kern w:val="2"/>
                <w:sz w:val="21"/>
                <w:szCs w:val="21"/>
                <w:lang w:val="en-US" w:eastAsia="zh-CN"/>
              </w:rPr>
              <w:t>出水</w:t>
            </w:r>
          </w:p>
        </w:tc>
        <w:tc>
          <w:tcPr>
            <w:tcW w:w="260" w:type="pct"/>
            <w:tcBorders>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14:textFill>
                  <w14:solidFill>
                    <w14:schemeClr w14:val="tx1"/>
                  </w14:solidFill>
                </w14:textFill>
              </w:rPr>
              <w:t>沉淀</w:t>
            </w:r>
          </w:p>
        </w:tc>
        <w:tc>
          <w:tcPr>
            <w:tcW w:w="284" w:type="pct"/>
            <w:tcBorders>
              <w:tl2br w:val="nil"/>
              <w:tr2bl w:val="nil"/>
            </w:tcBorders>
            <w:vAlign w:val="center"/>
          </w:tcPr>
          <w:p>
            <w:pPr>
              <w:keepNext/>
              <w:keepLines w:val="0"/>
              <w:pageBreakBefore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14:textFill>
                  <w14:solidFill>
                    <w14:schemeClr w14:val="tx1"/>
                  </w14:solidFill>
                </w14:textFill>
              </w:rPr>
              <w:t>是</w:t>
            </w:r>
          </w:p>
        </w:tc>
        <w:tc>
          <w:tcPr>
            <w:tcW w:w="429" w:type="pct"/>
            <w:tcBorders>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lang w:val="en-US" w:eastAsia="zh-CN"/>
                <w14:textFill>
                  <w14:solidFill>
                    <w14:schemeClr w14:val="tx1"/>
                  </w14:solidFill>
                </w14:textFill>
              </w:rPr>
              <w:t>876</w:t>
            </w:r>
            <w:r>
              <w:rPr>
                <w:rFonts w:hint="default" w:ascii="Times New Roman" w:hAnsi="Times New Roman" w:cs="Times New Roman"/>
                <w:bCs/>
                <w:color w:val="000000" w:themeColor="text1"/>
                <w:sz w:val="21"/>
                <w:szCs w:val="21"/>
                <w14:textFill>
                  <w14:solidFill>
                    <w14:schemeClr w14:val="tx1"/>
                  </w14:solidFill>
                </w14:textFill>
              </w:rPr>
              <w:t>m</w:t>
            </w:r>
            <w:r>
              <w:rPr>
                <w:rFonts w:hint="default" w:ascii="Times New Roman" w:hAnsi="Times New Roman" w:cs="Times New Roman"/>
                <w:bCs/>
                <w:color w:val="000000" w:themeColor="text1"/>
                <w:sz w:val="21"/>
                <w:szCs w:val="21"/>
                <w:vertAlign w:val="super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/a</w:t>
            </w:r>
          </w:p>
        </w:tc>
        <w:tc>
          <w:tcPr>
            <w:tcW w:w="469" w:type="pct"/>
            <w:tcBorders>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14:textFill>
                  <w14:solidFill>
                    <w14:schemeClr w14:val="tx1"/>
                  </w14:solidFill>
                </w14:textFill>
              </w:rPr>
              <w:t>DW001</w:t>
            </w:r>
          </w:p>
        </w:tc>
        <w:tc>
          <w:tcPr>
            <w:tcW w:w="330" w:type="pct"/>
            <w:tcBorders>
              <w:tl2br w:val="nil"/>
              <w:tr2bl w:val="nil"/>
            </w:tcBorders>
            <w:textDirection w:val="tbRlV"/>
            <w:vAlign w:val="center"/>
          </w:tcPr>
          <w:p>
            <w:pPr>
              <w:keepNext/>
              <w:keepLines w:val="0"/>
              <w:pageBreakBefore w:val="0"/>
              <w:widowControl w:val="0"/>
              <w:kinsoku/>
              <w:wordWrap/>
              <w:overflowPunct/>
              <w:topLinePunct w:val="0"/>
              <w:autoSpaceDE/>
              <w:autoSpaceDN/>
              <w:bidi w:val="0"/>
              <w:adjustRightInd w:val="0"/>
              <w:snapToGrid w:val="0"/>
              <w:spacing w:line="240" w:lineRule="auto"/>
              <w:ind w:left="113" w:leftChars="0" w:right="113" w:rightChars="0" w:firstLine="420" w:firstLineChars="20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cs="Times New Roman"/>
                <w:bCs/>
                <w:color w:val="000000" w:themeColor="text1"/>
                <w:sz w:val="21"/>
                <w:szCs w:val="21"/>
                <w14:textFill>
                  <w14:solidFill>
                    <w14:schemeClr w14:val="tx1"/>
                  </w14:solidFill>
                </w14:textFill>
              </w:rPr>
              <w:t>一般排放口</w:t>
            </w:r>
          </w:p>
        </w:tc>
        <w:tc>
          <w:tcPr>
            <w:tcW w:w="851" w:type="pct"/>
            <w:tcBorders>
              <w:tl2br w:val="nil"/>
              <w:tr2bl w:val="nil"/>
            </w:tcBorders>
            <w:vAlign w:val="center"/>
          </w:tcPr>
          <w:p>
            <w:pPr>
              <w:pStyle w:val="35"/>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东经：112°</w:t>
            </w:r>
            <w:r>
              <w:rPr>
                <w:rFonts w:hint="default" w:ascii="Times New Roman" w:hAnsi="Times New Roman" w:cs="Times New Roman"/>
                <w:bCs/>
                <w:color w:val="000000" w:themeColor="text1"/>
                <w:sz w:val="21"/>
                <w:szCs w:val="21"/>
                <w:lang w:val="en-US" w:eastAsia="zh-CN"/>
                <w14:textFill>
                  <w14:solidFill>
                    <w14:schemeClr w14:val="tx1"/>
                  </w14:solidFill>
                </w14:textFill>
              </w:rPr>
              <w:t>39</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46.345</w:t>
            </w:r>
            <w:r>
              <w:rPr>
                <w:rFonts w:hint="default" w:ascii="Times New Roman" w:hAnsi="Times New Roman" w:cs="Times New Roman"/>
                <w:bCs/>
                <w:color w:val="000000" w:themeColor="text1"/>
                <w:sz w:val="21"/>
                <w:szCs w:val="21"/>
                <w14:textFill>
                  <w14:solidFill>
                    <w14:schemeClr w14:val="tx1"/>
                  </w14:solidFill>
                </w14:textFill>
              </w:rPr>
              <w:t>"</w:t>
            </w:r>
          </w:p>
          <w:p>
            <w:pPr>
              <w:pStyle w:val="35"/>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kern w:val="0"/>
                <w:sz w:val="21"/>
                <w:szCs w:val="21"/>
                <w:lang w:val="en-US" w:eastAsia="zh-CN" w:bidi="ar-SA"/>
              </w:rPr>
            </w:pPr>
            <w:r>
              <w:rPr>
                <w:rFonts w:hint="default" w:ascii="Times New Roman" w:hAnsi="Times New Roman" w:cs="Times New Roman"/>
                <w:bCs/>
                <w:color w:val="000000" w:themeColor="text1"/>
                <w:sz w:val="21"/>
                <w:szCs w:val="21"/>
                <w14:textFill>
                  <w14:solidFill>
                    <w14:schemeClr w14:val="tx1"/>
                  </w14:solidFill>
                </w14:textFill>
              </w:rPr>
              <w:t>北纬：28°</w:t>
            </w:r>
            <w:r>
              <w:rPr>
                <w:rFonts w:hint="default" w:ascii="Times New Roman" w:hAnsi="Times New Roman" w:cs="Times New Roman"/>
                <w:bCs/>
                <w:color w:val="000000" w:themeColor="text1"/>
                <w:sz w:val="21"/>
                <w:szCs w:val="21"/>
                <w:lang w:val="en-US" w:eastAsia="zh-CN"/>
                <w14:textFill>
                  <w14:solidFill>
                    <w14:schemeClr w14:val="tx1"/>
                  </w14:solidFill>
                </w14:textFill>
              </w:rPr>
              <w:t>26</w:t>
            </w:r>
            <w:r>
              <w:rPr>
                <w:rFonts w:hint="default" w:ascii="Times New Roman" w:hAnsi="Times New Roman" w:cs="Times New Roman"/>
                <w:bCs/>
                <w:color w:val="000000" w:themeColor="text1"/>
                <w:sz w:val="21"/>
                <w:szCs w:val="21"/>
                <w14:textFill>
                  <w14:solidFill>
                    <w14:schemeClr w14:val="tx1"/>
                  </w14:solidFill>
                </w14:textFill>
              </w:rPr>
              <w:t>'</w:t>
            </w:r>
            <w:r>
              <w:rPr>
                <w:rFonts w:hint="default" w:ascii="Times New Roman" w:hAnsi="Times New Roman" w:cs="Times New Roman"/>
                <w:bCs/>
                <w:color w:val="000000" w:themeColor="text1"/>
                <w:sz w:val="21"/>
                <w:szCs w:val="21"/>
                <w:lang w:val="en-US" w:eastAsia="zh-CN"/>
                <w14:textFill>
                  <w14:solidFill>
                    <w14:schemeClr w14:val="tx1"/>
                  </w14:solidFill>
                </w14:textFill>
              </w:rPr>
              <w:t>7.141</w:t>
            </w:r>
            <w:r>
              <w:rPr>
                <w:rFonts w:hint="default" w:ascii="Times New Roman" w:hAnsi="Times New Roman" w:cs="Times New Roman"/>
                <w:bCs/>
                <w:color w:val="000000" w:themeColor="text1"/>
                <w:sz w:val="21"/>
                <w:szCs w:val="21"/>
                <w14:textFill>
                  <w14:solidFill>
                    <w14:schemeClr w14:val="tx1"/>
                  </w14:solidFill>
                </w14:textFill>
              </w:rPr>
              <w:t>"</w:t>
            </w:r>
          </w:p>
        </w:tc>
        <w:tc>
          <w:tcPr>
            <w:tcW w:w="610" w:type="pct"/>
            <w:tcBorders>
              <w:tl2br w:val="nil"/>
              <w:tr2bl w:val="nil"/>
            </w:tcBorders>
            <w:vAlign w:val="center"/>
          </w:tcPr>
          <w:p>
            <w:pPr>
              <w:keepNext/>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snapToGrid/>
                <w:kern w:val="2"/>
                <w:sz w:val="21"/>
                <w:szCs w:val="21"/>
              </w:rPr>
            </w:pPr>
            <w:r>
              <w:rPr>
                <w:rFonts w:hint="default" w:ascii="Times New Roman" w:hAnsi="Times New Roman" w:eastAsia="宋体" w:cs="Times New Roman"/>
                <w:bCs/>
                <w:snapToGrid/>
                <w:kern w:val="2"/>
                <w:sz w:val="21"/>
                <w:szCs w:val="21"/>
                <w:lang w:val="en-US" w:eastAsia="zh-CN"/>
              </w:rPr>
              <w:t>《污水综合排放标准》GB8978-1996中的一级标准要求</w:t>
            </w:r>
          </w:p>
        </w:tc>
      </w:tr>
    </w:tbl>
    <w:p>
      <w:pPr>
        <w:pStyle w:val="60"/>
        <w:bidi w:val="0"/>
        <w:rPr>
          <w:rFonts w:hint="eastAsia"/>
          <w:lang w:val="en-US" w:eastAsia="zh-CN"/>
        </w:rPr>
      </w:pPr>
      <w:bookmarkStart w:id="66" w:name="_Toc3840"/>
      <w:r>
        <w:rPr>
          <w:rFonts w:hint="eastAsia"/>
          <w:lang w:val="en-US" w:eastAsia="zh-CN"/>
        </w:rPr>
        <w:t>区域环境概况</w:t>
      </w:r>
      <w:bookmarkEnd w:id="66"/>
    </w:p>
    <w:p>
      <w:pPr>
        <w:pStyle w:val="61"/>
        <w:bidi w:val="0"/>
        <w:rPr>
          <w:rFonts w:hint="eastAsia"/>
          <w:lang w:val="en-US" w:eastAsia="zh-CN"/>
        </w:rPr>
      </w:pPr>
      <w:r>
        <w:rPr>
          <w:rFonts w:hint="eastAsia"/>
          <w:lang w:val="en-US" w:eastAsia="zh-CN"/>
        </w:rPr>
        <w:t>地理位置</w:t>
      </w:r>
    </w:p>
    <w:p>
      <w:pPr>
        <w:pStyle w:val="103"/>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益阳市位于湘中偏北，地理坐标为东经110°43'02"~112°55'48"，北纬27°58'38"~29°31'42"。益阳市是湖南“3＋5”城市群之一，毗邻长株潭经济区，位于石长和洞庭湖经济圈。境内有境长常高速公路、G319、G207、S308、S106穿越，洛湛铁路和长石铁路在此交汇，交通非常发达。</w:t>
      </w:r>
    </w:p>
    <w:p>
      <w:pPr>
        <w:pStyle w:val="103"/>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桃江县位于湘中偏北，资江中下游。地理坐标为东经111°36′~112°19′，北纬28°13″~28°41′。四周临五个县，一个市。全县土地面积2068平方公里，耕地61万亩，山地235万亩，森林覆盖率54%，全县辖15乡镇，773个自然村。</w:t>
      </w:r>
    </w:p>
    <w:p>
      <w:pPr>
        <w:pStyle w:val="103"/>
        <w:bidi w:val="0"/>
        <w:rPr>
          <w:rFonts w:eastAsia="宋体"/>
          <w:color w:val="000000"/>
          <w:szCs w:val="24"/>
        </w:rPr>
      </w:pPr>
      <w:r>
        <w:rPr>
          <w:rFonts w:hint="default"/>
          <w:color w:val="000000" w:themeColor="text1"/>
          <w14:textFill>
            <w14:solidFill>
              <w14:schemeClr w14:val="tx1"/>
            </w14:solidFill>
          </w14:textFill>
        </w:rPr>
        <w:t>桃江经济开发区牛潭河工业园位于桃江县城东北部，北临长石铁路并建有桃花江火车站，南临资江大桥与国家一级公路桃益公路相连，东依资水并建有500吨水运码头，交通便捷。桃江经济开发区规划面积5.868km</w:t>
      </w:r>
      <w:r>
        <w:rPr>
          <w:rFonts w:hint="default"/>
          <w:color w:val="000000" w:themeColor="text1"/>
          <w:vertAlign w:val="superscript"/>
          <w14:textFill>
            <w14:solidFill>
              <w14:schemeClr w14:val="tx1"/>
            </w14:solidFill>
          </w14:textFill>
        </w:rPr>
        <w:t>2</w:t>
      </w:r>
      <w:r>
        <w:rPr>
          <w:rFonts w:hint="default"/>
          <w:color w:val="000000" w:themeColor="text1"/>
          <w14:textFill>
            <w14:solidFill>
              <w14:schemeClr w14:val="tx1"/>
            </w14:solidFill>
          </w14:textFill>
        </w:rPr>
        <w:t>，建成面积2.82km</w:t>
      </w:r>
      <w:r>
        <w:rPr>
          <w:rFonts w:hint="default"/>
          <w:color w:val="000000" w:themeColor="text1"/>
          <w:vertAlign w:val="superscript"/>
          <w14:textFill>
            <w14:solidFill>
              <w14:schemeClr w14:val="tx1"/>
            </w14:solidFill>
          </w14:textFill>
        </w:rPr>
        <w:t>2</w:t>
      </w:r>
      <w:r>
        <w:rPr>
          <w:rFonts w:hint="default" w:ascii="Times New Roman" w:hAnsi="Times New Roman" w:eastAsia="宋体" w:cs="Times New Roman"/>
          <w:color w:val="000000"/>
          <w:szCs w:val="24"/>
        </w:rPr>
        <w:t>。</w:t>
      </w:r>
      <w:r>
        <w:rPr>
          <w:rFonts w:hint="eastAsia" w:eastAsia="宋体"/>
          <w:color w:val="000000"/>
          <w:szCs w:val="24"/>
        </w:rPr>
        <w:t xml:space="preserve"> </w:t>
      </w:r>
    </w:p>
    <w:p>
      <w:pPr>
        <w:pStyle w:val="61"/>
        <w:bidi w:val="0"/>
        <w:rPr>
          <w:rFonts w:hint="eastAsia"/>
          <w:lang w:val="en-US" w:eastAsia="zh-CN"/>
        </w:rPr>
      </w:pPr>
      <w:r>
        <w:rPr>
          <w:rFonts w:hint="eastAsia"/>
          <w:lang w:val="en-US" w:eastAsia="zh-CN"/>
        </w:rPr>
        <w:t>地质地貌</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eastAsia="宋体"/>
          <w:color w:val="000000"/>
          <w:sz w:val="24"/>
          <w:szCs w:val="24"/>
        </w:rPr>
      </w:pPr>
      <w:r>
        <w:rPr>
          <w:rFonts w:hint="eastAsia" w:eastAsia="宋体"/>
          <w:color w:val="000000"/>
          <w:sz w:val="24"/>
          <w:szCs w:val="24"/>
        </w:rPr>
        <w:t>桃江县境地貌类型多样，山、丘、岗、平犬牙交错。山地以西南部居多，丘陵主要分布在西北部和东部，岗地分布于平原与丘陵之间，平原分布在中部资江和溪河两岸以及山间谷地之中。县境地貌大体轮廓是：周围山丘环绕，朝东北有一狭窄开口。中部低平，呈弧形展布。县境地势南高北低、西高东低，向东北倾斜，地表高差大，山丘坡度大。县境西南北有靠安（化）、宁（乡）山地，山廻峰转。西起龙溪观音尖（海拔474米），经王家村的丫头山（海拔602.6米），至板溪的疤子尖（海拔887.6米）。到达南部松木塘的猴家大山（海拔917.5米），步步升高。东北面朝益（阳）、汉（寿）平岗，平坦开阔，低地点为牛潭河乡长港洲（海拔39米）。西北有犀牛山（海拔341.4米）、瞿峰山（海拔320.5米）、天子仑（海拔393.5米）、万民山（海拔255.2米）。东部有金盆山（海拔335.4米）、水井坡（海拔283米）等。全县共计海拔300米以上的山有44座，其中500米-800米的18座，800米以上的4座。几个代表山峰最高点至长港洲低地点，南部猴家大山直线距离34千米，比降2.58%，西部观音尖，直线距离54千米，比降0.8%；北部瞿峰山，直线距离41千米，比降0.69%。</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根据《建筑抗震设计规范》（GB50011-2010）2016年版及《中华人民共和国地震动参数区划图》（GB18306-2015）有关规定：场地基本地震设防烈度为6度，Ⅱ类场地设计基本地震加速度值为 0.05g，设计地震分组为第一组，基本地震动加速度反应谱特征周期为0.35s。</w:t>
      </w:r>
    </w:p>
    <w:p>
      <w:pPr>
        <w:pStyle w:val="61"/>
        <w:bidi w:val="0"/>
        <w:rPr>
          <w:rFonts w:hint="eastAsia"/>
          <w:lang w:val="en-US" w:eastAsia="zh-CN"/>
        </w:rPr>
      </w:pPr>
      <w:r>
        <w:rPr>
          <w:rFonts w:hint="eastAsia"/>
          <w:lang w:val="en-US" w:eastAsia="zh-CN"/>
        </w:rPr>
        <w:t>气象气候</w:t>
      </w:r>
    </w:p>
    <w:p>
      <w:pPr>
        <w:pStyle w:val="18"/>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评价区为亚热带大陆性季风湿润气候，具有气温总体偏高、冬暖夏凉明显、降水年年偏丰、7月多雨成灾、日照普遍偏少，春寒阴雨突出等特征。年降水量1399.1～1566.1mm，主要集中在4～6月，降雨量约占全年的32～37%，7～9月降水少且极不稳定，容易出现季节性干旱。年蒸发量1124.1~1352.1mm，平均相对湿度81</w:t>
      </w:r>
      <w:r>
        <w:rPr>
          <w:rFonts w:hint="default" w:ascii="Times New Roman" w:hAnsi="Times New Roman" w:cs="Times New Roman"/>
          <w:color w:val="000000"/>
          <w:sz w:val="24"/>
          <w:szCs w:val="24"/>
          <w:lang w:val="en-US" w:eastAsia="zh-CN"/>
        </w:rPr>
        <w:t>%</w:t>
      </w:r>
      <w:r>
        <w:rPr>
          <w:rFonts w:hint="default" w:ascii="Times New Roman" w:hAnsi="Times New Roman" w:eastAsia="宋体" w:cs="Times New Roman"/>
          <w:color w:val="000000"/>
          <w:sz w:val="24"/>
          <w:szCs w:val="24"/>
        </w:rPr>
        <w:t>。年平均气温17℃左右，最冷月（1月）平均气温-1.0℃，最热月（7月）平均气温29℃。无霜期270天左右。年日照时数1644小时。年平均风速2.0m/s，历年最大风速18m/s，年主导风向NNW，频率为13</w:t>
      </w:r>
      <w:r>
        <w:rPr>
          <w:rFonts w:hint="default" w:ascii="Times New Roman" w:hAnsi="Times New Roman" w:cs="Times New Roman"/>
          <w:color w:val="000000"/>
          <w:sz w:val="24"/>
          <w:szCs w:val="24"/>
          <w:lang w:val="en-US" w:eastAsia="zh-CN"/>
        </w:rPr>
        <w:t>%</w:t>
      </w:r>
      <w:r>
        <w:rPr>
          <w:rFonts w:hint="default" w:ascii="Times New Roman" w:hAnsi="Times New Roman" w:eastAsia="宋体" w:cs="Times New Roman"/>
          <w:color w:val="000000"/>
          <w:sz w:val="24"/>
          <w:szCs w:val="24"/>
        </w:rPr>
        <w:t>，夏季主导风向SSE，频率为18</w:t>
      </w:r>
      <w:r>
        <w:rPr>
          <w:rFonts w:hint="default" w:ascii="Times New Roman" w:hAnsi="Times New Roman" w:cs="Times New Roman"/>
          <w:color w:val="000000"/>
          <w:sz w:val="24"/>
          <w:szCs w:val="24"/>
          <w:lang w:val="en-US" w:eastAsia="zh-CN"/>
        </w:rPr>
        <w:t>%</w:t>
      </w:r>
      <w:r>
        <w:rPr>
          <w:rFonts w:hint="default" w:ascii="Times New Roman" w:hAnsi="Times New Roman" w:eastAsia="宋体" w:cs="Times New Roman"/>
          <w:color w:val="000000"/>
          <w:sz w:val="24"/>
          <w:szCs w:val="24"/>
        </w:rPr>
        <w:t>，春、冬二季盛行风向NNW，频率分别为11</w:t>
      </w:r>
      <w:r>
        <w:rPr>
          <w:rFonts w:hint="default" w:ascii="Times New Roman" w:hAnsi="Times New Roman" w:cs="Times New Roman"/>
          <w:color w:val="000000"/>
          <w:sz w:val="24"/>
          <w:szCs w:val="24"/>
          <w:lang w:val="en-US" w:eastAsia="zh-CN"/>
        </w:rPr>
        <w:t>%</w:t>
      </w:r>
      <w:r>
        <w:rPr>
          <w:rFonts w:hint="default" w:ascii="Times New Roman" w:hAnsi="Times New Roman" w:eastAsia="宋体" w:cs="Times New Roman"/>
          <w:color w:val="000000"/>
          <w:sz w:val="24"/>
          <w:szCs w:val="24"/>
        </w:rPr>
        <w:t>、18</w:t>
      </w:r>
      <w:r>
        <w:rPr>
          <w:rFonts w:hint="default" w:ascii="Times New Roman" w:hAnsi="Times New Roman" w:cs="Times New Roman"/>
          <w:color w:val="000000"/>
          <w:sz w:val="24"/>
          <w:szCs w:val="24"/>
          <w:lang w:val="en-US" w:eastAsia="zh-CN"/>
        </w:rPr>
        <w:t>%</w:t>
      </w:r>
      <w:r>
        <w:rPr>
          <w:rFonts w:hint="default" w:ascii="Times New Roman" w:hAnsi="Times New Roman" w:eastAsia="宋体" w:cs="Times New Roman"/>
          <w:color w:val="000000"/>
          <w:sz w:val="24"/>
          <w:szCs w:val="24"/>
        </w:rPr>
        <w:t>，秋季盛行风向NW，频率为16</w:t>
      </w:r>
      <w:r>
        <w:rPr>
          <w:rFonts w:hint="default" w:ascii="Times New Roman" w:hAnsi="Times New Roman" w:cs="Times New Roman"/>
          <w:color w:val="000000"/>
          <w:sz w:val="24"/>
          <w:szCs w:val="24"/>
          <w:lang w:val="en-US" w:eastAsia="zh-CN"/>
        </w:rPr>
        <w:t>%</w:t>
      </w:r>
      <w:r>
        <w:rPr>
          <w:rFonts w:hint="default" w:ascii="Times New Roman" w:hAnsi="Times New Roman" w:eastAsia="宋体" w:cs="Times New Roman"/>
          <w:color w:val="000000"/>
          <w:sz w:val="24"/>
          <w:szCs w:val="24"/>
        </w:rPr>
        <w:t>。</w:t>
      </w:r>
    </w:p>
    <w:p>
      <w:pPr>
        <w:pStyle w:val="61"/>
        <w:bidi w:val="0"/>
        <w:rPr>
          <w:rFonts w:hint="eastAsia"/>
          <w:u w:val="single"/>
          <w:lang w:val="en-US" w:eastAsia="zh-CN"/>
        </w:rPr>
      </w:pPr>
      <w:r>
        <w:rPr>
          <w:rFonts w:hint="eastAsia"/>
          <w:u w:val="single"/>
          <w:lang w:val="en-US" w:eastAsia="zh-CN"/>
        </w:rPr>
        <w:t>水文地质</w:t>
      </w:r>
    </w:p>
    <w:p>
      <w:pPr>
        <w:keepNext w:val="0"/>
        <w:keepLines w:val="0"/>
        <w:pageBreakBefore w:val="0"/>
        <w:widowControl w:val="0"/>
        <w:numPr>
          <w:ilvl w:val="0"/>
          <w:numId w:val="17"/>
        </w:numPr>
        <w:wordWrap/>
        <w:topLinePunct w:val="0"/>
        <w:bidi w:val="0"/>
        <w:adjustRightInd w:val="0"/>
        <w:snapToGrid w:val="0"/>
        <w:textAlignment w:val="auto"/>
        <w:rPr>
          <w:rFonts w:hint="eastAsia"/>
          <w:sz w:val="24"/>
          <w:szCs w:val="24"/>
          <w:u w:val="single"/>
          <w:lang w:val="en-US" w:eastAsia="zh-CN"/>
        </w:rPr>
      </w:pPr>
      <w:r>
        <w:rPr>
          <w:rFonts w:hint="eastAsia"/>
          <w:sz w:val="24"/>
          <w:szCs w:val="24"/>
          <w:u w:val="single"/>
          <w:lang w:val="en-US" w:eastAsia="zh-CN"/>
        </w:rPr>
        <w:t>地表水</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bCs/>
          <w:color w:val="000000"/>
          <w:sz w:val="24"/>
          <w:szCs w:val="24"/>
          <w:u w:val="single"/>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本项目废水</w:t>
      </w:r>
      <w:r>
        <w:rPr>
          <w:rFonts w:hint="default" w:ascii="Times New Roman" w:hAnsi="Times New Roman" w:cs="Times New Roman"/>
          <w:color w:val="000000" w:themeColor="text1"/>
          <w:sz w:val="24"/>
          <w:szCs w:val="24"/>
          <w:u w:val="single"/>
          <w14:textFill>
            <w14:solidFill>
              <w14:schemeClr w14:val="tx1"/>
            </w14:solidFill>
          </w14:textFill>
        </w:rPr>
        <w:t>处理后排入项目</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西北侧无名小溪</w:t>
      </w:r>
      <w:r>
        <w:rPr>
          <w:rFonts w:hint="default" w:ascii="Times New Roman" w:hAnsi="Times New Roman" w:cs="Times New Roman"/>
          <w:color w:val="000000" w:themeColor="text1"/>
          <w:sz w:val="24"/>
          <w:szCs w:val="24"/>
          <w:u w:val="single"/>
          <w14:textFill>
            <w14:solidFill>
              <w14:schemeClr w14:val="tx1"/>
            </w14:solidFill>
          </w14:textFill>
        </w:rPr>
        <w:t>，之后汇入桃花江西干渠，汇入桃花江</w:t>
      </w:r>
      <w:r>
        <w:rPr>
          <w:rFonts w:hint="default" w:ascii="Times New Roman" w:hAnsi="Times New Roman" w:cs="Times New Roman"/>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项目西北侧无名小溪</w:t>
      </w:r>
      <w:r>
        <w:rPr>
          <w:rFonts w:hint="default" w:ascii="Times New Roman" w:hAnsi="Times New Roman" w:cs="Times New Roman"/>
          <w:sz w:val="24"/>
          <w:szCs w:val="24"/>
          <w:u w:val="single"/>
          <w:lang w:val="en-US" w:eastAsia="zh-CN"/>
        </w:rPr>
        <w:t>和桃花江西干渠：</w:t>
      </w:r>
      <w:r>
        <w:rPr>
          <w:rFonts w:hint="default" w:ascii="Times New Roman" w:hAnsi="Times New Roman" w:cs="Times New Roman"/>
          <w:bCs/>
          <w:color w:val="000000"/>
          <w:sz w:val="24"/>
          <w:szCs w:val="24"/>
          <w:u w:val="single"/>
        </w:rPr>
        <w:t>未划分水功能区。</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bCs/>
          <w:color w:val="000000" w:themeColor="text1"/>
          <w:sz w:val="24"/>
          <w:szCs w:val="24"/>
          <w:u w:val="single"/>
          <w:lang w:val="en-US" w:eastAsia="zh-CN"/>
          <w14:textFill>
            <w14:solidFill>
              <w14:schemeClr w14:val="tx1"/>
            </w14:solidFill>
          </w14:textFill>
        </w:rPr>
      </w:pPr>
      <w:r>
        <w:rPr>
          <w:rFonts w:hint="default" w:ascii="Times New Roman" w:hAnsi="Times New Roman" w:cs="Times New Roman"/>
          <w:bCs/>
          <w:color w:val="000000" w:themeColor="text1"/>
          <w:sz w:val="24"/>
          <w:szCs w:val="24"/>
          <w:u w:val="single"/>
          <w:lang w:val="en-US" w:eastAsia="zh-CN"/>
          <w14:textFill>
            <w14:solidFill>
              <w14:schemeClr w14:val="tx1"/>
            </w14:solidFill>
          </w14:textFill>
        </w:rPr>
        <w:t>本项目对排放的无名小溪进行了水文和水质的监测，主要采样日期为2024年3月23日~2024年3月25日，监测到的流速为0.38~0.45</w:t>
      </w:r>
      <w:r>
        <w:rPr>
          <w:rFonts w:hint="default" w:ascii="Times New Roman" w:hAnsi="Times New Roman" w:cs="Times New Roman"/>
          <w:color w:val="000000" w:themeColor="text1"/>
          <w:kern w:val="2"/>
          <w:sz w:val="24"/>
          <w:szCs w:val="24"/>
          <w:u w:val="single"/>
          <w:lang w:val="en-US" w:eastAsia="zh-CN"/>
          <w14:textFill>
            <w14:solidFill>
              <w14:schemeClr w14:val="tx1"/>
            </w14:solidFill>
          </w14:textFill>
        </w:rPr>
        <w:t>m/s，流量为559.87~618.88m</w:t>
      </w:r>
      <w:r>
        <w:rPr>
          <w:rFonts w:hint="default" w:ascii="Times New Roman" w:hAnsi="Times New Roman" w:cs="Times New Roman"/>
          <w:color w:val="000000" w:themeColor="text1"/>
          <w:kern w:val="2"/>
          <w:sz w:val="24"/>
          <w:szCs w:val="24"/>
          <w:u w:val="single"/>
          <w:vertAlign w:val="superscript"/>
          <w:lang w:val="en-US" w:eastAsia="zh-CN"/>
          <w14:textFill>
            <w14:solidFill>
              <w14:schemeClr w14:val="tx1"/>
            </w14:solidFill>
          </w14:textFill>
        </w:rPr>
        <w:t>3</w:t>
      </w:r>
      <w:r>
        <w:rPr>
          <w:rFonts w:hint="default" w:ascii="Times New Roman" w:hAnsi="Times New Roman" w:cs="Times New Roman"/>
          <w:color w:val="000000" w:themeColor="text1"/>
          <w:kern w:val="2"/>
          <w:sz w:val="24"/>
          <w:szCs w:val="24"/>
          <w:u w:val="single"/>
          <w:lang w:val="en-US" w:eastAsia="zh-CN"/>
          <w14:textFill>
            <w14:solidFill>
              <w14:schemeClr w14:val="tx1"/>
            </w14:solidFill>
          </w14:textFill>
        </w:rPr>
        <w:t>/h，宽度为0.96m、水深为0.36m，水温为8.8~15.7℃。</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桃花江，是湖南省</w:t>
      </w:r>
      <w:r>
        <w:rPr>
          <w:rFonts w:hint="default" w:ascii="Times New Roman" w:hAnsi="Times New Roman" w:cs="Times New Roman"/>
          <w:color w:val="000000" w:themeColor="text1"/>
          <w:sz w:val="24"/>
          <w:szCs w:val="24"/>
          <w:u w:val="single"/>
          <w:lang w:val="en-US" w:eastAsia="zh-CN"/>
          <w14:textFill>
            <w14:solidFill>
              <w14:schemeClr w14:val="tx1"/>
            </w14:solidFill>
          </w14:textFill>
        </w:rPr>
        <w:fldChar w:fldCharType="begin"/>
      </w:r>
      <w:r>
        <w:rPr>
          <w:rFonts w:hint="default" w:ascii="Times New Roman" w:hAnsi="Times New Roman" w:cs="Times New Roman"/>
          <w:color w:val="000000" w:themeColor="text1"/>
          <w:sz w:val="24"/>
          <w:szCs w:val="24"/>
          <w:u w:val="single"/>
          <w:lang w:val="en-US" w:eastAsia="zh-CN"/>
          <w14:textFill>
            <w14:solidFill>
              <w14:schemeClr w14:val="tx1"/>
            </w14:solidFill>
          </w14:textFill>
        </w:rPr>
        <w:instrText xml:space="preserve"> HYPERLINK "https://baike.so.com/doc/5833490-6046316.html" \t "https://baike.so.com/doc/_blank" </w:instrText>
      </w:r>
      <w:r>
        <w:rPr>
          <w:rFonts w:hint="default" w:ascii="Times New Roman" w:hAnsi="Times New Roman" w:cs="Times New Roman"/>
          <w:color w:val="000000" w:themeColor="text1"/>
          <w:sz w:val="24"/>
          <w:szCs w:val="24"/>
          <w:u w:val="single"/>
          <w:lang w:val="en-US" w:eastAsia="zh-CN"/>
          <w14:textFill>
            <w14:solidFill>
              <w14:schemeClr w14:val="tx1"/>
            </w14:solidFill>
          </w14:textFill>
        </w:rPr>
        <w:fldChar w:fldCharType="separate"/>
      </w:r>
      <w:r>
        <w:rPr>
          <w:rFonts w:hint="default" w:ascii="Times New Roman" w:hAnsi="Times New Roman" w:cs="Times New Roman"/>
          <w:color w:val="000000" w:themeColor="text1"/>
          <w:sz w:val="24"/>
          <w:szCs w:val="24"/>
          <w:u w:val="single"/>
          <w:lang w:val="en-US" w:eastAsia="zh-CN"/>
          <w14:textFill>
            <w14:solidFill>
              <w14:schemeClr w14:val="tx1"/>
            </w14:solidFill>
          </w14:textFill>
        </w:rPr>
        <w:t>桃江县</w:t>
      </w:r>
      <w:r>
        <w:rPr>
          <w:rFonts w:hint="default" w:ascii="Times New Roman" w:hAnsi="Times New Roman" w:cs="Times New Roman"/>
          <w:color w:val="000000" w:themeColor="text1"/>
          <w:sz w:val="24"/>
          <w:szCs w:val="24"/>
          <w:u w:val="single"/>
          <w:lang w:val="en-US" w:eastAsia="zh-CN"/>
          <w14:textFill>
            <w14:solidFill>
              <w14:schemeClr w14:val="tx1"/>
            </w14:solidFill>
          </w14:textFill>
        </w:rPr>
        <w:fldChar w:fldCharType="end"/>
      </w:r>
      <w:r>
        <w:rPr>
          <w:rFonts w:hint="default" w:ascii="Times New Roman" w:hAnsi="Times New Roman" w:cs="Times New Roman"/>
          <w:color w:val="000000" w:themeColor="text1"/>
          <w:sz w:val="24"/>
          <w:szCs w:val="24"/>
          <w:u w:val="single"/>
          <w:lang w:val="en-US" w:eastAsia="zh-CN"/>
          <w14:textFill>
            <w14:solidFill>
              <w14:schemeClr w14:val="tx1"/>
            </w14:solidFill>
          </w14:textFill>
        </w:rPr>
        <w:t>境内的一条小河流，河流虽小，名气很大。獭溪又名桃花江，发源于桃江县松木塘镇关山口，流经木家坑、温塘鸟龟洞、响涛源、梓良岩坝下、金光山、小坡头、石牛江、文家渡、板子桥，于桃江镇獭溪河口注入资水，流域面积为407平方公里，全长57.2公里。本项目所在地属獭溪水系。区划范围内共划有2个水功能一级区和3个水功能二级区：</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獭溪桃江源头水保护区: 起于桃江县松木塘镇关山口，止于桃江县桃花江水库上50米，全长10.4km。该段为獭溪的源头部分，现状水质为II ~I类。</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獭溪桃江松木塘镇-桃花江镇开发利用区(含桃花江水库)起于桃江县桃花江水库坝下200米，止于桃江县桃花江镇獭溪河口，全长46.8km，划分为3个水功能二级区：</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①桃江县桃花江水库饮用水源区：桃花江水库位于桃江县松木塘镇，面积128.03km</w:t>
      </w:r>
      <w:r>
        <w:rPr>
          <w:rFonts w:hint="default" w:ascii="Times New Roman" w:hAnsi="Times New Roman" w:cs="Times New Roman"/>
          <w:color w:val="000000" w:themeColor="text1"/>
          <w:sz w:val="24"/>
          <w:szCs w:val="24"/>
          <w:u w:val="singl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②獭溪桃江松木塘镇-牛田镇工业用水区： 起于桃江县桃花江水库坝下200米，止于桃江县小坡头村与牛田镇交界处，全长16.2km。</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③獭溪桃江石牛江镇-桃花江镇过渡区：起于桃江县小坡头村与牛田镇交界处，止于桃江县桃花江镇獭溪河口，全长30.6km。资水獭溪河口下游为资水桃花江镇饮用水源区，由于獭溪上游獭溪桃江松木塘镇-牛田镇工业用水区水质较差，为避免影响居民饮水安全而划分此过渡区。</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cs="Times New Roman"/>
          <w:color w:val="000000" w:themeColor="text1"/>
          <w:sz w:val="24"/>
          <w:szCs w:val="24"/>
          <w:u w:val="single"/>
          <w:lang w:val="en-US"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本项目评价范围为西北侧无名小溪上游500m至西北侧无名小溪下游3000m，且不在饮用水源保护区范围内；本项目不在生态敏感与脆弱区，满足生态保护红线、水环境质量底线、资源利用上线和环境准入清单管理要求，近年来，随着环境保护措施的持续实施，区内水功能区水质现状在持续好转。该段现状水质为Ⅲ类，2030年水质管理目标为Ⅲ类。</w:t>
      </w:r>
    </w:p>
    <w:p>
      <w:pPr>
        <w:keepNext w:val="0"/>
        <w:keepLines w:val="0"/>
        <w:pageBreakBefore w:val="0"/>
        <w:widowControl w:val="0"/>
        <w:numPr>
          <w:ilvl w:val="0"/>
          <w:numId w:val="17"/>
        </w:numPr>
        <w:wordWrap/>
        <w:topLinePunct w:val="0"/>
        <w:bidi w:val="0"/>
        <w:adjustRightInd w:val="0"/>
        <w:snapToGrid w:val="0"/>
        <w:textAlignment w:val="auto"/>
        <w:rPr>
          <w:rFonts w:hint="default" w:ascii="Times New Roman" w:hAnsi="Times New Roman" w:cs="Times New Roman"/>
          <w:sz w:val="24"/>
          <w:szCs w:val="24"/>
          <w:u w:val="single"/>
          <w:lang w:val="en-US" w:eastAsia="zh-CN"/>
        </w:rPr>
      </w:pPr>
      <w:r>
        <w:rPr>
          <w:rFonts w:hint="default" w:ascii="Times New Roman" w:hAnsi="Times New Roman" w:cs="Times New Roman"/>
          <w:sz w:val="24"/>
          <w:szCs w:val="24"/>
          <w:u w:val="single"/>
          <w:lang w:val="en-US" w:eastAsia="zh-CN"/>
        </w:rPr>
        <w:t>地下水</w:t>
      </w:r>
    </w:p>
    <w:p>
      <w:pPr>
        <w:pStyle w:val="103"/>
        <w:bidi w:val="0"/>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根据钻孔揭露，本场地勘探范围内钻孔中</w:t>
      </w:r>
      <w:r>
        <w:rPr>
          <w:rFonts w:hint="default" w:ascii="Times New Roman" w:hAnsi="Times New Roman" w:cs="Times New Roman"/>
          <w:color w:val="000000" w:themeColor="text1"/>
          <w:u w:val="single"/>
          <w:lang w:val="zh-CN"/>
          <w14:textFill>
            <w14:solidFill>
              <w14:schemeClr w14:val="tx1"/>
            </w14:solidFill>
          </w14:textFill>
        </w:rPr>
        <w:t>仅拟建场地西侧场地（ZK18、ZK19、ZK20、ZK34、ZK35、ZK43、ZK44、ZK51）</w:t>
      </w:r>
      <w:r>
        <w:rPr>
          <w:rFonts w:hint="default" w:ascii="Times New Roman" w:hAnsi="Times New Roman" w:cs="Times New Roman"/>
          <w:color w:val="000000" w:themeColor="text1"/>
          <w:u w:val="single"/>
          <w14:textFill>
            <w14:solidFill>
              <w14:schemeClr w14:val="tx1"/>
            </w14:solidFill>
          </w14:textFill>
        </w:rPr>
        <w:t>地下水，拟建场地其它钻孔中均未见地下水。</w:t>
      </w:r>
    </w:p>
    <w:p>
      <w:pPr>
        <w:pStyle w:val="103"/>
        <w:bidi w:val="0"/>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根据地方勘探经验，地下水水质清晰，无污染现象，场地地下水主要为赋存于第①层杂填土层中的上层滞水，由大气降水及地表排水补给，一般枯水季节水量较小，富水季节水量较大，排泄方式以向低洼地段自然排泄及地表蒸发为主，一般水量较小。勘察期间钻孔深度内水量较小，未测得初见水位，本次勘察期间地下稳定水位埋深2.00～2.90米，稳定水位标高78.60～79.10米，地下水位年变化幅度在1.00米左右。</w:t>
      </w:r>
    </w:p>
    <w:p>
      <w:pPr>
        <w:pStyle w:val="103"/>
        <w:bidi w:val="0"/>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根据</w:t>
      </w:r>
      <w:bookmarkStart w:id="67" w:name="OLE_LINK14"/>
      <w:r>
        <w:rPr>
          <w:rFonts w:hint="default" w:ascii="Times New Roman" w:hAnsi="Times New Roman" w:cs="Times New Roman"/>
          <w:color w:val="000000" w:themeColor="text1"/>
          <w:u w:val="single"/>
          <w14:textFill>
            <w14:solidFill>
              <w14:schemeClr w14:val="tx1"/>
            </w14:solidFill>
          </w14:textFill>
        </w:rPr>
        <w:t>场地</w:t>
      </w:r>
      <w:bookmarkEnd w:id="67"/>
      <w:r>
        <w:rPr>
          <w:rFonts w:hint="default" w:ascii="Times New Roman" w:hAnsi="Times New Roman" w:cs="Times New Roman"/>
          <w:color w:val="000000" w:themeColor="text1"/>
          <w:u w:val="single"/>
          <w14:textFill>
            <w14:solidFill>
              <w14:schemeClr w14:val="tx1"/>
            </w14:solidFill>
          </w14:textFill>
        </w:rPr>
        <w:t>地层条件、水文地质条件、岩土层富水性结合地区工程经验，各地层水文地质特征如下：</w:t>
      </w:r>
    </w:p>
    <w:p>
      <w:pPr>
        <w:pStyle w:val="103"/>
        <w:bidi w:val="0"/>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第①层杂填土，雨季时可赋存上层滞水，主要受大气降水及地表排水补给，一般枯水季节水量较小，富水季节水量较大，渗透系数经验值k取3.0×10</w:t>
      </w:r>
      <w:r>
        <w:rPr>
          <w:rFonts w:hint="default" w:ascii="Times New Roman" w:hAnsi="Times New Roman" w:cs="Times New Roman"/>
          <w:color w:val="000000" w:themeColor="text1"/>
          <w:u w:val="single"/>
          <w:vertAlign w:val="superscript"/>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cm/s，为中等透水层，本次勘察期间该层中仅</w:t>
      </w:r>
      <w:r>
        <w:rPr>
          <w:rFonts w:hint="default" w:ascii="Times New Roman" w:hAnsi="Times New Roman" w:cs="Times New Roman"/>
          <w:color w:val="000000" w:themeColor="text1"/>
          <w:u w:val="single"/>
          <w:lang w:val="zh-CN"/>
          <w14:textFill>
            <w14:solidFill>
              <w14:schemeClr w14:val="tx1"/>
            </w14:solidFill>
          </w14:textFill>
        </w:rPr>
        <w:t>ZK18、ZK19、ZK20、ZK34、ZK35、ZK43、ZK44、ZK51中</w:t>
      </w:r>
      <w:r>
        <w:rPr>
          <w:rFonts w:hint="default" w:ascii="Times New Roman" w:hAnsi="Times New Roman" w:cs="Times New Roman"/>
          <w:color w:val="000000" w:themeColor="text1"/>
          <w:u w:val="single"/>
          <w14:textFill>
            <w14:solidFill>
              <w14:schemeClr w14:val="tx1"/>
            </w14:solidFill>
          </w14:textFill>
        </w:rPr>
        <w:t>见地下水，其它钻孔中均未见地下水。</w:t>
      </w:r>
    </w:p>
    <w:p>
      <w:pPr>
        <w:pStyle w:val="103"/>
        <w:bidi w:val="0"/>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第②层砂质黏性土，根据区域经验其渗透系数k可取6.0×10</w:t>
      </w:r>
      <w:r>
        <w:rPr>
          <w:rFonts w:hint="default" w:ascii="Times New Roman" w:hAnsi="Times New Roman" w:cs="Times New Roman"/>
          <w:color w:val="000000" w:themeColor="text1"/>
          <w:u w:val="single"/>
          <w:vertAlign w:val="superscript"/>
          <w14:textFill>
            <w14:solidFill>
              <w14:schemeClr w14:val="tx1"/>
            </w14:solidFill>
          </w14:textFill>
        </w:rPr>
        <w:t>-5</w:t>
      </w:r>
      <w:r>
        <w:rPr>
          <w:rFonts w:hint="default" w:ascii="Times New Roman" w:hAnsi="Times New Roman" w:cs="Times New Roman"/>
          <w:color w:val="000000" w:themeColor="text1"/>
          <w:u w:val="single"/>
          <w14:textFill>
            <w14:solidFill>
              <w14:schemeClr w14:val="tx1"/>
            </w14:solidFill>
          </w14:textFill>
        </w:rPr>
        <w:t xml:space="preserve">cm/s，为弱透水层，本次勘察期间该层中未见地下水。 </w:t>
      </w:r>
    </w:p>
    <w:p>
      <w:pPr>
        <w:pStyle w:val="103"/>
        <w:bidi w:val="0"/>
        <w:rPr>
          <w:rFonts w:hint="default" w:ascii="Times New Roman" w:hAnsi="Times New Roman" w:cs="Times New Roman"/>
          <w:szCs w:val="24"/>
          <w:u w:val="single"/>
        </w:rPr>
      </w:pPr>
      <w:r>
        <w:rPr>
          <w:rFonts w:hint="default" w:ascii="Times New Roman" w:hAnsi="Times New Roman" w:cs="Times New Roman"/>
          <w:color w:val="000000" w:themeColor="text1"/>
          <w:u w:val="single"/>
          <w14:textFill>
            <w14:solidFill>
              <w14:schemeClr w14:val="tx1"/>
            </w14:solidFill>
          </w14:textFill>
        </w:rPr>
        <w:t>第③层中风化花岗岩，节理裂隙较发育，但一般为封闭状态，含水极贫乏，为弱透水层，本次勘察期间该层中未见地下水。</w:t>
      </w:r>
    </w:p>
    <w:p>
      <w:pPr>
        <w:pStyle w:val="61"/>
        <w:bidi w:val="0"/>
        <w:rPr>
          <w:rFonts w:hint="eastAsia"/>
          <w:lang w:val="en-US" w:eastAsia="zh-CN"/>
        </w:rPr>
      </w:pPr>
      <w:r>
        <w:rPr>
          <w:rFonts w:hint="eastAsia"/>
          <w:lang w:val="en-US" w:eastAsia="zh-CN"/>
        </w:rPr>
        <w:t>生态环境现状</w:t>
      </w:r>
    </w:p>
    <w:p>
      <w:pPr>
        <w:spacing w:line="360" w:lineRule="auto"/>
        <w:ind w:firstLine="480" w:firstLineChars="200"/>
        <w:rPr>
          <w:sz w:val="24"/>
        </w:rPr>
      </w:pPr>
      <w:r>
        <w:rPr>
          <w:rFonts w:hint="eastAsia"/>
          <w:sz w:val="24"/>
        </w:rPr>
        <w:t>本项目区域范围内未发现涉及珍惜和濒危野生植物资源种类或原生地带性植物类型、林木高大古老的特有类型，亦未发现涉及有重要野生动物或鸟类集中栖息繁殖等敏感生境。</w:t>
      </w:r>
    </w:p>
    <w:p>
      <w:pPr>
        <w:pStyle w:val="62"/>
        <w:bidi w:val="0"/>
        <w:rPr>
          <w:rFonts w:hint="eastAsia"/>
          <w:lang w:val="en-US" w:eastAsia="zh-CN"/>
        </w:rPr>
      </w:pPr>
      <w:r>
        <w:rPr>
          <w:rFonts w:hint="eastAsia"/>
          <w:lang w:val="en-US" w:eastAsia="zh-CN"/>
        </w:rPr>
        <w:t>植被环境</w:t>
      </w:r>
    </w:p>
    <w:p>
      <w:pPr>
        <w:pStyle w:val="195"/>
        <w:adjustRightInd w:val="0"/>
        <w:snapToGrid w:val="0"/>
      </w:pPr>
      <w:r>
        <w:t xml:space="preserve">桃江县森林植被类型主要为竹林，林相整齐，郁闭度达0.6-0.9。境内常绿阔叶林属地带性植被类型，主要有米槠林、石砾林、青冈栎林、钩栗林、栲树林、苦槠林、甜槠林、泡花楠林、白楠林、银木荷林、乌冈栎林、石栎林、樟树林等。落叶阔叶林为县境内不稳定的森林植被类型，多分布在平岗低山地带，主要有栓皮栎林、白栎林，人工檫木林等。除此之外，区内还分布有常绿落叶阔叶林、针阔混交林、经济林、农田作物、牧草、灌木林、草丛等。 </w:t>
      </w:r>
    </w:p>
    <w:p>
      <w:pPr>
        <w:pStyle w:val="195"/>
        <w:adjustRightInd w:val="0"/>
        <w:snapToGrid w:val="0"/>
      </w:pPr>
      <w:r>
        <w:t>项目所在区域的主要树种为毛竹和杉木，项目区原始地貌以林地为主，林草覆盖率为94.70%。项目区内道路景观植物可选择樟树，其他植被可选择小叶女贞、迎春花、假俭草等。</w:t>
      </w:r>
    </w:p>
    <w:p>
      <w:pPr>
        <w:pStyle w:val="62"/>
        <w:bidi w:val="0"/>
        <w:rPr>
          <w:rFonts w:hint="default"/>
          <w:lang w:val="en-US" w:eastAsia="zh-CN"/>
        </w:rPr>
      </w:pPr>
      <w:r>
        <w:rPr>
          <w:rFonts w:hint="eastAsia"/>
          <w:lang w:val="en-US" w:eastAsia="zh-CN"/>
        </w:rPr>
        <w:t>动物环境</w:t>
      </w:r>
    </w:p>
    <w:p>
      <w:pPr>
        <w:adjustRightInd w:val="0"/>
        <w:snapToGrid w:val="0"/>
        <w:spacing w:line="360" w:lineRule="auto"/>
        <w:ind w:firstLine="480" w:firstLineChars="200"/>
        <w:rPr>
          <w:sz w:val="24"/>
        </w:rPr>
      </w:pPr>
      <w:r>
        <w:rPr>
          <w:rFonts w:hint="eastAsia"/>
          <w:sz w:val="24"/>
        </w:rPr>
        <w:t>工程所在区域的动物主要为两栖类、爬行类、鸟类等。</w:t>
      </w:r>
    </w:p>
    <w:p>
      <w:pPr>
        <w:pStyle w:val="18"/>
        <w:adjustRightInd w:val="0"/>
        <w:spacing w:before="0" w:after="0" w:line="360" w:lineRule="auto"/>
        <w:ind w:right="0" w:firstLine="480" w:firstLineChars="200"/>
        <w:rPr>
          <w:sz w:val="24"/>
          <w:szCs w:val="24"/>
        </w:rPr>
      </w:pPr>
      <w:r>
        <w:rPr>
          <w:rFonts w:hint="eastAsia"/>
          <w:sz w:val="24"/>
          <w:szCs w:val="24"/>
        </w:rPr>
        <w:t xml:space="preserve">（1）两栖类和爬行类动物多数为生存于沟渠、农田附近，爬行动物还常栖息于周边的山地丘陵和农田，两栖类主要为蛙类、乌龟等常见物种；两栖类主要为蛙类、乌龟等常见物种；爬行动物主要为蛇类、蚓蜥等，工程所在区域由于人类活动频繁，各种动物受到人类活动的影响，两栖类和爬行类动物的数量不多。 </w:t>
      </w:r>
    </w:p>
    <w:p>
      <w:pPr>
        <w:pStyle w:val="18"/>
        <w:adjustRightInd w:val="0"/>
        <w:spacing w:before="0" w:after="0" w:line="360" w:lineRule="auto"/>
        <w:ind w:right="0" w:firstLine="480" w:firstLineChars="200"/>
        <w:rPr>
          <w:sz w:val="24"/>
          <w:szCs w:val="24"/>
        </w:rPr>
      </w:pPr>
      <w:r>
        <w:rPr>
          <w:rFonts w:hint="eastAsia"/>
          <w:sz w:val="24"/>
          <w:szCs w:val="24"/>
        </w:rPr>
        <w:t>（2）鸟类动物调查</w:t>
      </w:r>
    </w:p>
    <w:p>
      <w:pPr>
        <w:widowControl/>
        <w:adjustRightInd w:val="0"/>
        <w:snapToGrid w:val="0"/>
        <w:spacing w:line="360" w:lineRule="auto"/>
        <w:ind w:firstLine="480" w:firstLineChars="200"/>
        <w:jc w:val="left"/>
        <w:rPr>
          <w:sz w:val="24"/>
        </w:rPr>
      </w:pPr>
      <w:r>
        <w:rPr>
          <w:rFonts w:hint="eastAsia" w:ascii="宋体" w:hAnsi="宋体" w:cs="宋体"/>
          <w:color w:val="000000"/>
          <w:kern w:val="0"/>
          <w:sz w:val="24"/>
          <w:lang w:bidi="ar"/>
        </w:rPr>
        <w:t>工程所在区域的鸟类按生境划分为山地林区及灌木草丛和农田旷野</w:t>
      </w:r>
      <w:r>
        <w:rPr>
          <w:color w:val="000000"/>
          <w:kern w:val="0"/>
          <w:sz w:val="24"/>
          <w:lang w:bidi="ar"/>
        </w:rPr>
        <w:t>2</w:t>
      </w:r>
      <w:r>
        <w:rPr>
          <w:rFonts w:hint="eastAsia" w:ascii="宋体" w:hAnsi="宋体" w:cs="宋体"/>
          <w:color w:val="000000"/>
          <w:kern w:val="0"/>
          <w:sz w:val="24"/>
          <w:lang w:bidi="ar"/>
        </w:rPr>
        <w:t xml:space="preserve">种类型。山地林区主要是周边的低山丘陵地带，该区域山地较陡，人类活动相对较少，植被生长情况良好，有利于各种鸟类的栖息。山地林区鸟类数量众多，主要种类有云雀、鸦雀、树莺、画眉等。农田旷野在山脚和河谷地带，包括旱地和水田。农田区域鸟类主要种类有喜鹊、乌鸦、大山雀、麻雀、家燕等。 </w:t>
      </w:r>
    </w:p>
    <w:p>
      <w:pPr>
        <w:widowControl/>
        <w:adjustRightInd w:val="0"/>
        <w:snapToGrid w:val="0"/>
        <w:spacing w:line="360" w:lineRule="auto"/>
        <w:ind w:firstLine="480" w:firstLineChars="200"/>
        <w:jc w:val="left"/>
        <w:rPr>
          <w:rFonts w:ascii="宋体" w:hAnsi="宋体" w:cs="宋体"/>
          <w:color w:val="000000"/>
          <w:kern w:val="0"/>
          <w:sz w:val="24"/>
          <w:lang w:bidi="ar"/>
        </w:rPr>
      </w:pPr>
      <w:r>
        <w:rPr>
          <w:rFonts w:hint="eastAsia" w:ascii="宋体" w:hAnsi="宋体" w:cs="宋体"/>
          <w:color w:val="000000"/>
          <w:kern w:val="0"/>
          <w:sz w:val="24"/>
          <w:lang w:bidi="ar"/>
        </w:rPr>
        <w:t>从鸟类的数量和种类分析，工程所在区域的鸟类以农作物和农田害虫等为主要的觅食对象，这些鸟类均为省内广泛分布的鸟类。</w:t>
      </w:r>
    </w:p>
    <w:p>
      <w:pPr>
        <w:rPr>
          <w:rFonts w:hint="default"/>
          <w:lang w:val="en-US" w:eastAsia="zh-CN"/>
        </w:rPr>
      </w:pPr>
    </w:p>
    <w:p>
      <w:pPr>
        <w:pStyle w:val="18"/>
        <w:numPr>
          <w:ilvl w:val="0"/>
          <w:numId w:val="0"/>
        </w:numPr>
        <w:ind w:leftChars="200"/>
        <w:rPr>
          <w:rFonts w:hint="default"/>
          <w:lang w:val="en-US" w:eastAsia="zh-CN"/>
        </w:rPr>
        <w:sectPr>
          <w:footerReference r:id="rId11" w:type="default"/>
          <w:pgSz w:w="11906" w:h="16838"/>
          <w:pgMar w:top="1440" w:right="1440" w:bottom="1440" w:left="1440" w:header="850" w:footer="680" w:gutter="0"/>
          <w:pgBorders>
            <w:top w:val="none" w:sz="0" w:space="0"/>
            <w:left w:val="none" w:sz="0" w:space="0"/>
            <w:bottom w:val="none" w:sz="0" w:space="0"/>
            <w:right w:val="none" w:sz="0" w:space="0"/>
          </w:pgBorders>
          <w:pgNumType w:fmt="decimal" w:start="1"/>
          <w:cols w:space="0" w:num="1"/>
          <w:rtlGutter w:val="0"/>
          <w:docGrid w:linePitch="335" w:charSpace="0"/>
        </w:sectPr>
      </w:pPr>
    </w:p>
    <w:p>
      <w:pPr>
        <w:pStyle w:val="59"/>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bookmarkStart w:id="68" w:name="_Toc6148"/>
      <w:r>
        <w:rPr>
          <w:rFonts w:hint="eastAsia"/>
          <w:lang w:val="en-US" w:eastAsia="zh-CN"/>
        </w:rPr>
        <w:t>水功能区（水域）管理要求和现有取排水状况</w:t>
      </w:r>
      <w:bookmarkEnd w:id="68"/>
    </w:p>
    <w:p>
      <w:pPr>
        <w:pStyle w:val="18"/>
        <w:keepNext w:val="0"/>
        <w:keepLines w:val="0"/>
        <w:pageBreakBefore w:val="0"/>
        <w:widowControl w:val="0"/>
        <w:kinsoku/>
        <w:wordWrap/>
        <w:overflowPunct/>
        <w:topLinePunct w:val="0"/>
        <w:autoSpaceDE/>
        <w:autoSpaceDN/>
        <w:bidi w:val="0"/>
        <w:adjustRightInd/>
        <w:snapToGrid/>
        <w:spacing w:after="0"/>
        <w:textAlignment w:val="auto"/>
        <w:rPr>
          <w:rFonts w:hint="default" w:ascii="Times New Roman" w:hAnsi="Times New Roman" w:eastAsia="宋体" w:cs="Times New Roman"/>
          <w:snapToGrid/>
          <w:color w:val="000000" w:themeColor="text1"/>
          <w:kern w:val="2"/>
          <w:sz w:val="24"/>
          <w:szCs w:val="24"/>
          <w:lang w:val="en-US" w:eastAsia="zh-CN"/>
          <w14:textFill>
            <w14:solidFill>
              <w14:schemeClr w14:val="tx1"/>
            </w14:solidFill>
          </w14:textFill>
        </w:rPr>
      </w:pPr>
      <w:r>
        <w:rPr>
          <w:rFonts w:hint="default" w:ascii="Times New Roman" w:hAnsi="Times New Roman" w:cs="Times New Roman"/>
          <w:sz w:val="24"/>
          <w:szCs w:val="24"/>
          <w:lang w:val="en-US" w:eastAsia="zh-CN"/>
        </w:rPr>
        <w:t>湖南润景水业（桃江）有限公司入河排污口位于湖南省益阳市桃江县高桥镇荷叶塘村，设于项目西北侧无名小溪的右岸，</w:t>
      </w:r>
      <w:r>
        <w:rPr>
          <w:rFonts w:hint="default" w:ascii="Times New Roman" w:hAnsi="Times New Roman" w:cs="Times New Roman"/>
          <w:bCs/>
          <w:color w:val="000000" w:themeColor="text1"/>
          <w:szCs w:val="21"/>
          <w:u w:val="single"/>
          <w:lang w:val="en-US" w:eastAsia="zh-CN"/>
          <w14:textFill>
            <w14:solidFill>
              <w14:schemeClr w14:val="tx1"/>
            </w14:solidFill>
          </w14:textFill>
        </w:rPr>
        <w:t>项目入河排污口性质为新建，入河方式为项目所在厂区铺设150米</w:t>
      </w:r>
      <w:r>
        <w:rPr>
          <w:rFonts w:hint="default" w:ascii="Times New Roman" w:hAnsi="Times New Roman" w:eastAsia="宋体" w:cs="Times New Roman"/>
          <w:b w:val="0"/>
          <w:bCs w:val="0"/>
          <w:color w:val="000000" w:themeColor="text1"/>
          <w:sz w:val="24"/>
          <w:szCs w:val="24"/>
          <w:u w:val="single"/>
          <w14:textFill>
            <w14:solidFill>
              <w14:schemeClr w14:val="tx1"/>
            </w14:solidFill>
          </w14:textFill>
        </w:rPr>
        <w:t>管道</w:t>
      </w:r>
      <w:r>
        <w:rPr>
          <w:rFonts w:hint="default" w:ascii="Times New Roman" w:hAnsi="Times New Roman" w:cs="Times New Roman"/>
          <w:b w:val="0"/>
          <w:bCs w:val="0"/>
          <w:color w:val="000000" w:themeColor="text1"/>
          <w:sz w:val="24"/>
          <w:szCs w:val="24"/>
          <w:u w:val="single"/>
          <w:lang w:val="en-US" w:eastAsia="zh-CN"/>
          <w14:textFill>
            <w14:solidFill>
              <w14:schemeClr w14:val="tx1"/>
            </w14:solidFill>
          </w14:textFill>
        </w:rPr>
        <w:t>直接排放至西北侧无名小溪，入河排污口大小为H=0.5m、R=0.5m、L=150m</w:t>
      </w:r>
      <w:r>
        <w:rPr>
          <w:rFonts w:hint="default" w:ascii="Times New Roman" w:hAnsi="Times New Roman" w:cs="Times New Roman"/>
          <w:b w:val="0"/>
          <w:bCs w:val="0"/>
          <w:color w:val="000000" w:themeColor="text1"/>
          <w:sz w:val="24"/>
          <w:szCs w:val="24"/>
          <w:u w:val="single"/>
          <w:lang w:eastAsia="zh-CN"/>
          <w14:textFill>
            <w14:solidFill>
              <w14:schemeClr w14:val="tx1"/>
            </w14:solidFill>
          </w14:textFill>
        </w:rPr>
        <w:t>，</w:t>
      </w:r>
      <w:r>
        <w:rPr>
          <w:rFonts w:hint="default" w:ascii="Times New Roman" w:hAnsi="Times New Roman" w:cs="Times New Roman"/>
          <w:color w:val="000000" w:themeColor="text1"/>
          <w:sz w:val="24"/>
          <w:u w:val="single"/>
          <w14:textFill>
            <w14:solidFill>
              <w14:schemeClr w14:val="tx1"/>
            </w14:solidFill>
          </w14:textFill>
        </w:rPr>
        <w:t>项目排放口坐标为：东经：112°</w:t>
      </w:r>
      <w:r>
        <w:rPr>
          <w:rFonts w:hint="default" w:ascii="Times New Roman" w:hAnsi="Times New Roman" w:cs="Times New Roman"/>
          <w:color w:val="000000" w:themeColor="text1"/>
          <w:sz w:val="24"/>
          <w:u w:val="single"/>
          <w:lang w:val="en-US" w:eastAsia="zh-CN"/>
          <w14:textFill>
            <w14:solidFill>
              <w14:schemeClr w14:val="tx1"/>
            </w14:solidFill>
          </w14:textFill>
        </w:rPr>
        <w:t>39</w:t>
      </w:r>
      <w:r>
        <w:rPr>
          <w:rFonts w:hint="default" w:ascii="Times New Roman" w:hAnsi="Times New Roman" w:cs="Times New Roman"/>
          <w:color w:val="000000" w:themeColor="text1"/>
          <w:sz w:val="24"/>
          <w:u w:val="single"/>
          <w14:textFill>
            <w14:solidFill>
              <w14:schemeClr w14:val="tx1"/>
            </w14:solidFill>
          </w14:textFill>
        </w:rPr>
        <w:t>'</w:t>
      </w:r>
      <w:r>
        <w:rPr>
          <w:rFonts w:hint="default" w:ascii="Times New Roman" w:hAnsi="Times New Roman" w:cs="Times New Roman"/>
          <w:color w:val="000000" w:themeColor="text1"/>
          <w:sz w:val="24"/>
          <w:u w:val="single"/>
          <w:lang w:val="en-US" w:eastAsia="zh-CN"/>
          <w14:textFill>
            <w14:solidFill>
              <w14:schemeClr w14:val="tx1"/>
            </w14:solidFill>
          </w14:textFill>
        </w:rPr>
        <w:t>46.345</w:t>
      </w:r>
      <w:r>
        <w:rPr>
          <w:rFonts w:hint="default" w:ascii="Times New Roman" w:hAnsi="Times New Roman" w:cs="Times New Roman"/>
          <w:color w:val="000000" w:themeColor="text1"/>
          <w:sz w:val="24"/>
          <w:u w:val="single"/>
          <w14:textFill>
            <w14:solidFill>
              <w14:schemeClr w14:val="tx1"/>
            </w14:solidFill>
          </w14:textFill>
        </w:rPr>
        <w:t>"，北纬：28°</w:t>
      </w:r>
      <w:r>
        <w:rPr>
          <w:rFonts w:hint="default" w:ascii="Times New Roman" w:hAnsi="Times New Roman" w:cs="Times New Roman"/>
          <w:color w:val="000000" w:themeColor="text1"/>
          <w:sz w:val="24"/>
          <w:u w:val="single"/>
          <w:lang w:val="en-US" w:eastAsia="zh-CN"/>
          <w14:textFill>
            <w14:solidFill>
              <w14:schemeClr w14:val="tx1"/>
            </w14:solidFill>
          </w14:textFill>
        </w:rPr>
        <w:t>26</w:t>
      </w:r>
      <w:r>
        <w:rPr>
          <w:rFonts w:hint="default" w:ascii="Times New Roman" w:hAnsi="Times New Roman" w:cs="Times New Roman"/>
          <w:color w:val="000000" w:themeColor="text1"/>
          <w:sz w:val="24"/>
          <w:u w:val="single"/>
          <w14:textFill>
            <w14:solidFill>
              <w14:schemeClr w14:val="tx1"/>
            </w14:solidFill>
          </w14:textFill>
        </w:rPr>
        <w:t>'</w:t>
      </w:r>
      <w:r>
        <w:rPr>
          <w:rFonts w:hint="default" w:ascii="Times New Roman" w:hAnsi="Times New Roman" w:cs="Times New Roman"/>
          <w:color w:val="000000" w:themeColor="text1"/>
          <w:sz w:val="24"/>
          <w:u w:val="single"/>
          <w:lang w:val="en-US" w:eastAsia="zh-CN"/>
          <w14:textFill>
            <w14:solidFill>
              <w14:schemeClr w14:val="tx1"/>
            </w14:solidFill>
          </w14:textFill>
        </w:rPr>
        <w:t>7.141</w:t>
      </w:r>
      <w:r>
        <w:rPr>
          <w:rFonts w:hint="default" w:ascii="Times New Roman" w:hAnsi="Times New Roman" w:cs="Times New Roman"/>
          <w:color w:val="000000" w:themeColor="text1"/>
          <w:sz w:val="24"/>
          <w:u w:val="single"/>
          <w14:textFill>
            <w14:solidFill>
              <w14:schemeClr w14:val="tx1"/>
            </w14:solidFill>
          </w14:textFill>
        </w:rPr>
        <w:t>"。</w:t>
      </w:r>
      <w:r>
        <w:rPr>
          <w:rFonts w:hint="default" w:ascii="Times New Roman" w:hAnsi="Times New Roman" w:eastAsia="宋体" w:cs="Times New Roman"/>
          <w:snapToGrid/>
          <w:color w:val="000000" w:themeColor="text1"/>
          <w:kern w:val="2"/>
          <w:sz w:val="24"/>
          <w:szCs w:val="24"/>
          <w:lang w:val="en-US" w:eastAsia="zh-CN"/>
          <w14:textFill>
            <w14:solidFill>
              <w14:schemeClr w14:val="tx1"/>
            </w14:solidFill>
          </w14:textFill>
        </w:rPr>
        <w:t>排污口位置见下图所示。</w:t>
      </w:r>
    </w:p>
    <w:p>
      <w:pPr>
        <w:pStyle w:val="18"/>
        <w:keepNext w:val="0"/>
        <w:keepLines w:val="0"/>
        <w:pageBreakBefore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lang w:val="en-US" w:eastAsia="zh-CN"/>
        </w:rPr>
      </w:pPr>
      <w:r>
        <w:rPr>
          <w:rFonts w:hint="eastAsia" w:eastAsia="宋体"/>
          <w:color w:val="FF0000"/>
          <w:sz w:val="21"/>
          <w:szCs w:val="21"/>
          <w:lang w:eastAsia="zh-CN"/>
        </w:rPr>
        <w:drawing>
          <wp:inline distT="0" distB="0" distL="114300" distR="114300">
            <wp:extent cx="5652135" cy="3675380"/>
            <wp:effectExtent l="9525" t="9525" r="15240" b="10795"/>
            <wp:docPr id="3" name="图片 3" descr="排水路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排水路径图"/>
                    <pic:cNvPicPr>
                      <a:picLocks noChangeAspect="1"/>
                    </pic:cNvPicPr>
                  </pic:nvPicPr>
                  <pic:blipFill>
                    <a:blip r:embed="rId18"/>
                    <a:srcRect t="3172" b="4881"/>
                    <a:stretch>
                      <a:fillRect/>
                    </a:stretch>
                  </pic:blipFill>
                  <pic:spPr>
                    <a:xfrm>
                      <a:off x="0" y="0"/>
                      <a:ext cx="5652135" cy="3675380"/>
                    </a:xfrm>
                    <a:prstGeom prst="rect">
                      <a:avLst/>
                    </a:prstGeom>
                    <a:ln>
                      <a:solidFill>
                        <a:schemeClr val="tx1"/>
                      </a:solidFill>
                    </a:ln>
                  </pic:spPr>
                </pic:pic>
              </a:graphicData>
            </a:graphic>
          </wp:inline>
        </w:drawing>
      </w:r>
    </w:p>
    <w:p>
      <w:pPr>
        <w:pStyle w:val="64"/>
        <w:keepNext w:val="0"/>
        <w:keepLines w:val="0"/>
        <w:pageBreakBefore w:val="0"/>
        <w:kinsoku/>
        <w:wordWrap/>
        <w:overflowPunct/>
        <w:topLinePunct w:val="0"/>
        <w:autoSpaceDE/>
        <w:autoSpaceDN/>
        <w:bidi w:val="0"/>
        <w:adjustRightInd/>
        <w:snapToGrid/>
        <w:spacing w:line="360" w:lineRule="auto"/>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入河排污口位置图</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lang w:val="en-US" w:eastAsia="zh-CN"/>
        </w:rPr>
      </w:pPr>
      <w:r>
        <w:rPr>
          <w:rFonts w:hint="eastAsia"/>
          <w:lang w:val="en-US" w:eastAsia="zh-CN"/>
        </w:rPr>
        <w:t>根据入河排污口规范化建设规模，入河排污口的建设应“开口子、立牌子、竖杆子”，既要求入河排污口设置单位在企业厂区外，入河前端建设“采样明渠段”，便于监督采样；设立标志牌，公布有关入河排污口基础信息和监督举报途径；建设水量水质及图像视频的在线监控设施，准确掌握入河污染量和排放规律。</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lang w:val="en-US" w:eastAsia="zh-CN"/>
        </w:rPr>
      </w:pPr>
      <w:r>
        <w:rPr>
          <w:rFonts w:hint="eastAsia"/>
          <w:lang w:val="en-US" w:eastAsia="zh-CN"/>
        </w:rPr>
        <w:t>本入河排污口设置拟采用管道式排口、排污口设有专用标识牌，标识牌上明确入河排污口基础信息和监督举报途径，符合“开口子、立牌子、竖杆子”规范化建设要求。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lang w:val="en-US" w:eastAsia="zh-CN"/>
        </w:rPr>
      </w:pPr>
      <w:r>
        <w:rPr>
          <w:rFonts w:hint="eastAsia"/>
          <w:lang w:val="en-US" w:eastAsia="zh-CN"/>
        </w:rPr>
        <w:t>项目废水处理站中控室安装排污口视频监控，达到可看见、可测量、有监控的相关要求。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lang w:val="en-US" w:eastAsia="zh-CN"/>
        </w:rPr>
      </w:pPr>
      <w:r>
        <w:rPr>
          <w:rFonts w:hint="eastAsia"/>
          <w:lang w:val="en-US" w:eastAsia="zh-CN"/>
        </w:rPr>
        <w:t>排污口设置的基本情况详见下表所示。</w:t>
      </w:r>
    </w:p>
    <w:p>
      <w:pPr>
        <w:pStyle w:val="18"/>
        <w:rPr>
          <w:rFonts w:hint="eastAsia"/>
          <w:lang w:val="en-US" w:eastAsia="zh-CN"/>
        </w:rPr>
      </w:pPr>
    </w:p>
    <w:p>
      <w:pPr>
        <w:rPr>
          <w:rFonts w:hint="eastAsia"/>
          <w:lang w:val="en-US" w:eastAsia="zh-CN"/>
        </w:rPr>
      </w:pPr>
    </w:p>
    <w:p>
      <w:pPr>
        <w:pStyle w:val="56"/>
        <w:bidi w:val="0"/>
        <w:ind w:left="960" w:leftChars="0" w:firstLineChars="0"/>
        <w:rPr>
          <w:rFonts w:hint="default"/>
          <w:vertAlign w:val="baseline"/>
          <w:lang w:val="en-US" w:eastAsia="zh-CN"/>
        </w:rPr>
      </w:pPr>
      <w:r>
        <w:rPr>
          <w:rFonts w:hint="eastAsia"/>
          <w:lang w:val="en-US" w:eastAsia="zh-CN"/>
        </w:rPr>
        <w:t>排污口设置情况一览表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0"/>
        <w:gridCol w:w="2310"/>
        <w:gridCol w:w="2311"/>
        <w:gridCol w:w="23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top w:val="single" w:color="auto" w:sz="12" w:space="0"/>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名称</w:t>
            </w:r>
          </w:p>
        </w:tc>
        <w:tc>
          <w:tcPr>
            <w:tcW w:w="6932" w:type="dxa"/>
            <w:gridSpan w:val="3"/>
            <w:tcBorders>
              <w:top w:val="single" w:color="auto" w:sz="12" w:space="0"/>
              <w:righ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项目设置情况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2310" w:type="dxa"/>
            <w:vMerge w:val="restart"/>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排污口位置</w:t>
            </w:r>
          </w:p>
        </w:tc>
        <w:tc>
          <w:tcPr>
            <w:tcW w:w="2310" w:type="dxa"/>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所在行政区</w:t>
            </w:r>
          </w:p>
        </w:tc>
        <w:tc>
          <w:tcPr>
            <w:tcW w:w="4622" w:type="dxa"/>
            <w:gridSpan w:val="2"/>
            <w:tcBorders>
              <w:righ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湖南省益阳市桃江县高桥镇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vMerge w:val="continue"/>
            <w:tcBorders>
              <w:lef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排入水体名称</w:t>
            </w:r>
          </w:p>
        </w:tc>
        <w:tc>
          <w:tcPr>
            <w:tcW w:w="4622" w:type="dxa"/>
            <w:gridSpan w:val="2"/>
            <w:tcBorders>
              <w:righ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项目西北侧无名小溪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vMerge w:val="continue"/>
            <w:tcBorders>
              <w:lef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排入的水功能区名称</w:t>
            </w:r>
          </w:p>
        </w:tc>
        <w:tc>
          <w:tcPr>
            <w:tcW w:w="4622" w:type="dxa"/>
            <w:gridSpan w:val="2"/>
            <w:tcBorders>
              <w:righ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项目西北侧无名小溪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vMerge w:val="continue"/>
            <w:tcBorders>
              <w:lef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经纬度</w:t>
            </w:r>
          </w:p>
        </w:tc>
        <w:tc>
          <w:tcPr>
            <w:tcW w:w="4622" w:type="dxa"/>
            <w:gridSpan w:val="2"/>
            <w:tcBorders>
              <w:righ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东经：112°</w:t>
            </w:r>
            <w:r>
              <w:rPr>
                <w:rFonts w:hint="default" w:ascii="Times New Roman" w:hAnsi="Times New Roman" w:cs="Times New Roman"/>
                <w:color w:val="000000" w:themeColor="text1"/>
                <w:kern w:val="2"/>
                <w:sz w:val="21"/>
                <w:szCs w:val="21"/>
                <w:lang w:val="en-US" w:eastAsia="zh-CN"/>
                <w14:textFill>
                  <w14:solidFill>
                    <w14:schemeClr w14:val="tx1"/>
                  </w14:solidFill>
                </w14:textFill>
              </w:rPr>
              <w:t>39</w:t>
            </w:r>
            <w:r>
              <w:rPr>
                <w:rFonts w:hint="default" w:ascii="Times New Roman" w:hAnsi="Times New Roman" w:cs="Times New Roman"/>
                <w:color w:val="000000" w:themeColor="text1"/>
                <w:kern w:val="2"/>
                <w:sz w:val="21"/>
                <w:szCs w:val="21"/>
                <w14:textFill>
                  <w14:solidFill>
                    <w14:schemeClr w14:val="tx1"/>
                  </w14:solidFill>
                </w14:textFill>
              </w:rPr>
              <w:t>'</w:t>
            </w:r>
            <w:r>
              <w:rPr>
                <w:rFonts w:hint="default" w:ascii="Times New Roman" w:hAnsi="Times New Roman" w:cs="Times New Roman"/>
                <w:color w:val="000000" w:themeColor="text1"/>
                <w:kern w:val="2"/>
                <w:sz w:val="21"/>
                <w:szCs w:val="21"/>
                <w:lang w:val="en-US" w:eastAsia="zh-CN"/>
                <w14:textFill>
                  <w14:solidFill>
                    <w14:schemeClr w14:val="tx1"/>
                  </w14:solidFill>
                </w14:textFill>
              </w:rPr>
              <w:t>46.345</w:t>
            </w:r>
            <w:r>
              <w:rPr>
                <w:rFonts w:hint="default" w:ascii="Times New Roman" w:hAnsi="Times New Roman" w:cs="Times New Roman"/>
                <w:color w:val="000000" w:themeColor="text1"/>
                <w:kern w:val="2"/>
                <w:sz w:val="21"/>
                <w:szCs w:val="21"/>
                <w14:textFill>
                  <w14:solidFill>
                    <w14:schemeClr w14:val="tx1"/>
                  </w14:solidFill>
                </w14:textFill>
              </w:rPr>
              <w:t>"，北纬：28°</w:t>
            </w:r>
            <w:r>
              <w:rPr>
                <w:rFonts w:hint="default" w:ascii="Times New Roman" w:hAnsi="Times New Roman" w:cs="Times New Roman"/>
                <w:color w:val="000000" w:themeColor="text1"/>
                <w:kern w:val="2"/>
                <w:sz w:val="21"/>
                <w:szCs w:val="21"/>
                <w:lang w:val="en-US" w:eastAsia="zh-CN"/>
                <w14:textFill>
                  <w14:solidFill>
                    <w14:schemeClr w14:val="tx1"/>
                  </w14:solidFill>
                </w14:textFill>
              </w:rPr>
              <w:t>26</w:t>
            </w:r>
            <w:r>
              <w:rPr>
                <w:rFonts w:hint="default" w:ascii="Times New Roman" w:hAnsi="Times New Roman" w:cs="Times New Roman"/>
                <w:color w:val="000000" w:themeColor="text1"/>
                <w:kern w:val="2"/>
                <w:sz w:val="21"/>
                <w:szCs w:val="21"/>
                <w14:textFill>
                  <w14:solidFill>
                    <w14:schemeClr w14:val="tx1"/>
                  </w14:solidFill>
                </w14:textFill>
              </w:rPr>
              <w:t>'</w:t>
            </w:r>
            <w:r>
              <w:rPr>
                <w:rFonts w:hint="default" w:ascii="Times New Roman" w:hAnsi="Times New Roman" w:cs="Times New Roman"/>
                <w:color w:val="000000" w:themeColor="text1"/>
                <w:kern w:val="2"/>
                <w:sz w:val="21"/>
                <w:szCs w:val="21"/>
                <w:lang w:val="en-US" w:eastAsia="zh-CN"/>
                <w14:textFill>
                  <w14:solidFill>
                    <w14:schemeClr w14:val="tx1"/>
                  </w14:solidFill>
                </w14:textFill>
              </w:rPr>
              <w:t>7.141</w:t>
            </w:r>
            <w:r>
              <w:rPr>
                <w:rFonts w:hint="default" w:ascii="Times New Roman" w:hAnsi="Times New Roman" w:cs="Times New Roman"/>
                <w:color w:val="000000" w:themeColor="text1"/>
                <w:kern w:val="2"/>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排污口类型</w:t>
            </w:r>
          </w:p>
        </w:tc>
        <w:tc>
          <w:tcPr>
            <w:tcW w:w="6932" w:type="dxa"/>
            <w:gridSpan w:val="3"/>
            <w:tcBorders>
              <w:righ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工业排污口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排污口性质</w:t>
            </w:r>
          </w:p>
        </w:tc>
        <w:tc>
          <w:tcPr>
            <w:tcW w:w="6932" w:type="dxa"/>
            <w:gridSpan w:val="3"/>
            <w:tcBorders>
              <w:righ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排放方式</w:t>
            </w:r>
          </w:p>
        </w:tc>
        <w:tc>
          <w:tcPr>
            <w:tcW w:w="6932" w:type="dxa"/>
            <w:gridSpan w:val="3"/>
            <w:tcBorders>
              <w:righ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入河方式</w:t>
            </w:r>
          </w:p>
        </w:tc>
        <w:tc>
          <w:tcPr>
            <w:tcW w:w="6932" w:type="dxa"/>
            <w:gridSpan w:val="3"/>
            <w:tcBorders>
              <w:righ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入河方式为项目所在厂区铺设150米管道直接排放至西北侧无名小溪，入河排污口大小为H=0.5m、R=0.5m、L=150m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排放量</w:t>
            </w:r>
          </w:p>
        </w:tc>
        <w:tc>
          <w:tcPr>
            <w:tcW w:w="6932" w:type="dxa"/>
            <w:gridSpan w:val="3"/>
            <w:tcBorders>
              <w:right w:val="single" w:color="auto" w:sz="12" w:space="0"/>
            </w:tcBorders>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平均污水排放量约</w:t>
            </w:r>
            <w:r>
              <w:rPr>
                <w:rFonts w:hint="default" w:ascii="Times New Roman" w:hAnsi="Times New Roman" w:cs="Times New Roman"/>
                <w:color w:val="000000" w:themeColor="text1"/>
                <w:kern w:val="2"/>
                <w:sz w:val="21"/>
                <w:szCs w:val="21"/>
                <w:lang w:val="en-US" w:eastAsia="zh-CN"/>
                <w14:textFill>
                  <w14:solidFill>
                    <w14:schemeClr w14:val="tx1"/>
                  </w14:solidFill>
                </w14:textFill>
              </w:rPr>
              <w:t>2.92</w:t>
            </w:r>
            <w:r>
              <w:rPr>
                <w:rFonts w:hint="default" w:ascii="Times New Roman" w:hAnsi="Times New Roman" w:cs="Times New Roman"/>
                <w:color w:val="000000" w:themeColor="text1"/>
                <w:kern w:val="2"/>
                <w:sz w:val="21"/>
                <w:szCs w:val="21"/>
                <w14:textFill>
                  <w14:solidFill>
                    <w14:schemeClr w14:val="tx1"/>
                  </w14:solidFill>
                </w14:textFill>
              </w:rPr>
              <w:t>m</w:t>
            </w:r>
            <w:r>
              <w:rPr>
                <w:rFonts w:hint="default" w:ascii="Times New Roman" w:hAnsi="Times New Roman" w:cs="Times New Roman"/>
                <w:color w:val="000000" w:themeColor="text1"/>
                <w:kern w:val="2"/>
                <w:sz w:val="21"/>
                <w:szCs w:val="21"/>
                <w:vertAlign w:val="superscript"/>
                <w14:textFill>
                  <w14:solidFill>
                    <w14:schemeClr w14:val="tx1"/>
                  </w14:solidFill>
                </w14:textFill>
              </w:rPr>
              <w:t>3</w:t>
            </w:r>
            <w:r>
              <w:rPr>
                <w:rFonts w:hint="default" w:ascii="Times New Roman" w:hAnsi="Times New Roman" w:cs="Times New Roman"/>
                <w:color w:val="000000" w:themeColor="text1"/>
                <w:kern w:val="2"/>
                <w:sz w:val="21"/>
                <w:szCs w:val="21"/>
                <w14:textFill>
                  <w14:solidFill>
                    <w14:schemeClr w14:val="tx1"/>
                  </w14:solidFill>
                </w14:textFill>
              </w:rPr>
              <w:t>/d，</w:t>
            </w:r>
            <w:r>
              <w:rPr>
                <w:rFonts w:hint="default" w:ascii="Times New Roman" w:hAnsi="Times New Roman" w:cs="Times New Roman"/>
                <w:color w:val="000000" w:themeColor="text1"/>
                <w:kern w:val="2"/>
                <w:sz w:val="21"/>
                <w:szCs w:val="21"/>
                <w:lang w:val="en-US" w:eastAsia="zh-CN"/>
                <w14:textFill>
                  <w14:solidFill>
                    <w14:schemeClr w14:val="tx1"/>
                  </w14:solidFill>
                </w14:textFill>
              </w:rPr>
              <w:t>876</w:t>
            </w:r>
            <w:r>
              <w:rPr>
                <w:rFonts w:hint="default" w:ascii="Times New Roman" w:hAnsi="Times New Roman" w:cs="Times New Roman"/>
                <w:color w:val="000000" w:themeColor="text1"/>
                <w:kern w:val="2"/>
                <w:sz w:val="21"/>
                <w:szCs w:val="21"/>
                <w14:textFill>
                  <w14:solidFill>
                    <w14:schemeClr w14:val="tx1"/>
                  </w14:solidFill>
                </w14:textFill>
              </w:rPr>
              <w:t>m</w:t>
            </w:r>
            <w:r>
              <w:rPr>
                <w:rFonts w:hint="default" w:ascii="Times New Roman" w:hAnsi="Times New Roman" w:cs="Times New Roman"/>
                <w:color w:val="000000" w:themeColor="text1"/>
                <w:kern w:val="2"/>
                <w:sz w:val="21"/>
                <w:szCs w:val="21"/>
                <w:vertAlign w:val="superscript"/>
                <w14:textFill>
                  <w14:solidFill>
                    <w14:schemeClr w14:val="tx1"/>
                  </w14:solidFill>
                </w14:textFill>
              </w:rPr>
              <w:t>3</w:t>
            </w:r>
            <w:r>
              <w:rPr>
                <w:rFonts w:hint="default" w:ascii="Times New Roman" w:hAnsi="Times New Roman" w:cs="Times New Roman"/>
                <w:color w:val="000000" w:themeColor="text1"/>
                <w:kern w:val="2"/>
                <w:sz w:val="21"/>
                <w:szCs w:val="21"/>
                <w14:textFill>
                  <w14:solidFill>
                    <w14:schemeClr w14:val="tx1"/>
                  </w14:solidFill>
                </w14:textFill>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vMerge w:val="restart"/>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主要污染物排放情况</w:t>
            </w:r>
          </w:p>
        </w:tc>
        <w:tc>
          <w:tcPr>
            <w:tcW w:w="2310" w:type="dxa"/>
            <w:vMerge w:val="restart"/>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项目</w:t>
            </w:r>
          </w:p>
        </w:tc>
        <w:tc>
          <w:tcPr>
            <w:tcW w:w="4622" w:type="dxa"/>
            <w:gridSpan w:val="2"/>
            <w:tcBorders>
              <w:righ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设计排放情况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0" w:type="dxa"/>
            <w:vMerge w:val="continue"/>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Merge w:val="continue"/>
            <w:vAlign w:val="center"/>
          </w:tcPr>
          <w:p>
            <w:pPr>
              <w:pStyle w:val="103"/>
              <w:bidi w:val="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1" w:type="dxa"/>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排放浓度（mg/L）</w:t>
            </w:r>
          </w:p>
        </w:tc>
        <w:tc>
          <w:tcPr>
            <w:tcW w:w="2311" w:type="dxa"/>
            <w:tcBorders>
              <w:righ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年排放量（t）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10" w:type="dxa"/>
            <w:vMerge w:val="continue"/>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Align w:val="center"/>
          </w:tcPr>
          <w:p>
            <w:pPr>
              <w:widowControl w:val="0"/>
              <w:autoSpaceDE w:val="0"/>
              <w:autoSpaceDN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COD</w:t>
            </w:r>
          </w:p>
        </w:tc>
        <w:tc>
          <w:tcPr>
            <w:tcW w:w="2311" w:type="dxa"/>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u w:val="single"/>
                <w:lang w:val="en-US" w:eastAsia="zh-CN"/>
                <w14:textFill>
                  <w14:solidFill>
                    <w14:schemeClr w14:val="tx1"/>
                  </w14:solidFill>
                </w14:textFill>
              </w:rPr>
              <w:t>100</w:t>
            </w:r>
          </w:p>
        </w:tc>
        <w:tc>
          <w:tcPr>
            <w:tcW w:w="2311" w:type="dxa"/>
            <w:tcBorders>
              <w:right w:val="single" w:color="auto" w:sz="12" w:space="0"/>
            </w:tcBorders>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u w:val="single"/>
                <w:lang w:val="en-US" w:eastAsia="zh-CN"/>
                <w14:textFill>
                  <w14:solidFill>
                    <w14:schemeClr w14:val="tx1"/>
                  </w14:solidFill>
                </w14:textFill>
              </w:rPr>
              <w:t>0.0876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310" w:type="dxa"/>
            <w:vMerge w:val="continue"/>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Align w:val="center"/>
          </w:tcPr>
          <w:p>
            <w:pPr>
              <w:widowControl w:val="0"/>
              <w:autoSpaceDE w:val="0"/>
              <w:autoSpaceDN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氨氮</w:t>
            </w:r>
          </w:p>
        </w:tc>
        <w:tc>
          <w:tcPr>
            <w:tcW w:w="2311" w:type="dxa"/>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u w:val="single"/>
                <w:lang w:val="en-US" w:eastAsia="zh-CN"/>
                <w14:textFill>
                  <w14:solidFill>
                    <w14:schemeClr w14:val="tx1"/>
                  </w14:solidFill>
                </w14:textFill>
              </w:rPr>
              <w:t>15</w:t>
            </w:r>
          </w:p>
        </w:tc>
        <w:tc>
          <w:tcPr>
            <w:tcW w:w="2311" w:type="dxa"/>
            <w:tcBorders>
              <w:right w:val="single" w:color="auto" w:sz="12" w:space="0"/>
            </w:tcBorders>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u w:val="single"/>
                <w:lang w:val="en-US" w:eastAsia="zh-CN"/>
                <w14:textFill>
                  <w14:solidFill>
                    <w14:schemeClr w14:val="tx1"/>
                  </w14:solidFill>
                </w14:textFill>
              </w:rPr>
              <w:t>0.0132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310" w:type="dxa"/>
            <w:vMerge w:val="continue"/>
            <w:tcBorders>
              <w:left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vAlign w:val="center"/>
          </w:tcPr>
          <w:p>
            <w:pPr>
              <w:widowControl w:val="0"/>
              <w:autoSpaceDE w:val="0"/>
              <w:autoSpaceDN w:val="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总磷</w:t>
            </w:r>
          </w:p>
        </w:tc>
        <w:tc>
          <w:tcPr>
            <w:tcW w:w="2311" w:type="dxa"/>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u w:val="single"/>
                <w:lang w:val="en-US" w:eastAsia="zh-CN"/>
                <w14:textFill>
                  <w14:solidFill>
                    <w14:schemeClr w14:val="tx1"/>
                  </w14:solidFill>
                </w14:textFill>
              </w:rPr>
              <w:t>1</w:t>
            </w:r>
          </w:p>
        </w:tc>
        <w:tc>
          <w:tcPr>
            <w:tcW w:w="2311" w:type="dxa"/>
            <w:tcBorders>
              <w:right w:val="single" w:color="auto" w:sz="12" w:space="0"/>
            </w:tcBorders>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u w:val="single"/>
                <w:lang w:val="en-US" w:eastAsia="zh-CN"/>
                <w14:textFill>
                  <w14:solidFill>
                    <w14:schemeClr w14:val="tx1"/>
                  </w14:solidFill>
                </w14:textFill>
              </w:rPr>
              <w:t>0.000876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2310" w:type="dxa"/>
            <w:vMerge w:val="continue"/>
            <w:tcBorders>
              <w:left w:val="single" w:color="auto" w:sz="12" w:space="0"/>
              <w:bottom w:val="single" w:color="auto" w:sz="12" w:space="0"/>
            </w:tcBorders>
            <w:vAlign w:val="center"/>
          </w:tcPr>
          <w:p>
            <w:pPr>
              <w:pStyle w:val="103"/>
              <w:bidi w:val="0"/>
              <w:ind w:left="0" w:leftChars="0" w:firstLine="0" w:firstLineChars="0"/>
              <w:jc w:val="center"/>
              <w:rPr>
                <w:rFonts w:hint="default" w:ascii="Times New Roman" w:hAnsi="Times New Roman" w:cs="Times New Roman"/>
                <w:color w:val="000000" w:themeColor="text1"/>
                <w:kern w:val="2"/>
                <w:sz w:val="21"/>
                <w:szCs w:val="21"/>
                <w:lang w:val="en-US" w:eastAsia="zh-CN"/>
                <w14:textFill>
                  <w14:solidFill>
                    <w14:schemeClr w14:val="tx1"/>
                  </w14:solidFill>
                </w14:textFill>
              </w:rPr>
            </w:pPr>
          </w:p>
        </w:tc>
        <w:tc>
          <w:tcPr>
            <w:tcW w:w="2310" w:type="dxa"/>
            <w:tcBorders>
              <w:bottom w:val="single" w:color="auto" w:sz="12" w:space="0"/>
            </w:tcBorders>
            <w:vAlign w:val="center"/>
          </w:tcPr>
          <w:p>
            <w:pPr>
              <w:widowControl w:val="0"/>
              <w:autoSpaceDE w:val="0"/>
              <w:autoSpaceDN w:val="0"/>
              <w:ind w:left="0" w:lef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总氮</w:t>
            </w:r>
          </w:p>
        </w:tc>
        <w:tc>
          <w:tcPr>
            <w:tcW w:w="2311" w:type="dxa"/>
            <w:tcBorders>
              <w:bottom w:val="single" w:color="auto" w:sz="12" w:space="0"/>
            </w:tcBorders>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u w:val="single"/>
                <w:lang w:val="en-US" w:eastAsia="zh-CN"/>
                <w14:textFill>
                  <w14:solidFill>
                    <w14:schemeClr w14:val="tx1"/>
                  </w14:solidFill>
                </w14:textFill>
              </w:rPr>
              <w:t>20</w:t>
            </w:r>
          </w:p>
        </w:tc>
        <w:tc>
          <w:tcPr>
            <w:tcW w:w="2311" w:type="dxa"/>
            <w:tcBorders>
              <w:bottom w:val="single" w:color="auto" w:sz="12" w:space="0"/>
              <w:right w:val="single" w:color="auto" w:sz="12" w:space="0"/>
            </w:tcBorders>
            <w:vAlign w:val="center"/>
          </w:tcPr>
          <w:p>
            <w:pPr>
              <w:spacing w:line="240" w:lineRule="auto"/>
              <w:ind w:firstLine="0" w:firstLineChars="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u w:val="single"/>
                <w:lang w:val="en-US" w:eastAsia="zh-CN"/>
                <w14:textFill>
                  <w14:solidFill>
                    <w14:schemeClr w14:val="tx1"/>
                  </w14:solidFill>
                </w14:textFill>
              </w:rPr>
              <w:t>0.01752</w:t>
            </w:r>
          </w:p>
        </w:tc>
      </w:tr>
    </w:tbl>
    <w:p>
      <w:pPr>
        <w:pStyle w:val="60"/>
        <w:bidi w:val="0"/>
        <w:rPr>
          <w:rFonts w:hint="default"/>
          <w:lang w:val="en-US" w:eastAsia="zh-CN"/>
        </w:rPr>
      </w:pPr>
      <w:bookmarkStart w:id="69" w:name="_Toc18051"/>
      <w:r>
        <w:rPr>
          <w:rFonts w:hint="eastAsia"/>
          <w:lang w:val="en-US" w:eastAsia="zh-CN"/>
        </w:rPr>
        <w:t>水功能区（水域）保护水质管理目标与要求</w:t>
      </w:r>
      <w:bookmarkEnd w:id="69"/>
    </w:p>
    <w:p>
      <w:pPr>
        <w:pStyle w:val="103"/>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水功能区管理要求，新增排污口入河污染物要达标，以保证排污口所在水域功能区的水质保护目标要求，以及下游水功能区水质不受影响。本项目工程入河排污口设置项目项目西北侧无名小溪，入河方式为项目所在厂区铺设150米管道直接排放至西北侧无名小溪，入河排污口大小为H=0.5m、R=0.5m、L=150m。</w:t>
      </w:r>
    </w:p>
    <w:p>
      <w:pPr>
        <w:pStyle w:val="103"/>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项目排污口论证范围及下游主要水环境保护目标见下表所示。</w:t>
      </w:r>
    </w:p>
    <w:p>
      <w:pPr>
        <w:pStyle w:val="56"/>
        <w:bidi w:val="0"/>
        <w:ind w:left="960" w:leftChars="0" w:firstLineChars="0"/>
        <w:rPr>
          <w:rFonts w:hint="default"/>
          <w:vertAlign w:val="baseline"/>
          <w:lang w:val="en-US" w:eastAsia="zh-CN"/>
        </w:rPr>
      </w:pPr>
      <w:r>
        <w:rPr>
          <w:rFonts w:hint="eastAsia"/>
          <w:vertAlign w:val="baseline"/>
          <w:lang w:val="en-US" w:eastAsia="zh-CN"/>
        </w:rPr>
        <w:t>区域主要水环境保护目标一览表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4"/>
        <w:gridCol w:w="1269"/>
        <w:gridCol w:w="1543"/>
        <w:gridCol w:w="1896"/>
        <w:gridCol w:w="1191"/>
        <w:gridCol w:w="18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1504" w:type="dxa"/>
            <w:tcBorders>
              <w:tl2br w:val="nil"/>
              <w:tr2bl w:val="nil"/>
            </w:tcBorders>
            <w:vAlign w:val="center"/>
          </w:tcPr>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hint="eastAsia" w:cs="Times New Roman"/>
                <w:b w:val="0"/>
                <w:bCs w:val="0"/>
                <w:color w:val="000000" w:themeColor="text1"/>
                <w:kern w:val="2"/>
                <w:sz w:val="21"/>
                <w:szCs w:val="21"/>
                <w:u w:val="none"/>
                <w14:textFill>
                  <w14:solidFill>
                    <w14:schemeClr w14:val="tx1"/>
                  </w14:solidFill>
                </w14:textFill>
              </w:rPr>
              <w:t>保护目标</w:t>
            </w:r>
          </w:p>
        </w:tc>
        <w:tc>
          <w:tcPr>
            <w:tcW w:w="1269" w:type="dxa"/>
            <w:tcBorders>
              <w:tl2br w:val="nil"/>
              <w:tr2bl w:val="nil"/>
            </w:tcBorders>
            <w:vAlign w:val="center"/>
          </w:tcPr>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cs="Times New Roman"/>
                <w:b w:val="0"/>
                <w:bCs w:val="0"/>
                <w:color w:val="000000" w:themeColor="text1"/>
                <w:kern w:val="2"/>
                <w:sz w:val="21"/>
                <w:szCs w:val="21"/>
                <w:u w:val="none"/>
                <w14:textFill>
                  <w14:solidFill>
                    <w14:schemeClr w14:val="tx1"/>
                  </w14:solidFill>
                </w14:textFill>
              </w:rPr>
              <w:t>水域/规模</w:t>
            </w:r>
          </w:p>
        </w:tc>
        <w:tc>
          <w:tcPr>
            <w:tcW w:w="1543" w:type="dxa"/>
            <w:tcBorders>
              <w:tl2br w:val="nil"/>
              <w:tr2bl w:val="nil"/>
            </w:tcBorders>
            <w:vAlign w:val="center"/>
          </w:tcPr>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hint="eastAsia" w:cs="Times New Roman"/>
                <w:b w:val="0"/>
                <w:bCs w:val="0"/>
                <w:color w:val="000000" w:themeColor="text1"/>
                <w:kern w:val="2"/>
                <w:sz w:val="21"/>
                <w:szCs w:val="21"/>
                <w:u w:val="none"/>
                <w14:textFill>
                  <w14:solidFill>
                    <w14:schemeClr w14:val="tx1"/>
                  </w14:solidFill>
                </w14:textFill>
              </w:rPr>
              <w:t>与排污口位置关系</w:t>
            </w:r>
          </w:p>
        </w:tc>
        <w:tc>
          <w:tcPr>
            <w:tcW w:w="1896" w:type="dxa"/>
            <w:tcBorders>
              <w:tl2br w:val="nil"/>
              <w:tr2bl w:val="nil"/>
            </w:tcBorders>
            <w:vAlign w:val="center"/>
          </w:tcPr>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hint="eastAsia" w:cs="Times New Roman"/>
                <w:b w:val="0"/>
                <w:bCs w:val="0"/>
                <w:color w:val="000000" w:themeColor="text1"/>
                <w:kern w:val="2"/>
                <w:sz w:val="21"/>
                <w:szCs w:val="21"/>
                <w:u w:val="none"/>
                <w14:textFill>
                  <w14:solidFill>
                    <w14:schemeClr w14:val="tx1"/>
                  </w14:solidFill>
                </w14:textFill>
              </w:rPr>
              <w:t>长度（km）</w:t>
            </w:r>
          </w:p>
        </w:tc>
        <w:tc>
          <w:tcPr>
            <w:tcW w:w="1191" w:type="dxa"/>
            <w:tcBorders>
              <w:tl2br w:val="nil"/>
              <w:tr2bl w:val="nil"/>
            </w:tcBorders>
            <w:vAlign w:val="center"/>
          </w:tcPr>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cs="Times New Roman"/>
                <w:b w:val="0"/>
                <w:bCs w:val="0"/>
                <w:color w:val="000000" w:themeColor="text1"/>
                <w:kern w:val="2"/>
                <w:sz w:val="21"/>
                <w:szCs w:val="21"/>
                <w:u w:val="none"/>
                <w14:textFill>
                  <w14:solidFill>
                    <w14:schemeClr w14:val="tx1"/>
                  </w14:solidFill>
                </w14:textFill>
              </w:rPr>
              <w:t>水环境功</w:t>
            </w:r>
          </w:p>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cs="Times New Roman"/>
                <w:b w:val="0"/>
                <w:bCs w:val="0"/>
                <w:color w:val="000000" w:themeColor="text1"/>
                <w:kern w:val="2"/>
                <w:sz w:val="21"/>
                <w:szCs w:val="21"/>
                <w:u w:val="none"/>
                <w14:textFill>
                  <w14:solidFill>
                    <w14:schemeClr w14:val="tx1"/>
                  </w14:solidFill>
                </w14:textFill>
              </w:rPr>
              <w:t>能区类型</w:t>
            </w:r>
          </w:p>
        </w:tc>
        <w:tc>
          <w:tcPr>
            <w:tcW w:w="1839" w:type="dxa"/>
            <w:tcBorders>
              <w:tl2br w:val="nil"/>
              <w:tr2bl w:val="nil"/>
            </w:tcBorders>
            <w:vAlign w:val="center"/>
          </w:tcPr>
          <w:p>
            <w:pPr>
              <w:widowControl w:val="0"/>
              <w:spacing w:line="240" w:lineRule="auto"/>
              <w:ind w:firstLine="0" w:firstLineChars="0"/>
              <w:jc w:val="center"/>
              <w:rPr>
                <w:rFonts w:cs="Times New Roman"/>
                <w:b w:val="0"/>
                <w:bCs w:val="0"/>
                <w:color w:val="000000" w:themeColor="text1"/>
                <w:kern w:val="2"/>
                <w:sz w:val="21"/>
                <w:szCs w:val="21"/>
                <w:u w:val="none"/>
                <w14:textFill>
                  <w14:solidFill>
                    <w14:schemeClr w14:val="tx1"/>
                  </w14:solidFill>
                </w14:textFill>
              </w:rPr>
            </w:pPr>
            <w:r>
              <w:rPr>
                <w:rFonts w:cs="Times New Roman"/>
                <w:b w:val="0"/>
                <w:bCs w:val="0"/>
                <w:color w:val="000000" w:themeColor="text1"/>
                <w:kern w:val="2"/>
                <w:sz w:val="21"/>
                <w:szCs w:val="21"/>
                <w:u w:val="none"/>
                <w14:textFill>
                  <w14:solidFill>
                    <w14:schemeClr w14:val="tx1"/>
                  </w14:solidFill>
                </w14:textFill>
              </w:rPr>
              <w:t>水质执行标准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0" w:hRule="atLeast"/>
        </w:trPr>
        <w:tc>
          <w:tcPr>
            <w:tcW w:w="1504" w:type="dxa"/>
            <w:tcBorders>
              <w:tl2br w:val="nil"/>
              <w:tr2bl w:val="nil"/>
            </w:tcBorders>
            <w:vAlign w:val="center"/>
          </w:tcPr>
          <w:p>
            <w:pPr>
              <w:widowControl w:val="0"/>
              <w:spacing w:line="240" w:lineRule="auto"/>
              <w:ind w:firstLine="0" w:firstLineChars="0"/>
              <w:jc w:val="center"/>
              <w:rPr>
                <w:rFonts w:hint="default" w:eastAsia="宋体" w:cs="Times New Roman"/>
                <w:color w:val="000000" w:themeColor="text1"/>
                <w:kern w:val="2"/>
                <w:sz w:val="21"/>
                <w:szCs w:val="21"/>
                <w:u w:val="none"/>
                <w:lang w:val="en-US" w:eastAsia="zh-CN"/>
                <w14:textFill>
                  <w14:solidFill>
                    <w14:schemeClr w14:val="tx1"/>
                  </w14:solidFill>
                </w14:textFill>
              </w:rPr>
            </w:pPr>
            <w:r>
              <w:rPr>
                <w:rFonts w:hint="eastAsia" w:cs="Times New Roman"/>
                <w:color w:val="000000" w:themeColor="text1"/>
                <w:kern w:val="2"/>
                <w:sz w:val="21"/>
                <w:szCs w:val="21"/>
                <w:u w:val="none"/>
                <w:lang w:val="en-US" w:eastAsia="zh-CN"/>
                <w14:textFill>
                  <w14:solidFill>
                    <w14:schemeClr w14:val="tx1"/>
                  </w14:solidFill>
                </w14:textFill>
              </w:rPr>
              <w:t>项目西北侧无名小溪</w:t>
            </w:r>
          </w:p>
        </w:tc>
        <w:tc>
          <w:tcPr>
            <w:tcW w:w="1269" w:type="dxa"/>
            <w:tcBorders>
              <w:tl2br w:val="nil"/>
              <w:tr2bl w:val="nil"/>
            </w:tcBorders>
            <w:vAlign w:val="center"/>
          </w:tcPr>
          <w:p>
            <w:pPr>
              <w:widowControl w:val="0"/>
              <w:spacing w:line="240" w:lineRule="auto"/>
              <w:ind w:firstLine="0" w:firstLineChars="0"/>
              <w:jc w:val="center"/>
              <w:rPr>
                <w:rFonts w:cs="Times New Roman"/>
                <w:color w:val="000000" w:themeColor="text1"/>
                <w:kern w:val="2"/>
                <w:sz w:val="21"/>
                <w:szCs w:val="21"/>
                <w:u w:val="none"/>
                <w14:textFill>
                  <w14:solidFill>
                    <w14:schemeClr w14:val="tx1"/>
                  </w14:solidFill>
                </w14:textFill>
              </w:rPr>
            </w:pPr>
            <w:r>
              <w:rPr>
                <w:rFonts w:hint="eastAsia" w:cs="Times New Roman"/>
                <w:color w:val="000000" w:themeColor="text1"/>
                <w:kern w:val="2"/>
                <w:sz w:val="21"/>
                <w:szCs w:val="21"/>
                <w:u w:val="none"/>
                <w14:textFill>
                  <w14:solidFill>
                    <w14:schemeClr w14:val="tx1"/>
                  </w14:solidFill>
                </w14:textFill>
              </w:rPr>
              <w:t>小河渠</w:t>
            </w:r>
          </w:p>
        </w:tc>
        <w:tc>
          <w:tcPr>
            <w:tcW w:w="1543" w:type="dxa"/>
            <w:tcBorders>
              <w:tl2br w:val="nil"/>
              <w:tr2bl w:val="nil"/>
            </w:tcBorders>
            <w:vAlign w:val="center"/>
          </w:tcPr>
          <w:p>
            <w:pPr>
              <w:widowControl w:val="0"/>
              <w:spacing w:line="240" w:lineRule="auto"/>
              <w:ind w:firstLine="0" w:firstLineChars="0"/>
              <w:jc w:val="center"/>
              <w:rPr>
                <w:rFonts w:cs="Times New Roman"/>
                <w:color w:val="000000" w:themeColor="text1"/>
                <w:kern w:val="2"/>
                <w:sz w:val="21"/>
                <w:szCs w:val="21"/>
                <w:u w:val="none"/>
                <w14:textFill>
                  <w14:solidFill>
                    <w14:schemeClr w14:val="tx1"/>
                  </w14:solidFill>
                </w14:textFill>
              </w:rPr>
            </w:pPr>
            <w:r>
              <w:rPr>
                <w:rFonts w:hint="eastAsia" w:cs="Times New Roman"/>
                <w:color w:val="000000" w:themeColor="text1"/>
                <w:kern w:val="2"/>
                <w:sz w:val="21"/>
                <w:szCs w:val="21"/>
                <w:u w:val="none"/>
                <w14:textFill>
                  <w14:solidFill>
                    <w14:schemeClr w14:val="tx1"/>
                  </w14:solidFill>
                </w14:textFill>
              </w:rPr>
              <w:t>直接受纳水体</w:t>
            </w:r>
          </w:p>
        </w:tc>
        <w:tc>
          <w:tcPr>
            <w:tcW w:w="1896" w:type="dxa"/>
            <w:tcBorders>
              <w:tl2br w:val="nil"/>
              <w:tr2bl w:val="nil"/>
            </w:tcBorders>
            <w:vAlign w:val="center"/>
          </w:tcPr>
          <w:p>
            <w:pPr>
              <w:widowControl w:val="0"/>
              <w:spacing w:line="240" w:lineRule="auto"/>
              <w:ind w:firstLine="0" w:firstLineChars="0"/>
              <w:jc w:val="center"/>
              <w:rPr>
                <w:rFonts w:cs="Times New Roman"/>
                <w:color w:val="000000" w:themeColor="text1"/>
                <w:kern w:val="2"/>
                <w:sz w:val="21"/>
                <w:szCs w:val="21"/>
                <w:u w:val="none"/>
                <w14:textFill>
                  <w14:solidFill>
                    <w14:schemeClr w14:val="tx1"/>
                  </w14:solidFill>
                </w14:textFill>
              </w:rPr>
            </w:pPr>
            <w:r>
              <w:rPr>
                <w:rFonts w:hint="eastAsia" w:cs="Times New Roman"/>
                <w:color w:val="000000" w:themeColor="text1"/>
                <w:kern w:val="2"/>
                <w:sz w:val="21"/>
                <w:szCs w:val="21"/>
                <w:u w:val="none"/>
                <w:lang w:val="en-US" w:eastAsia="zh-CN"/>
                <w14:textFill>
                  <w14:solidFill>
                    <w14:schemeClr w14:val="tx1"/>
                  </w14:solidFill>
                </w14:textFill>
              </w:rPr>
              <w:t>论证范围为企业排污口西北侧无名小溪上游500m至西北侧无名小溪下游3000m。</w:t>
            </w:r>
          </w:p>
        </w:tc>
        <w:tc>
          <w:tcPr>
            <w:tcW w:w="1191" w:type="dxa"/>
            <w:tcBorders>
              <w:tl2br w:val="nil"/>
              <w:tr2bl w:val="nil"/>
            </w:tcBorders>
            <w:vAlign w:val="center"/>
          </w:tcPr>
          <w:p>
            <w:pPr>
              <w:widowControl w:val="0"/>
              <w:spacing w:line="240" w:lineRule="auto"/>
              <w:ind w:firstLine="0" w:firstLineChars="0"/>
              <w:jc w:val="center"/>
              <w:rPr>
                <w:rFonts w:hint="default" w:eastAsia="宋体" w:cs="Times New Roman"/>
                <w:color w:val="000000" w:themeColor="text1"/>
                <w:kern w:val="2"/>
                <w:sz w:val="21"/>
                <w:szCs w:val="21"/>
                <w:u w:val="none"/>
                <w:lang w:val="en-US" w:eastAsia="zh-CN"/>
                <w14:textFill>
                  <w14:solidFill>
                    <w14:schemeClr w14:val="tx1"/>
                  </w14:solidFill>
                </w14:textFill>
              </w:rPr>
            </w:pPr>
            <w:r>
              <w:rPr>
                <w:rFonts w:hint="eastAsia" w:cs="Times New Roman"/>
                <w:color w:val="000000" w:themeColor="text1"/>
                <w:kern w:val="2"/>
                <w:sz w:val="21"/>
                <w:szCs w:val="21"/>
                <w:u w:val="none"/>
                <w:lang w:val="en-US" w:eastAsia="zh-CN"/>
                <w14:textFill>
                  <w14:solidFill>
                    <w14:schemeClr w14:val="tx1"/>
                  </w14:solidFill>
                </w14:textFill>
              </w:rPr>
              <w:t>农业灌溉</w:t>
            </w:r>
          </w:p>
        </w:tc>
        <w:tc>
          <w:tcPr>
            <w:tcW w:w="1839" w:type="dxa"/>
            <w:tcBorders>
              <w:tl2br w:val="nil"/>
              <w:tr2bl w:val="nil"/>
            </w:tcBorders>
            <w:vAlign w:val="center"/>
          </w:tcPr>
          <w:p>
            <w:pPr>
              <w:widowControl w:val="0"/>
              <w:spacing w:line="240" w:lineRule="auto"/>
              <w:ind w:firstLine="0" w:firstLineChars="0"/>
              <w:jc w:val="center"/>
              <w:rPr>
                <w:rFonts w:cs="Times New Roman"/>
                <w:color w:val="000000" w:themeColor="text1"/>
                <w:kern w:val="2"/>
                <w:sz w:val="21"/>
                <w:szCs w:val="21"/>
                <w:u w:val="none"/>
                <w14:textFill>
                  <w14:solidFill>
                    <w14:schemeClr w14:val="tx1"/>
                  </w14:solidFill>
                </w14:textFill>
              </w:rPr>
            </w:pPr>
            <w:r>
              <w:rPr>
                <w:rFonts w:hint="eastAsia" w:cs="Times New Roman"/>
                <w:color w:val="000000" w:themeColor="text1"/>
                <w:kern w:val="2"/>
                <w:sz w:val="21"/>
                <w:szCs w:val="21"/>
                <w:u w:val="none"/>
                <w14:textFill>
                  <w14:solidFill>
                    <w14:schemeClr w14:val="tx1"/>
                  </w14:solidFill>
                </w14:textFill>
              </w:rPr>
              <w:t>《地表水环境质量标准》（GB3838-2002）</w:t>
            </w:r>
            <w:r>
              <w:rPr>
                <w:rFonts w:cs="Times New Roman"/>
                <w:color w:val="000000" w:themeColor="text1"/>
                <w:kern w:val="2"/>
                <w:sz w:val="21"/>
                <w:szCs w:val="21"/>
                <w:u w:val="none"/>
                <w14:textFill>
                  <w14:solidFill>
                    <w14:schemeClr w14:val="tx1"/>
                  </w14:solidFill>
                </w14:textFill>
              </w:rPr>
              <w:t>III类</w:t>
            </w:r>
          </w:p>
        </w:tc>
      </w:tr>
    </w:tbl>
    <w:p>
      <w:pPr>
        <w:ind w:firstLine="480"/>
        <w:rPr>
          <w:rFonts w:hint="eastAsia" w:cs="Times New Roman"/>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本项目的建设及运行不能影响到所涉及水功能区的功能，根据《中华人民共和国水法》、《中华人民共和国环境保护法》、《中华人民共和国水污染物防治法》、《中华人民共和国河道管理条例》等法律法规，为了避免破坏河流的生态环境，保护水资源，建设项目单位在施工和运行期间应采取措施，使排污口形成的污染带不得影响其周边水环境功能区的水质目标。</w:t>
      </w:r>
      <w:r>
        <w:rPr>
          <w:rFonts w:hint="eastAsia" w:cs="Times New Roman"/>
          <w:color w:val="000000" w:themeColor="text1"/>
          <w:lang w:val="en-US" w:eastAsia="zh-CN"/>
          <w14:textFill>
            <w14:solidFill>
              <w14:schemeClr w14:val="tx1"/>
            </w14:solidFill>
          </w14:textFill>
        </w:rPr>
        <w:t>本项目周边水系图见下图所示。</w:t>
      </w:r>
    </w:p>
    <w:p>
      <w:pPr>
        <w:ind w:left="0" w:leftChars="0" w:firstLine="0" w:firstLineChars="0"/>
        <w:jc w:val="center"/>
        <w:rPr>
          <w:rFonts w:hint="default" w:cs="Times New Roman"/>
          <w:color w:val="000000" w:themeColor="text1"/>
          <w:lang w:val="en-US" w:eastAsia="zh-CN"/>
          <w14:textFill>
            <w14:solidFill>
              <w14:schemeClr w14:val="tx1"/>
            </w14:solidFill>
          </w14:textFill>
        </w:rPr>
      </w:pPr>
      <w:r>
        <w:rPr>
          <w:rFonts w:hint="default" w:cs="Times New Roman"/>
          <w:color w:val="000000" w:themeColor="text1"/>
          <w:lang w:val="en-US" w:eastAsia="zh-CN"/>
          <w14:textFill>
            <w14:solidFill>
              <w14:schemeClr w14:val="tx1"/>
            </w14:solidFill>
          </w14:textFill>
        </w:rPr>
        <w:drawing>
          <wp:inline distT="0" distB="0" distL="114300" distR="114300">
            <wp:extent cx="5242560" cy="3860800"/>
            <wp:effectExtent l="9525" t="9525" r="24765" b="15875"/>
            <wp:docPr id="13" name="图片 13" descr="项目区域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项目区域水系图"/>
                    <pic:cNvPicPr>
                      <a:picLocks noChangeAspect="1"/>
                    </pic:cNvPicPr>
                  </pic:nvPicPr>
                  <pic:blipFill>
                    <a:blip r:embed="rId30"/>
                    <a:srcRect l="5441" t="2178" r="6837" b="6502"/>
                    <a:stretch>
                      <a:fillRect/>
                    </a:stretch>
                  </pic:blipFill>
                  <pic:spPr>
                    <a:xfrm>
                      <a:off x="0" y="0"/>
                      <a:ext cx="5242560" cy="3860800"/>
                    </a:xfrm>
                    <a:prstGeom prst="rect">
                      <a:avLst/>
                    </a:prstGeom>
                    <a:ln>
                      <a:solidFill>
                        <a:schemeClr val="tx1"/>
                      </a:solidFill>
                    </a:ln>
                  </pic:spPr>
                </pic:pic>
              </a:graphicData>
            </a:graphic>
          </wp:inline>
        </w:drawing>
      </w:r>
    </w:p>
    <w:p>
      <w:pPr>
        <w:pStyle w:val="64"/>
        <w:bidi w:val="0"/>
        <w:rPr>
          <w:rFonts w:hint="default"/>
          <w:lang w:val="en-US" w:eastAsia="zh-CN"/>
        </w:rPr>
      </w:pPr>
      <w:r>
        <w:rPr>
          <w:rFonts w:hint="eastAsia"/>
          <w:lang w:val="en-US" w:eastAsia="zh-CN"/>
        </w:rPr>
        <w:t>项目周边水系图</w:t>
      </w:r>
    </w:p>
    <w:p>
      <w:pPr>
        <w:pStyle w:val="60"/>
        <w:bidi w:val="0"/>
        <w:rPr>
          <w:rFonts w:hint="default"/>
          <w:lang w:val="en-US" w:eastAsia="zh-CN"/>
        </w:rPr>
      </w:pPr>
      <w:bookmarkStart w:id="70" w:name="_Toc3668"/>
      <w:r>
        <w:rPr>
          <w:rFonts w:hint="eastAsia"/>
          <w:lang w:val="en-US" w:eastAsia="zh-CN"/>
        </w:rPr>
        <w:t>水功能区（水域）纳污能力及限制排放总量</w:t>
      </w:r>
      <w:bookmarkEnd w:id="70"/>
    </w:p>
    <w:p>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根据国家和省市生态环境部门对实施污染物排放总量控制的要求以及项目的排放污染特点，确定污染物排放总量控制因子为：化学需氧量、氨氮</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总磷、总氮</w:t>
      </w:r>
      <w:r>
        <w:rPr>
          <w:rFonts w:hint="default" w:ascii="Times New Roman" w:hAnsi="Times New Roman" w:cs="Times New Roman"/>
          <w:color w:val="000000" w:themeColor="text1"/>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rPr>
      </w:pPr>
      <w:r>
        <w:rPr>
          <w:rFonts w:hint="default" w:ascii="Times New Roman" w:hAnsi="Times New Roman" w:cs="Times New Roman"/>
          <w:color w:val="000000" w:themeColor="text1"/>
          <w14:textFill>
            <w14:solidFill>
              <w14:schemeClr w14:val="tx1"/>
            </w14:solidFill>
          </w14:textFill>
        </w:rPr>
        <w:t>根据《入河排污口管理技术导则》（SL532-2011）水域纳污能力应采纳各级水行政主管部门或水域管理机构核定的数据，未核定纳污能力的水域应按《水域纳污能力计算</w:t>
      </w:r>
      <w:r>
        <w:rPr>
          <w:rFonts w:hint="default" w:ascii="Times New Roman" w:hAnsi="Times New Roman" w:cs="Times New Roman"/>
          <w:color w:val="auto"/>
        </w:rPr>
        <w:t>规程》（GBT25173-2010）中规定河水功能区管理要求核算纳污能力。</w:t>
      </w:r>
    </w:p>
    <w:p>
      <w:pPr>
        <w:pStyle w:val="61"/>
        <w:bidi w:val="0"/>
        <w:rPr>
          <w:rFonts w:hint="default"/>
          <w:lang w:val="en-US" w:eastAsia="zh-CN"/>
        </w:rPr>
      </w:pPr>
      <w:r>
        <w:rPr>
          <w:rFonts w:hint="eastAsia"/>
          <w:lang w:val="en-US" w:eastAsia="zh-CN"/>
        </w:rPr>
        <w:t>计算方法及模型选定</w:t>
      </w:r>
    </w:p>
    <w:p>
      <w:pPr>
        <w:ind w:firstLine="480"/>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根据《水域纳污能力计算规程》（GBT25173-2010）河流纳污能力数学模型计算法，计算河段多年平均流量Q将计算河段划分为三种类型：Q≥150m</w:t>
      </w:r>
      <w:r>
        <w:rPr>
          <w:rFonts w:hint="default" w:ascii="Times New Roman" w:hAnsi="Times New Roman" w:cs="Times New Roman"/>
          <w:color w:val="000000" w:themeColor="text1"/>
          <w:u w:val="single"/>
          <w:vertAlign w:val="superscript"/>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/S为大型河段，15m</w:t>
      </w:r>
      <w:r>
        <w:rPr>
          <w:rFonts w:hint="default" w:ascii="Times New Roman" w:hAnsi="Times New Roman" w:cs="Times New Roman"/>
          <w:color w:val="000000" w:themeColor="text1"/>
          <w:u w:val="single"/>
          <w:vertAlign w:val="superscript"/>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/s＜Q＜150m</w:t>
      </w:r>
      <w:r>
        <w:rPr>
          <w:rFonts w:hint="default" w:ascii="Times New Roman" w:hAnsi="Times New Roman" w:cs="Times New Roman"/>
          <w:color w:val="000000" w:themeColor="text1"/>
          <w:u w:val="single"/>
          <w:vertAlign w:val="superscript"/>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/s为中型河段，Q≤15m</w:t>
      </w:r>
      <w:r>
        <w:rPr>
          <w:rFonts w:hint="default" w:ascii="Times New Roman" w:hAnsi="Times New Roman" w:cs="Times New Roman"/>
          <w:color w:val="000000" w:themeColor="text1"/>
          <w:u w:val="single"/>
          <w:vertAlign w:val="superscript"/>
          <w14:textFill>
            <w14:solidFill>
              <w14:schemeClr w14:val="tx1"/>
            </w14:solidFill>
          </w14:textFill>
        </w:rPr>
        <w:t>3</w:t>
      </w:r>
      <w:r>
        <w:rPr>
          <w:rFonts w:hint="default" w:ascii="Times New Roman" w:hAnsi="Times New Roman" w:cs="Times New Roman"/>
          <w:color w:val="000000" w:themeColor="text1"/>
          <w:u w:val="single"/>
          <w14:textFill>
            <w14:solidFill>
              <w14:schemeClr w14:val="tx1"/>
            </w14:solidFill>
          </w14:textFill>
        </w:rPr>
        <w:t>/S为小型河段；</w:t>
      </w:r>
      <w:r>
        <w:rPr>
          <w:rFonts w:hint="default" w:ascii="Times New Roman" w:hAnsi="Times New Roman" w:cs="Times New Roman"/>
          <w:color w:val="000000" w:themeColor="text1"/>
          <w:u w:val="single"/>
          <w:lang w:val="en-US" w:eastAsia="zh-CN"/>
          <w14:textFill>
            <w14:solidFill>
              <w14:schemeClr w14:val="tx1"/>
            </w14:solidFill>
          </w14:textFill>
        </w:rPr>
        <w:t>根据项目监测数据可知（监测报告见附件7），项目西北侧无名小溪（</w:t>
      </w:r>
      <w:r>
        <w:rPr>
          <w:rFonts w:hint="default" w:ascii="Times New Roman" w:hAnsi="Times New Roman" w:cs="Times New Roman"/>
          <w:u w:val="single"/>
        </w:rPr>
        <w:t>0.1</w:t>
      </w:r>
      <w:r>
        <w:rPr>
          <w:rFonts w:hint="default" w:ascii="Times New Roman" w:hAnsi="Times New Roman" w:cs="Times New Roman"/>
          <w:u w:val="single"/>
          <w:lang w:val="en-US" w:eastAsia="zh-CN"/>
        </w:rPr>
        <w:t>55</w:t>
      </w:r>
      <w:r>
        <w:rPr>
          <w:rFonts w:hint="default" w:ascii="Times New Roman" w:hAnsi="Times New Roman" w:cs="Times New Roman"/>
          <w:u w:val="single"/>
        </w:rPr>
        <w:t>m</w:t>
      </w:r>
      <w:r>
        <w:rPr>
          <w:rFonts w:hint="default" w:ascii="Times New Roman" w:hAnsi="Times New Roman" w:cs="Times New Roman"/>
          <w:u w:val="single"/>
          <w:vertAlign w:val="superscript"/>
        </w:rPr>
        <w:t>3</w:t>
      </w:r>
      <w:r>
        <w:rPr>
          <w:rFonts w:hint="default" w:ascii="Times New Roman" w:hAnsi="Times New Roman" w:cs="Times New Roman"/>
          <w:u w:val="single"/>
        </w:rPr>
        <w:t>/s</w:t>
      </w:r>
      <w:r>
        <w:rPr>
          <w:rFonts w:hint="default" w:ascii="Times New Roman" w:hAnsi="Times New Roman" w:cs="Times New Roman"/>
          <w:color w:val="000000" w:themeColor="text1"/>
          <w:u w:val="single"/>
          <w:lang w:val="en-US" w:eastAsia="zh-CN"/>
          <w14:textFill>
            <w14:solidFill>
              <w14:schemeClr w14:val="tx1"/>
            </w14:solidFill>
          </w14:textFill>
        </w:rPr>
        <w:t>）</w:t>
      </w:r>
      <w:r>
        <w:rPr>
          <w:rFonts w:hint="default" w:ascii="Times New Roman" w:hAnsi="Times New Roman" w:cs="Times New Roman"/>
          <w:color w:val="000000" w:themeColor="text1"/>
          <w:u w:val="single"/>
          <w14:textFill>
            <w14:solidFill>
              <w14:schemeClr w14:val="tx1"/>
            </w14:solidFill>
          </w14:textFill>
        </w:rPr>
        <w:t>均属于小型河段。</w:t>
      </w:r>
    </w:p>
    <w:p>
      <w:pPr>
        <w:ind w:firstLine="480"/>
        <w:rPr>
          <w:rFonts w:hint="default" w:ascii="Times New Roman" w:hAnsi="Times New Roman" w:cs="Times New Roman"/>
          <w:color w:val="000000" w:themeColor="text1"/>
          <w:u w:val="single"/>
          <w14:textFill>
            <w14:solidFill>
              <w14:schemeClr w14:val="tx1"/>
            </w14:solidFill>
          </w14:textFill>
        </w:rPr>
      </w:pPr>
      <w:r>
        <w:rPr>
          <w:rFonts w:cs="Times New Roman"/>
          <w:color w:val="000000" w:themeColor="text1"/>
          <w:u w:val="single"/>
          <w14:textFill>
            <w14:solidFill>
              <w14:schemeClr w14:val="tx1"/>
            </w14:solidFill>
          </w14:textFill>
        </w:rPr>
        <w:t>水域纳污能力采用</w:t>
      </w:r>
      <w:r>
        <w:rPr>
          <w:rFonts w:hint="eastAsia" w:cs="Times New Roman"/>
          <w:color w:val="000000" w:themeColor="text1"/>
          <w:u w:val="single"/>
          <w:lang w:val="en-US" w:eastAsia="zh-CN"/>
          <w14:textFill>
            <w14:solidFill>
              <w14:schemeClr w14:val="tx1"/>
            </w14:solidFill>
          </w14:textFill>
        </w:rPr>
        <w:t>河流</w:t>
      </w:r>
      <w:r>
        <w:rPr>
          <w:rFonts w:hint="eastAsia" w:cs="Times New Roman"/>
          <w:i w:val="0"/>
          <w:iCs w:val="0"/>
          <w:color w:val="000000" w:themeColor="text1"/>
          <w:u w:val="single"/>
          <w:lang w:val="en-US" w:eastAsia="zh-CN"/>
          <w14:textFill>
            <w14:solidFill>
              <w14:schemeClr w14:val="tx1"/>
            </w14:solidFill>
          </w14:textFill>
        </w:rPr>
        <w:t>零维模型</w:t>
      </w:r>
      <w:r>
        <w:rPr>
          <w:rFonts w:hint="eastAsia" w:cs="Times New Roman"/>
          <w:color w:val="000000" w:themeColor="text1"/>
          <w:u w:val="single"/>
          <w:lang w:val="en-US" w:eastAsia="zh-CN"/>
          <w14:textFill>
            <w14:solidFill>
              <w14:schemeClr w14:val="tx1"/>
            </w14:solidFill>
          </w14:textFill>
        </w:rPr>
        <w:t>计算</w:t>
      </w:r>
      <w:r>
        <w:rPr>
          <w:rFonts w:cs="Times New Roman"/>
          <w:color w:val="000000" w:themeColor="text1"/>
          <w:u w:val="single"/>
          <w14:textFill>
            <w14:solidFill>
              <w14:schemeClr w14:val="tx1"/>
            </w14:solidFill>
          </w14:textFill>
        </w:rPr>
        <w:t>：</w:t>
      </w:r>
    </w:p>
    <w:p>
      <w:pPr>
        <w:ind w:firstLine="480"/>
        <w:jc w:val="center"/>
        <w:rPr>
          <w:rFonts w:cs="Times New Roman"/>
          <w:color w:val="000000" w:themeColor="text1"/>
          <w:u w:val="single"/>
          <w14:textFill>
            <w14:solidFill>
              <w14:schemeClr w14:val="tx1"/>
            </w14:solidFill>
          </w14:textFill>
        </w:rPr>
      </w:pPr>
      <w:r>
        <w:rPr>
          <w:rFonts w:cs="Times New Roman"/>
          <w:color w:val="000000" w:themeColor="text1"/>
          <w:position w:val="-14"/>
          <w:u w:val="single"/>
          <w14:textFill>
            <w14:solidFill>
              <w14:schemeClr w14:val="tx1"/>
            </w14:solidFill>
          </w14:textFill>
        </w:rPr>
        <w:object>
          <v:shape id="_x0000_i1029" o:spt="75" type="#_x0000_t75" style="height:19pt;width:110pt;" o:ole="t" filled="f" o:preferrelative="t" stroked="f" coordsize="21600,21600">
            <v:path/>
            <v:fill on="f" focussize="0,0"/>
            <v:stroke on="f"/>
            <v:imagedata r:id="rId32" o:title=""/>
            <o:lock v:ext="edit" aspectratio="t"/>
            <w10:wrap type="none"/>
            <w10:anchorlock/>
          </v:shape>
          <o:OLEObject Type="Embed" ProgID="Equation.KSEE3" ShapeID="_x0000_i1029" DrawAspect="Content" ObjectID="_1468075729" r:id="rId31">
            <o:LockedField>false</o:LockedField>
          </o:OLEObject>
        </w:object>
      </w:r>
    </w:p>
    <w:p>
      <w:pPr>
        <w:pStyle w:val="103"/>
        <w:bidi w:val="0"/>
        <w:rPr>
          <w:color w:val="000000" w:themeColor="text1"/>
          <w:u w:val="single"/>
          <w14:textFill>
            <w14:solidFill>
              <w14:schemeClr w14:val="tx1"/>
            </w14:solidFill>
          </w14:textFill>
        </w:rPr>
      </w:pPr>
      <w:r>
        <w:rPr>
          <w:color w:val="000000" w:themeColor="text1"/>
          <w:u w:val="single"/>
          <w14:textFill>
            <w14:solidFill>
              <w14:schemeClr w14:val="tx1"/>
            </w14:solidFill>
          </w14:textFill>
        </w:rPr>
        <w:t>式中：</w:t>
      </w:r>
    </w:p>
    <w:p>
      <w:pPr>
        <w:pStyle w:val="103"/>
        <w:bidi w:val="0"/>
        <w:ind w:firstLine="960" w:firstLineChars="400"/>
        <w:rPr>
          <w:color w:val="000000" w:themeColor="text1"/>
          <w:u w:val="single"/>
          <w14:textFill>
            <w14:solidFill>
              <w14:schemeClr w14:val="tx1"/>
            </w14:solidFill>
          </w14:textFill>
        </w:rPr>
      </w:pPr>
      <w:r>
        <w:rPr>
          <w:rFonts w:cs="Times New Roman"/>
          <w:color w:val="000000" w:themeColor="text1"/>
          <w:u w:val="single"/>
          <w14:textFill>
            <w14:solidFill>
              <w14:schemeClr w14:val="tx1"/>
            </w14:solidFill>
          </w14:textFill>
        </w:rPr>
        <w:object>
          <v:shape id="_x0000_i1030" o:spt="75" type="#_x0000_t75" style="height:12.8pt;width:15.85pt;" o:ole="t" filled="f" o:preferrelative="t" stroked="f" coordsize="21600,21600">
            <v:path/>
            <v:fill on="f" focussize="0,0"/>
            <v:stroke on="f" joinstyle="miter"/>
            <v:imagedata r:id="rId34" o:title=""/>
            <o:lock v:ext="edit" aspectratio="t"/>
            <w10:wrap type="none"/>
            <w10:anchorlock/>
          </v:shape>
          <o:OLEObject Type="Embed" ProgID="Equations" ShapeID="_x0000_i1030" DrawAspect="Content" ObjectID="_1468075730" r:id="rId33">
            <o:LockedField>false</o:LockedField>
          </o:OLEObject>
        </w:object>
      </w:r>
      <w:r>
        <w:rPr>
          <w:color w:val="000000" w:themeColor="text1"/>
          <w:u w:val="single"/>
          <w14:textFill>
            <w14:solidFill>
              <w14:schemeClr w14:val="tx1"/>
            </w14:solidFill>
          </w14:textFill>
        </w:rPr>
        <w:t>—水域纳污能力，g/s；</w:t>
      </w:r>
    </w:p>
    <w:p>
      <w:pPr>
        <w:pStyle w:val="103"/>
        <w:bidi w:val="0"/>
        <w:ind w:firstLine="960" w:firstLineChars="400"/>
        <w:rPr>
          <w:color w:val="000000" w:themeColor="text1"/>
          <w:u w:val="single"/>
          <w14:textFill>
            <w14:solidFill>
              <w14:schemeClr w14:val="tx1"/>
            </w14:solidFill>
          </w14:textFill>
        </w:rPr>
      </w:pPr>
      <w:r>
        <w:rPr>
          <w:rFonts w:cs="Times New Roman"/>
          <w:color w:val="000000" w:themeColor="text1"/>
          <w:u w:val="single"/>
          <w14:textFill>
            <w14:solidFill>
              <w14:schemeClr w14:val="tx1"/>
            </w14:solidFill>
          </w14:textFill>
        </w:rPr>
        <w:object>
          <v:shape id="_x0000_i1031" o:spt="75" type="#_x0000_t75" style="height:17.7pt;width:15.85pt;" o:ole="t" filled="f" o:preferrelative="t" stroked="f" coordsize="21600,21600">
            <v:path/>
            <v:fill on="f" focussize="0,0"/>
            <v:stroke on="f" joinstyle="miter"/>
            <v:imagedata r:id="rId36" o:title=""/>
            <o:lock v:ext="edit" aspectratio="t"/>
            <w10:wrap type="none"/>
            <w10:anchorlock/>
          </v:shape>
          <o:OLEObject Type="Embed" ProgID="Equations" ShapeID="_x0000_i1031" DrawAspect="Content" ObjectID="_1468075731" r:id="rId35">
            <o:LockedField>false</o:LockedField>
          </o:OLEObject>
        </w:object>
      </w:r>
      <w:r>
        <w:rPr>
          <w:color w:val="000000" w:themeColor="text1"/>
          <w:u w:val="single"/>
          <w14:textFill>
            <w14:solidFill>
              <w14:schemeClr w14:val="tx1"/>
            </w14:solidFill>
          </w14:textFill>
        </w:rPr>
        <w:t>—水质目标浓度值，mg/L；</w:t>
      </w:r>
    </w:p>
    <w:p>
      <w:pPr>
        <w:pStyle w:val="103"/>
        <w:bidi w:val="0"/>
        <w:ind w:firstLine="960" w:firstLineChars="400"/>
        <w:rPr>
          <w:color w:val="000000" w:themeColor="text1"/>
          <w:u w:val="single"/>
          <w14:textFill>
            <w14:solidFill>
              <w14:schemeClr w14:val="tx1"/>
            </w14:solidFill>
          </w14:textFill>
        </w:rPr>
      </w:pPr>
      <w:r>
        <w:rPr>
          <w:rFonts w:cs="Times New Roman"/>
          <w:color w:val="000000" w:themeColor="text1"/>
          <w:position w:val="-12"/>
          <w:u w:val="single"/>
          <w14:textFill>
            <w14:solidFill>
              <w14:schemeClr w14:val="tx1"/>
            </w14:solidFill>
          </w14:textFill>
        </w:rPr>
        <w:object>
          <v:shape id="_x0000_i1032" o:spt="75" type="#_x0000_t75" style="height:17.7pt;width:15.25pt;" o:ole="t" filled="f" o:preferrelative="t" stroked="f" coordsize="21600,21600">
            <v:path/>
            <v:fill on="f" focussize="0,0"/>
            <v:stroke on="f" joinstyle="miter"/>
            <v:imagedata r:id="rId38" o:title=""/>
            <o:lock v:ext="edit" aspectratio="t"/>
            <w10:wrap type="none"/>
            <w10:anchorlock/>
          </v:shape>
          <o:OLEObject Type="Embed" ProgID="Equation.3" ShapeID="_x0000_i1032" DrawAspect="Content" ObjectID="_1468075732" r:id="rId37">
            <o:LockedField>false</o:LockedField>
          </o:OLEObject>
        </w:object>
      </w:r>
      <w:r>
        <w:rPr>
          <w:color w:val="000000" w:themeColor="text1"/>
          <w:u w:val="single"/>
          <w14:textFill>
            <w14:solidFill>
              <w14:schemeClr w14:val="tx1"/>
            </w14:solidFill>
          </w14:textFill>
        </w:rPr>
        <w:t>—初始断面污染物浓度，mg/L；</w:t>
      </w:r>
    </w:p>
    <w:p>
      <w:pPr>
        <w:pStyle w:val="103"/>
        <w:bidi w:val="0"/>
        <w:ind w:firstLine="960" w:firstLineChars="400"/>
        <w:rPr>
          <w:color w:val="000000" w:themeColor="text1"/>
          <w:u w:val="single"/>
          <w14:textFill>
            <w14:solidFill>
              <w14:schemeClr w14:val="tx1"/>
            </w14:solidFill>
          </w14:textFill>
        </w:rPr>
      </w:pPr>
      <w:r>
        <w:rPr>
          <w:rFonts w:cs="Times New Roman"/>
          <w:color w:val="000000" w:themeColor="text1"/>
          <w:u w:val="single"/>
          <w14:textFill>
            <w14:solidFill>
              <w14:schemeClr w14:val="tx1"/>
            </w14:solidFill>
          </w14:textFill>
        </w:rPr>
        <w:object>
          <v:shape id="_x0000_i1033" o:spt="75" type="#_x0000_t75" style="height:15.85pt;width:12.2pt;" o:ole="t" filled="f" o:preferrelative="t" stroked="f" coordsize="21600,21600">
            <v:path/>
            <v:fill on="f" focussize="0,0"/>
            <v:stroke on="f" joinstyle="miter"/>
            <v:imagedata r:id="rId40" o:title=""/>
            <o:lock v:ext="edit" aspectratio="t"/>
            <w10:wrap type="none"/>
            <w10:anchorlock/>
          </v:shape>
          <o:OLEObject Type="Embed" ProgID="Equations" ShapeID="_x0000_i1033" DrawAspect="Content" ObjectID="_1468075733" r:id="rId39">
            <o:LockedField>false</o:LockedField>
          </o:OLEObject>
        </w:object>
      </w:r>
      <w:r>
        <w:rPr>
          <w:color w:val="000000" w:themeColor="text1"/>
          <w:u w:val="single"/>
          <w14:textFill>
            <w14:solidFill>
              <w14:schemeClr w14:val="tx1"/>
            </w14:solidFill>
          </w14:textFill>
        </w:rPr>
        <w:t>—初始断面的入流流量，m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/s；</w:t>
      </w:r>
    </w:p>
    <w:p>
      <w:pPr>
        <w:pStyle w:val="103"/>
        <w:bidi w:val="0"/>
        <w:ind w:firstLine="960" w:firstLineChars="400"/>
        <w:rPr>
          <w:color w:val="000000" w:themeColor="text1"/>
          <w:u w:val="single"/>
          <w14:textFill>
            <w14:solidFill>
              <w14:schemeClr w14:val="tx1"/>
            </w14:solidFill>
          </w14:textFill>
        </w:rPr>
      </w:pPr>
      <w:r>
        <w:rPr>
          <w:rFonts w:cs="Times New Roman"/>
          <w:color w:val="000000" w:themeColor="text1"/>
          <w:u w:val="single"/>
          <w14:textFill>
            <w14:solidFill>
              <w14:schemeClr w14:val="tx1"/>
            </w14:solidFill>
          </w14:textFill>
        </w:rPr>
        <w:object>
          <v:shape id="_x0000_i1034" o:spt="75" type="#_x0000_t75" style="height:17.1pt;width:17.1pt;" o:ole="t" filled="f" o:preferrelative="t" stroked="f" coordsize="21600,21600">
            <v:path/>
            <v:fill on="f" focussize="0,0"/>
            <v:stroke on="f" joinstyle="miter"/>
            <v:imagedata r:id="rId42" o:title=""/>
            <o:lock v:ext="edit" aspectratio="t"/>
            <w10:wrap type="none"/>
            <w10:anchorlock/>
          </v:shape>
          <o:OLEObject Type="Embed" ProgID="Equations" ShapeID="_x0000_i1034" DrawAspect="Content" ObjectID="_1468075734" r:id="rId41">
            <o:LockedField>false</o:LockedField>
          </o:OLEObject>
        </w:object>
      </w:r>
      <w:r>
        <w:rPr>
          <w:color w:val="000000" w:themeColor="text1"/>
          <w:u w:val="single"/>
          <w14:textFill>
            <w14:solidFill>
              <w14:schemeClr w14:val="tx1"/>
            </w14:solidFill>
          </w14:textFill>
        </w:rPr>
        <w:t>—废污水排放流量，m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/s；</w:t>
      </w:r>
    </w:p>
    <w:p>
      <w:pPr>
        <w:ind w:firstLine="480"/>
        <w:rPr>
          <w:rFonts w:cs="Times New Roman"/>
          <w:color w:val="000000" w:themeColor="text1"/>
          <w:u w:val="single"/>
          <w14:textFill>
            <w14:solidFill>
              <w14:schemeClr w14:val="tx1"/>
            </w14:solidFill>
          </w14:textFill>
        </w:rPr>
      </w:pPr>
      <w:r>
        <w:rPr>
          <w:rFonts w:hint="eastAsia" w:cs="Times New Roman"/>
          <w:color w:val="000000" w:themeColor="text1"/>
          <w:u w:val="single"/>
          <w:lang w:val="en-US" w:eastAsia="zh-CN"/>
          <w14:textFill>
            <w14:solidFill>
              <w14:schemeClr w14:val="tx1"/>
            </w14:solidFill>
          </w14:textFill>
        </w:rPr>
        <w:t>项目西北侧无名小溪</w:t>
      </w:r>
      <w:r>
        <w:rPr>
          <w:rFonts w:hint="eastAsia" w:cs="Times New Roman"/>
          <w:color w:val="000000" w:themeColor="text1"/>
          <w:u w:val="single"/>
          <w14:textFill>
            <w14:solidFill>
              <w14:schemeClr w14:val="tx1"/>
            </w14:solidFill>
          </w14:textFill>
        </w:rPr>
        <w:t>：</w:t>
      </w:r>
    </w:p>
    <w:p>
      <w:pPr>
        <w:ind w:firstLine="720" w:firstLineChars="300"/>
        <w:rPr>
          <w:rFonts w:cs="Times New Roman"/>
          <w:color w:val="000000" w:themeColor="text1"/>
          <w:kern w:val="0"/>
          <w:u w:val="single"/>
          <w:lang w:bidi="ar"/>
          <w14:textFill>
            <w14:solidFill>
              <w14:schemeClr w14:val="tx1"/>
            </w14:solidFill>
          </w14:textFill>
        </w:rPr>
      </w:pPr>
      <w:r>
        <w:rPr>
          <w:rFonts w:cs="Times New Roman"/>
          <w:color w:val="000000" w:themeColor="text1"/>
          <w:u w:val="single"/>
          <w14:textFill>
            <w14:solidFill>
              <w14:schemeClr w14:val="tx1"/>
            </w14:solidFill>
          </w14:textFill>
        </w:rPr>
        <w:t>COD</w:t>
      </w:r>
      <w:r>
        <w:rPr>
          <w:rFonts w:cs="Times New Roman"/>
          <w:color w:val="000000" w:themeColor="text1"/>
          <w:u w:val="single"/>
          <w:vertAlign w:val="subscript"/>
          <w14:textFill>
            <w14:solidFill>
              <w14:schemeClr w14:val="tx1"/>
            </w14:solidFill>
          </w14:textFill>
        </w:rPr>
        <w:t>Cr</w:t>
      </w:r>
      <w:r>
        <w:rPr>
          <w:rFonts w:hint="eastAsia" w:cs="Times New Roman"/>
          <w:color w:val="000000" w:themeColor="text1"/>
          <w:kern w:val="0"/>
          <w:u w:val="single"/>
          <w:lang w:bidi="ar"/>
          <w14:textFill>
            <w14:solidFill>
              <w14:schemeClr w14:val="tx1"/>
            </w14:solidFill>
          </w14:textFill>
        </w:rPr>
        <w:t>的</w:t>
      </w:r>
      <w:r>
        <w:rPr>
          <w:rFonts w:cs="Times New Roman"/>
          <w:color w:val="000000" w:themeColor="text1"/>
          <w:kern w:val="0"/>
          <w:u w:val="single"/>
          <w:lang w:bidi="ar"/>
          <w14:textFill>
            <w14:solidFill>
              <w14:schemeClr w14:val="tx1"/>
            </w14:solidFill>
          </w14:textFill>
        </w:rPr>
        <w:t>水域纳污能力M</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20</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10</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0.1555</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0.0001</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1.556</w:t>
      </w:r>
      <w:r>
        <w:rPr>
          <w:rFonts w:cs="Times New Roman"/>
          <w:color w:val="000000" w:themeColor="text1"/>
          <w:kern w:val="0"/>
          <w:u w:val="single"/>
          <w:lang w:bidi="ar"/>
          <w14:textFill>
            <w14:solidFill>
              <w14:schemeClr w14:val="tx1"/>
            </w14:solidFill>
          </w14:textFill>
        </w:rPr>
        <w:t>g/s</w:t>
      </w:r>
    </w:p>
    <w:p>
      <w:pPr>
        <w:ind w:firstLine="720" w:firstLineChars="300"/>
        <w:rPr>
          <w:rFonts w:hint="eastAsia" w:cs="Times New Roman"/>
          <w:color w:val="000000" w:themeColor="text1"/>
          <w:kern w:val="0"/>
          <w:u w:val="single"/>
          <w:lang w:bidi="ar"/>
          <w14:textFill>
            <w14:solidFill>
              <w14:schemeClr w14:val="tx1"/>
            </w14:solidFill>
          </w14:textFill>
        </w:rPr>
      </w:pPr>
      <w:r>
        <w:rPr>
          <w:rFonts w:hint="eastAsia" w:cs="Times New Roman"/>
          <w:color w:val="000000" w:themeColor="text1"/>
          <w:kern w:val="0"/>
          <w:u w:val="single"/>
          <w:lang w:bidi="ar"/>
          <w14:textFill>
            <w14:solidFill>
              <w14:schemeClr w14:val="tx1"/>
            </w14:solidFill>
          </w14:textFill>
        </w:rPr>
        <w:t>氨氮的水域纳污能力M=（</w:t>
      </w:r>
      <w:r>
        <w:rPr>
          <w:rFonts w:hint="eastAsia" w:cs="Times New Roman"/>
          <w:color w:val="000000" w:themeColor="text1"/>
          <w:kern w:val="0"/>
          <w:u w:val="single"/>
          <w:lang w:val="en-US" w:eastAsia="zh-CN" w:bidi="ar"/>
          <w14:textFill>
            <w14:solidFill>
              <w14:schemeClr w14:val="tx1"/>
            </w14:solidFill>
          </w14:textFill>
        </w:rPr>
        <w:t>15</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0.297</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0.1555</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0.0001</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2.288</w:t>
      </w:r>
      <w:r>
        <w:rPr>
          <w:rFonts w:hint="eastAsia" w:cs="Times New Roman"/>
          <w:color w:val="000000" w:themeColor="text1"/>
          <w:kern w:val="0"/>
          <w:u w:val="single"/>
          <w:lang w:bidi="ar"/>
          <w14:textFill>
            <w14:solidFill>
              <w14:schemeClr w14:val="tx1"/>
            </w14:solidFill>
          </w14:textFill>
        </w:rPr>
        <w:t>g/s</w:t>
      </w:r>
    </w:p>
    <w:p>
      <w:pPr>
        <w:ind w:firstLine="720" w:firstLineChars="300"/>
        <w:rPr>
          <w:rFonts w:hint="eastAsia" w:cs="Times New Roman"/>
          <w:color w:val="000000" w:themeColor="text1"/>
          <w:kern w:val="0"/>
          <w:u w:val="single"/>
          <w:lang w:bidi="ar"/>
          <w14:textFill>
            <w14:solidFill>
              <w14:schemeClr w14:val="tx1"/>
            </w14:solidFill>
          </w14:textFill>
        </w:rPr>
      </w:pPr>
      <w:r>
        <w:rPr>
          <w:rFonts w:hint="eastAsia" w:cs="Times New Roman"/>
          <w:color w:val="000000" w:themeColor="text1"/>
          <w:kern w:val="0"/>
          <w:u w:val="single"/>
          <w:lang w:val="en-US" w:eastAsia="zh-CN" w:bidi="ar"/>
          <w14:textFill>
            <w14:solidFill>
              <w14:schemeClr w14:val="tx1"/>
            </w14:solidFill>
          </w14:textFill>
        </w:rPr>
        <w:t>总磷</w:t>
      </w:r>
      <w:r>
        <w:rPr>
          <w:rFonts w:hint="eastAsia" w:cs="Times New Roman"/>
          <w:color w:val="000000" w:themeColor="text1"/>
          <w:kern w:val="0"/>
          <w:u w:val="single"/>
          <w:lang w:bidi="ar"/>
          <w14:textFill>
            <w14:solidFill>
              <w14:schemeClr w14:val="tx1"/>
            </w14:solidFill>
          </w14:textFill>
        </w:rPr>
        <w:t>的水域纳污能力M=（</w:t>
      </w:r>
      <w:r>
        <w:rPr>
          <w:rFonts w:hint="eastAsia" w:cs="Times New Roman"/>
          <w:color w:val="000000" w:themeColor="text1"/>
          <w:kern w:val="0"/>
          <w:u w:val="single"/>
          <w:lang w:val="en-US" w:eastAsia="zh-CN" w:bidi="ar"/>
          <w14:textFill>
            <w14:solidFill>
              <w14:schemeClr w14:val="tx1"/>
            </w14:solidFill>
          </w14:textFill>
        </w:rPr>
        <w:t>1</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0.09</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0.1555</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0.0001</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0.142</w:t>
      </w:r>
      <w:r>
        <w:rPr>
          <w:rFonts w:hint="eastAsia" w:cs="Times New Roman"/>
          <w:color w:val="000000" w:themeColor="text1"/>
          <w:kern w:val="0"/>
          <w:u w:val="single"/>
          <w:lang w:bidi="ar"/>
          <w14:textFill>
            <w14:solidFill>
              <w14:schemeClr w14:val="tx1"/>
            </w14:solidFill>
          </w14:textFill>
        </w:rPr>
        <w:t>g/s</w:t>
      </w:r>
    </w:p>
    <w:p>
      <w:pPr>
        <w:ind w:firstLine="720" w:firstLineChars="300"/>
        <w:rPr>
          <w:rFonts w:hint="eastAsia" w:cs="Times New Roman"/>
          <w:color w:val="000000" w:themeColor="text1"/>
          <w:kern w:val="0"/>
          <w:u w:val="single"/>
          <w:lang w:bidi="ar"/>
          <w14:textFill>
            <w14:solidFill>
              <w14:schemeClr w14:val="tx1"/>
            </w14:solidFill>
          </w14:textFill>
        </w:rPr>
      </w:pPr>
      <w:r>
        <w:rPr>
          <w:rFonts w:hint="eastAsia" w:cs="Times New Roman"/>
          <w:color w:val="000000" w:themeColor="text1"/>
          <w:kern w:val="0"/>
          <w:u w:val="single"/>
          <w:lang w:val="en-US" w:eastAsia="zh-CN" w:bidi="ar"/>
          <w14:textFill>
            <w14:solidFill>
              <w14:schemeClr w14:val="tx1"/>
            </w14:solidFill>
          </w14:textFill>
        </w:rPr>
        <w:t>总氮</w:t>
      </w:r>
      <w:r>
        <w:rPr>
          <w:rFonts w:hint="eastAsia" w:cs="Times New Roman"/>
          <w:color w:val="000000" w:themeColor="text1"/>
          <w:kern w:val="0"/>
          <w:u w:val="single"/>
          <w:lang w:bidi="ar"/>
          <w14:textFill>
            <w14:solidFill>
              <w14:schemeClr w14:val="tx1"/>
            </w14:solidFill>
          </w14:textFill>
        </w:rPr>
        <w:t>的水域纳污能力M=（</w:t>
      </w:r>
      <w:r>
        <w:rPr>
          <w:rFonts w:hint="eastAsia" w:cs="Times New Roman"/>
          <w:color w:val="000000" w:themeColor="text1"/>
          <w:kern w:val="0"/>
          <w:u w:val="single"/>
          <w:lang w:val="en-US" w:eastAsia="zh-CN" w:bidi="ar"/>
          <w14:textFill>
            <w14:solidFill>
              <w14:schemeClr w14:val="tx1"/>
            </w14:solidFill>
          </w14:textFill>
        </w:rPr>
        <w:t>20</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0.42</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0.1555</w:t>
      </w:r>
      <w:r>
        <w:rPr>
          <w:rFonts w:hint="eastAsia" w:cs="Times New Roman"/>
          <w:color w:val="000000" w:themeColor="text1"/>
          <w:kern w:val="0"/>
          <w:u w:val="single"/>
          <w:lang w:bidi="ar"/>
          <w14:textFill>
            <w14:solidFill>
              <w14:schemeClr w14:val="tx1"/>
            </w14:solidFill>
          </w14:textFill>
        </w:rPr>
        <w:t>+</w:t>
      </w:r>
      <w:r>
        <w:rPr>
          <w:rFonts w:hint="eastAsia" w:hAnsi="宋体" w:eastAsia="宋体" w:cs="Times New Roman"/>
          <w:color w:val="auto"/>
          <w:sz w:val="24"/>
          <w:szCs w:val="24"/>
          <w:u w:val="single"/>
          <w:lang w:val="en-US" w:eastAsia="zh-CN"/>
        </w:rPr>
        <w:t>0.0001</w:t>
      </w:r>
      <w:r>
        <w:rPr>
          <w:rFonts w:hint="eastAsia" w:cs="Times New Roman"/>
          <w:color w:val="000000" w:themeColor="text1"/>
          <w:kern w:val="0"/>
          <w:u w:val="single"/>
          <w:lang w:bidi="ar"/>
          <w14:textFill>
            <w14:solidFill>
              <w14:schemeClr w14:val="tx1"/>
            </w14:solidFill>
          </w14:textFill>
        </w:rPr>
        <w:t>）=</w:t>
      </w:r>
      <w:r>
        <w:rPr>
          <w:rFonts w:hint="eastAsia" w:cs="Times New Roman"/>
          <w:color w:val="000000" w:themeColor="text1"/>
          <w:kern w:val="0"/>
          <w:u w:val="single"/>
          <w:lang w:val="en-US" w:eastAsia="zh-CN" w:bidi="ar"/>
          <w14:textFill>
            <w14:solidFill>
              <w14:schemeClr w14:val="tx1"/>
            </w14:solidFill>
          </w14:textFill>
        </w:rPr>
        <w:t>3.05</w:t>
      </w:r>
      <w:r>
        <w:rPr>
          <w:rFonts w:hint="eastAsia" w:cs="Times New Roman"/>
          <w:color w:val="000000" w:themeColor="text1"/>
          <w:kern w:val="0"/>
          <w:u w:val="single"/>
          <w:lang w:bidi="ar"/>
          <w14:textFill>
            <w14:solidFill>
              <w14:schemeClr w14:val="tx1"/>
            </w14:solidFill>
          </w14:textFill>
        </w:rPr>
        <w:t>g/s</w:t>
      </w:r>
    </w:p>
    <w:p>
      <w:pPr>
        <w:ind w:firstLine="480"/>
        <w:rPr>
          <w:rFonts w:cs="Times New Roman"/>
          <w:color w:val="auto"/>
          <w:u w:val="single"/>
        </w:rPr>
      </w:pPr>
      <w:r>
        <w:rPr>
          <w:rFonts w:cs="Times New Roman"/>
          <w:color w:val="auto"/>
          <w:u w:val="single"/>
        </w:rPr>
        <w:t>本次河段纳污能力计算河段为</w:t>
      </w:r>
      <w:r>
        <w:rPr>
          <w:rFonts w:hint="eastAsia" w:cs="Times New Roman"/>
          <w:color w:val="auto"/>
          <w:u w:val="single"/>
        </w:rPr>
        <w:t>废水</w:t>
      </w:r>
      <w:r>
        <w:rPr>
          <w:rFonts w:cs="Times New Roman"/>
          <w:color w:val="auto"/>
          <w:u w:val="single"/>
        </w:rPr>
        <w:t>总排口下游</w:t>
      </w:r>
      <w:r>
        <w:rPr>
          <w:rFonts w:hint="eastAsia"/>
          <w:color w:val="000000" w:themeColor="text1"/>
          <w:u w:val="single"/>
          <w:lang w:val="en-US" w:eastAsia="zh-CN"/>
          <w14:textFill>
            <w14:solidFill>
              <w14:schemeClr w14:val="tx1"/>
            </w14:solidFill>
          </w14:textFill>
        </w:rPr>
        <w:t>项目西北侧无名小溪</w:t>
      </w:r>
      <w:r>
        <w:rPr>
          <w:rFonts w:cs="Times New Roman"/>
          <w:color w:val="auto"/>
          <w:u w:val="single"/>
        </w:rPr>
        <w:t>。成果见下表。</w:t>
      </w:r>
    </w:p>
    <w:p>
      <w:pPr>
        <w:pStyle w:val="56"/>
        <w:bidi w:val="0"/>
        <w:ind w:left="960" w:leftChars="0" w:firstLineChars="0"/>
        <w:rPr>
          <w:rFonts w:hint="default"/>
          <w:u w:val="single"/>
          <w:vertAlign w:val="baseline"/>
          <w:lang w:val="en-US" w:eastAsia="zh-CN"/>
        </w:rPr>
      </w:pPr>
      <w:r>
        <w:rPr>
          <w:rFonts w:hint="eastAsia"/>
          <w:u w:val="single"/>
          <w:vertAlign w:val="baseline"/>
          <w:lang w:val="en-US" w:eastAsia="zh-CN"/>
        </w:rPr>
        <w:t>断面纳污能力计算表（现状水平年）</w:t>
      </w:r>
    </w:p>
    <w:tbl>
      <w:tblPr>
        <w:tblStyle w:val="39"/>
        <w:tblW w:w="5045"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134"/>
        <w:gridCol w:w="2673"/>
        <w:gridCol w:w="916"/>
        <w:gridCol w:w="1252"/>
        <w:gridCol w:w="936"/>
        <w:gridCol w:w="993"/>
        <w:gridCol w:w="123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blHeader/>
        </w:trPr>
        <w:tc>
          <w:tcPr>
            <w:tcW w:w="620"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b w:val="0"/>
                <w:bCs w:val="0"/>
                <w:color w:val="auto"/>
                <w:sz w:val="21"/>
                <w:szCs w:val="21"/>
                <w:u w:val="single"/>
              </w:rPr>
              <w:t>河流</w:t>
            </w: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b w:val="0"/>
                <w:bCs w:val="0"/>
                <w:color w:val="auto"/>
                <w:sz w:val="21"/>
                <w:szCs w:val="21"/>
                <w:u w:val="single"/>
              </w:rPr>
              <w:t>项目</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b w:val="0"/>
                <w:bCs w:val="0"/>
                <w:color w:val="auto"/>
                <w:sz w:val="21"/>
                <w:szCs w:val="21"/>
                <w:u w:val="single"/>
              </w:rPr>
              <w:t>单位</w:t>
            </w:r>
          </w:p>
        </w:tc>
        <w:tc>
          <w:tcPr>
            <w:tcW w:w="685"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b w:val="0"/>
                <w:bCs w:val="0"/>
                <w:color w:val="auto"/>
                <w:sz w:val="21"/>
                <w:szCs w:val="21"/>
                <w:u w:val="single"/>
              </w:rPr>
              <w:t>COD</w:t>
            </w:r>
            <w:r>
              <w:rPr>
                <w:rFonts w:hint="default" w:ascii="Times New Roman" w:hAnsi="Times New Roman" w:cs="Times New Roman"/>
                <w:b w:val="0"/>
                <w:bCs w:val="0"/>
                <w:color w:val="auto"/>
                <w:sz w:val="21"/>
                <w:szCs w:val="21"/>
                <w:u w:val="single"/>
                <w:vertAlign w:val="subscript"/>
              </w:rPr>
              <w:t>Cr</w:t>
            </w:r>
          </w:p>
        </w:tc>
        <w:tc>
          <w:tcPr>
            <w:tcW w:w="51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b w:val="0"/>
                <w:bCs w:val="0"/>
                <w:color w:val="auto"/>
                <w:sz w:val="21"/>
                <w:szCs w:val="21"/>
                <w:u w:val="single"/>
              </w:rPr>
              <w:t>氨氮</w:t>
            </w:r>
          </w:p>
        </w:tc>
        <w:tc>
          <w:tcPr>
            <w:tcW w:w="543"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color w:val="000000" w:themeColor="text1"/>
                <w:kern w:val="0"/>
                <w:sz w:val="21"/>
                <w:szCs w:val="21"/>
                <w:u w:val="single"/>
                <w:lang w:val="en-US" w:eastAsia="zh-CN" w:bidi="ar"/>
                <w14:textFill>
                  <w14:solidFill>
                    <w14:schemeClr w14:val="tx1"/>
                  </w14:solidFill>
                </w14:textFill>
              </w:rPr>
              <w:t>总磷</w:t>
            </w:r>
          </w:p>
        </w:tc>
        <w:tc>
          <w:tcPr>
            <w:tcW w:w="674"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auto"/>
                <w:sz w:val="21"/>
                <w:szCs w:val="21"/>
                <w:u w:val="single"/>
              </w:rPr>
            </w:pPr>
            <w:r>
              <w:rPr>
                <w:rFonts w:hint="default" w:ascii="Times New Roman" w:hAnsi="Times New Roman" w:cs="Times New Roman"/>
                <w:color w:val="000000" w:themeColor="text1"/>
                <w:kern w:val="0"/>
                <w:sz w:val="21"/>
                <w:szCs w:val="21"/>
                <w:u w:val="single"/>
                <w:lang w:val="en-US" w:eastAsia="zh-CN" w:bidi="ar"/>
                <w14:textFill>
                  <w14:solidFill>
                    <w14:schemeClr w14:val="tx1"/>
                  </w14:solidFill>
                </w14:textFill>
              </w:rPr>
              <w:t>总氮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620"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cs="Times New Roman"/>
                <w:b w:val="0"/>
                <w:bCs w:val="0"/>
                <w:color w:val="auto"/>
                <w:sz w:val="21"/>
                <w:szCs w:val="21"/>
                <w:u w:val="single"/>
                <w:lang w:val="en-US" w:eastAsia="zh-CN"/>
              </w:rPr>
              <w:t>北侧小溪</w:t>
            </w: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初始断面污染物浓度C</w:t>
            </w:r>
            <w:r>
              <w:rPr>
                <w:rFonts w:hint="default" w:ascii="Times New Roman" w:hAnsi="Times New Roman" w:cs="Times New Roman"/>
                <w:color w:val="000000" w:themeColor="text1"/>
                <w:sz w:val="21"/>
                <w:szCs w:val="21"/>
                <w:u w:val="single"/>
                <w:vertAlign w:val="subscript"/>
                <w:lang w:val="en-US" w:eastAsia="zh-CN"/>
                <w14:textFill>
                  <w14:solidFill>
                    <w14:schemeClr w14:val="tx1"/>
                  </w14:solidFill>
                </w14:textFill>
              </w:rPr>
              <w:t>0</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mg/L</w:t>
            </w:r>
          </w:p>
        </w:tc>
        <w:tc>
          <w:tcPr>
            <w:tcW w:w="685" w:type="pct"/>
            <w:tcBorders>
              <w:tl2br w:val="nil"/>
              <w:tr2bl w:val="nil"/>
            </w:tcBorders>
            <w:vAlign w:val="center"/>
          </w:tcPr>
          <w:p>
            <w:pPr>
              <w:pStyle w:val="122"/>
              <w:jc w:val="center"/>
              <w:rPr>
                <w:rFonts w:hint="default" w:ascii="Times New Roman" w:hAnsi="Times New Roman" w:eastAsia="宋体" w:cs="Times New Roman"/>
                <w:sz w:val="21"/>
                <w:szCs w:val="21"/>
                <w:u w:val="single"/>
                <w:lang w:val="en-US" w:eastAsia="zh-CN"/>
              </w:rPr>
            </w:pPr>
            <w:r>
              <w:rPr>
                <w:rFonts w:hint="default" w:ascii="Times New Roman" w:hAnsi="Times New Roman" w:eastAsia="宋体" w:cs="Times New Roman"/>
                <w:sz w:val="21"/>
                <w:szCs w:val="21"/>
                <w:u w:val="single"/>
                <w:lang w:val="en-US" w:eastAsia="zh-CN"/>
              </w:rPr>
              <w:t>10</w:t>
            </w:r>
          </w:p>
        </w:tc>
        <w:tc>
          <w:tcPr>
            <w:tcW w:w="51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t>0.297</w:t>
            </w:r>
          </w:p>
        </w:tc>
        <w:tc>
          <w:tcPr>
            <w:tcW w:w="543"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0.09</w:t>
            </w:r>
          </w:p>
        </w:tc>
        <w:tc>
          <w:tcPr>
            <w:tcW w:w="674"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0.42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20"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auto"/>
                <w:sz w:val="21"/>
                <w:szCs w:val="21"/>
                <w:u w:val="single"/>
              </w:rPr>
            </w:pP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水质目标浓度Cs</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mg/L</w:t>
            </w:r>
          </w:p>
        </w:tc>
        <w:tc>
          <w:tcPr>
            <w:tcW w:w="685" w:type="pct"/>
            <w:tcBorders>
              <w:tl2br w:val="nil"/>
              <w:tr2bl w:val="nil"/>
            </w:tcBorders>
            <w:vAlign w:val="center"/>
          </w:tcPr>
          <w:p>
            <w:pPr>
              <w:pStyle w:val="122"/>
              <w:jc w:val="center"/>
              <w:rPr>
                <w:rFonts w:hint="default" w:ascii="Times New Roman" w:hAnsi="Times New Roman" w:eastAsia="宋体" w:cs="Times New Roman"/>
                <w:sz w:val="21"/>
                <w:szCs w:val="21"/>
                <w:u w:val="single"/>
                <w:lang w:val="en-US" w:eastAsia="zh-CN"/>
              </w:rPr>
            </w:pPr>
            <w:r>
              <w:rPr>
                <w:rFonts w:hint="default" w:ascii="Times New Roman" w:hAnsi="Times New Roman" w:cs="Times New Roman"/>
                <w:sz w:val="21"/>
                <w:szCs w:val="21"/>
                <w:u w:val="single"/>
                <w:lang w:val="en-US" w:eastAsia="zh-CN"/>
              </w:rPr>
              <w:t>20</w:t>
            </w:r>
          </w:p>
        </w:tc>
        <w:tc>
          <w:tcPr>
            <w:tcW w:w="512" w:type="pct"/>
            <w:tcBorders>
              <w:tl2br w:val="nil"/>
              <w:tr2bl w:val="nil"/>
            </w:tcBorders>
            <w:vAlign w:val="center"/>
          </w:tcPr>
          <w:p>
            <w:pPr>
              <w:widowControl w:val="0"/>
              <w:spacing w:line="240" w:lineRule="auto"/>
              <w:ind w:left="0" w:leftChars="0" w:firstLine="0" w:firstLineChars="0"/>
              <w:jc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15</w:t>
            </w:r>
          </w:p>
        </w:tc>
        <w:tc>
          <w:tcPr>
            <w:tcW w:w="543" w:type="pct"/>
            <w:tcBorders>
              <w:tl2br w:val="nil"/>
              <w:tr2bl w:val="nil"/>
            </w:tcBorders>
            <w:vAlign w:val="center"/>
          </w:tcPr>
          <w:p>
            <w:pPr>
              <w:widowControl w:val="0"/>
              <w:spacing w:line="240" w:lineRule="auto"/>
              <w:ind w:left="0" w:leftChars="0"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1</w:t>
            </w:r>
          </w:p>
        </w:tc>
        <w:tc>
          <w:tcPr>
            <w:tcW w:w="674" w:type="pct"/>
            <w:tcBorders>
              <w:tl2br w:val="nil"/>
              <w:tr2bl w:val="nil"/>
            </w:tcBorders>
            <w:vAlign w:val="center"/>
          </w:tcPr>
          <w:p>
            <w:pPr>
              <w:widowControl w:val="0"/>
              <w:spacing w:line="240" w:lineRule="auto"/>
              <w:ind w:left="0" w:leftChars="0"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20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620" w:type="pct"/>
            <w:vMerge w:val="continue"/>
            <w:tcBorders>
              <w:tl2br w:val="nil"/>
              <w:tr2bl w:val="nil"/>
            </w:tcBorders>
            <w:vAlign w:val="center"/>
          </w:tcPr>
          <w:p>
            <w:pPr>
              <w:pStyle w:val="122"/>
              <w:jc w:val="center"/>
              <w:rPr>
                <w:rFonts w:hint="default" w:ascii="Times New Roman" w:hAnsi="Times New Roman" w:cs="Times New Roman"/>
                <w:color w:val="auto"/>
                <w:sz w:val="21"/>
                <w:szCs w:val="21"/>
                <w:u w:val="single"/>
              </w:rPr>
            </w:pP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初始断面的入流流量Q</w:t>
            </w:r>
          </w:p>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（最枯月平均流量）</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m</w:t>
            </w:r>
            <w:r>
              <w:rPr>
                <w:rFonts w:hint="default" w:ascii="Times New Roman" w:hAnsi="Times New Roman" w:cs="Times New Roman"/>
                <w:color w:val="000000" w:themeColor="text1"/>
                <w:sz w:val="21"/>
                <w:szCs w:val="21"/>
                <w:u w:val="single"/>
                <w:vertAlign w:val="superscript"/>
                <w14:textFill>
                  <w14:solidFill>
                    <w14:schemeClr w14:val="tx1"/>
                  </w14:solidFill>
                </w14:textFill>
              </w:rPr>
              <w:t>3</w:t>
            </w:r>
            <w:r>
              <w:rPr>
                <w:rFonts w:hint="default" w:ascii="Times New Roman" w:hAnsi="Times New Roman" w:cs="Times New Roman"/>
                <w:color w:val="000000" w:themeColor="text1"/>
                <w:sz w:val="21"/>
                <w:szCs w:val="21"/>
                <w:u w:val="single"/>
                <w14:textFill>
                  <w14:solidFill>
                    <w14:schemeClr w14:val="tx1"/>
                  </w14:solidFill>
                </w14:textFill>
              </w:rPr>
              <w:t>/s</w:t>
            </w:r>
          </w:p>
        </w:tc>
        <w:tc>
          <w:tcPr>
            <w:tcW w:w="2415" w:type="pct"/>
            <w:gridSpan w:val="4"/>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0.1555</w:t>
            </w:r>
            <w:r>
              <w:rPr>
                <w:rFonts w:hint="default" w:ascii="Times New Roman" w:hAnsi="Times New Roman" w:cs="Times New Roman"/>
                <w:color w:val="000000" w:themeColor="text1"/>
                <w:sz w:val="21"/>
                <w:szCs w:val="21"/>
                <w:u w:val="single"/>
                <w14:textFill>
                  <w14:solidFill>
                    <w14:schemeClr w14:val="tx1"/>
                  </w14:solidFill>
                </w14:textFill>
              </w:rPr>
              <w:t>（排污口上游</w:t>
            </w:r>
            <w:r>
              <w:rPr>
                <w:rFonts w:hint="default" w:ascii="Times New Roman" w:hAnsi="Times New Roman" w:cs="Times New Roman"/>
                <w:color w:val="000000" w:themeColor="text1"/>
                <w:sz w:val="21"/>
                <w:szCs w:val="21"/>
                <w:u w:val="single"/>
                <w:lang w:val="en-US" w:eastAsia="zh-CN"/>
                <w14:textFill>
                  <w14:solidFill>
                    <w14:schemeClr w14:val="tx1"/>
                  </w14:solidFill>
                </w14:textFill>
              </w:rPr>
              <w:t>500</w:t>
            </w:r>
            <w:r>
              <w:rPr>
                <w:rFonts w:hint="default" w:ascii="Times New Roman" w:hAnsi="Times New Roman" w:cs="Times New Roman"/>
                <w:color w:val="000000" w:themeColor="text1"/>
                <w:sz w:val="21"/>
                <w:szCs w:val="21"/>
                <w:u w:val="single"/>
                <w14:textFill>
                  <w14:solidFill>
                    <w14:schemeClr w14:val="tx1"/>
                  </w14:solidFill>
                </w14:textFill>
              </w:rPr>
              <w:t>米（</w:t>
            </w:r>
            <w:r>
              <w:rPr>
                <w:rFonts w:hint="default" w:ascii="Times New Roman" w:hAnsi="Times New Roman" w:cs="Times New Roman"/>
                <w:color w:val="000000" w:themeColor="text1"/>
                <w:sz w:val="21"/>
                <w:szCs w:val="21"/>
                <w:u w:val="single"/>
                <w:lang w:val="en-US" w:eastAsia="zh-CN"/>
                <w14:textFill>
                  <w14:solidFill>
                    <w14:schemeClr w14:val="tx1"/>
                  </w14:solidFill>
                </w14:textFill>
              </w:rPr>
              <w:t>西北侧无名小溪</w:t>
            </w:r>
            <w:r>
              <w:rPr>
                <w:rFonts w:hint="default" w:ascii="Times New Roman" w:hAnsi="Times New Roman" w:cs="Times New Roman"/>
                <w:color w:val="000000" w:themeColor="text1"/>
                <w:sz w:val="21"/>
                <w:szCs w:val="21"/>
                <w:u w:val="single"/>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20"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auto"/>
                <w:sz w:val="21"/>
                <w:szCs w:val="21"/>
                <w:u w:val="single"/>
              </w:rPr>
            </w:pP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本项目排放流量Qp</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m</w:t>
            </w:r>
            <w:r>
              <w:rPr>
                <w:rFonts w:hint="default" w:ascii="Times New Roman" w:hAnsi="Times New Roman" w:cs="Times New Roman"/>
                <w:color w:val="000000" w:themeColor="text1"/>
                <w:sz w:val="21"/>
                <w:szCs w:val="21"/>
                <w:u w:val="single"/>
                <w:vertAlign w:val="superscript"/>
                <w14:textFill>
                  <w14:solidFill>
                    <w14:schemeClr w14:val="tx1"/>
                  </w14:solidFill>
                </w14:textFill>
              </w:rPr>
              <w:t>3</w:t>
            </w:r>
            <w:r>
              <w:rPr>
                <w:rFonts w:hint="default" w:ascii="Times New Roman" w:hAnsi="Times New Roman" w:cs="Times New Roman"/>
                <w:color w:val="000000" w:themeColor="text1"/>
                <w:sz w:val="21"/>
                <w:szCs w:val="21"/>
                <w:u w:val="single"/>
                <w14:textFill>
                  <w14:solidFill>
                    <w14:schemeClr w14:val="tx1"/>
                  </w14:solidFill>
                </w14:textFill>
              </w:rPr>
              <w:t>/s</w:t>
            </w:r>
          </w:p>
        </w:tc>
        <w:tc>
          <w:tcPr>
            <w:tcW w:w="2415" w:type="pct"/>
            <w:gridSpan w:val="4"/>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0.0001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620"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auto"/>
                <w:sz w:val="21"/>
                <w:szCs w:val="21"/>
                <w:u w:val="single"/>
              </w:rPr>
            </w:pPr>
          </w:p>
        </w:tc>
        <w:tc>
          <w:tcPr>
            <w:tcW w:w="1462"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水域纳污能力M</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g/s</w:t>
            </w:r>
          </w:p>
        </w:tc>
        <w:tc>
          <w:tcPr>
            <w:tcW w:w="685"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t>1.556</w:t>
            </w:r>
          </w:p>
        </w:tc>
        <w:tc>
          <w:tcPr>
            <w:tcW w:w="51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t>2.288</w:t>
            </w:r>
          </w:p>
        </w:tc>
        <w:tc>
          <w:tcPr>
            <w:tcW w:w="543"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0.142</w:t>
            </w:r>
          </w:p>
        </w:tc>
        <w:tc>
          <w:tcPr>
            <w:tcW w:w="674"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3.05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620" w:type="pct"/>
            <w:vMerge w:val="continue"/>
            <w:tcBorders>
              <w:tl2br w:val="nil"/>
              <w:tr2bl w:val="nil"/>
            </w:tcBorders>
            <w:vAlign w:val="center"/>
          </w:tcPr>
          <w:p>
            <w:pPr>
              <w:pStyle w:val="122"/>
              <w:jc w:val="center"/>
              <w:rPr>
                <w:rFonts w:hint="default" w:ascii="Times New Roman" w:hAnsi="Times New Roman" w:cs="Times New Roman"/>
                <w:color w:val="auto"/>
                <w:sz w:val="21"/>
                <w:szCs w:val="21"/>
                <w:u w:val="single"/>
              </w:rPr>
            </w:pPr>
          </w:p>
        </w:tc>
        <w:tc>
          <w:tcPr>
            <w:tcW w:w="1462" w:type="pct"/>
            <w:vMerge w:val="continue"/>
            <w:tcBorders>
              <w:tl2br w:val="nil"/>
              <w:tr2bl w:val="nil"/>
            </w:tcBorders>
            <w:vAlign w:val="center"/>
          </w:tcPr>
          <w:p>
            <w:pPr>
              <w:ind w:firstLine="420"/>
              <w:jc w:val="center"/>
              <w:rPr>
                <w:rFonts w:hint="default" w:ascii="Times New Roman" w:hAnsi="Times New Roman" w:cs="Times New Roman"/>
                <w:color w:val="000000" w:themeColor="text1"/>
                <w:sz w:val="21"/>
                <w:szCs w:val="21"/>
                <w:u w:val="single"/>
                <w14:textFill>
                  <w14:solidFill>
                    <w14:schemeClr w14:val="tx1"/>
                  </w14:solidFill>
                </w14:textFill>
              </w:rPr>
            </w:pP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t/a</w:t>
            </w:r>
          </w:p>
        </w:tc>
        <w:tc>
          <w:tcPr>
            <w:tcW w:w="685"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48.94</w:t>
            </w:r>
          </w:p>
        </w:tc>
        <w:tc>
          <w:tcPr>
            <w:tcW w:w="512"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71.96</w:t>
            </w:r>
          </w:p>
        </w:tc>
        <w:tc>
          <w:tcPr>
            <w:tcW w:w="543"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4.47</w:t>
            </w:r>
          </w:p>
        </w:tc>
        <w:tc>
          <w:tcPr>
            <w:tcW w:w="674"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95.92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620" w:type="pct"/>
            <w:vMerge w:val="continue"/>
            <w:tcBorders>
              <w:tl2br w:val="nil"/>
              <w:tr2bl w:val="nil"/>
            </w:tcBorders>
            <w:vAlign w:val="center"/>
          </w:tcPr>
          <w:p>
            <w:pPr>
              <w:pStyle w:val="122"/>
              <w:jc w:val="center"/>
              <w:rPr>
                <w:rFonts w:hint="default" w:ascii="Times New Roman" w:hAnsi="Times New Roman" w:cs="Times New Roman"/>
                <w:color w:val="auto"/>
                <w:sz w:val="21"/>
                <w:szCs w:val="21"/>
                <w:u w:val="single"/>
              </w:rPr>
            </w:pP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污染物年排放量</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t/a</w:t>
            </w:r>
          </w:p>
        </w:tc>
        <w:tc>
          <w:tcPr>
            <w:tcW w:w="685"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t>0.0876</w:t>
            </w:r>
          </w:p>
        </w:tc>
        <w:tc>
          <w:tcPr>
            <w:tcW w:w="51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eastAsia="宋体" w:cs="Times New Roman"/>
                <w:color w:val="000000" w:themeColor="text1"/>
                <w:sz w:val="21"/>
                <w:szCs w:val="21"/>
                <w:u w:val="single"/>
                <w:lang w:val="en-US" w:eastAsia="zh-CN"/>
                <w14:textFill>
                  <w14:solidFill>
                    <w14:schemeClr w14:val="tx1"/>
                  </w14:solidFill>
                </w14:textFill>
              </w:rPr>
              <w:t>0.0132</w:t>
            </w:r>
          </w:p>
        </w:tc>
        <w:tc>
          <w:tcPr>
            <w:tcW w:w="543"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0.000876</w:t>
            </w:r>
          </w:p>
        </w:tc>
        <w:tc>
          <w:tcPr>
            <w:tcW w:w="674"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lang w:val="en-US" w:eastAsia="zh-CN"/>
                <w14:textFill>
                  <w14:solidFill>
                    <w14:schemeClr w14:val="tx1"/>
                  </w14:solidFill>
                </w14:textFill>
              </w:rPr>
            </w:pPr>
            <w:r>
              <w:rPr>
                <w:rFonts w:hint="default" w:ascii="Times New Roman" w:hAnsi="Times New Roman" w:cs="Times New Roman"/>
                <w:color w:val="000000" w:themeColor="text1"/>
                <w:sz w:val="21"/>
                <w:szCs w:val="21"/>
                <w:u w:val="single"/>
                <w:lang w:val="en-US" w:eastAsia="zh-CN"/>
                <w14:textFill>
                  <w14:solidFill>
                    <w14:schemeClr w14:val="tx1"/>
                  </w14:solidFill>
                </w14:textFill>
              </w:rPr>
              <w:t>0.01752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3" w:hRule="atLeast"/>
        </w:trPr>
        <w:tc>
          <w:tcPr>
            <w:tcW w:w="620" w:type="pct"/>
            <w:vMerge w:val="continue"/>
            <w:tcBorders>
              <w:tl2br w:val="nil"/>
              <w:tr2bl w:val="nil"/>
            </w:tcBorders>
            <w:vAlign w:val="center"/>
          </w:tcPr>
          <w:p>
            <w:pPr>
              <w:pStyle w:val="122"/>
              <w:jc w:val="center"/>
              <w:rPr>
                <w:rFonts w:hint="default" w:ascii="Times New Roman" w:hAnsi="Times New Roman" w:cs="Times New Roman"/>
                <w:color w:val="auto"/>
                <w:sz w:val="21"/>
                <w:szCs w:val="21"/>
                <w:u w:val="single"/>
              </w:rPr>
            </w:pPr>
          </w:p>
        </w:tc>
        <w:tc>
          <w:tcPr>
            <w:tcW w:w="1462"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环境剩余容量M剩</w:t>
            </w:r>
          </w:p>
        </w:tc>
        <w:tc>
          <w:tcPr>
            <w:tcW w:w="501"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color w:val="000000" w:themeColor="text1"/>
                <w:sz w:val="21"/>
                <w:szCs w:val="21"/>
                <w:u w:val="single"/>
                <w14:textFill>
                  <w14:solidFill>
                    <w14:schemeClr w14:val="tx1"/>
                  </w14:solidFill>
                </w14:textFill>
              </w:rPr>
            </w:pPr>
            <w:r>
              <w:rPr>
                <w:rFonts w:hint="default" w:ascii="Times New Roman" w:hAnsi="Times New Roman" w:cs="Times New Roman"/>
                <w:color w:val="000000" w:themeColor="text1"/>
                <w:sz w:val="21"/>
                <w:szCs w:val="21"/>
                <w:u w:val="single"/>
                <w14:textFill>
                  <w14:solidFill>
                    <w14:schemeClr w14:val="tx1"/>
                  </w14:solidFill>
                </w14:textFill>
              </w:rPr>
              <w:t>t/a</w:t>
            </w:r>
          </w:p>
        </w:tc>
        <w:tc>
          <w:tcPr>
            <w:tcW w:w="685"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cs="Times New Roman"/>
                <w:i w:val="0"/>
                <w:iCs w:val="0"/>
                <w:snapToGrid w:val="0"/>
                <w:color w:val="000000"/>
                <w:kern w:val="0"/>
                <w:sz w:val="21"/>
                <w:szCs w:val="21"/>
                <w:u w:val="single"/>
                <w:lang w:val="en-US" w:eastAsia="zh-CN" w:bidi="ar"/>
              </w:rPr>
              <w:t>48.8524</w:t>
            </w:r>
          </w:p>
        </w:tc>
        <w:tc>
          <w:tcPr>
            <w:tcW w:w="512"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cs="Times New Roman"/>
                <w:i w:val="0"/>
                <w:iCs w:val="0"/>
                <w:snapToGrid w:val="0"/>
                <w:color w:val="000000"/>
                <w:kern w:val="0"/>
                <w:sz w:val="21"/>
                <w:szCs w:val="21"/>
                <w:u w:val="single"/>
                <w:lang w:val="en-US" w:eastAsia="zh-CN" w:bidi="ar"/>
              </w:rPr>
              <w:t>71.9468</w:t>
            </w:r>
          </w:p>
        </w:tc>
        <w:tc>
          <w:tcPr>
            <w:tcW w:w="543"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cs="Times New Roman"/>
                <w:i w:val="0"/>
                <w:iCs w:val="0"/>
                <w:snapToGrid w:val="0"/>
                <w:color w:val="000000"/>
                <w:kern w:val="0"/>
                <w:sz w:val="21"/>
                <w:szCs w:val="21"/>
                <w:u w:val="single"/>
                <w:lang w:val="en-US" w:eastAsia="zh-CN" w:bidi="ar"/>
              </w:rPr>
              <w:t>4.469</w:t>
            </w:r>
          </w:p>
        </w:tc>
        <w:tc>
          <w:tcPr>
            <w:tcW w:w="674" w:type="pct"/>
            <w:tcBorders>
              <w:tl2br w:val="nil"/>
              <w:tr2bl w:val="nil"/>
            </w:tcBorders>
            <w:vAlign w:val="center"/>
          </w:tcPr>
          <w:p>
            <w:pPr>
              <w:keepNext w:val="0"/>
              <w:keepLines w:val="0"/>
              <w:widowControl/>
              <w:suppressLineNumbers w:val="0"/>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cs="Times New Roman"/>
                <w:i w:val="0"/>
                <w:iCs w:val="0"/>
                <w:snapToGrid w:val="0"/>
                <w:color w:val="000000"/>
                <w:kern w:val="0"/>
                <w:sz w:val="21"/>
                <w:szCs w:val="21"/>
                <w:u w:val="single"/>
                <w:lang w:val="en-US" w:eastAsia="zh-CN" w:bidi="ar"/>
              </w:rPr>
              <w:t>95.9</w:t>
            </w:r>
          </w:p>
        </w:tc>
      </w:tr>
    </w:tbl>
    <w:p>
      <w:pPr>
        <w:keepNext w:val="0"/>
        <w:keepLines w:val="0"/>
        <w:pageBreakBefore w:val="0"/>
        <w:widowControl w:val="0"/>
        <w:kinsoku/>
        <w:wordWrap/>
        <w:overflowPunct/>
        <w:topLinePunct w:val="0"/>
        <w:autoSpaceDE/>
        <w:autoSpaceDN/>
        <w:bidi w:val="0"/>
        <w:adjustRightInd/>
        <w:snapToGrid/>
        <w:ind w:leftChars="0" w:firstLine="480"/>
        <w:textAlignment w:val="auto"/>
        <w:rPr>
          <w:rFonts w:hint="default" w:ascii="Times New Roman" w:hAnsi="Times New Roman" w:cs="Times New Roman"/>
          <w:color w:val="000000" w:themeColor="text1"/>
          <w:u w:val="single"/>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根据《环境影响评价技术导则地表水环境》（HJ2.3-2018），遵循地表水环境质量底线要求，主要污染物（化学需氧量、氨氮、总磷</w:t>
      </w:r>
      <w:r>
        <w:rPr>
          <w:rFonts w:hint="default" w:ascii="Times New Roman" w:hAnsi="Times New Roman" w:cs="Times New Roman"/>
          <w:color w:val="000000" w:themeColor="text1"/>
          <w:u w:val="single"/>
          <w:lang w:eastAsia="zh-CN"/>
          <w14:textFill>
            <w14:solidFill>
              <w14:schemeClr w14:val="tx1"/>
            </w14:solidFill>
          </w14:textFill>
        </w:rPr>
        <w:t>、</w:t>
      </w:r>
      <w:r>
        <w:rPr>
          <w:rFonts w:hint="default" w:ascii="Times New Roman" w:hAnsi="Times New Roman" w:cs="Times New Roman"/>
          <w:color w:val="000000" w:themeColor="text1"/>
          <w:u w:val="single"/>
          <w:lang w:val="en-US" w:eastAsia="zh-CN"/>
          <w14:textFill>
            <w14:solidFill>
              <w14:schemeClr w14:val="tx1"/>
            </w14:solidFill>
          </w14:textFill>
        </w:rPr>
        <w:t>总氮</w:t>
      </w:r>
      <w:r>
        <w:rPr>
          <w:rFonts w:hint="default" w:ascii="Times New Roman" w:hAnsi="Times New Roman" w:cs="Times New Roman"/>
          <w:color w:val="000000" w:themeColor="text1"/>
          <w:u w:val="single"/>
          <w14:textFill>
            <w14:solidFill>
              <w14:schemeClr w14:val="tx1"/>
            </w14:solidFill>
          </w14:textFill>
        </w:rPr>
        <w:t>）需预留必要的安全余量。安全余量可按地表水环境质量标准、受纳水体环境敏感性等确定：受纳水体为《地表水环境质量标准》（GB3838-2002）水域，以及涉及水环境保护目标的水域，安全余量按照不低于建设项目污染源排放量核算断面（点位）处环境质量标准的10%确定（安全余量≥环境质量标准×10</w:t>
      </w:r>
      <w:r>
        <w:rPr>
          <w:rFonts w:hint="default" w:ascii="Times New Roman" w:hAnsi="Times New Roman" w:cs="Times New Roman"/>
          <w:color w:val="000000" w:themeColor="text1"/>
          <w:u w:val="single"/>
          <w:lang w:val="en-US" w:eastAsia="zh-CN"/>
          <w14:textFill>
            <w14:solidFill>
              <w14:schemeClr w14:val="tx1"/>
            </w14:solidFill>
          </w14:textFill>
        </w:rPr>
        <w:t>%</w:t>
      </w:r>
      <w:r>
        <w:rPr>
          <w:rFonts w:hint="default" w:ascii="Times New Roman" w:hAnsi="Times New Roman" w:cs="Times New Roman"/>
          <w:color w:val="000000" w:themeColor="text1"/>
          <w:u w:val="single"/>
          <w14:textFill>
            <w14:solidFill>
              <w14:schemeClr w14:val="tx1"/>
            </w14:solidFill>
          </w14:textFill>
        </w:rPr>
        <w:t>）。本次纳污能力预测，氨氮、总磷、CODcr</w:t>
      </w:r>
      <w:r>
        <w:rPr>
          <w:rFonts w:hint="default" w:ascii="Times New Roman" w:hAnsi="Times New Roman" w:cs="Times New Roman"/>
          <w:color w:val="000000" w:themeColor="text1"/>
          <w:u w:val="single"/>
          <w:lang w:val="en-US" w:eastAsia="zh-CN"/>
          <w14:textFill>
            <w14:solidFill>
              <w14:schemeClr w14:val="tx1"/>
            </w14:solidFill>
          </w14:textFill>
        </w:rPr>
        <w:t>和总氮</w:t>
      </w:r>
      <w:r>
        <w:rPr>
          <w:rFonts w:hint="default" w:ascii="Times New Roman" w:hAnsi="Times New Roman" w:cs="Times New Roman"/>
          <w:color w:val="000000" w:themeColor="text1"/>
          <w:u w:val="single"/>
          <w14:textFill>
            <w14:solidFill>
              <w14:schemeClr w14:val="tx1"/>
            </w14:solidFill>
          </w14:textFill>
        </w:rPr>
        <w:t>安全系数均满足安全余量，受纳水体安全系数满足《环境影响评价技术导则地表水环境》（HJ2.3-2018）要求。</w:t>
      </w:r>
    </w:p>
    <w:p>
      <w:pPr>
        <w:pStyle w:val="61"/>
        <w:bidi w:val="0"/>
        <w:rPr>
          <w:rFonts w:hint="default"/>
          <w:lang w:val="en-US" w:eastAsia="zh-CN"/>
        </w:rPr>
      </w:pPr>
      <w:r>
        <w:rPr>
          <w:rFonts w:hint="eastAsia"/>
          <w:lang w:val="en-US" w:eastAsia="zh-CN"/>
        </w:rPr>
        <w:t>限制排放总量</w:t>
      </w:r>
    </w:p>
    <w:p>
      <w:pPr>
        <w:numPr>
          <w:ilvl w:val="0"/>
          <w:numId w:val="18"/>
        </w:numPr>
        <w:rPr>
          <w:rFonts w:hint="eastAsia"/>
          <w:lang w:val="en-US" w:eastAsia="zh-CN"/>
        </w:rPr>
      </w:pPr>
      <w:r>
        <w:rPr>
          <w:rFonts w:hint="eastAsia"/>
          <w:lang w:val="en-US" w:eastAsia="zh-CN"/>
        </w:rPr>
        <w:t>限制排污总量控制目标</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按照《全国水资源综合规划技术细则》中关于拟定水功能区水质目标的方法：</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当现状水质未满足功能区水质类别时，在综合考虑上述因素后，应拟定水质保护目标，水质目标可分阶段达标；当现状水质已满足水功能区水质类别时，应按照水体污染负荷控制不增加的原则，拟定水质保护目标。</w:t>
      </w:r>
    </w:p>
    <w:p>
      <w:pPr>
        <w:numPr>
          <w:ilvl w:val="0"/>
          <w:numId w:val="18"/>
        </w:numPr>
        <w:rPr>
          <w:rFonts w:hint="eastAsia"/>
          <w:lang w:val="en-US" w:eastAsia="zh-CN"/>
        </w:rPr>
      </w:pPr>
      <w:r>
        <w:rPr>
          <w:rFonts w:hint="eastAsia"/>
          <w:lang w:val="en-US" w:eastAsia="zh-CN"/>
        </w:rPr>
        <w:t>限制排污总量控制方法</w:t>
      </w:r>
    </w:p>
    <w:p>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将规划水平年的污染物入河量与纳污能力相比较，如果污染物入河量超过水功能区的纳污能力，需要计算入河削减量和相应的排放削减量；反之，制定入河控制量和排放控制量。制定入河控制量应考虑水功能区的水质状况、水资源可利用量、经济与社会发展现状及未来人口增长和经济社会发展对水资源的需求等。对于经济欠发达、水资源丰富、现状水质良好的地区，污染物入河量可适当放宽，但不得超过水功能区的纳污能力。项目区域水质良好，水资源丰富，未超过其纳污能力。</w:t>
      </w:r>
    </w:p>
    <w:p>
      <w:pPr>
        <w:numPr>
          <w:ilvl w:val="0"/>
          <w:numId w:val="18"/>
        </w:numPr>
        <w:rPr>
          <w:rFonts w:hint="eastAsia"/>
          <w:lang w:val="en-US" w:eastAsia="zh-CN"/>
        </w:rPr>
      </w:pPr>
      <w:r>
        <w:rPr>
          <w:rFonts w:hint="eastAsia"/>
          <w:lang w:val="en-US" w:eastAsia="zh-CN"/>
        </w:rPr>
        <w:t>现状污染物入河量</w:t>
      </w:r>
    </w:p>
    <w:p>
      <w:pPr>
        <w:ind w:firstLine="480"/>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本项目工程入河排污口设置在西北侧的无名小溪右岸处，经调查综合废水排放897m</w:t>
      </w:r>
      <w:r>
        <w:rPr>
          <w:rFonts w:hint="default" w:ascii="Times New Roman" w:hAnsi="Times New Roman"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24"/>
          <w:lang w:val="en-US" w:eastAsia="zh-CN"/>
          <w14:textFill>
            <w14:solidFill>
              <w14:schemeClr w14:val="tx1"/>
            </w14:solidFill>
          </w14:textFill>
        </w:rPr>
        <w:t>/a，项目废水处理站处理后的</w:t>
      </w:r>
      <w:r>
        <w:rPr>
          <w:rFonts w:hint="default" w:ascii="Times New Roman" w:hAnsi="Times New Roman" w:cs="Times New Roman"/>
          <w:color w:val="000000" w:themeColor="text1"/>
          <w:sz w:val="24"/>
          <w:szCs w:val="24"/>
          <w14:textFill>
            <w14:solidFill>
              <w14:schemeClr w14:val="tx1"/>
            </w14:solidFill>
          </w14:textFill>
        </w:rPr>
        <w:t>COD</w:t>
      </w:r>
      <w:r>
        <w:rPr>
          <w:rFonts w:hint="default" w:ascii="Times New Roman" w:hAnsi="Times New Roman" w:cs="Times New Roman"/>
          <w:color w:val="000000" w:themeColor="text1"/>
          <w:sz w:val="24"/>
          <w:szCs w:val="24"/>
          <w:vertAlign w:val="subscript"/>
          <w14:textFill>
            <w14:solidFill>
              <w14:schemeClr w14:val="tx1"/>
            </w14:solidFill>
          </w14:textFill>
        </w:rPr>
        <w:t>cr</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排放浓度为100mg/L，排放量为0.0876t/a，</w:t>
      </w:r>
      <w:r>
        <w:rPr>
          <w:rFonts w:hint="default" w:ascii="Times New Roman" w:hAnsi="Times New Roman" w:cs="Times New Roman"/>
          <w:color w:val="000000" w:themeColor="text1"/>
          <w:sz w:val="24"/>
          <w:szCs w:val="24"/>
          <w14:textFill>
            <w14:solidFill>
              <w14:schemeClr w14:val="tx1"/>
            </w14:solidFill>
          </w14:textFill>
        </w:rPr>
        <w:t>NH</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-N</w:t>
      </w:r>
      <w:r>
        <w:rPr>
          <w:rFonts w:hint="default" w:ascii="Times New Roman" w:hAnsi="Times New Roman" w:cs="Times New Roman"/>
          <w:color w:val="000000" w:themeColor="text1"/>
          <w:sz w:val="24"/>
          <w:szCs w:val="24"/>
          <w:lang w:val="en-US" w:eastAsia="zh-CN"/>
          <w14:textFill>
            <w14:solidFill>
              <w14:schemeClr w14:val="tx1"/>
            </w14:solidFill>
          </w14:textFill>
        </w:rPr>
        <w:t>处理后的排放浓度为</w:t>
      </w:r>
      <w:r>
        <w:rPr>
          <w:rFonts w:hint="default" w:ascii="Times New Roman" w:hAnsi="Times New Roman" w:cs="Times New Roman"/>
          <w:color w:val="000000" w:themeColor="text1"/>
          <w:sz w:val="24"/>
          <w:szCs w:val="24"/>
          <w14:textFill>
            <w14:solidFill>
              <w14:schemeClr w14:val="tx1"/>
            </w14:solidFill>
          </w14:textFill>
        </w:rPr>
        <w:t>15</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mg/L，排放量为0.0132t/a</w:t>
      </w:r>
      <w:r>
        <w:rPr>
          <w:rFonts w:hint="default" w:ascii="Times New Roman" w:hAnsi="Times New Roman" w:cs="Times New Roman"/>
          <w:color w:val="000000" w:themeColor="text1"/>
          <w:sz w:val="24"/>
          <w:szCs w:val="24"/>
          <w:lang w:val="en-US" w:eastAsia="zh-CN"/>
          <w14:textFill>
            <w14:solidFill>
              <w14:schemeClr w14:val="tx1"/>
            </w14:solidFill>
          </w14:textFill>
        </w:rPr>
        <w:t>，总磷排放浓度为</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1mg/L，排放量为0.000876t/a，总氮</w:t>
      </w:r>
      <w:r>
        <w:rPr>
          <w:rFonts w:hint="default" w:ascii="Times New Roman" w:hAnsi="Times New Roman" w:cs="Times New Roman"/>
          <w:color w:val="000000" w:themeColor="text1"/>
          <w:sz w:val="24"/>
          <w:szCs w:val="24"/>
          <w:lang w:val="en-US" w:eastAsia="zh-CN"/>
          <w14:textFill>
            <w14:solidFill>
              <w14:schemeClr w14:val="tx1"/>
            </w14:solidFill>
          </w14:textFill>
        </w:rPr>
        <w:t>处理后的排放浓度为20</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mg/L，排放量为0.01752t/a。</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项目所在区域未提出限制排污总量，根据《入河排污口管理技术导则》（SL532-2011），未提出限制排污口总量意见，以不超过纳污能力为限，根据3.3.1节计算结果可知，未超过项目西北侧无名小溪的纳污能力。</w:t>
      </w:r>
    </w:p>
    <w:p>
      <w:pPr>
        <w:rPr>
          <w:rFonts w:hint="default"/>
          <w:lang w:val="en-US" w:eastAsia="zh-CN"/>
        </w:rPr>
      </w:pPr>
    </w:p>
    <w:p>
      <w:pPr>
        <w:pStyle w:val="2"/>
        <w:rPr>
          <w:rFonts w:hint="eastAsia"/>
          <w:lang w:val="en-US" w:eastAsia="zh-CN"/>
        </w:rPr>
      </w:pPr>
    </w:p>
    <w:p>
      <w:pPr>
        <w:pStyle w:val="2"/>
        <w:numPr>
          <w:ilvl w:val="0"/>
          <w:numId w:val="0"/>
        </w:numPr>
        <w:ind w:leftChars="200"/>
        <w:rPr>
          <w:rFonts w:hint="default"/>
          <w:lang w:val="en-US" w:eastAsia="zh-CN"/>
        </w:rPr>
      </w:pPr>
    </w:p>
    <w:p>
      <w:pPr>
        <w:pStyle w:val="103"/>
        <w:bidi w:val="0"/>
        <w:rPr>
          <w:rFonts w:hint="default"/>
          <w:lang w:val="en-US" w:eastAsia="zh-CN"/>
        </w:rPr>
      </w:pPr>
    </w:p>
    <w:p>
      <w:pPr>
        <w:rPr>
          <w:rFonts w:hint="default"/>
          <w:lang w:val="en-US" w:eastAsia="zh-CN"/>
        </w:rPr>
      </w:pPr>
    </w:p>
    <w:p>
      <w:pPr>
        <w:pStyle w:val="59"/>
        <w:keepNext/>
        <w:keepLines w:val="0"/>
        <w:widowControl/>
        <w:kinsoku/>
        <w:wordWrap/>
        <w:overflowPunct/>
        <w:topLinePunct w:val="0"/>
        <w:autoSpaceDE/>
        <w:autoSpaceDN/>
        <w:bidi w:val="0"/>
        <w:adjustRightInd/>
        <w:snapToGrid/>
        <w:spacing w:line="360" w:lineRule="auto"/>
        <w:textAlignment w:val="auto"/>
        <w:rPr>
          <w:rFonts w:hint="default"/>
          <w:lang w:val="en-US" w:eastAsia="zh-CN"/>
        </w:rPr>
      </w:pPr>
      <w:bookmarkStart w:id="71" w:name="_Toc27942"/>
      <w:r>
        <w:rPr>
          <w:rFonts w:hint="eastAsia"/>
          <w:lang w:val="en-US" w:eastAsia="zh-CN"/>
        </w:rPr>
        <w:t>拟建入河排污口所在水功能区（水域）水质状况及纳污状况</w:t>
      </w:r>
      <w:bookmarkEnd w:id="71"/>
    </w:p>
    <w:p>
      <w:pPr>
        <w:pStyle w:val="60"/>
        <w:keepNext/>
        <w:keepLines w:val="0"/>
        <w:widowControl/>
        <w:kinsoku/>
        <w:wordWrap/>
        <w:overflowPunct/>
        <w:topLinePunct w:val="0"/>
        <w:autoSpaceDE/>
        <w:autoSpaceDN/>
        <w:bidi w:val="0"/>
        <w:adjustRightInd/>
        <w:snapToGrid/>
        <w:spacing w:line="360" w:lineRule="auto"/>
        <w:textAlignment w:val="auto"/>
        <w:rPr>
          <w:rFonts w:hint="default"/>
          <w:lang w:val="en-US" w:eastAsia="zh-CN"/>
        </w:rPr>
      </w:pPr>
      <w:bookmarkStart w:id="72" w:name="_Toc23890"/>
      <w:r>
        <w:rPr>
          <w:rFonts w:hint="eastAsia"/>
          <w:lang w:val="en-US" w:eastAsia="zh-CN"/>
        </w:rPr>
        <w:t>水功能区（水域）水质保护管理与目标要求</w:t>
      </w:r>
      <w:bookmarkEnd w:id="72"/>
    </w:p>
    <w:p>
      <w:pPr>
        <w:pStyle w:val="16"/>
        <w:rPr>
          <w:rFonts w:hint="default" w:ascii="Times New Roman" w:hAnsi="Times New Roman" w:cs="Times New Roman"/>
          <w:lang w:val="en-US" w:eastAsia="zh-CN"/>
        </w:rPr>
      </w:pPr>
      <w:r>
        <w:rPr>
          <w:rFonts w:hint="default" w:ascii="Times New Roman" w:hAnsi="Times New Roman" w:cs="Times New Roman"/>
          <w:lang w:val="en-US" w:eastAsia="zh-CN"/>
        </w:rPr>
        <w:t>水功能区划采用两级体系，即一级区划和二级区划。一级功能区分4类，即保护区、缓冲区、开发区和保留区；二级功能区划是在一级功能区中的开发利用进行，分7类，包括饮用水源区、工业用水区、农业用水区、渔业用水区、景观娱乐用水区、过渡区和排污控制区。</w:t>
      </w:r>
      <w:r>
        <w:rPr>
          <w:rFonts w:hint="default" w:ascii="Times New Roman" w:hAnsi="Times New Roman" w:cs="Times New Roman"/>
        </w:rPr>
        <w:t>根据《益阳市水功能区划》（益阳市水利局，2012年12月），项目北侧小溪及桃江西干渠均未划定水功能区，管理目标参照执行《地面水环境质量标准》(GB3838-200)2中Ⅲ类水质标准”</w:t>
      </w:r>
      <w:r>
        <w:rPr>
          <w:rFonts w:hint="default" w:ascii="Times New Roman" w:hAnsi="Times New Roman" w:cs="Times New Roman"/>
          <w:lang w:val="en-US" w:eastAsia="zh-CN"/>
        </w:rPr>
        <w:t>，其中化学需氧量标准为20mg/L、氨氮的标准为1.0mg/L、总磷标准为1mg/L、总氮标准为20mg/L。</w:t>
      </w:r>
    </w:p>
    <w:p>
      <w:r>
        <w:drawing>
          <wp:inline distT="0" distB="0" distL="114300" distR="114300">
            <wp:extent cx="5405755" cy="4025900"/>
            <wp:effectExtent l="9525" t="9525" r="10160" b="1841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3"/>
                    <a:stretch>
                      <a:fillRect/>
                    </a:stretch>
                  </pic:blipFill>
                  <pic:spPr>
                    <a:xfrm>
                      <a:off x="0" y="0"/>
                      <a:ext cx="5405755" cy="4025900"/>
                    </a:xfrm>
                    <a:prstGeom prst="rect">
                      <a:avLst/>
                    </a:prstGeom>
                    <a:noFill/>
                    <a:ln>
                      <a:solidFill>
                        <a:schemeClr val="tx1"/>
                      </a:solidFill>
                    </a:ln>
                  </pic:spPr>
                </pic:pic>
              </a:graphicData>
            </a:graphic>
          </wp:inline>
        </w:drawing>
      </w:r>
    </w:p>
    <w:p>
      <w:pPr>
        <w:pStyle w:val="64"/>
        <w:bidi w:val="0"/>
        <w:rPr>
          <w:rFonts w:hint="default"/>
          <w:lang w:val="en-US" w:eastAsia="zh-CN"/>
        </w:rPr>
      </w:pPr>
      <w:r>
        <w:rPr>
          <w:rFonts w:hint="eastAsia"/>
          <w:lang w:val="en-US" w:eastAsia="zh-CN"/>
        </w:rPr>
        <w:t xml:space="preserve"> 水功能区划分类系统示意图</w:t>
      </w:r>
    </w:p>
    <w:p>
      <w:pPr>
        <w:pStyle w:val="60"/>
        <w:keepNext/>
        <w:keepLines w:val="0"/>
        <w:widowControl/>
        <w:kinsoku/>
        <w:wordWrap/>
        <w:overflowPunct/>
        <w:topLinePunct w:val="0"/>
        <w:autoSpaceDE/>
        <w:autoSpaceDN/>
        <w:bidi w:val="0"/>
        <w:adjustRightInd/>
        <w:snapToGrid/>
        <w:spacing w:line="360" w:lineRule="auto"/>
        <w:textAlignment w:val="auto"/>
        <w:rPr>
          <w:rFonts w:hint="default"/>
          <w:lang w:val="en-US" w:eastAsia="zh-CN"/>
        </w:rPr>
      </w:pPr>
      <w:bookmarkStart w:id="73" w:name="_Toc6299"/>
      <w:r>
        <w:rPr>
          <w:rFonts w:hint="eastAsia"/>
          <w:lang w:val="en-US" w:eastAsia="zh-CN"/>
        </w:rPr>
        <w:t>论证范围内取排水现状</w:t>
      </w:r>
      <w:bookmarkEnd w:id="73"/>
    </w:p>
    <w:p>
      <w:pPr>
        <w:pStyle w:val="61"/>
        <w:bidi w:val="0"/>
        <w:rPr>
          <w:rFonts w:hint="default"/>
          <w:lang w:val="en-US" w:eastAsia="zh-CN"/>
        </w:rPr>
      </w:pPr>
      <w:r>
        <w:rPr>
          <w:rFonts w:hint="eastAsia"/>
          <w:lang w:val="en-US" w:eastAsia="zh-CN"/>
        </w:rPr>
        <w:t>取水状况</w:t>
      </w:r>
    </w:p>
    <w:p>
      <w:pPr>
        <w:rPr>
          <w:rFonts w:hint="default"/>
          <w:lang w:val="en-US" w:eastAsia="zh-CN"/>
        </w:rPr>
      </w:pPr>
      <w:r>
        <w:rPr>
          <w:rFonts w:hint="eastAsia"/>
          <w:lang w:val="en-US" w:eastAsia="zh-CN"/>
        </w:rPr>
        <w:t>经现场踏勘，本次论证范围内现状无集中式生活取水工程，不涉及集中式饮用水水源地、保护区、不在地下水水源地的补给径流区。论证范围内主要取水用户为农业取水户，取水主要用于农业灌溉。当地居民主要生活用水来源于镇区自来水管网。也无工业取水口。</w:t>
      </w:r>
    </w:p>
    <w:p>
      <w:pPr>
        <w:pStyle w:val="61"/>
        <w:bidi w:val="0"/>
        <w:rPr>
          <w:rFonts w:hint="default"/>
          <w:lang w:val="en-US" w:eastAsia="zh-CN"/>
        </w:rPr>
      </w:pPr>
      <w:r>
        <w:rPr>
          <w:rFonts w:hint="eastAsia"/>
          <w:lang w:val="en-US" w:eastAsia="zh-CN"/>
        </w:rPr>
        <w:t>排水状况</w:t>
      </w:r>
    </w:p>
    <w:p>
      <w:pP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根据现场调查可知，本项目所在区域已完善雨污分流，本项目废水均进入自建污水处理站处理后满足</w:t>
      </w:r>
      <w:r>
        <w:rPr>
          <w:rFonts w:hint="default" w:ascii="Times New Roman" w:hAnsi="Times New Roman" w:cs="Times New Roman"/>
          <w:color w:val="000000" w:themeColor="text1"/>
          <w:szCs w:val="21"/>
          <w14:textFill>
            <w14:solidFill>
              <w14:schemeClr w14:val="tx1"/>
            </w14:solidFill>
          </w14:textFill>
        </w:rPr>
        <w:t>《污水综合排放标准》（GB8978-1996）标准中的一级标准要求</w:t>
      </w:r>
      <w:r>
        <w:rPr>
          <w:rFonts w:hint="default" w:ascii="Times New Roman" w:hAnsi="Times New Roman" w:cs="Times New Roman"/>
          <w:color w:val="000000" w:themeColor="text1"/>
          <w:szCs w:val="21"/>
          <w:lang w:val="en-US" w:eastAsia="zh-CN"/>
          <w14:textFill>
            <w14:solidFill>
              <w14:schemeClr w14:val="tx1"/>
            </w14:solidFill>
          </w14:textFill>
        </w:rPr>
        <w:t>后排入</w:t>
      </w:r>
      <w:r>
        <w:rPr>
          <w:rFonts w:hint="default" w:ascii="Times New Roman" w:hAnsi="Times New Roman" w:cs="Times New Roman"/>
          <w:bCs/>
          <w:color w:val="000000" w:themeColor="text1"/>
          <w:szCs w:val="21"/>
          <w14:textFill>
            <w14:solidFill>
              <w14:schemeClr w14:val="tx1"/>
            </w14:solidFill>
          </w14:textFill>
        </w:rPr>
        <w:t>项目</w:t>
      </w:r>
      <w:r>
        <w:rPr>
          <w:rFonts w:hint="default" w:ascii="Times New Roman" w:hAnsi="Times New Roman" w:cs="Times New Roman"/>
          <w:color w:val="000000" w:themeColor="text1"/>
          <w:lang w:val="en-US" w:eastAsia="zh-CN"/>
          <w14:textFill>
            <w14:solidFill>
              <w14:schemeClr w14:val="tx1"/>
            </w14:solidFill>
          </w14:textFill>
        </w:rPr>
        <w:t>西北侧</w:t>
      </w:r>
      <w:r>
        <w:rPr>
          <w:rFonts w:hint="eastAsia" w:cs="Times New Roman"/>
          <w:color w:val="000000" w:themeColor="text1"/>
          <w:lang w:val="en-US" w:eastAsia="zh-CN"/>
          <w14:textFill>
            <w14:solidFill>
              <w14:schemeClr w14:val="tx1"/>
            </w14:solidFill>
          </w14:textFill>
        </w:rPr>
        <w:t>无名</w:t>
      </w:r>
      <w:r>
        <w:rPr>
          <w:rFonts w:hint="default" w:ascii="Times New Roman" w:hAnsi="Times New Roman" w:cs="Times New Roman"/>
          <w:color w:val="000000" w:themeColor="text1"/>
          <w:lang w:val="en-US" w:eastAsia="zh-CN"/>
          <w14:textFill>
            <w14:solidFill>
              <w14:schemeClr w14:val="tx1"/>
            </w14:solidFill>
          </w14:textFill>
        </w:rPr>
        <w:t>小溪，日排放量为2.</w:t>
      </w:r>
      <w:r>
        <w:rPr>
          <w:rFonts w:hint="eastAsia" w:cs="Times New Roman"/>
          <w:color w:val="000000" w:themeColor="text1"/>
          <w:lang w:val="en-US" w:eastAsia="zh-CN"/>
          <w14:textFill>
            <w14:solidFill>
              <w14:schemeClr w14:val="tx1"/>
            </w14:solidFill>
          </w14:textFill>
        </w:rPr>
        <w:t>92</w:t>
      </w:r>
      <w:r>
        <w:rPr>
          <w:rFonts w:hint="default" w:ascii="Times New Roman" w:hAnsi="Times New Roman" w:cs="Times New Roman"/>
          <w:color w:val="000000" w:themeColor="text1"/>
          <w:lang w:val="en-US" w:eastAsia="zh-CN"/>
          <w14:textFill>
            <w14:solidFill>
              <w14:schemeClr w14:val="tx1"/>
            </w14:solidFill>
          </w14:textFill>
        </w:rPr>
        <w:t>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default" w:ascii="Times New Roman" w:hAnsi="Times New Roman" w:cs="Times New Roman"/>
          <w:color w:val="000000" w:themeColor="text1"/>
          <w:lang w:val="en-US" w:eastAsia="zh-CN"/>
          <w14:textFill>
            <w14:solidFill>
              <w14:schemeClr w14:val="tx1"/>
            </w14:solidFill>
          </w14:textFill>
        </w:rPr>
        <w:t>/d，</w:t>
      </w:r>
      <w:r>
        <w:rPr>
          <w:rFonts w:hint="default" w:ascii="Times New Roman" w:hAnsi="Times New Roman" w:cs="Times New Roman"/>
          <w:color w:val="000000" w:themeColor="text1"/>
          <w14:textFill>
            <w14:solidFill>
              <w14:schemeClr w14:val="tx1"/>
            </w14:solidFill>
          </w14:textFill>
        </w:rPr>
        <w:t>河流沿线主要为当地居民，当地居民产生的生活污水通过自建化粪池处理后用于农肥</w:t>
      </w:r>
      <w:r>
        <w:rPr>
          <w:rFonts w:hint="default" w:ascii="Times New Roman" w:hAnsi="Times New Roman" w:cs="Times New Roman"/>
          <w:color w:val="000000" w:themeColor="text1"/>
          <w:lang w:val="en-US" w:eastAsia="zh-CN"/>
          <w14:textFill>
            <w14:solidFill>
              <w14:schemeClr w14:val="tx1"/>
            </w14:solidFill>
          </w14:textFill>
        </w:rPr>
        <w:t>。</w:t>
      </w:r>
    </w:p>
    <w:p>
      <w:pPr>
        <w:pStyle w:val="60"/>
        <w:keepNext/>
        <w:keepLines w:val="0"/>
        <w:widowControl/>
        <w:kinsoku/>
        <w:wordWrap/>
        <w:overflowPunct/>
        <w:topLinePunct w:val="0"/>
        <w:autoSpaceDE/>
        <w:autoSpaceDN/>
        <w:bidi w:val="0"/>
        <w:adjustRightInd/>
        <w:snapToGrid/>
        <w:spacing w:line="360" w:lineRule="auto"/>
        <w:textAlignment w:val="auto"/>
        <w:rPr>
          <w:rFonts w:hint="default"/>
          <w:lang w:val="en-US" w:eastAsia="zh-CN"/>
        </w:rPr>
      </w:pPr>
      <w:bookmarkStart w:id="74" w:name="_Toc28229"/>
      <w:r>
        <w:rPr>
          <w:rFonts w:hint="eastAsia"/>
          <w:lang w:val="en-US" w:eastAsia="zh-CN"/>
        </w:rPr>
        <w:t>水功能区（水域）水质现状</w:t>
      </w:r>
      <w:bookmarkEnd w:id="74"/>
    </w:p>
    <w:p>
      <w:pPr>
        <w:pStyle w:val="61"/>
        <w:bidi w:val="0"/>
        <w:rPr>
          <w:rFonts w:hint="default"/>
          <w:lang w:val="en-US" w:eastAsia="zh-CN"/>
        </w:rPr>
      </w:pPr>
      <w:r>
        <w:rPr>
          <w:rFonts w:hint="eastAsia"/>
          <w:lang w:val="en-US" w:eastAsia="zh-CN"/>
        </w:rPr>
        <w:t>监测断面</w:t>
      </w:r>
    </w:p>
    <w:p>
      <w:pPr>
        <w:keepNext w:val="0"/>
        <w:keepLines w:val="0"/>
        <w:pageBreakBefore w:val="0"/>
        <w:widowControl w:val="0"/>
        <w:kinsoku/>
        <w:wordWrap/>
        <w:overflowPunct/>
        <w:topLinePunct w:val="0"/>
        <w:autoSpaceDE/>
        <w:autoSpaceDN/>
        <w:bidi w:val="0"/>
        <w:adjustRightInd/>
        <w:snapToGrid/>
        <w:textAlignment w:val="auto"/>
        <w:rPr>
          <w:rFonts w:hint="eastAsia"/>
          <w:color w:val="000000" w:themeColor="text1"/>
          <w:sz w:val="24"/>
          <w:lang w:val="en-US" w:eastAsia="zh-CN"/>
          <w14:textFill>
            <w14:solidFill>
              <w14:schemeClr w14:val="tx1"/>
            </w14:solidFill>
          </w14:textFill>
        </w:rPr>
      </w:pPr>
      <w:r>
        <w:rPr>
          <w:rFonts w:hint="default"/>
          <w:lang w:val="en-US" w:eastAsia="zh-CN"/>
        </w:rPr>
        <w:t>湖南润景水业（桃江）有限公司</w:t>
      </w:r>
      <w:r>
        <w:rPr>
          <w:rFonts w:hint="eastAsia"/>
          <w:lang w:val="en-US" w:eastAsia="zh-CN"/>
        </w:rPr>
        <w:t>入河口纳污水域项目西北侧无名小溪，所在河段水质控制目标为Ⅲ类，本次论证委托</w:t>
      </w:r>
      <w:r>
        <w:rPr>
          <w:rFonts w:hint="eastAsia"/>
          <w:color w:val="000000" w:themeColor="text1"/>
          <w:sz w:val="24"/>
          <w14:textFill>
            <w14:solidFill>
              <w14:schemeClr w14:val="tx1"/>
            </w14:solidFill>
          </w14:textFill>
        </w:rPr>
        <w:t>湖南昌旭环境科技有限公司</w:t>
      </w:r>
      <w:r>
        <w:rPr>
          <w:rFonts w:hint="eastAsia"/>
          <w:color w:val="000000" w:themeColor="text1"/>
          <w:sz w:val="24"/>
          <w:lang w:val="en-US" w:eastAsia="zh-CN"/>
          <w14:textFill>
            <w14:solidFill>
              <w14:schemeClr w14:val="tx1"/>
            </w14:solidFill>
          </w14:textFill>
        </w:rPr>
        <w:t>对其受纳水体进行现状监测。</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hint="default"/>
          <w:color w:val="000000" w:themeColor="text1"/>
          <w:sz w:val="24"/>
          <w:u w:val="single"/>
          <w:lang w:val="en-US" w:eastAsia="zh-CN"/>
          <w14:textFill>
            <w14:solidFill>
              <w14:schemeClr w14:val="tx1"/>
            </w14:solidFill>
          </w14:textFill>
        </w:rPr>
      </w:pPr>
      <w:r>
        <w:rPr>
          <w:rFonts w:hint="eastAsia"/>
          <w:color w:val="000000" w:themeColor="text1"/>
          <w:sz w:val="24"/>
          <w:u w:val="single"/>
          <w:lang w:val="en-US" w:eastAsia="zh-CN"/>
          <w14:textFill>
            <w14:solidFill>
              <w14:schemeClr w14:val="tx1"/>
            </w14:solidFill>
          </w14:textFill>
        </w:rPr>
        <w:t>监测时间：2024年3月23日~2024年3月25日。</w:t>
      </w:r>
    </w:p>
    <w:p>
      <w:pPr>
        <w:keepNext w:val="0"/>
        <w:keepLines w:val="0"/>
        <w:pageBreakBefore w:val="0"/>
        <w:widowControl w:val="0"/>
        <w:kinsoku/>
        <w:wordWrap/>
        <w:overflowPunct/>
        <w:topLinePunct w:val="0"/>
        <w:autoSpaceDE/>
        <w:autoSpaceDN/>
        <w:bidi w:val="0"/>
        <w:adjustRightInd/>
        <w:snapToGrid/>
        <w:textAlignment w:val="auto"/>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监测点位：具体监测断面入下表所示。监测断面见下图所示。</w:t>
      </w:r>
    </w:p>
    <w:p>
      <w:pPr>
        <w:pStyle w:val="56"/>
        <w:bidi w:val="0"/>
        <w:ind w:left="960" w:leftChars="0" w:firstLineChars="0"/>
        <w:rPr>
          <w:rFonts w:hint="default"/>
          <w:vertAlign w:val="baseline"/>
          <w:lang w:val="en-US" w:eastAsia="zh-CN"/>
        </w:rPr>
      </w:pPr>
      <w:r>
        <w:rPr>
          <w:rFonts w:hint="eastAsia"/>
          <w:vertAlign w:val="baseline"/>
          <w:lang w:val="en-US" w:eastAsia="zh-CN"/>
        </w:rPr>
        <w:t>地表水监测布点一览表</w:t>
      </w:r>
    </w:p>
    <w:tbl>
      <w:tblPr>
        <w:tblStyle w:val="4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4"/>
        <w:gridCol w:w="4951"/>
        <w:gridCol w:w="2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220" w:type="pct"/>
            <w:tcBorders>
              <w:top w:val="single" w:color="auto" w:sz="12" w:space="0"/>
              <w:left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监测点位</w:t>
            </w:r>
          </w:p>
        </w:tc>
        <w:tc>
          <w:tcPr>
            <w:tcW w:w="2680" w:type="pct"/>
            <w:tcBorders>
              <w:top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监测项目</w:t>
            </w:r>
          </w:p>
        </w:tc>
        <w:tc>
          <w:tcPr>
            <w:tcW w:w="1099" w:type="pct"/>
            <w:tcBorders>
              <w:top w:val="single" w:color="auto" w:sz="12" w:space="0"/>
              <w:right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220" w:type="pct"/>
            <w:tcBorders>
              <w:left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项目</w:t>
            </w:r>
            <w:r>
              <w:rPr>
                <w:rFonts w:hint="default" w:ascii="Times New Roman" w:hAnsi="Times New Roman" w:cs="Times New Roman"/>
                <w:color w:val="000000" w:themeColor="text1"/>
                <w:kern w:val="2"/>
                <w:sz w:val="21"/>
                <w:szCs w:val="21"/>
                <w14:textFill>
                  <w14:solidFill>
                    <w14:schemeClr w14:val="tx1"/>
                  </w14:solidFill>
                </w14:textFill>
              </w:rPr>
              <w:t>排口至上游无名</w:t>
            </w:r>
          </w:p>
          <w:p>
            <w:pPr>
              <w:pStyle w:val="103"/>
              <w:spacing w:before="0" w:line="240" w:lineRule="auto"/>
              <w:ind w:right="0" w:firstLine="0" w:firstLineChars="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 xml:space="preserve">小溪处 </w:t>
            </w:r>
            <w:r>
              <w:rPr>
                <w:rFonts w:hint="eastAsia" w:cs="Times New Roman"/>
                <w:color w:val="000000" w:themeColor="text1"/>
                <w:kern w:val="2"/>
                <w:sz w:val="21"/>
                <w:szCs w:val="21"/>
                <w:lang w:val="en-US" w:eastAsia="zh-CN"/>
                <w14:textFill>
                  <w14:solidFill>
                    <w14:schemeClr w14:val="tx1"/>
                  </w14:solidFill>
                </w14:textFill>
              </w:rPr>
              <w:t>5</w:t>
            </w:r>
            <w:r>
              <w:rPr>
                <w:rFonts w:hint="default" w:ascii="Times New Roman" w:hAnsi="Times New Roman" w:cs="Times New Roman"/>
                <w:color w:val="000000" w:themeColor="text1"/>
                <w:kern w:val="2"/>
                <w:sz w:val="21"/>
                <w:szCs w:val="21"/>
                <w14:textFill>
                  <w14:solidFill>
                    <w14:schemeClr w14:val="tx1"/>
                  </w14:solidFill>
                </w14:textFill>
              </w:rPr>
              <w:t>00mW</w:t>
            </w:r>
            <w:r>
              <w:rPr>
                <w:rFonts w:hint="default" w:ascii="Times New Roman" w:hAnsi="Times New Roman" w:cs="Times New Roman"/>
                <w:color w:val="000000" w:themeColor="text1"/>
                <w:kern w:val="2"/>
                <w:sz w:val="21"/>
                <w:szCs w:val="21"/>
                <w:lang w:val="en-US" w:eastAsia="zh-CN"/>
                <w14:textFill>
                  <w14:solidFill>
                    <w14:schemeClr w14:val="tx1"/>
                  </w14:solidFill>
                </w14:textFill>
              </w:rPr>
              <w:t>1</w:t>
            </w:r>
          </w:p>
        </w:tc>
        <w:tc>
          <w:tcPr>
            <w:tcW w:w="2680" w:type="pct"/>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pH、溶解氧、 COD</w:t>
            </w:r>
            <w:r>
              <w:rPr>
                <w:rFonts w:hint="default" w:ascii="Times New Roman" w:hAnsi="Times New Roman" w:cs="Times New Roman"/>
                <w:color w:val="000000" w:themeColor="text1"/>
                <w:kern w:val="2"/>
                <w:sz w:val="21"/>
                <w:szCs w:val="21"/>
                <w:vertAlign w:val="subscript"/>
                <w14:textFill>
                  <w14:solidFill>
                    <w14:schemeClr w14:val="tx1"/>
                  </w14:solidFill>
                </w14:textFill>
              </w:rPr>
              <w:t>Cr</w:t>
            </w:r>
            <w:r>
              <w:rPr>
                <w:rFonts w:hint="default" w:ascii="Times New Roman" w:hAnsi="Times New Roman" w:cs="Times New Roman"/>
                <w:color w:val="000000" w:themeColor="text1"/>
                <w:kern w:val="2"/>
                <w:sz w:val="21"/>
                <w:szCs w:val="21"/>
                <w14:textFill>
                  <w14:solidFill>
                    <w14:schemeClr w14:val="tx1"/>
                  </w14:solidFill>
                </w14:textFill>
              </w:rPr>
              <w:t>、 BOD</w:t>
            </w:r>
            <w:r>
              <w:rPr>
                <w:rFonts w:hint="default" w:ascii="Times New Roman" w:hAnsi="Times New Roman" w:cs="Times New Roman"/>
                <w:color w:val="000000" w:themeColor="text1"/>
                <w:kern w:val="2"/>
                <w:sz w:val="21"/>
                <w:szCs w:val="21"/>
                <w:vertAlign w:val="subscript"/>
                <w14:textFill>
                  <w14:solidFill>
                    <w14:schemeClr w14:val="tx1"/>
                  </w14:solidFill>
                </w14:textFill>
              </w:rPr>
              <w:t>5</w:t>
            </w:r>
            <w:r>
              <w:rPr>
                <w:rFonts w:hint="default" w:ascii="Times New Roman" w:hAnsi="Times New Roman" w:cs="Times New Roman"/>
                <w:color w:val="000000" w:themeColor="text1"/>
                <w:kern w:val="2"/>
                <w:sz w:val="21"/>
                <w:szCs w:val="21"/>
                <w14:textFill>
                  <w14:solidFill>
                    <w14:schemeClr w14:val="tx1"/>
                  </w14:solidFill>
                </w14:textFill>
              </w:rPr>
              <w:t>、 氨氮、总磷、水温、总氮、悬浮物</w:t>
            </w:r>
          </w:p>
        </w:tc>
        <w:tc>
          <w:tcPr>
            <w:tcW w:w="1099" w:type="pct"/>
            <w:tcBorders>
              <w:right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1次/天，3天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220" w:type="pct"/>
            <w:tcBorders>
              <w:left w:val="single" w:color="auto" w:sz="12" w:space="0"/>
              <w:bottom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项目</w:t>
            </w:r>
            <w:r>
              <w:rPr>
                <w:rFonts w:hint="default" w:ascii="Times New Roman" w:hAnsi="Times New Roman" w:cs="Times New Roman"/>
                <w:color w:val="000000" w:themeColor="text1"/>
                <w:kern w:val="2"/>
                <w:sz w:val="21"/>
                <w:szCs w:val="21"/>
                <w14:textFill>
                  <w14:solidFill>
                    <w14:schemeClr w14:val="tx1"/>
                  </w14:solidFill>
                </w14:textFill>
              </w:rPr>
              <w:t>排口至</w:t>
            </w:r>
            <w:r>
              <w:rPr>
                <w:rFonts w:hint="default" w:ascii="Times New Roman" w:hAnsi="Times New Roman" w:cs="Times New Roman"/>
                <w:color w:val="000000" w:themeColor="text1"/>
                <w:kern w:val="2"/>
                <w:sz w:val="21"/>
                <w:szCs w:val="21"/>
                <w:lang w:val="en-US" w:eastAsia="zh-CN"/>
                <w14:textFill>
                  <w14:solidFill>
                    <w14:schemeClr w14:val="tx1"/>
                  </w14:solidFill>
                </w14:textFill>
              </w:rPr>
              <w:t>下</w:t>
            </w:r>
            <w:r>
              <w:rPr>
                <w:rFonts w:hint="default" w:ascii="Times New Roman" w:hAnsi="Times New Roman" w:cs="Times New Roman"/>
                <w:color w:val="000000" w:themeColor="text1"/>
                <w:kern w:val="2"/>
                <w:sz w:val="21"/>
                <w:szCs w:val="21"/>
                <w14:textFill>
                  <w14:solidFill>
                    <w14:schemeClr w14:val="tx1"/>
                  </w14:solidFill>
                </w14:textFill>
              </w:rPr>
              <w:t>游无名</w:t>
            </w:r>
          </w:p>
          <w:p>
            <w:pPr>
              <w:pStyle w:val="103"/>
              <w:spacing w:before="0" w:line="240" w:lineRule="auto"/>
              <w:ind w:right="0" w:firstLine="0" w:firstLineChars="0"/>
              <w:jc w:val="cente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小溪处</w:t>
            </w:r>
            <w:r>
              <w:rPr>
                <w:rFonts w:hint="default" w:ascii="Times New Roman" w:hAnsi="Times New Roman" w:cs="Times New Roman"/>
                <w:color w:val="000000" w:themeColor="text1"/>
                <w:kern w:val="2"/>
                <w:sz w:val="21"/>
                <w:szCs w:val="21"/>
                <w:lang w:val="en-US" w:eastAsia="zh-CN"/>
                <w14:textFill>
                  <w14:solidFill>
                    <w14:schemeClr w14:val="tx1"/>
                  </w14:solidFill>
                </w14:textFill>
              </w:rPr>
              <w:t>1500</w:t>
            </w:r>
            <w:r>
              <w:rPr>
                <w:rFonts w:hint="default" w:ascii="Times New Roman" w:hAnsi="Times New Roman" w:cs="Times New Roman"/>
                <w:color w:val="000000" w:themeColor="text1"/>
                <w:kern w:val="2"/>
                <w:sz w:val="21"/>
                <w:szCs w:val="21"/>
                <w14:textFill>
                  <w14:solidFill>
                    <w14:schemeClr w14:val="tx1"/>
                  </w14:solidFill>
                </w14:textFill>
              </w:rPr>
              <w:t>mW</w:t>
            </w:r>
            <w:r>
              <w:rPr>
                <w:rFonts w:hint="default" w:ascii="Times New Roman" w:hAnsi="Times New Roman" w:cs="Times New Roman"/>
                <w:color w:val="000000" w:themeColor="text1"/>
                <w:kern w:val="2"/>
                <w:sz w:val="21"/>
                <w:szCs w:val="21"/>
                <w:lang w:val="en-US" w:eastAsia="zh-CN"/>
                <w14:textFill>
                  <w14:solidFill>
                    <w14:schemeClr w14:val="tx1"/>
                  </w14:solidFill>
                </w14:textFill>
              </w:rPr>
              <w:t>2</w:t>
            </w:r>
          </w:p>
        </w:tc>
        <w:tc>
          <w:tcPr>
            <w:tcW w:w="2680" w:type="pct"/>
            <w:tcBorders>
              <w:bottom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pH、溶解氧、 COD</w:t>
            </w:r>
            <w:r>
              <w:rPr>
                <w:rFonts w:hint="default" w:ascii="Times New Roman" w:hAnsi="Times New Roman" w:cs="Times New Roman"/>
                <w:color w:val="000000" w:themeColor="text1"/>
                <w:kern w:val="2"/>
                <w:sz w:val="21"/>
                <w:szCs w:val="21"/>
                <w:vertAlign w:val="subscript"/>
                <w14:textFill>
                  <w14:solidFill>
                    <w14:schemeClr w14:val="tx1"/>
                  </w14:solidFill>
                </w14:textFill>
              </w:rPr>
              <w:t>Cr</w:t>
            </w:r>
            <w:r>
              <w:rPr>
                <w:rFonts w:hint="default" w:ascii="Times New Roman" w:hAnsi="Times New Roman" w:cs="Times New Roman"/>
                <w:color w:val="000000" w:themeColor="text1"/>
                <w:kern w:val="2"/>
                <w:sz w:val="21"/>
                <w:szCs w:val="21"/>
                <w14:textFill>
                  <w14:solidFill>
                    <w14:schemeClr w14:val="tx1"/>
                  </w14:solidFill>
                </w14:textFill>
              </w:rPr>
              <w:t>、 BOD</w:t>
            </w:r>
            <w:r>
              <w:rPr>
                <w:rFonts w:hint="default" w:ascii="Times New Roman" w:hAnsi="Times New Roman" w:cs="Times New Roman"/>
                <w:color w:val="000000" w:themeColor="text1"/>
                <w:kern w:val="2"/>
                <w:sz w:val="21"/>
                <w:szCs w:val="21"/>
                <w:vertAlign w:val="subscript"/>
                <w14:textFill>
                  <w14:solidFill>
                    <w14:schemeClr w14:val="tx1"/>
                  </w14:solidFill>
                </w14:textFill>
              </w:rPr>
              <w:t>5</w:t>
            </w:r>
            <w:r>
              <w:rPr>
                <w:rFonts w:hint="default" w:ascii="Times New Roman" w:hAnsi="Times New Roman" w:cs="Times New Roman"/>
                <w:color w:val="000000" w:themeColor="text1"/>
                <w:kern w:val="2"/>
                <w:sz w:val="21"/>
                <w:szCs w:val="21"/>
                <w14:textFill>
                  <w14:solidFill>
                    <w14:schemeClr w14:val="tx1"/>
                  </w14:solidFill>
                </w14:textFill>
              </w:rPr>
              <w:t>、 氨氮、总磷、水温、总氮、悬浮物</w:t>
            </w:r>
          </w:p>
        </w:tc>
        <w:tc>
          <w:tcPr>
            <w:tcW w:w="1099" w:type="pct"/>
            <w:tcBorders>
              <w:bottom w:val="single" w:color="auto" w:sz="12" w:space="0"/>
              <w:right w:val="single" w:color="auto" w:sz="12" w:space="0"/>
            </w:tcBorders>
            <w:vAlign w:val="center"/>
          </w:tcPr>
          <w:p>
            <w:pPr>
              <w:pStyle w:val="103"/>
              <w:spacing w:before="0" w:line="240" w:lineRule="auto"/>
              <w:ind w:right="0" w:firstLine="0" w:firstLineChars="0"/>
              <w:jc w:val="center"/>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1"/>
                <w:szCs w:val="21"/>
                <w14:textFill>
                  <w14:solidFill>
                    <w14:schemeClr w14:val="tx1"/>
                  </w14:solidFill>
                </w14:textFill>
              </w:rPr>
              <w:t>1次/天，3天</w:t>
            </w:r>
          </w:p>
        </w:tc>
      </w:tr>
    </w:tbl>
    <w:p>
      <w:pPr>
        <w:pStyle w:val="61"/>
        <w:bidi w:val="0"/>
        <w:rPr>
          <w:rFonts w:hint="default"/>
          <w:lang w:val="en-US" w:eastAsia="zh-CN"/>
        </w:rPr>
      </w:pPr>
      <w:r>
        <w:rPr>
          <w:rFonts w:hint="eastAsia"/>
          <w:lang w:val="en-US" w:eastAsia="zh-CN"/>
        </w:rPr>
        <w:t>评价方法</w:t>
      </w:r>
    </w:p>
    <w:p>
      <w:pPr>
        <w:keepNext w:val="0"/>
        <w:keepLines w:val="0"/>
        <w:pageBreakBefore w:val="0"/>
        <w:widowControl/>
        <w:suppressLineNumbers w:val="0"/>
        <w:kinsoku/>
        <w:wordWrap/>
        <w:overflowPunct/>
        <w:topLinePunct w:val="0"/>
        <w:autoSpaceDE/>
        <w:autoSpaceDN/>
        <w:bidi w:val="0"/>
        <w:adjustRightInd/>
        <w:snapToGrid/>
        <w:jc w:val="left"/>
        <w:textAlignment w:val="auto"/>
        <w:rPr>
          <w:rFonts w:hint="eastAsia" w:ascii="宋体" w:hAnsi="宋体" w:eastAsia="宋体" w:cs="宋体"/>
          <w:snapToGrid w:val="0"/>
          <w:color w:val="000000"/>
          <w:kern w:val="0"/>
          <w:sz w:val="24"/>
          <w:szCs w:val="24"/>
          <w:lang w:val="en-US" w:eastAsia="zh-CN" w:bidi="ar"/>
        </w:rPr>
      </w:pPr>
      <w:r>
        <w:rPr>
          <w:rFonts w:hint="eastAsia" w:ascii="宋体" w:hAnsi="宋体" w:eastAsia="宋体" w:cs="宋体"/>
          <w:snapToGrid w:val="0"/>
          <w:color w:val="000000"/>
          <w:kern w:val="0"/>
          <w:sz w:val="24"/>
          <w:szCs w:val="24"/>
          <w:lang w:val="en-US" w:eastAsia="zh-CN" w:bidi="ar"/>
        </w:rPr>
        <w:t>参照《环境影响评价技术导则》</w:t>
      </w:r>
      <w:r>
        <w:rPr>
          <w:rFonts w:hint="default" w:ascii="Times New Roman" w:hAnsi="Times New Roman" w:eastAsia="宋体" w:cs="Times New Roman"/>
          <w:snapToGrid w:val="0"/>
          <w:color w:val="000000"/>
          <w:kern w:val="0"/>
          <w:sz w:val="24"/>
          <w:szCs w:val="24"/>
          <w:lang w:val="en-US" w:eastAsia="zh-CN" w:bidi="ar"/>
        </w:rPr>
        <w:t>HJ2.3-2018</w:t>
      </w:r>
      <w:r>
        <w:rPr>
          <w:rFonts w:hint="eastAsia" w:ascii="宋体" w:hAnsi="宋体" w:eastAsia="宋体" w:cs="宋体"/>
          <w:snapToGrid w:val="0"/>
          <w:color w:val="000000"/>
          <w:kern w:val="0"/>
          <w:sz w:val="24"/>
          <w:szCs w:val="24"/>
          <w:lang w:val="en-US" w:eastAsia="zh-CN" w:bidi="ar"/>
        </w:rPr>
        <w:t>水环境质量评价方法的要求，采用单项水质指数评价法，水质参数的标准指数大于</w:t>
      </w:r>
      <w:r>
        <w:rPr>
          <w:rFonts w:hint="default" w:ascii="Times New Roman" w:hAnsi="Times New Roman" w:eastAsia="宋体" w:cs="Times New Roman"/>
          <w:snapToGrid w:val="0"/>
          <w:color w:val="000000"/>
          <w:kern w:val="0"/>
          <w:sz w:val="24"/>
          <w:szCs w:val="24"/>
          <w:lang w:val="en-US" w:eastAsia="zh-CN" w:bidi="ar"/>
        </w:rPr>
        <w:t>1</w:t>
      </w:r>
      <w:r>
        <w:rPr>
          <w:rFonts w:hint="eastAsia" w:ascii="宋体" w:hAnsi="宋体" w:eastAsia="宋体" w:cs="宋体"/>
          <w:snapToGrid w:val="0"/>
          <w:color w:val="000000"/>
          <w:kern w:val="0"/>
          <w:sz w:val="24"/>
          <w:szCs w:val="24"/>
          <w:lang w:val="en-US" w:eastAsia="zh-CN" w:bidi="ar"/>
        </w:rPr>
        <w:t>，表明该水质参数超过了规定的水质标准，水质参数的标准指数小于</w:t>
      </w:r>
      <w:r>
        <w:rPr>
          <w:rFonts w:hint="default" w:ascii="Times New Roman" w:hAnsi="Times New Roman" w:eastAsia="宋体" w:cs="Times New Roman"/>
          <w:snapToGrid w:val="0"/>
          <w:color w:val="000000"/>
          <w:kern w:val="0"/>
          <w:sz w:val="24"/>
          <w:szCs w:val="24"/>
          <w:lang w:val="en-US" w:eastAsia="zh-CN" w:bidi="ar"/>
        </w:rPr>
        <w:t>1</w:t>
      </w:r>
      <w:r>
        <w:rPr>
          <w:rFonts w:hint="eastAsia" w:ascii="宋体" w:hAnsi="宋体" w:eastAsia="宋体" w:cs="宋体"/>
          <w:snapToGrid w:val="0"/>
          <w:color w:val="000000"/>
          <w:kern w:val="0"/>
          <w:sz w:val="24"/>
          <w:szCs w:val="24"/>
          <w:lang w:val="en-US" w:eastAsia="zh-CN" w:bidi="ar"/>
        </w:rPr>
        <w:t>，表明该水质参数符合规定的水质标准。单项水质指数评价计算公式如下：</w:t>
      </w:r>
    </w:p>
    <w:p>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①标准指数计算公式为：</w:t>
      </w:r>
    </w:p>
    <w:p>
      <w:pPr>
        <w:ind w:left="11" w:firstLine="480"/>
        <w:jc w:val="center"/>
        <w:rPr>
          <w:bCs/>
          <w:color w:val="000000" w:themeColor="text1"/>
          <w:spacing w:val="5"/>
          <w14:textFill>
            <w14:solidFill>
              <w14:schemeClr w14:val="tx1"/>
            </w14:solidFill>
          </w14:textFill>
        </w:rPr>
      </w:pPr>
      <w:r>
        <w:rPr>
          <w:bCs/>
          <w:color w:val="000000" w:themeColor="text1"/>
          <w:spacing w:val="5"/>
          <w:position w:val="-24"/>
          <w14:textFill>
            <w14:solidFill>
              <w14:schemeClr w14:val="tx1"/>
            </w14:solidFill>
          </w14:textFill>
        </w:rPr>
        <w:drawing>
          <wp:inline distT="0" distB="0" distL="114300" distR="114300">
            <wp:extent cx="638175" cy="361950"/>
            <wp:effectExtent l="0" t="0" r="0" b="3810"/>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44"/>
                    <a:stretch>
                      <a:fillRect/>
                    </a:stretch>
                  </pic:blipFill>
                  <pic:spPr>
                    <a:xfrm>
                      <a:off x="0" y="0"/>
                      <a:ext cx="638175" cy="361950"/>
                    </a:xfrm>
                    <a:prstGeom prst="rect">
                      <a:avLst/>
                    </a:prstGeom>
                    <a:noFill/>
                    <a:ln>
                      <a:noFill/>
                    </a:ln>
                  </pic:spPr>
                </pic:pic>
              </a:graphicData>
            </a:graphic>
          </wp:inline>
        </w:drawing>
      </w:r>
    </w:p>
    <w:p>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式中：</w:t>
      </w:r>
      <w:r>
        <w:rPr>
          <w:bCs/>
          <w:color w:val="000000" w:themeColor="text1"/>
          <w:position w:val="-6"/>
          <w14:textFill>
            <w14:solidFill>
              <w14:schemeClr w14:val="tx1"/>
            </w14:solidFill>
          </w14:textFill>
        </w:rPr>
        <w:drawing>
          <wp:inline distT="0" distB="0" distL="114300" distR="114300">
            <wp:extent cx="180975" cy="180975"/>
            <wp:effectExtent l="0" t="0" r="1905" b="0"/>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45"/>
                    <a:stretch>
                      <a:fillRect/>
                    </a:stretch>
                  </pic:blipFill>
                  <pic:spPr>
                    <a:xfrm>
                      <a:off x="0" y="0"/>
                      <a:ext cx="180975" cy="180975"/>
                    </a:xfrm>
                    <a:prstGeom prst="rect">
                      <a:avLst/>
                    </a:prstGeom>
                    <a:noFill/>
                    <a:ln>
                      <a:noFill/>
                    </a:ln>
                  </pic:spPr>
                </pic:pic>
              </a:graphicData>
            </a:graphic>
          </wp:inline>
        </w:drawing>
      </w:r>
      <w:r>
        <w:rPr>
          <w:bCs/>
          <w:color w:val="000000" w:themeColor="text1"/>
          <w14:textFill>
            <w14:solidFill>
              <w14:schemeClr w14:val="tx1"/>
            </w14:solidFill>
          </w14:textFill>
        </w:rPr>
        <w:t>——i类污染物标准指数；</w:t>
      </w:r>
    </w:p>
    <w:p>
      <w:pPr>
        <w:ind w:firstLine="1200" w:firstLineChars="500"/>
        <w:rPr>
          <w:bCs/>
          <w:color w:val="000000" w:themeColor="text1"/>
          <w14:textFill>
            <w14:solidFill>
              <w14:schemeClr w14:val="tx1"/>
            </w14:solidFill>
          </w14:textFill>
        </w:rPr>
      </w:pPr>
      <w:r>
        <w:rPr>
          <w:bCs/>
          <w:i/>
          <w:color w:val="000000" w:themeColor="text1"/>
          <w14:textFill>
            <w14:solidFill>
              <w14:schemeClr w14:val="tx1"/>
            </w14:solidFill>
          </w14:textFill>
        </w:rPr>
        <w:t>Ci</w:t>
      </w:r>
      <w:r>
        <w:rPr>
          <w:bCs/>
          <w:color w:val="000000" w:themeColor="text1"/>
          <w14:textFill>
            <w14:solidFill>
              <w14:schemeClr w14:val="tx1"/>
            </w14:solidFill>
          </w14:textFill>
        </w:rPr>
        <w:t>——i类污染物实测浓度值，mg/L；</w:t>
      </w:r>
    </w:p>
    <w:p>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bCs/>
          <w:i/>
          <w:color w:val="000000" w:themeColor="text1"/>
          <w14:textFill>
            <w14:solidFill>
              <w14:schemeClr w14:val="tx1"/>
            </w14:solidFill>
          </w14:textFill>
        </w:rPr>
        <w:t>Coi</w:t>
      </w:r>
      <w:r>
        <w:rPr>
          <w:bCs/>
          <w:color w:val="000000" w:themeColor="text1"/>
          <w14:textFill>
            <w14:solidFill>
              <w14:schemeClr w14:val="tx1"/>
            </w14:solidFill>
          </w14:textFill>
        </w:rPr>
        <w:t>——i类污染物的评价标准值，mg/L。</w:t>
      </w:r>
    </w:p>
    <w:p>
      <w:pPr>
        <w:ind w:firstLine="480"/>
        <w:rPr>
          <w:bCs/>
          <w:color w:val="000000" w:themeColor="text1"/>
          <w14:textFill>
            <w14:solidFill>
              <w14:schemeClr w14:val="tx1"/>
            </w14:solidFill>
          </w14:textFill>
        </w:rPr>
      </w:pPr>
    </w:p>
    <w:p>
      <w:pPr>
        <w:ind w:left="480" w:hanging="480" w:hangingChars="200"/>
        <w:rPr>
          <w:color w:val="000000" w:themeColor="text1"/>
          <w14:textFill>
            <w14:solidFill>
              <w14:schemeClr w14:val="tx1"/>
            </w14:solidFill>
          </w14:textFill>
        </w:rPr>
      </w:pPr>
      <w:r>
        <w:rPr>
          <w:color w:val="000000" w:themeColor="text1"/>
          <w14:textFill>
            <w14:solidFill>
              <w14:schemeClr w14:val="tx1"/>
            </w14:solidFill>
          </w14:textFill>
        </w:rPr>
        <w:t xml:space="preserve">    ② </w:t>
      </w:r>
      <w:r>
        <w:rPr>
          <w:rFonts w:hint="eastAsia"/>
          <w:color w:val="000000" w:themeColor="text1"/>
          <w:lang w:eastAsia="zh-CN"/>
          <w14:textFill>
            <w14:solidFill>
              <w14:schemeClr w14:val="tx1"/>
            </w14:solidFill>
          </w14:textFill>
        </w:rPr>
        <w:t>pH</w:t>
      </w:r>
      <w:r>
        <w:rPr>
          <w:color w:val="000000" w:themeColor="text1"/>
          <w14:textFill>
            <w14:solidFill>
              <w14:schemeClr w14:val="tx1"/>
            </w14:solidFill>
          </w14:textFill>
        </w:rPr>
        <w:t>的标准指数的计算公式：</w:t>
      </w:r>
    </w:p>
    <w:p>
      <w:pPr>
        <w:ind w:left="11" w:firstLine="480"/>
        <w:jc w:val="center"/>
        <w:rPr>
          <w:color w:val="000000" w:themeColor="text1"/>
          <w:position w:val="-30"/>
          <w14:textFill>
            <w14:solidFill>
              <w14:schemeClr w14:val="tx1"/>
            </w14:solidFill>
          </w14:textFill>
        </w:rPr>
      </w:pPr>
      <w:r>
        <w:rPr>
          <w:color w:val="000000" w:themeColor="text1"/>
          <w:position w:val="-30"/>
          <w14:textFill>
            <w14:solidFill>
              <w14:schemeClr w14:val="tx1"/>
            </w14:solidFill>
          </w14:textFill>
        </w:rPr>
        <w:drawing>
          <wp:inline distT="0" distB="0" distL="114300" distR="114300">
            <wp:extent cx="2009775" cy="457200"/>
            <wp:effectExtent l="0" t="0" r="1905" b="0"/>
            <wp:docPr id="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
                    <pic:cNvPicPr>
                      <a:picLocks noChangeAspect="1"/>
                    </pic:cNvPicPr>
                  </pic:nvPicPr>
                  <pic:blipFill>
                    <a:blip r:embed="rId46"/>
                    <a:stretch>
                      <a:fillRect/>
                    </a:stretch>
                  </pic:blipFill>
                  <pic:spPr>
                    <a:xfrm>
                      <a:off x="0" y="0"/>
                      <a:ext cx="2009775" cy="457200"/>
                    </a:xfrm>
                    <a:prstGeom prst="rect">
                      <a:avLst/>
                    </a:prstGeom>
                    <a:noFill/>
                    <a:ln>
                      <a:noFill/>
                    </a:ln>
                  </pic:spPr>
                </pic:pic>
              </a:graphicData>
            </a:graphic>
          </wp:inline>
        </w:drawing>
      </w:r>
    </w:p>
    <w:p>
      <w:pPr>
        <w:ind w:left="11"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drawing>
          <wp:inline distT="0" distB="0" distL="114300" distR="114300">
            <wp:extent cx="2009775" cy="457200"/>
            <wp:effectExtent l="0" t="0" r="1905" b="0"/>
            <wp:docPr id="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
                    <pic:cNvPicPr>
                      <a:picLocks noChangeAspect="1"/>
                    </pic:cNvPicPr>
                  </pic:nvPicPr>
                  <pic:blipFill>
                    <a:blip r:embed="rId47"/>
                    <a:stretch>
                      <a:fillRect/>
                    </a:stretch>
                  </pic:blipFill>
                  <pic:spPr>
                    <a:xfrm>
                      <a:off x="0" y="0"/>
                      <a:ext cx="2009775" cy="457200"/>
                    </a:xfrm>
                    <a:prstGeom prst="rect">
                      <a:avLst/>
                    </a:prstGeom>
                    <a:noFill/>
                    <a:ln>
                      <a:noFill/>
                    </a:ln>
                  </pic:spPr>
                </pic:pic>
              </a:graphicData>
            </a:graphic>
          </wp:inline>
        </w:drawing>
      </w:r>
    </w:p>
    <w:p>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式中：</w:t>
      </w:r>
      <w:r>
        <w:rPr>
          <w:rFonts w:hint="eastAsia"/>
          <w:bCs/>
          <w:color w:val="000000" w:themeColor="text1"/>
          <w:lang w:eastAsia="zh-CN"/>
          <w14:textFill>
            <w14:solidFill>
              <w14:schemeClr w14:val="tx1"/>
            </w14:solidFill>
          </w14:textFill>
        </w:rPr>
        <w:t>pH</w:t>
      </w:r>
      <w:r>
        <w:rPr>
          <w:bCs/>
          <w:color w:val="000000" w:themeColor="text1"/>
          <w:vertAlign w:val="subscript"/>
          <w14:textFill>
            <w14:solidFill>
              <w14:schemeClr w14:val="tx1"/>
            </w14:solidFill>
          </w14:textFill>
        </w:rPr>
        <w:t>j</w:t>
      </w:r>
      <w:r>
        <w:rPr>
          <w:bCs/>
          <w:color w:val="000000" w:themeColor="text1"/>
          <w14:textFill>
            <w14:solidFill>
              <w14:schemeClr w14:val="tx1"/>
            </w14:solidFill>
          </w14:textFill>
        </w:rPr>
        <w:t>——</w:t>
      </w:r>
      <w:r>
        <w:rPr>
          <w:rFonts w:hint="eastAsia"/>
          <w:bCs/>
          <w:color w:val="000000" w:themeColor="text1"/>
          <w:lang w:eastAsia="zh-CN"/>
          <w14:textFill>
            <w14:solidFill>
              <w14:schemeClr w14:val="tx1"/>
            </w14:solidFill>
          </w14:textFill>
        </w:rPr>
        <w:t>pH</w:t>
      </w:r>
      <w:r>
        <w:rPr>
          <w:bCs/>
          <w:color w:val="000000" w:themeColor="text1"/>
          <w14:textFill>
            <w14:solidFill>
              <w14:schemeClr w14:val="tx1"/>
            </w14:solidFill>
          </w14:textFill>
        </w:rPr>
        <w:t>值实测值；</w:t>
      </w:r>
    </w:p>
    <w:p>
      <w:pPr>
        <w:ind w:firstLine="1200" w:firstLineChars="500"/>
        <w:rPr>
          <w:bCs/>
          <w:color w:val="000000" w:themeColor="text1"/>
          <w14:textFill>
            <w14:solidFill>
              <w14:schemeClr w14:val="tx1"/>
            </w14:solidFill>
          </w14:textFill>
        </w:rPr>
      </w:pPr>
      <w:r>
        <w:rPr>
          <w:rFonts w:hint="eastAsia"/>
          <w:bCs/>
          <w:color w:val="000000" w:themeColor="text1"/>
          <w:lang w:eastAsia="zh-CN"/>
          <w14:textFill>
            <w14:solidFill>
              <w14:schemeClr w14:val="tx1"/>
            </w14:solidFill>
          </w14:textFill>
        </w:rPr>
        <w:t>pH</w:t>
      </w:r>
      <w:r>
        <w:rPr>
          <w:bCs/>
          <w:color w:val="000000" w:themeColor="text1"/>
          <w:vertAlign w:val="subscript"/>
          <w14:textFill>
            <w14:solidFill>
              <w14:schemeClr w14:val="tx1"/>
            </w14:solidFill>
          </w14:textFill>
        </w:rPr>
        <w:t>sd</w:t>
      </w:r>
      <w:r>
        <w:rPr>
          <w:bCs/>
          <w:color w:val="000000" w:themeColor="text1"/>
          <w14:textFill>
            <w14:solidFill>
              <w14:schemeClr w14:val="tx1"/>
            </w14:solidFill>
          </w14:textFill>
        </w:rPr>
        <w:t>——</w:t>
      </w:r>
      <w:r>
        <w:rPr>
          <w:rFonts w:hint="eastAsia"/>
          <w:bCs/>
          <w:color w:val="000000" w:themeColor="text1"/>
          <w:lang w:eastAsia="zh-CN"/>
          <w14:textFill>
            <w14:solidFill>
              <w14:schemeClr w14:val="tx1"/>
            </w14:solidFill>
          </w14:textFill>
        </w:rPr>
        <w:t>pH</w:t>
      </w:r>
      <w:r>
        <w:rPr>
          <w:bCs/>
          <w:color w:val="000000" w:themeColor="text1"/>
          <w14:textFill>
            <w14:solidFill>
              <w14:schemeClr w14:val="tx1"/>
            </w14:solidFill>
          </w14:textFill>
        </w:rPr>
        <w:t>值下限；</w:t>
      </w:r>
    </w:p>
    <w:p>
      <w:pPr>
        <w:ind w:firstLine="480"/>
        <w:rPr>
          <w:bCs/>
          <w:color w:val="000000" w:themeColor="text1"/>
          <w14:textFill>
            <w14:solidFill>
              <w14:schemeClr w14:val="tx1"/>
            </w14:solidFill>
          </w14:textFill>
        </w:rPr>
      </w:pPr>
      <w:r>
        <w:rPr>
          <w:bCs/>
          <w:color w:val="000000" w:themeColor="text1"/>
          <w14:textFill>
            <w14:solidFill>
              <w14:schemeClr w14:val="tx1"/>
            </w14:solidFill>
          </w14:textFill>
        </w:rPr>
        <w:t xml:space="preserve">      </w:t>
      </w:r>
      <w:r>
        <w:rPr>
          <w:rFonts w:hint="eastAsia"/>
          <w:bCs/>
          <w:color w:val="000000" w:themeColor="text1"/>
          <w:lang w:eastAsia="zh-CN"/>
          <w14:textFill>
            <w14:solidFill>
              <w14:schemeClr w14:val="tx1"/>
            </w14:solidFill>
          </w14:textFill>
        </w:rPr>
        <w:t>pH</w:t>
      </w:r>
      <w:r>
        <w:rPr>
          <w:bCs/>
          <w:color w:val="000000" w:themeColor="text1"/>
          <w:vertAlign w:val="subscript"/>
          <w14:textFill>
            <w14:solidFill>
              <w14:schemeClr w14:val="tx1"/>
            </w14:solidFill>
          </w14:textFill>
        </w:rPr>
        <w:t>su</w:t>
      </w:r>
      <w:r>
        <w:rPr>
          <w:bCs/>
          <w:color w:val="000000" w:themeColor="text1"/>
          <w14:textFill>
            <w14:solidFill>
              <w14:schemeClr w14:val="tx1"/>
            </w14:solidFill>
          </w14:textFill>
        </w:rPr>
        <w:t>——</w:t>
      </w:r>
      <w:r>
        <w:rPr>
          <w:rFonts w:hint="eastAsia"/>
          <w:bCs/>
          <w:color w:val="000000" w:themeColor="text1"/>
          <w:lang w:eastAsia="zh-CN"/>
          <w14:textFill>
            <w14:solidFill>
              <w14:schemeClr w14:val="tx1"/>
            </w14:solidFill>
          </w14:textFill>
        </w:rPr>
        <w:t>pH</w:t>
      </w:r>
      <w:r>
        <w:rPr>
          <w:bCs/>
          <w:color w:val="000000" w:themeColor="text1"/>
          <w14:textFill>
            <w14:solidFill>
              <w14:schemeClr w14:val="tx1"/>
            </w14:solidFill>
          </w14:textFill>
        </w:rPr>
        <w:t>值上限。</w:t>
      </w:r>
    </w:p>
    <w:p>
      <w:pPr>
        <w:pStyle w:val="61"/>
        <w:bidi w:val="0"/>
        <w:rPr>
          <w:rFonts w:hint="default"/>
          <w:lang w:val="en-US" w:eastAsia="zh-CN"/>
        </w:rPr>
      </w:pPr>
      <w:r>
        <w:rPr>
          <w:rFonts w:hint="eastAsia"/>
          <w:lang w:val="en-US" w:eastAsia="zh-CN"/>
        </w:rPr>
        <w:t>评价标准</w:t>
      </w:r>
    </w:p>
    <w:p>
      <w:pPr>
        <w:rPr>
          <w:rFonts w:hint="eastAsia"/>
          <w:lang w:val="en-US" w:eastAsia="zh-CN"/>
        </w:rPr>
      </w:pPr>
      <w:r>
        <w:rPr>
          <w:rFonts w:hint="eastAsia"/>
          <w:lang w:val="en-US" w:eastAsia="zh-CN"/>
        </w:rPr>
        <w:t>评价标准具体见下表所示。</w:t>
      </w:r>
    </w:p>
    <w:p>
      <w:pPr>
        <w:pStyle w:val="56"/>
        <w:bidi w:val="0"/>
        <w:ind w:left="960" w:leftChars="0" w:firstLineChars="0"/>
        <w:rPr>
          <w:rFonts w:hint="default"/>
          <w:lang w:val="en-US" w:eastAsia="zh-CN"/>
        </w:rPr>
      </w:pPr>
      <w:r>
        <w:rPr>
          <w:rFonts w:hint="eastAsia"/>
          <w:lang w:val="en-US" w:eastAsia="zh-CN"/>
        </w:rPr>
        <w:t>《地表水环境质量标准》（GB3838-2022）单位：mg/L</w:t>
      </w:r>
    </w:p>
    <w:tbl>
      <w:tblPr>
        <w:tblStyle w:val="4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5"/>
        <w:gridCol w:w="1320"/>
        <w:gridCol w:w="1320"/>
        <w:gridCol w:w="1320"/>
        <w:gridCol w:w="1320"/>
        <w:gridCol w:w="1320"/>
        <w:gridCol w:w="1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tcBorders>
              <w:top w:val="single" w:color="auto" w:sz="12" w:space="0"/>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评价因子</w:t>
            </w:r>
          </w:p>
        </w:tc>
        <w:tc>
          <w:tcPr>
            <w:tcW w:w="714"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pH</w:t>
            </w:r>
          </w:p>
        </w:tc>
        <w:tc>
          <w:tcPr>
            <w:tcW w:w="714"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COD</w:t>
            </w:r>
          </w:p>
        </w:tc>
        <w:tc>
          <w:tcPr>
            <w:tcW w:w="714"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BOD</w:t>
            </w:r>
            <w:r>
              <w:rPr>
                <w:rFonts w:hint="default" w:ascii="Times New Roman" w:hAnsi="Times New Roman" w:cs="Times New Roman"/>
                <w:color w:val="000000" w:themeColor="text1"/>
                <w:kern w:val="2"/>
                <w:sz w:val="21"/>
                <w:szCs w:val="21"/>
                <w:vertAlign w:val="subscript"/>
                <w:lang w:val="en-US" w:eastAsia="zh-CN"/>
                <w14:textFill>
                  <w14:solidFill>
                    <w14:schemeClr w14:val="tx1"/>
                  </w14:solidFill>
                </w14:textFill>
              </w:rPr>
              <w:t>5</w:t>
            </w:r>
          </w:p>
        </w:tc>
        <w:tc>
          <w:tcPr>
            <w:tcW w:w="714"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氨氮</w:t>
            </w:r>
          </w:p>
        </w:tc>
        <w:tc>
          <w:tcPr>
            <w:tcW w:w="714" w:type="pct"/>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总磷（以P计）</w:t>
            </w:r>
          </w:p>
        </w:tc>
        <w:tc>
          <w:tcPr>
            <w:tcW w:w="714" w:type="pct"/>
            <w:tcBorders>
              <w:top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总氮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pct"/>
            <w:tcBorders>
              <w:left w:val="single" w:color="auto" w:sz="12" w:space="0"/>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Ⅲ类</w:t>
            </w:r>
          </w:p>
        </w:tc>
        <w:tc>
          <w:tcPr>
            <w:tcW w:w="714"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6~9</w:t>
            </w:r>
          </w:p>
        </w:tc>
        <w:tc>
          <w:tcPr>
            <w:tcW w:w="714"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≤20</w:t>
            </w:r>
          </w:p>
        </w:tc>
        <w:tc>
          <w:tcPr>
            <w:tcW w:w="714"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≤4</w:t>
            </w:r>
          </w:p>
        </w:tc>
        <w:tc>
          <w:tcPr>
            <w:tcW w:w="714"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≤1.0</w:t>
            </w:r>
          </w:p>
        </w:tc>
        <w:tc>
          <w:tcPr>
            <w:tcW w:w="714" w:type="pct"/>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≤0.2</w:t>
            </w:r>
          </w:p>
        </w:tc>
        <w:tc>
          <w:tcPr>
            <w:tcW w:w="714" w:type="pct"/>
            <w:tcBorders>
              <w:bottom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00" w:themeColor="text1"/>
                <w:kern w:val="2"/>
                <w:sz w:val="21"/>
                <w:szCs w:val="21"/>
                <w:lang w:val="en-US" w:eastAsia="zh-CN"/>
                <w14:textFill>
                  <w14:solidFill>
                    <w14:schemeClr w14:val="tx1"/>
                  </w14:solidFill>
                </w14:textFill>
              </w:rPr>
            </w:pPr>
            <w:r>
              <w:rPr>
                <w:rFonts w:hint="default" w:ascii="Times New Roman" w:hAnsi="Times New Roman" w:cs="Times New Roman"/>
                <w:color w:val="000000" w:themeColor="text1"/>
                <w:kern w:val="2"/>
                <w:sz w:val="21"/>
                <w:szCs w:val="21"/>
                <w:lang w:val="en-US" w:eastAsia="zh-CN"/>
                <w14:textFill>
                  <w14:solidFill>
                    <w14:schemeClr w14:val="tx1"/>
                  </w14:solidFill>
                </w14:textFill>
              </w:rPr>
              <w:t>≤1.0</w:t>
            </w:r>
          </w:p>
        </w:tc>
      </w:tr>
    </w:tbl>
    <w:p>
      <w:pPr>
        <w:pStyle w:val="61"/>
        <w:bidi w:val="0"/>
        <w:rPr>
          <w:rFonts w:hint="default"/>
          <w:u w:val="single"/>
          <w:lang w:val="en-US" w:eastAsia="zh-CN"/>
        </w:rPr>
      </w:pPr>
      <w:r>
        <w:rPr>
          <w:rFonts w:hint="eastAsia"/>
          <w:u w:val="single"/>
          <w:lang w:val="en-US" w:eastAsia="zh-CN"/>
        </w:rPr>
        <w:t>论证范围内地表水水质监测数据</w:t>
      </w:r>
    </w:p>
    <w:p>
      <w:pPr>
        <w:rPr>
          <w:rFonts w:hint="eastAsia"/>
          <w:color w:val="000000" w:themeColor="text1"/>
          <w:sz w:val="24"/>
          <w:u w:val="single"/>
          <w:lang w:val="en-US" w:eastAsia="zh-CN"/>
          <w14:textFill>
            <w14:solidFill>
              <w14:schemeClr w14:val="tx1"/>
            </w14:solidFill>
          </w14:textFill>
        </w:rPr>
      </w:pPr>
      <w:r>
        <w:rPr>
          <w:rFonts w:hint="eastAsia"/>
          <w:u w:val="single"/>
          <w:lang w:val="en-US" w:eastAsia="zh-CN"/>
        </w:rPr>
        <w:t>本项目纳水体为西北侧无名小溪。本次论证委托</w:t>
      </w:r>
      <w:r>
        <w:rPr>
          <w:rFonts w:hint="eastAsia"/>
          <w:color w:val="000000" w:themeColor="text1"/>
          <w:sz w:val="24"/>
          <w:u w:val="single"/>
          <w14:textFill>
            <w14:solidFill>
              <w14:schemeClr w14:val="tx1"/>
            </w14:solidFill>
          </w14:textFill>
        </w:rPr>
        <w:t>湖南昌旭环境科技有限公司</w:t>
      </w:r>
      <w:r>
        <w:rPr>
          <w:rFonts w:hint="eastAsia"/>
          <w:color w:val="000000" w:themeColor="text1"/>
          <w:sz w:val="24"/>
          <w:u w:val="single"/>
          <w:lang w:val="en-US" w:eastAsia="zh-CN"/>
          <w14:textFill>
            <w14:solidFill>
              <w14:schemeClr w14:val="tx1"/>
            </w14:solidFill>
          </w14:textFill>
        </w:rPr>
        <w:t>对监测公司进行水质监测，具体监测数据见下表所示。</w:t>
      </w:r>
    </w:p>
    <w:p>
      <w:pPr>
        <w:pStyle w:val="56"/>
        <w:bidi w:val="0"/>
        <w:ind w:left="960" w:leftChars="0" w:firstLineChars="0"/>
        <w:rPr>
          <w:rFonts w:hint="default"/>
          <w:u w:val="single"/>
          <w:lang w:val="en-US" w:eastAsia="zh-CN"/>
        </w:rPr>
      </w:pPr>
      <w:r>
        <w:rPr>
          <w:rFonts w:hint="eastAsia"/>
          <w:u w:val="single"/>
          <w:lang w:val="en-US" w:eastAsia="zh-CN"/>
        </w:rPr>
        <w:t>地表水环境质量现状一览表</w:t>
      </w:r>
    </w:p>
    <w:tbl>
      <w:tblPr>
        <w:tblStyle w:val="4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987"/>
        <w:gridCol w:w="863"/>
        <w:gridCol w:w="1353"/>
        <w:gridCol w:w="1331"/>
        <w:gridCol w:w="1212"/>
        <w:gridCol w:w="906"/>
        <w:gridCol w:w="1002"/>
        <w:gridCol w:w="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restart"/>
            <w:tcBorders>
              <w:top w:val="single" w:color="auto" w:sz="12" w:space="0"/>
              <w:lef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点位名称</w:t>
            </w:r>
          </w:p>
        </w:tc>
        <w:tc>
          <w:tcPr>
            <w:tcW w:w="534" w:type="pct"/>
            <w:vMerge w:val="restart"/>
            <w:tcBorders>
              <w:top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检测项目</w:t>
            </w:r>
          </w:p>
        </w:tc>
        <w:tc>
          <w:tcPr>
            <w:tcW w:w="467" w:type="pct"/>
            <w:vMerge w:val="restart"/>
            <w:tcBorders>
              <w:top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单位</w:t>
            </w:r>
          </w:p>
        </w:tc>
        <w:tc>
          <w:tcPr>
            <w:tcW w:w="2108" w:type="pct"/>
            <w:gridSpan w:val="3"/>
            <w:tcBorders>
              <w:top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检测结果</w:t>
            </w:r>
          </w:p>
        </w:tc>
        <w:tc>
          <w:tcPr>
            <w:tcW w:w="490" w:type="pct"/>
            <w:vMerge w:val="restart"/>
            <w:tcBorders>
              <w:top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标准值</w:t>
            </w:r>
          </w:p>
        </w:tc>
        <w:tc>
          <w:tcPr>
            <w:tcW w:w="542" w:type="pct"/>
            <w:vMerge w:val="restart"/>
            <w:tcBorders>
              <w:top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单因子指数</w:t>
            </w:r>
          </w:p>
        </w:tc>
        <w:tc>
          <w:tcPr>
            <w:tcW w:w="311" w:type="pct"/>
            <w:vMerge w:val="restart"/>
            <w:tcBorders>
              <w:top w:val="single" w:color="auto" w:sz="12" w:space="0"/>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Merge w:val="continue"/>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467" w:type="pct"/>
            <w:vMerge w:val="continue"/>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73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2024.03.23</w:t>
            </w:r>
          </w:p>
        </w:tc>
        <w:tc>
          <w:tcPr>
            <w:tcW w:w="720"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2024.03.24</w:t>
            </w:r>
          </w:p>
        </w:tc>
        <w:tc>
          <w:tcPr>
            <w:tcW w:w="655"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2024.03.25</w:t>
            </w:r>
          </w:p>
        </w:tc>
        <w:tc>
          <w:tcPr>
            <w:tcW w:w="490" w:type="pct"/>
            <w:vMerge w:val="continue"/>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42" w:type="pct"/>
            <w:vMerge w:val="continue"/>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311" w:type="pct"/>
            <w:vMerge w:val="continue"/>
            <w:tcBorders>
              <w:righ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restart"/>
            <w:tcBorders>
              <w:left w:val="single" w:color="auto" w:sz="12" w:space="0"/>
            </w:tcBorders>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W1</w:t>
            </w:r>
          </w:p>
        </w:tc>
        <w:tc>
          <w:tcPr>
            <w:tcW w:w="534"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pH</w:t>
            </w:r>
          </w:p>
        </w:tc>
        <w:tc>
          <w:tcPr>
            <w:tcW w:w="467"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无量纲</w:t>
            </w:r>
          </w:p>
        </w:tc>
        <w:tc>
          <w:tcPr>
            <w:tcW w:w="73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7.2</w:t>
            </w:r>
          </w:p>
        </w:tc>
        <w:tc>
          <w:tcPr>
            <w:tcW w:w="720"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7.4</w:t>
            </w:r>
          </w:p>
        </w:tc>
        <w:tc>
          <w:tcPr>
            <w:tcW w:w="655"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7.3</w:t>
            </w:r>
          </w:p>
        </w:tc>
        <w:tc>
          <w:tcPr>
            <w:tcW w:w="490"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6~9</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COD</w:t>
            </w:r>
            <w:r>
              <w:rPr>
                <w:color w:val="000000" w:themeColor="text1"/>
                <w:kern w:val="2"/>
                <w:sz w:val="21"/>
                <w:szCs w:val="21"/>
                <w:u w:val="single"/>
                <w:vertAlign w:val="subscript"/>
                <w14:textFill>
                  <w14:solidFill>
                    <w14:schemeClr w14:val="tx1"/>
                  </w14:solidFill>
                </w14:textFill>
              </w:rPr>
              <w:t>cr</w:t>
            </w:r>
          </w:p>
        </w:tc>
        <w:tc>
          <w:tcPr>
            <w:tcW w:w="467"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720"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w:t>
            </w:r>
          </w:p>
        </w:tc>
        <w:tc>
          <w:tcPr>
            <w:tcW w:w="655"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490"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20</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悬浮物</w:t>
            </w:r>
          </w:p>
        </w:tc>
        <w:tc>
          <w:tcPr>
            <w:tcW w:w="467"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w:t>
            </w:r>
          </w:p>
        </w:tc>
        <w:tc>
          <w:tcPr>
            <w:tcW w:w="720"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w:t>
            </w:r>
          </w:p>
        </w:tc>
        <w:tc>
          <w:tcPr>
            <w:tcW w:w="655"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w:t>
            </w:r>
          </w:p>
        </w:tc>
        <w:tc>
          <w:tcPr>
            <w:tcW w:w="490"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w:t>
            </w:r>
          </w:p>
        </w:tc>
        <w:tc>
          <w:tcPr>
            <w:tcW w:w="542"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溶解氧</w:t>
            </w:r>
          </w:p>
        </w:tc>
        <w:tc>
          <w:tcPr>
            <w:tcW w:w="467"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5.4</w:t>
            </w:r>
          </w:p>
        </w:tc>
        <w:tc>
          <w:tcPr>
            <w:tcW w:w="720"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5.6</w:t>
            </w:r>
          </w:p>
        </w:tc>
        <w:tc>
          <w:tcPr>
            <w:tcW w:w="655"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5.6</w:t>
            </w:r>
          </w:p>
        </w:tc>
        <w:tc>
          <w:tcPr>
            <w:tcW w:w="490"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0.6</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BOD</w:t>
            </w:r>
            <w:r>
              <w:rPr>
                <w:rFonts w:hint="eastAsia"/>
                <w:color w:val="000000" w:themeColor="text1"/>
                <w:kern w:val="2"/>
                <w:sz w:val="21"/>
                <w:szCs w:val="21"/>
                <w:u w:val="single"/>
                <w:vertAlign w:val="subscript"/>
                <w:lang w:val="en-US" w:eastAsia="zh-CN"/>
                <w14:textFill>
                  <w14:solidFill>
                    <w14:schemeClr w14:val="tx1"/>
                  </w14:solidFill>
                </w14:textFill>
              </w:rPr>
              <w:t>5</w:t>
            </w:r>
          </w:p>
        </w:tc>
        <w:tc>
          <w:tcPr>
            <w:tcW w:w="467"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1.1</w:t>
            </w:r>
          </w:p>
        </w:tc>
        <w:tc>
          <w:tcPr>
            <w:tcW w:w="720"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1.1</w:t>
            </w:r>
          </w:p>
        </w:tc>
        <w:tc>
          <w:tcPr>
            <w:tcW w:w="655" w:type="pct"/>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1.2</w:t>
            </w:r>
          </w:p>
        </w:tc>
        <w:tc>
          <w:tcPr>
            <w:tcW w:w="490"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4</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氨氮</w:t>
            </w:r>
          </w:p>
        </w:tc>
        <w:tc>
          <w:tcPr>
            <w:tcW w:w="467" w:type="pct"/>
            <w:vAlign w:val="center"/>
          </w:tcPr>
          <w:p>
            <w:pPr>
              <w:pStyle w:val="103"/>
              <w:spacing w:before="0" w:line="240" w:lineRule="auto"/>
              <w:ind w:right="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0.270</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0.297</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0.218</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0.297</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总磷</w:t>
            </w:r>
          </w:p>
        </w:tc>
        <w:tc>
          <w:tcPr>
            <w:tcW w:w="467" w:type="pct"/>
            <w:vAlign w:val="center"/>
          </w:tcPr>
          <w:p>
            <w:pPr>
              <w:pStyle w:val="103"/>
              <w:spacing w:before="0" w:line="240" w:lineRule="auto"/>
              <w:ind w:right="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0.09</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0.09</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0.09</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0.45</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总氮</w:t>
            </w:r>
          </w:p>
        </w:tc>
        <w:tc>
          <w:tcPr>
            <w:tcW w:w="467" w:type="pct"/>
            <w:vAlign w:val="center"/>
          </w:tcPr>
          <w:p>
            <w:pPr>
              <w:pStyle w:val="103"/>
              <w:spacing w:before="0" w:line="240" w:lineRule="auto"/>
              <w:ind w:right="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0.41</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0.42</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0.40</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0.42</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restart"/>
            <w:tcBorders>
              <w:lef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W2</w:t>
            </w: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color w:val="000000" w:themeColor="text1"/>
                <w:kern w:val="2"/>
                <w:sz w:val="21"/>
                <w:szCs w:val="21"/>
                <w:u w:val="single"/>
                <w14:textFill>
                  <w14:solidFill>
                    <w14:schemeClr w14:val="tx1"/>
                  </w14:solidFill>
                </w14:textFill>
              </w:rPr>
              <w:t>pH</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无量纲</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7.3</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7.5</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7.5</w:t>
            </w:r>
          </w:p>
        </w:tc>
        <w:tc>
          <w:tcPr>
            <w:tcW w:w="490" w:type="pct"/>
            <w:vAlign w:val="center"/>
          </w:tcPr>
          <w:p>
            <w:pPr>
              <w:pStyle w:val="103"/>
              <w:spacing w:before="0" w:line="240" w:lineRule="auto"/>
              <w:ind w:right="0" w:firstLine="0" w:firstLineChars="0"/>
              <w:jc w:val="center"/>
              <w:rPr>
                <w:rFonts w:hint="eastAsia"/>
                <w:color w:val="000000" w:themeColor="text1"/>
                <w:kern w:val="2"/>
                <w:sz w:val="21"/>
                <w:szCs w:val="21"/>
                <w:u w:val="single"/>
                <w:lang w:val="en-US" w:eastAsia="zh-CN"/>
                <w14:textFill>
                  <w14:solidFill>
                    <w14:schemeClr w14:val="tx1"/>
                  </w14:solidFill>
                </w14:textFill>
              </w:rPr>
            </w:pPr>
            <w:r>
              <w:rPr>
                <w:color w:val="000000" w:themeColor="text1"/>
                <w:kern w:val="2"/>
                <w:sz w:val="21"/>
                <w:szCs w:val="21"/>
                <w:u w:val="single"/>
                <w14:textFill>
                  <w14:solidFill>
                    <w14:schemeClr w14:val="tx1"/>
                  </w14:solidFill>
                </w14:textFill>
              </w:rPr>
              <w:t>6~9</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0.25</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color w:val="000000" w:themeColor="text1"/>
                <w:kern w:val="2"/>
                <w:sz w:val="21"/>
                <w:szCs w:val="21"/>
                <w:u w:val="single"/>
                <w14:textFill>
                  <w14:solidFill>
                    <w14:schemeClr w14:val="tx1"/>
                  </w14:solidFill>
                </w14:textFill>
              </w:rPr>
              <w:t>COD</w:t>
            </w:r>
            <w:r>
              <w:rPr>
                <w:color w:val="000000" w:themeColor="text1"/>
                <w:kern w:val="2"/>
                <w:sz w:val="21"/>
                <w:szCs w:val="21"/>
                <w:u w:val="single"/>
                <w:vertAlign w:val="subscript"/>
                <w14:textFill>
                  <w14:solidFill>
                    <w14:schemeClr w14:val="tx1"/>
                  </w14:solidFill>
                </w14:textFill>
              </w:rPr>
              <w:t>cr</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15</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14</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16</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0.8</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color w:val="000000" w:themeColor="text1"/>
                <w:kern w:val="2"/>
                <w:sz w:val="21"/>
                <w:szCs w:val="21"/>
                <w:u w:val="single"/>
                <w14:textFill>
                  <w14:solidFill>
                    <w14:schemeClr w14:val="tx1"/>
                  </w14:solidFill>
                </w14:textFill>
              </w:rPr>
              <w:t>悬浮物</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11</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11</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12</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t>
            </w:r>
          </w:p>
        </w:tc>
        <w:tc>
          <w:tcPr>
            <w:tcW w:w="542" w:type="pct"/>
            <w:vAlign w:val="center"/>
          </w:tcPr>
          <w:p>
            <w:pPr>
              <w:pStyle w:val="103"/>
              <w:spacing w:before="0" w:line="240" w:lineRule="auto"/>
              <w:ind w:right="0" w:firstLine="0" w:firstLineChars="0"/>
              <w:jc w:val="center"/>
              <w:rPr>
                <w:rFonts w:hint="eastAsia"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溶解氧</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5.1</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5.8</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5.3</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0.627</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BOD</w:t>
            </w:r>
            <w:r>
              <w:rPr>
                <w:rFonts w:hint="eastAsia"/>
                <w:color w:val="000000" w:themeColor="text1"/>
                <w:kern w:val="2"/>
                <w:sz w:val="21"/>
                <w:szCs w:val="21"/>
                <w:u w:val="single"/>
                <w:vertAlign w:val="subscript"/>
                <w:lang w:val="en-US" w:eastAsia="zh-CN"/>
                <w14:textFill>
                  <w14:solidFill>
                    <w14:schemeClr w14:val="tx1"/>
                  </w14:solidFill>
                </w14:textFill>
              </w:rPr>
              <w:t>5</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3.1</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3.0</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3.2</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4</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0.8</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氨氮</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0.459</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0.471</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0.435</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0.471</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总磷</w:t>
            </w:r>
          </w:p>
        </w:tc>
        <w:tc>
          <w:tcPr>
            <w:tcW w:w="467" w:type="pct"/>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0.12</w:t>
            </w:r>
          </w:p>
        </w:tc>
        <w:tc>
          <w:tcPr>
            <w:tcW w:w="72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0.15</w:t>
            </w:r>
          </w:p>
        </w:tc>
        <w:tc>
          <w:tcPr>
            <w:tcW w:w="655"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0.15</w:t>
            </w:r>
          </w:p>
        </w:tc>
        <w:tc>
          <w:tcPr>
            <w:tcW w:w="490" w:type="pct"/>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w:t>
            </w:r>
          </w:p>
        </w:tc>
        <w:tc>
          <w:tcPr>
            <w:tcW w:w="542" w:type="pct"/>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0.75</w:t>
            </w:r>
          </w:p>
        </w:tc>
        <w:tc>
          <w:tcPr>
            <w:tcW w:w="311" w:type="pct"/>
            <w:tcBorders>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tcBorders>
              <w:left w:val="single" w:color="auto" w:sz="12" w:space="0"/>
              <w:bottom w:val="single" w:color="auto" w:sz="12" w:space="0"/>
            </w:tcBorders>
            <w:vAlign w:val="center"/>
          </w:tcPr>
          <w:p>
            <w:pPr>
              <w:pStyle w:val="103"/>
              <w:spacing w:before="0" w:line="240" w:lineRule="auto"/>
              <w:ind w:right="0" w:firstLine="420"/>
              <w:jc w:val="center"/>
              <w:rPr>
                <w:color w:val="000000" w:themeColor="text1"/>
                <w:kern w:val="2"/>
                <w:sz w:val="21"/>
                <w:szCs w:val="21"/>
                <w:u w:val="single"/>
                <w14:textFill>
                  <w14:solidFill>
                    <w14:schemeClr w14:val="tx1"/>
                  </w14:solidFill>
                </w14:textFill>
              </w:rPr>
            </w:pPr>
          </w:p>
        </w:tc>
        <w:tc>
          <w:tcPr>
            <w:tcW w:w="534" w:type="pct"/>
            <w:tcBorders>
              <w:bottom w:val="single" w:color="auto" w:sz="12" w:space="0"/>
            </w:tcBorders>
            <w:vAlign w:val="center"/>
          </w:tcPr>
          <w:p>
            <w:pPr>
              <w:pStyle w:val="103"/>
              <w:spacing w:before="0" w:line="240" w:lineRule="auto"/>
              <w:ind w:right="0" w:rightChars="0" w:firstLine="0" w:firstLineChars="0"/>
              <w:jc w:val="center"/>
              <w:rPr>
                <w:rFonts w:hint="eastAsia"/>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总氮</w:t>
            </w:r>
          </w:p>
        </w:tc>
        <w:tc>
          <w:tcPr>
            <w:tcW w:w="467" w:type="pct"/>
            <w:tcBorders>
              <w:bottom w:val="single" w:color="auto" w:sz="12" w:space="0"/>
            </w:tcBorders>
            <w:vAlign w:val="center"/>
          </w:tcPr>
          <w:p>
            <w:pPr>
              <w:pStyle w:val="103"/>
              <w:spacing w:before="0" w:line="240" w:lineRule="auto"/>
              <w:ind w:right="0" w:rightChars="0" w:firstLine="0" w:firstLineChars="0"/>
              <w:jc w:val="center"/>
              <w:rPr>
                <w:rFonts w:eastAsia="TimesNewRomanPSMT"/>
                <w:bCs w:val="0"/>
                <w:color w:val="000000" w:themeColor="text1"/>
                <w:kern w:val="2"/>
                <w:sz w:val="21"/>
                <w:szCs w:val="21"/>
                <w:u w:val="single"/>
                <w14:textFill>
                  <w14:solidFill>
                    <w14:schemeClr w14:val="tx1"/>
                  </w14:solidFill>
                </w14:textFill>
              </w:rPr>
            </w:pPr>
            <w:r>
              <w:rPr>
                <w:rFonts w:eastAsia="TimesNewRomanPSMT"/>
                <w:bCs w:val="0"/>
                <w:color w:val="000000" w:themeColor="text1"/>
                <w:kern w:val="2"/>
                <w:sz w:val="21"/>
                <w:szCs w:val="21"/>
                <w:u w:val="single"/>
                <w14:textFill>
                  <w14:solidFill>
                    <w14:schemeClr w14:val="tx1"/>
                  </w14:solidFill>
                </w14:textFill>
              </w:rPr>
              <w:t>mg/L</w:t>
            </w:r>
          </w:p>
        </w:tc>
        <w:tc>
          <w:tcPr>
            <w:tcW w:w="732" w:type="pct"/>
            <w:tcBorders>
              <w:bottom w:val="single" w:color="auto" w:sz="12" w:space="0"/>
            </w:tcBorders>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0.69</w:t>
            </w:r>
          </w:p>
        </w:tc>
        <w:tc>
          <w:tcPr>
            <w:tcW w:w="720" w:type="pct"/>
            <w:tcBorders>
              <w:bottom w:val="single" w:color="auto" w:sz="12" w:space="0"/>
            </w:tcBorders>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0.71</w:t>
            </w:r>
          </w:p>
        </w:tc>
        <w:tc>
          <w:tcPr>
            <w:tcW w:w="655" w:type="pct"/>
            <w:tcBorders>
              <w:bottom w:val="single" w:color="auto" w:sz="12" w:space="0"/>
            </w:tcBorders>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0.68</w:t>
            </w:r>
          </w:p>
        </w:tc>
        <w:tc>
          <w:tcPr>
            <w:tcW w:w="490" w:type="pct"/>
            <w:tcBorders>
              <w:bottom w:val="single" w:color="auto" w:sz="12" w:space="0"/>
            </w:tcBorders>
            <w:vAlign w:val="center"/>
          </w:tcPr>
          <w:p>
            <w:pPr>
              <w:pStyle w:val="103"/>
              <w:spacing w:before="0" w:line="240" w:lineRule="auto"/>
              <w:ind w:right="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542" w:type="pct"/>
            <w:tcBorders>
              <w:bottom w:val="single" w:color="auto" w:sz="12" w:space="0"/>
            </w:tcBorders>
            <w:vAlign w:val="center"/>
          </w:tcPr>
          <w:p>
            <w:pPr>
              <w:pStyle w:val="103"/>
              <w:spacing w:before="0" w:line="240" w:lineRule="auto"/>
              <w:ind w:right="0" w:firstLine="0" w:firstLineChars="0"/>
              <w:jc w:val="center"/>
              <w:rPr>
                <w:rFonts w:hint="default" w:eastAsia="宋体"/>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0.71</w:t>
            </w:r>
          </w:p>
        </w:tc>
        <w:tc>
          <w:tcPr>
            <w:tcW w:w="311" w:type="pct"/>
            <w:tcBorders>
              <w:bottom w:val="single" w:color="auto" w:sz="12" w:space="0"/>
              <w:right w:val="single" w:color="auto" w:sz="12" w:space="0"/>
            </w:tcBorders>
            <w:vAlign w:val="center"/>
          </w:tcPr>
          <w:p>
            <w:pPr>
              <w:pStyle w:val="103"/>
              <w:spacing w:before="0" w:line="240" w:lineRule="auto"/>
              <w:ind w:right="0" w:firstLine="0" w:firstLineChars="0"/>
              <w:jc w:val="center"/>
              <w:rPr>
                <w:color w:val="000000" w:themeColor="text1"/>
                <w:kern w:val="2"/>
                <w:sz w:val="21"/>
                <w:szCs w:val="21"/>
                <w:u w:val="single"/>
                <w14:textFill>
                  <w14:solidFill>
                    <w14:schemeClr w14:val="tx1"/>
                  </w14:solidFill>
                </w14:textFill>
              </w:rPr>
            </w:pPr>
            <w:r>
              <w:rPr>
                <w:color w:val="000000" w:themeColor="text1"/>
                <w:kern w:val="2"/>
                <w:sz w:val="21"/>
                <w:szCs w:val="21"/>
                <w:u w:val="single"/>
                <w14:textFill>
                  <w14:solidFill>
                    <w14:schemeClr w14:val="tx1"/>
                  </w14:solidFill>
                </w14:textFill>
              </w:rPr>
              <w:t>达标</w:t>
            </w:r>
          </w:p>
        </w:tc>
      </w:tr>
    </w:tbl>
    <w:p>
      <w:pPr>
        <w:pStyle w:val="103"/>
        <w:spacing w:before="0" w:line="360" w:lineRule="auto"/>
        <w:ind w:right="0" w:firstLine="480"/>
        <w:rPr>
          <w:color w:val="000000" w:themeColor="text1"/>
          <w:u w:val="single"/>
          <w14:textFill>
            <w14:solidFill>
              <w14:schemeClr w14:val="tx1"/>
            </w14:solidFill>
          </w14:textFill>
        </w:rPr>
      </w:pPr>
      <w:r>
        <w:rPr>
          <w:color w:val="000000" w:themeColor="text1"/>
          <w:u w:val="single"/>
          <w14:textFill>
            <w14:solidFill>
              <w14:schemeClr w14:val="tx1"/>
            </w14:solidFill>
          </w14:textFill>
        </w:rPr>
        <w:t>由上表监测可知，</w:t>
      </w:r>
      <w:r>
        <w:rPr>
          <w:rFonts w:hint="eastAsia"/>
          <w:color w:val="000000" w:themeColor="text1"/>
          <w:u w:val="single"/>
          <w:lang w:val="en-US" w:eastAsia="zh-CN"/>
          <w14:textFill>
            <w14:solidFill>
              <w14:schemeClr w14:val="tx1"/>
            </w14:solidFill>
          </w14:textFill>
        </w:rPr>
        <w:t>p</w:t>
      </w:r>
      <w:r>
        <w:rPr>
          <w:color w:val="000000" w:themeColor="text1"/>
          <w:u w:val="single"/>
          <w14:textFill>
            <w14:solidFill>
              <w14:schemeClr w14:val="tx1"/>
            </w14:solidFill>
          </w14:textFill>
        </w:rPr>
        <w:t>H、COD</w:t>
      </w:r>
      <w:r>
        <w:rPr>
          <w:color w:val="000000" w:themeColor="text1"/>
          <w:u w:val="single"/>
          <w:vertAlign w:val="subscript"/>
          <w14:textFill>
            <w14:solidFill>
              <w14:schemeClr w14:val="tx1"/>
            </w14:solidFill>
          </w14:textFill>
        </w:rPr>
        <w:t>cr</w:t>
      </w:r>
      <w:r>
        <w:rPr>
          <w:color w:val="000000" w:themeColor="text1"/>
          <w:u w:val="single"/>
          <w14:textFill>
            <w14:solidFill>
              <w14:schemeClr w14:val="tx1"/>
            </w14:solidFill>
          </w14:textFill>
        </w:rPr>
        <w:t>、悬浮物、氨氮</w:t>
      </w:r>
      <w:r>
        <w:rPr>
          <w:rFonts w:hint="eastAsia"/>
          <w:color w:val="000000" w:themeColor="text1"/>
          <w:u w:val="single"/>
          <w:lang w:eastAsia="zh-CN"/>
          <w14:textFill>
            <w14:solidFill>
              <w14:schemeClr w14:val="tx1"/>
            </w14:solidFill>
          </w14:textFill>
        </w:rPr>
        <w:t>、</w:t>
      </w:r>
      <w:r>
        <w:rPr>
          <w:rFonts w:hint="eastAsia"/>
          <w:color w:val="000000" w:themeColor="text1"/>
          <w:u w:val="single"/>
          <w:lang w:val="en-US" w:eastAsia="zh-CN"/>
          <w14:textFill>
            <w14:solidFill>
              <w14:schemeClr w14:val="tx1"/>
            </w14:solidFill>
          </w14:textFill>
        </w:rPr>
        <w:t>溶解氧、总磷</w:t>
      </w:r>
      <w:r>
        <w:rPr>
          <w:color w:val="000000" w:themeColor="text1"/>
          <w:u w:val="single"/>
          <w14:textFill>
            <w14:solidFill>
              <w14:schemeClr w14:val="tx1"/>
            </w14:solidFill>
          </w14:textFill>
        </w:rPr>
        <w:t>和</w:t>
      </w:r>
      <w:r>
        <w:rPr>
          <w:rFonts w:hint="eastAsia"/>
          <w:color w:val="000000" w:themeColor="text1"/>
          <w:u w:val="single"/>
          <w:lang w:val="en-US" w:eastAsia="zh-CN"/>
          <w14:textFill>
            <w14:solidFill>
              <w14:schemeClr w14:val="tx1"/>
            </w14:solidFill>
          </w14:textFill>
        </w:rPr>
        <w:t>总氮</w:t>
      </w:r>
      <w:r>
        <w:rPr>
          <w:color w:val="000000" w:themeColor="text1"/>
          <w:u w:val="single"/>
          <w14:textFill>
            <w14:solidFill>
              <w14:schemeClr w14:val="tx1"/>
            </w14:solidFill>
          </w14:textFill>
        </w:rPr>
        <w:t>可满足《地表水环境质量标准》（GB3838-2002）</w:t>
      </w:r>
      <w:r>
        <w:rPr>
          <w:rFonts w:eastAsia="TimesNewRomanPSMT"/>
          <w:bCs w:val="0"/>
          <w:color w:val="000000" w:themeColor="text1"/>
          <w:szCs w:val="24"/>
          <w:u w:val="single"/>
          <w14:textFill>
            <w14:solidFill>
              <w14:schemeClr w14:val="tx1"/>
            </w14:solidFill>
          </w14:textFill>
        </w:rPr>
        <w:t>III</w:t>
      </w:r>
      <w:r>
        <w:rPr>
          <w:bCs w:val="0"/>
          <w:color w:val="000000" w:themeColor="text1"/>
          <w:szCs w:val="24"/>
          <w:u w:val="single"/>
          <w14:textFill>
            <w14:solidFill>
              <w14:schemeClr w14:val="tx1"/>
            </w14:solidFill>
          </w14:textFill>
        </w:rPr>
        <w:t>类标准要求。</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u w:val="single"/>
          <w:lang w:val="en-US" w:eastAsia="zh-CN"/>
        </w:rPr>
      </w:pPr>
      <w:r>
        <w:rPr>
          <w:rFonts w:hint="eastAsia"/>
          <w:u w:val="single"/>
          <w:lang w:val="en-US" w:eastAsia="zh-CN"/>
        </w:rPr>
        <w:t>本项目地表水采样水文参数记录见下表所示。</w:t>
      </w:r>
    </w:p>
    <w:p>
      <w:pPr>
        <w:pStyle w:val="56"/>
        <w:bidi w:val="0"/>
        <w:ind w:left="960" w:leftChars="0" w:firstLineChars="0"/>
        <w:rPr>
          <w:rFonts w:hint="default"/>
          <w:u w:val="single"/>
          <w:vertAlign w:val="baseline"/>
          <w:lang w:val="en-US" w:eastAsia="zh-CN"/>
        </w:rPr>
      </w:pPr>
      <w:r>
        <w:rPr>
          <w:rFonts w:hint="eastAsia"/>
          <w:u w:val="single"/>
          <w:lang w:val="en-US" w:eastAsia="zh-CN"/>
        </w:rPr>
        <w:t>地表水水文参数一览表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1296"/>
        <w:gridCol w:w="1100"/>
        <w:gridCol w:w="1148"/>
        <w:gridCol w:w="1155"/>
        <w:gridCol w:w="1139"/>
        <w:gridCol w:w="1140"/>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top w:val="single" w:color="auto" w:sz="12" w:space="0"/>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采样点位</w:t>
            </w:r>
          </w:p>
        </w:tc>
        <w:tc>
          <w:tcPr>
            <w:tcW w:w="2396" w:type="dxa"/>
            <w:gridSpan w:val="2"/>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采样日期（时段）</w:t>
            </w:r>
          </w:p>
        </w:tc>
        <w:tc>
          <w:tcPr>
            <w:tcW w:w="1148"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流速（m/s）</w:t>
            </w:r>
          </w:p>
        </w:tc>
        <w:tc>
          <w:tcPr>
            <w:tcW w:w="1155"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流量（m</w:t>
            </w:r>
            <w:r>
              <w:rPr>
                <w:rFonts w:hint="eastAsia"/>
                <w:color w:val="000000" w:themeColor="text1"/>
                <w:kern w:val="2"/>
                <w:sz w:val="21"/>
                <w:szCs w:val="21"/>
                <w:u w:val="single"/>
                <w:vertAlign w:val="superscript"/>
                <w:lang w:val="en-US" w:eastAsia="zh-CN"/>
                <w14:textFill>
                  <w14:solidFill>
                    <w14:schemeClr w14:val="tx1"/>
                  </w14:solidFill>
                </w14:textFill>
              </w:rPr>
              <w:t>3</w:t>
            </w:r>
            <w:r>
              <w:rPr>
                <w:rFonts w:hint="eastAsia"/>
                <w:color w:val="000000" w:themeColor="text1"/>
                <w:kern w:val="2"/>
                <w:sz w:val="21"/>
                <w:szCs w:val="21"/>
                <w:u w:val="single"/>
                <w:lang w:val="en-US" w:eastAsia="zh-CN"/>
                <w14:textFill>
                  <w14:solidFill>
                    <w14:schemeClr w14:val="tx1"/>
                  </w14:solidFill>
                </w14:textFill>
              </w:rPr>
              <w:t>/h）</w:t>
            </w:r>
          </w:p>
        </w:tc>
        <w:tc>
          <w:tcPr>
            <w:tcW w:w="1139"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宽度（m）</w:t>
            </w:r>
          </w:p>
        </w:tc>
        <w:tc>
          <w:tcPr>
            <w:tcW w:w="1140"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深度（m）</w:t>
            </w:r>
          </w:p>
        </w:tc>
        <w:tc>
          <w:tcPr>
            <w:tcW w:w="1144" w:type="dxa"/>
            <w:tcBorders>
              <w:top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水温（℃）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W1</w:t>
            </w:r>
          </w:p>
        </w:tc>
        <w:tc>
          <w:tcPr>
            <w:tcW w:w="1296" w:type="dxa"/>
            <w:vMerge w:val="restart"/>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2024.03.23</w:t>
            </w:r>
          </w:p>
        </w:tc>
        <w:tc>
          <w:tcPr>
            <w:tcW w:w="110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9:04</w:t>
            </w:r>
          </w:p>
        </w:tc>
        <w:tc>
          <w:tcPr>
            <w:tcW w:w="11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0.45</w:t>
            </w:r>
          </w:p>
        </w:tc>
        <w:tc>
          <w:tcPr>
            <w:tcW w:w="1155"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559.87</w:t>
            </w:r>
          </w:p>
        </w:tc>
        <w:tc>
          <w:tcPr>
            <w:tcW w:w="1139"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0.96</w:t>
            </w:r>
          </w:p>
        </w:tc>
        <w:tc>
          <w:tcPr>
            <w:tcW w:w="114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0.36</w:t>
            </w:r>
          </w:p>
        </w:tc>
        <w:tc>
          <w:tcPr>
            <w:tcW w:w="1144"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W2</w:t>
            </w:r>
          </w:p>
        </w:tc>
        <w:tc>
          <w:tcPr>
            <w:tcW w:w="1296" w:type="dxa"/>
            <w:vMerge w:val="continue"/>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u w:val="single"/>
                <w:lang w:val="en-US" w:eastAsia="zh-CN"/>
                <w14:textFill>
                  <w14:solidFill>
                    <w14:schemeClr w14:val="tx1"/>
                  </w14:solidFill>
                </w14:textFill>
              </w:rPr>
            </w:pPr>
          </w:p>
        </w:tc>
        <w:tc>
          <w:tcPr>
            <w:tcW w:w="110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9:31</w:t>
            </w:r>
          </w:p>
        </w:tc>
        <w:tc>
          <w:tcPr>
            <w:tcW w:w="11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0.38</w:t>
            </w:r>
          </w:p>
        </w:tc>
        <w:tc>
          <w:tcPr>
            <w:tcW w:w="1155"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618.88</w:t>
            </w:r>
          </w:p>
        </w:tc>
        <w:tc>
          <w:tcPr>
            <w:tcW w:w="1139"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0.87</w:t>
            </w:r>
          </w:p>
        </w:tc>
        <w:tc>
          <w:tcPr>
            <w:tcW w:w="114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0.52</w:t>
            </w:r>
          </w:p>
        </w:tc>
        <w:tc>
          <w:tcPr>
            <w:tcW w:w="1144"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W1</w:t>
            </w:r>
          </w:p>
        </w:tc>
        <w:tc>
          <w:tcPr>
            <w:tcW w:w="1296" w:type="dxa"/>
            <w:vMerge w:val="restart"/>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2024.03.24</w:t>
            </w:r>
          </w:p>
        </w:tc>
        <w:tc>
          <w:tcPr>
            <w:tcW w:w="110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8:52</w:t>
            </w:r>
          </w:p>
        </w:tc>
        <w:tc>
          <w:tcPr>
            <w:tcW w:w="11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0.45</w:t>
            </w:r>
          </w:p>
        </w:tc>
        <w:tc>
          <w:tcPr>
            <w:tcW w:w="1155"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559.87</w:t>
            </w:r>
          </w:p>
        </w:tc>
        <w:tc>
          <w:tcPr>
            <w:tcW w:w="1139"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0.96</w:t>
            </w:r>
          </w:p>
        </w:tc>
        <w:tc>
          <w:tcPr>
            <w:tcW w:w="114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0.36</w:t>
            </w:r>
          </w:p>
        </w:tc>
        <w:tc>
          <w:tcPr>
            <w:tcW w:w="1144"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W2</w:t>
            </w:r>
          </w:p>
        </w:tc>
        <w:tc>
          <w:tcPr>
            <w:tcW w:w="1296" w:type="dxa"/>
            <w:vMerge w:val="continue"/>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u w:val="single"/>
                <w:lang w:val="en-US" w:eastAsia="zh-CN"/>
                <w14:textFill>
                  <w14:solidFill>
                    <w14:schemeClr w14:val="tx1"/>
                  </w14:solidFill>
                </w14:textFill>
              </w:rPr>
            </w:pPr>
          </w:p>
        </w:tc>
        <w:tc>
          <w:tcPr>
            <w:tcW w:w="110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9:18</w:t>
            </w:r>
          </w:p>
        </w:tc>
        <w:tc>
          <w:tcPr>
            <w:tcW w:w="11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0.38</w:t>
            </w:r>
          </w:p>
        </w:tc>
        <w:tc>
          <w:tcPr>
            <w:tcW w:w="1155"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618.88</w:t>
            </w:r>
          </w:p>
        </w:tc>
        <w:tc>
          <w:tcPr>
            <w:tcW w:w="1139"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0.87</w:t>
            </w:r>
          </w:p>
        </w:tc>
        <w:tc>
          <w:tcPr>
            <w:tcW w:w="114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0.52</w:t>
            </w:r>
          </w:p>
        </w:tc>
        <w:tc>
          <w:tcPr>
            <w:tcW w:w="1144"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W1</w:t>
            </w:r>
          </w:p>
        </w:tc>
        <w:tc>
          <w:tcPr>
            <w:tcW w:w="1296" w:type="dxa"/>
            <w:vMerge w:val="restart"/>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2024.03.25</w:t>
            </w:r>
          </w:p>
        </w:tc>
        <w:tc>
          <w:tcPr>
            <w:tcW w:w="110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9:21</w:t>
            </w:r>
          </w:p>
        </w:tc>
        <w:tc>
          <w:tcPr>
            <w:tcW w:w="11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0.45</w:t>
            </w:r>
          </w:p>
        </w:tc>
        <w:tc>
          <w:tcPr>
            <w:tcW w:w="1155"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559.87</w:t>
            </w:r>
          </w:p>
        </w:tc>
        <w:tc>
          <w:tcPr>
            <w:tcW w:w="1139"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0.96</w:t>
            </w:r>
          </w:p>
        </w:tc>
        <w:tc>
          <w:tcPr>
            <w:tcW w:w="1140"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0.36</w:t>
            </w:r>
          </w:p>
        </w:tc>
        <w:tc>
          <w:tcPr>
            <w:tcW w:w="1144"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0" w:type="dxa"/>
            <w:tcBorders>
              <w:left w:val="single" w:color="auto" w:sz="12" w:space="0"/>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W2</w:t>
            </w:r>
          </w:p>
        </w:tc>
        <w:tc>
          <w:tcPr>
            <w:tcW w:w="1296" w:type="dxa"/>
            <w:vMerge w:val="continue"/>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u w:val="single"/>
                <w:lang w:val="en-US" w:eastAsia="zh-CN"/>
                <w14:textFill>
                  <w14:solidFill>
                    <w14:schemeClr w14:val="tx1"/>
                  </w14:solidFill>
                </w14:textFill>
              </w:rPr>
            </w:pPr>
          </w:p>
        </w:tc>
        <w:tc>
          <w:tcPr>
            <w:tcW w:w="1100"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9:48</w:t>
            </w:r>
          </w:p>
        </w:tc>
        <w:tc>
          <w:tcPr>
            <w:tcW w:w="1148"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0.38</w:t>
            </w:r>
          </w:p>
        </w:tc>
        <w:tc>
          <w:tcPr>
            <w:tcW w:w="1155"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618.88</w:t>
            </w:r>
          </w:p>
        </w:tc>
        <w:tc>
          <w:tcPr>
            <w:tcW w:w="1139"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0.87</w:t>
            </w:r>
          </w:p>
        </w:tc>
        <w:tc>
          <w:tcPr>
            <w:tcW w:w="1140"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0.52</w:t>
            </w:r>
          </w:p>
        </w:tc>
        <w:tc>
          <w:tcPr>
            <w:tcW w:w="1144" w:type="dxa"/>
            <w:tcBorders>
              <w:bottom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8.8</w:t>
            </w:r>
          </w:p>
        </w:tc>
      </w:tr>
    </w:tbl>
    <w:p>
      <w:pPr>
        <w:pStyle w:val="56"/>
        <w:bidi w:val="0"/>
        <w:rPr>
          <w:rFonts w:hint="default"/>
          <w:lang w:val="en-US" w:eastAsia="zh-CN"/>
        </w:rPr>
        <w:sectPr>
          <w:pgSz w:w="11906" w:h="16838"/>
          <w:pgMar w:top="1440" w:right="1440" w:bottom="1440" w:left="1440" w:header="850" w:footer="680" w:gutter="0"/>
          <w:pgBorders>
            <w:top w:val="none" w:sz="0" w:space="0"/>
            <w:left w:val="none" w:sz="0" w:space="0"/>
            <w:bottom w:val="none" w:sz="0" w:space="0"/>
            <w:right w:val="none" w:sz="0" w:space="0"/>
          </w:pgBorders>
          <w:pgNumType w:fmt="decimal"/>
          <w:cols w:space="0" w:num="1"/>
          <w:rtlGutter w:val="0"/>
          <w:docGrid w:linePitch="335" w:charSpace="0"/>
        </w:sectPr>
      </w:pPr>
    </w:p>
    <w:p>
      <w:pPr>
        <w:pStyle w:val="59"/>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bookmarkStart w:id="75" w:name="_Toc5604"/>
      <w:r>
        <w:rPr>
          <w:rFonts w:hint="eastAsia"/>
          <w:lang w:val="en-US" w:eastAsia="zh-CN"/>
        </w:rPr>
        <w:t>入河排污口设置影响分析</w:t>
      </w:r>
      <w:bookmarkEnd w:id="75"/>
    </w:p>
    <w:p>
      <w:pPr>
        <w:pStyle w:val="60"/>
        <w:bidi w:val="0"/>
        <w:rPr>
          <w:rFonts w:hint="default"/>
          <w:lang w:val="en-US" w:eastAsia="zh-CN"/>
        </w:rPr>
      </w:pPr>
      <w:bookmarkStart w:id="76" w:name="_Toc10143"/>
      <w:r>
        <w:rPr>
          <w:rFonts w:hint="eastAsia"/>
          <w:lang w:val="en-US" w:eastAsia="zh-CN"/>
        </w:rPr>
        <w:t>入河排污口设置水环境影响分析</w:t>
      </w:r>
      <w:bookmarkEnd w:id="76"/>
    </w:p>
    <w:p>
      <w:pPr>
        <w:pStyle w:val="61"/>
        <w:bidi w:val="0"/>
        <w:rPr>
          <w:rFonts w:hint="eastAsia"/>
          <w:lang w:val="en-US" w:eastAsia="zh-CN"/>
        </w:rPr>
      </w:pPr>
      <w:r>
        <w:rPr>
          <w:rFonts w:hint="eastAsia"/>
          <w:lang w:val="en-US" w:eastAsia="zh-CN"/>
        </w:rPr>
        <w:t>预测因子的选择</w:t>
      </w:r>
    </w:p>
    <w:p>
      <w:pPr>
        <w:rPr>
          <w:rFonts w:hint="eastAsia" w:cs="Times New Roman"/>
          <w:color w:val="000000" w:themeColor="text1"/>
          <w:u w:val="single"/>
          <w:lang w:val="en-US" w:eastAsia="zh-CN"/>
          <w14:textFill>
            <w14:solidFill>
              <w14:schemeClr w14:val="tx1"/>
            </w14:solidFill>
          </w14:textFill>
        </w:rPr>
      </w:pPr>
      <w:r>
        <w:rPr>
          <w:rFonts w:hint="eastAsia"/>
          <w:u w:val="single"/>
          <w:lang w:val="en-US" w:eastAsia="zh-CN"/>
        </w:rPr>
        <w:t>根据《环境影响评价技术导则 地表水环境》（HJ/T2.3-2018）（参见6.5.2）中选择预测水质参数，预测因子（水质参数）包括两类，一类是常规水质参数，它反映水域水质一般状况；另一类是特征水质参数，它能代表建设项目将来排放的水质。本次按“常规水质参数”选择预测因子，结合污染物排放总量控制要求等，本次选择</w:t>
      </w:r>
      <w:r>
        <w:rPr>
          <w:rFonts w:cs="Times New Roman"/>
          <w:color w:val="000000" w:themeColor="text1"/>
          <w:u w:val="single"/>
          <w14:textFill>
            <w14:solidFill>
              <w14:schemeClr w14:val="tx1"/>
            </w14:solidFill>
          </w14:textFill>
        </w:rPr>
        <w:t>NH</w:t>
      </w:r>
      <w:r>
        <w:rPr>
          <w:rFonts w:cs="Times New Roman"/>
          <w:color w:val="000000" w:themeColor="text1"/>
          <w:u w:val="single"/>
          <w:vertAlign w:val="subscript"/>
          <w14:textFill>
            <w14:solidFill>
              <w14:schemeClr w14:val="tx1"/>
            </w14:solidFill>
          </w14:textFill>
        </w:rPr>
        <w:t>3</w:t>
      </w:r>
      <w:r>
        <w:rPr>
          <w:rFonts w:cs="Times New Roman"/>
          <w:color w:val="000000" w:themeColor="text1"/>
          <w:u w:val="single"/>
          <w14:textFill>
            <w14:solidFill>
              <w14:schemeClr w14:val="tx1"/>
            </w14:solidFill>
          </w14:textFill>
        </w:rPr>
        <w:t>-N、</w:t>
      </w:r>
      <w:r>
        <w:rPr>
          <w:rFonts w:hint="eastAsia" w:cs="Times New Roman"/>
          <w:color w:val="000000" w:themeColor="text1"/>
          <w:u w:val="single"/>
          <w:lang w:val="en-US" w:eastAsia="zh-CN"/>
          <w14:textFill>
            <w14:solidFill>
              <w14:schemeClr w14:val="tx1"/>
            </w14:solidFill>
          </w14:textFill>
        </w:rPr>
        <w:t>COD</w:t>
      </w:r>
      <w:r>
        <w:rPr>
          <w:rFonts w:cs="Times New Roman"/>
          <w:color w:val="000000" w:themeColor="text1"/>
          <w:u w:val="single"/>
          <w14:textFill>
            <w14:solidFill>
              <w14:schemeClr w14:val="tx1"/>
            </w14:solidFill>
          </w14:textFill>
        </w:rPr>
        <w:t>、</w:t>
      </w:r>
      <w:r>
        <w:rPr>
          <w:rFonts w:hint="eastAsia" w:cs="Times New Roman"/>
          <w:color w:val="000000" w:themeColor="text1"/>
          <w:u w:val="single"/>
          <w:lang w:val="en-US" w:eastAsia="zh-CN"/>
          <w14:textFill>
            <w14:solidFill>
              <w14:schemeClr w14:val="tx1"/>
            </w14:solidFill>
          </w14:textFill>
        </w:rPr>
        <w:t>TP、TN作为预测因子。</w:t>
      </w:r>
    </w:p>
    <w:p>
      <w:pPr>
        <w:pStyle w:val="61"/>
        <w:bidi w:val="0"/>
        <w:rPr>
          <w:rFonts w:hint="eastAsia"/>
          <w:u w:val="single"/>
          <w:lang w:val="en-US" w:eastAsia="zh-CN"/>
        </w:rPr>
      </w:pPr>
      <w:r>
        <w:rPr>
          <w:rFonts w:hint="eastAsia"/>
          <w:u w:val="single"/>
          <w:lang w:val="en-US" w:eastAsia="zh-CN"/>
        </w:rPr>
        <w:t>预测源强</w:t>
      </w:r>
    </w:p>
    <w:p>
      <w:pPr>
        <w:rPr>
          <w:rFonts w:hint="eastAsia"/>
          <w:color w:val="000000" w:themeColor="text1"/>
          <w:u w:val="single"/>
          <w:lang w:val="en-US" w:eastAsia="zh-CN"/>
          <w14:textFill>
            <w14:solidFill>
              <w14:schemeClr w14:val="tx1"/>
            </w14:solidFill>
          </w14:textFill>
        </w:rPr>
      </w:pPr>
      <w:r>
        <w:rPr>
          <w:rFonts w:hint="eastAsia"/>
          <w:u w:val="single"/>
          <w:lang w:val="en-US" w:eastAsia="zh-CN"/>
        </w:rPr>
        <w:t>项目外排废水经处理后达标排放（正常排放）和无处理直接排放（事故排放）两种情况，预测项目外排废水经西北侧无名小溪</w:t>
      </w:r>
      <w:r>
        <w:rPr>
          <w:rFonts w:hint="eastAsia"/>
          <w:color w:val="000000" w:themeColor="text1"/>
          <w:u w:val="single"/>
          <w:lang w:eastAsia="zh-CN"/>
          <w14:textFill>
            <w14:solidFill>
              <w14:schemeClr w14:val="tx1"/>
            </w14:solidFill>
          </w14:textFill>
        </w:rPr>
        <w:t>。</w:t>
      </w:r>
      <w:r>
        <w:rPr>
          <w:rFonts w:hint="eastAsia"/>
          <w:color w:val="000000" w:themeColor="text1"/>
          <w:u w:val="single"/>
          <w:lang w:val="en-US" w:eastAsia="zh-CN"/>
          <w14:textFill>
            <w14:solidFill>
              <w14:schemeClr w14:val="tx1"/>
            </w14:solidFill>
          </w14:textFill>
        </w:rPr>
        <w:t>本次预测选取最大处理量2.92m</w:t>
      </w:r>
      <w:r>
        <w:rPr>
          <w:rFonts w:hint="eastAsia"/>
          <w:color w:val="000000" w:themeColor="text1"/>
          <w:u w:val="single"/>
          <w:vertAlign w:val="superscript"/>
          <w:lang w:val="en-US" w:eastAsia="zh-CN"/>
          <w14:textFill>
            <w14:solidFill>
              <w14:schemeClr w14:val="tx1"/>
            </w14:solidFill>
          </w14:textFill>
        </w:rPr>
        <w:t>3</w:t>
      </w:r>
      <w:r>
        <w:rPr>
          <w:rFonts w:hint="eastAsia"/>
          <w:color w:val="000000" w:themeColor="text1"/>
          <w:u w:val="single"/>
          <w:lang w:val="en-US" w:eastAsia="zh-CN"/>
          <w14:textFill>
            <w14:solidFill>
              <w14:schemeClr w14:val="tx1"/>
            </w14:solidFill>
          </w14:textFill>
        </w:rPr>
        <w:t>/d进行预测分析。本项目预测模型见下表所示。</w:t>
      </w:r>
    </w:p>
    <w:p>
      <w:pPr>
        <w:pStyle w:val="56"/>
        <w:bidi w:val="0"/>
        <w:ind w:left="960" w:leftChars="0" w:firstLineChars="0"/>
        <w:rPr>
          <w:rFonts w:hint="default"/>
          <w:u w:val="single"/>
          <w:vertAlign w:val="baseline"/>
          <w:lang w:val="en-US" w:eastAsia="zh-CN"/>
        </w:rPr>
      </w:pPr>
      <w:r>
        <w:rPr>
          <w:rFonts w:hint="eastAsia"/>
          <w:u w:val="single"/>
          <w:lang w:val="en-US" w:eastAsia="zh-CN"/>
        </w:rPr>
        <w:t>项目废水排放预测因子及源强一览表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2"/>
        <w:gridCol w:w="720"/>
        <w:gridCol w:w="872"/>
        <w:gridCol w:w="1078"/>
        <w:gridCol w:w="872"/>
        <w:gridCol w:w="1078"/>
        <w:gridCol w:w="872"/>
        <w:gridCol w:w="1078"/>
        <w:gridCol w:w="872"/>
        <w:gridCol w:w="10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预测因子及源强</w:t>
            </w:r>
          </w:p>
        </w:tc>
        <w:tc>
          <w:tcPr>
            <w:tcW w:w="720"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废水排放量（m</w:t>
            </w:r>
            <w:r>
              <w:rPr>
                <w:rFonts w:hint="eastAsia"/>
                <w:color w:val="000000" w:themeColor="text1"/>
                <w:kern w:val="2"/>
                <w:sz w:val="21"/>
                <w:szCs w:val="21"/>
                <w:u w:val="single"/>
                <w:vertAlign w:val="superscript"/>
                <w:lang w:val="en-US" w:eastAsia="zh-CN"/>
                <w14:textFill>
                  <w14:solidFill>
                    <w14:schemeClr w14:val="tx1"/>
                  </w14:solidFill>
                </w14:textFill>
              </w:rPr>
              <w:t>3</w:t>
            </w:r>
            <w:r>
              <w:rPr>
                <w:rFonts w:hint="eastAsia"/>
                <w:color w:val="000000" w:themeColor="text1"/>
                <w:kern w:val="2"/>
                <w:sz w:val="21"/>
                <w:szCs w:val="21"/>
                <w:u w:val="single"/>
                <w:lang w:val="en-US" w:eastAsia="zh-CN"/>
                <w14:textFill>
                  <w14:solidFill>
                    <w14:schemeClr w14:val="tx1"/>
                  </w14:solidFill>
                </w14:textFill>
              </w:rPr>
              <w:t>/a）</w:t>
            </w:r>
          </w:p>
        </w:tc>
        <w:tc>
          <w:tcPr>
            <w:tcW w:w="1950" w:type="dxa"/>
            <w:gridSpan w:val="2"/>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COD</w:t>
            </w:r>
          </w:p>
        </w:tc>
        <w:tc>
          <w:tcPr>
            <w:tcW w:w="1950" w:type="dxa"/>
            <w:gridSpan w:val="2"/>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氨氮</w:t>
            </w:r>
          </w:p>
        </w:tc>
        <w:tc>
          <w:tcPr>
            <w:tcW w:w="1950" w:type="dxa"/>
            <w:gridSpan w:val="2"/>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TP</w:t>
            </w:r>
          </w:p>
        </w:tc>
        <w:tc>
          <w:tcPr>
            <w:tcW w:w="1950" w:type="dxa"/>
            <w:gridSpan w:val="2"/>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u w:val="single"/>
                <w:lang w:val="en-US" w:eastAsia="zh-CN"/>
                <w14:textFill>
                  <w14:solidFill>
                    <w14:schemeClr w14:val="tx1"/>
                  </w14:solidFill>
                </w14:textFill>
              </w:rPr>
            </w:pPr>
          </w:p>
        </w:tc>
        <w:tc>
          <w:tcPr>
            <w:tcW w:w="720"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u w:val="single"/>
                <w:lang w:val="en-US" w:eastAsia="zh-CN"/>
                <w14:textFill>
                  <w14:solidFill>
                    <w14:schemeClr w14:val="tx1"/>
                  </w14:solidFill>
                </w14:textFill>
              </w:rPr>
            </w:pP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排放量（t/a）</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排放浓度（mg/L）</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排放量（t/a）</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排放浓度（mg/L）</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heme="minorBidi"/>
                <w:bCs/>
                <w:snapToGrid w:val="0"/>
                <w:color w:val="000000" w:themeColor="text1"/>
                <w:kern w:val="2"/>
                <w:sz w:val="21"/>
                <w:szCs w:val="21"/>
                <w:u w:val="single"/>
                <w:lang w:val="en-US" w:eastAsia="zh-CN" w:bidi="ar-SA"/>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排放量（t/a）</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排放浓度（mg/L）</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排放量（t/a）</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排放浓度（mg/L）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正常排放</w:t>
            </w:r>
          </w:p>
        </w:tc>
        <w:tc>
          <w:tcPr>
            <w:tcW w:w="720"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876</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0.0876</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100</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0.0131</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s="Times New Roman"/>
                <w:color w:val="auto"/>
                <w:kern w:val="2"/>
                <w:sz w:val="21"/>
                <w:szCs w:val="21"/>
                <w:u w:val="single"/>
                <w:lang w:val="en-US" w:eastAsia="zh-CN"/>
              </w:rPr>
              <w:t>15</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0.0009</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s="Times New Roman"/>
                <w:color w:val="000000" w:themeColor="text1"/>
                <w:kern w:val="2"/>
                <w:sz w:val="21"/>
                <w:szCs w:val="21"/>
                <w:u w:val="single"/>
                <w:lang w:val="en-US" w:eastAsia="zh-CN"/>
                <w14:textFill>
                  <w14:solidFill>
                    <w14:schemeClr w14:val="tx1"/>
                  </w14:solidFill>
                </w14:textFill>
              </w:rPr>
              <w:t>1</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0.0175</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s="Times New Roman"/>
                <w:color w:val="000000" w:themeColor="text1"/>
                <w:kern w:val="2"/>
                <w:sz w:val="21"/>
                <w:szCs w:val="21"/>
                <w:u w:val="single"/>
                <w:lang w:val="en-US" w:eastAsia="zh-CN"/>
                <w14:textFill>
                  <w14:solidFill>
                    <w14:schemeClr w14:val="tx1"/>
                  </w14:solidFill>
                </w14:textFill>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事故排放</w:t>
            </w:r>
          </w:p>
        </w:tc>
        <w:tc>
          <w:tcPr>
            <w:tcW w:w="720"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876</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0.1314</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150</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0.0219</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s="Times New Roman"/>
                <w:color w:val="000000" w:themeColor="text1"/>
                <w:kern w:val="2"/>
                <w:sz w:val="21"/>
                <w:szCs w:val="21"/>
                <w:u w:val="single"/>
                <w:lang w:val="en-US" w:eastAsia="zh-CN"/>
                <w14:textFill>
                  <w14:solidFill>
                    <w14:schemeClr w14:val="tx1"/>
                  </w14:solidFill>
                </w14:textFill>
              </w:rPr>
              <w:t>25</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0.0009</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s="Times New Roman"/>
                <w:color w:val="000000" w:themeColor="text1"/>
                <w:kern w:val="2"/>
                <w:sz w:val="21"/>
                <w:szCs w:val="21"/>
                <w:u w:val="single"/>
                <w:lang w:val="en-US" w:eastAsia="zh-CN"/>
                <w14:textFill>
                  <w14:solidFill>
                    <w14:schemeClr w14:val="tx1"/>
                  </w14:solidFill>
                </w14:textFill>
              </w:rPr>
              <w:t>1</w:t>
            </w:r>
          </w:p>
        </w:tc>
        <w:tc>
          <w:tcPr>
            <w:tcW w:w="872"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0.0175</w:t>
            </w:r>
          </w:p>
        </w:tc>
        <w:tc>
          <w:tcPr>
            <w:tcW w:w="107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s="Times New Roman"/>
                <w:color w:val="000000" w:themeColor="text1"/>
                <w:kern w:val="2"/>
                <w:sz w:val="21"/>
                <w:szCs w:val="21"/>
                <w:u w:val="single"/>
                <w:lang w:val="en-US" w:eastAsia="zh-CN"/>
                <w14:textFill>
                  <w14:solidFill>
                    <w14:schemeClr w14:val="tx1"/>
                  </w14:solidFill>
                </w14:textFill>
              </w:rPr>
              <w:t>20</w:t>
            </w:r>
          </w:p>
        </w:tc>
      </w:tr>
    </w:tbl>
    <w:p>
      <w:pPr>
        <w:pStyle w:val="61"/>
        <w:bidi w:val="0"/>
        <w:rPr>
          <w:rFonts w:hint="eastAsia"/>
          <w:u w:val="single"/>
          <w:lang w:val="en-US" w:eastAsia="zh-CN"/>
        </w:rPr>
      </w:pPr>
      <w:r>
        <w:rPr>
          <w:rFonts w:hint="eastAsia"/>
          <w:u w:val="single"/>
          <w:lang w:val="en-US" w:eastAsia="zh-CN"/>
        </w:rPr>
        <w:t>预测影响程度的方法</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hint="eastAsia"/>
          <w:u w:val="single"/>
          <w:lang w:val="en-US" w:eastAsia="zh-CN"/>
        </w:rPr>
      </w:pPr>
      <w:r>
        <w:rPr>
          <w:rFonts w:hint="eastAsia"/>
          <w:u w:val="single"/>
          <w:lang w:val="en-US" w:eastAsia="zh-CN"/>
        </w:rPr>
        <w:t>根据《环境影响评价技术导则 地表水环境》（HJ2.3-2018），采用混合过程段长度估算公式计算混合过程长度，根据监测报告得知项目西北侧无名小溪的水文参数见下表所示。</w:t>
      </w:r>
    </w:p>
    <w:p>
      <w:pPr>
        <w:pStyle w:val="56"/>
        <w:bidi w:val="0"/>
        <w:ind w:left="960" w:leftChars="0" w:firstLineChars="0"/>
        <w:rPr>
          <w:rFonts w:hint="default"/>
          <w:u w:val="single"/>
          <w:lang w:val="en-US" w:eastAsia="zh-CN"/>
        </w:rPr>
      </w:pPr>
      <w:r>
        <w:rPr>
          <w:rFonts w:hint="eastAsia"/>
          <w:u w:val="single"/>
          <w:lang w:val="en-US" w:eastAsia="zh-CN"/>
        </w:rPr>
        <w:t>水文和预测参数</w:t>
      </w:r>
    </w:p>
    <w:tbl>
      <w:tblPr>
        <w:tblStyle w:val="3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081"/>
        <w:gridCol w:w="1348"/>
        <w:gridCol w:w="1116"/>
        <w:gridCol w:w="1018"/>
        <w:gridCol w:w="1449"/>
        <w:gridCol w:w="1335"/>
        <w:gridCol w:w="170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7"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default" w:ascii="Times New Roman" w:hAnsi="Times New Roman" w:cs="Times New Roman"/>
                <w:b w:val="0"/>
                <w:bCs w:val="0"/>
                <w:color w:val="000000" w:themeColor="text1"/>
                <w:sz w:val="21"/>
                <w:szCs w:val="21"/>
                <w:u w:val="single"/>
                <w14:textFill>
                  <w14:solidFill>
                    <w14:schemeClr w14:val="tx1"/>
                  </w14:solidFill>
                </w14:textFill>
              </w:rPr>
              <w:t>河段</w:t>
            </w:r>
          </w:p>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default" w:ascii="Times New Roman" w:hAnsi="Times New Roman" w:cs="Times New Roman"/>
                <w:b w:val="0"/>
                <w:bCs w:val="0"/>
                <w:color w:val="000000" w:themeColor="text1"/>
                <w:sz w:val="21"/>
                <w:szCs w:val="21"/>
                <w:u w:val="single"/>
                <w14:textFill>
                  <w14:solidFill>
                    <w14:schemeClr w14:val="tx1"/>
                  </w14:solidFill>
                </w14:textFill>
              </w:rPr>
              <w:t>名称</w:t>
            </w:r>
          </w:p>
        </w:tc>
        <w:tc>
          <w:tcPr>
            <w:tcW w:w="744"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default" w:ascii="Times New Roman" w:hAnsi="Times New Roman" w:cs="Times New Roman"/>
                <w:b w:val="0"/>
                <w:bCs w:val="0"/>
                <w:color w:val="000000" w:themeColor="text1"/>
                <w:sz w:val="21"/>
                <w:szCs w:val="21"/>
                <w:u w:val="single"/>
                <w14:textFill>
                  <w14:solidFill>
                    <w14:schemeClr w14:val="tx1"/>
                  </w14:solidFill>
                </w14:textFill>
              </w:rPr>
              <w:t>平均流量（m</w:t>
            </w:r>
            <w:r>
              <w:rPr>
                <w:rFonts w:hint="default" w:ascii="Times New Roman" w:hAnsi="Times New Roman" w:cs="Times New Roman"/>
                <w:b w:val="0"/>
                <w:bCs w:val="0"/>
                <w:color w:val="000000" w:themeColor="text1"/>
                <w:sz w:val="21"/>
                <w:szCs w:val="21"/>
                <w:u w:val="single"/>
                <w:vertAlign w:val="superscript"/>
                <w14:textFill>
                  <w14:solidFill>
                    <w14:schemeClr w14:val="tx1"/>
                  </w14:solidFill>
                </w14:textFill>
              </w:rPr>
              <w:t>3</w:t>
            </w:r>
            <w:r>
              <w:rPr>
                <w:rFonts w:hint="default" w:ascii="Times New Roman" w:hAnsi="Times New Roman" w:cs="Times New Roman"/>
                <w:b w:val="0"/>
                <w:bCs w:val="0"/>
                <w:color w:val="000000" w:themeColor="text1"/>
                <w:sz w:val="21"/>
                <w:szCs w:val="21"/>
                <w:u w:val="single"/>
                <w14:textFill>
                  <w14:solidFill>
                    <w14:schemeClr w14:val="tx1"/>
                  </w14:solidFill>
                </w14:textFill>
              </w:rPr>
              <w:t>/</w:t>
            </w:r>
            <w:r>
              <w:rPr>
                <w:rFonts w:hint="eastAsia" w:cs="Times New Roman"/>
                <w:b w:val="0"/>
                <w:bCs w:val="0"/>
                <w:color w:val="000000" w:themeColor="text1"/>
                <w:sz w:val="21"/>
                <w:szCs w:val="21"/>
                <w:u w:val="single"/>
                <w:lang w:val="en-US" w:eastAsia="zh-CN"/>
                <w14:textFill>
                  <w14:solidFill>
                    <w14:schemeClr w14:val="tx1"/>
                  </w14:solidFill>
                </w14:textFill>
              </w:rPr>
              <w:t>h</w:t>
            </w:r>
            <w:r>
              <w:rPr>
                <w:rFonts w:hint="default" w:ascii="Times New Roman" w:hAnsi="Times New Roman" w:cs="Times New Roman"/>
                <w:b w:val="0"/>
                <w:bCs w:val="0"/>
                <w:color w:val="000000" w:themeColor="text1"/>
                <w:sz w:val="21"/>
                <w:szCs w:val="21"/>
                <w:u w:val="single"/>
                <w14:textFill>
                  <w14:solidFill>
                    <w14:schemeClr w14:val="tx1"/>
                  </w14:solidFill>
                </w14:textFill>
              </w:rPr>
              <w:t>）</w:t>
            </w:r>
          </w:p>
        </w:tc>
        <w:tc>
          <w:tcPr>
            <w:tcW w:w="616"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default" w:ascii="Times New Roman" w:hAnsi="Times New Roman" w:cs="Times New Roman"/>
                <w:b w:val="0"/>
                <w:bCs w:val="0"/>
                <w:color w:val="000000" w:themeColor="text1"/>
                <w:sz w:val="21"/>
                <w:szCs w:val="21"/>
                <w:u w:val="single"/>
                <w14:textFill>
                  <w14:solidFill>
                    <w14:schemeClr w14:val="tx1"/>
                  </w14:solidFill>
                </w14:textFill>
              </w:rPr>
              <w:t>流速（m</w:t>
            </w:r>
            <w:r>
              <w:rPr>
                <w:rFonts w:hint="eastAsia" w:cs="Times New Roman"/>
                <w:b w:val="0"/>
                <w:bCs w:val="0"/>
                <w:color w:val="000000" w:themeColor="text1"/>
                <w:sz w:val="21"/>
                <w:szCs w:val="21"/>
                <w:u w:val="single"/>
                <w:lang w:val="en-US" w:eastAsia="zh-CN"/>
                <w14:textFill>
                  <w14:solidFill>
                    <w14:schemeClr w14:val="tx1"/>
                  </w14:solidFill>
                </w14:textFill>
              </w:rPr>
              <w:t>/s</w:t>
            </w:r>
            <w:r>
              <w:rPr>
                <w:rFonts w:hint="default" w:ascii="Times New Roman" w:hAnsi="Times New Roman" w:cs="Times New Roman"/>
                <w:b w:val="0"/>
                <w:bCs w:val="0"/>
                <w:color w:val="000000" w:themeColor="text1"/>
                <w:sz w:val="21"/>
                <w:szCs w:val="21"/>
                <w:u w:val="single"/>
                <w14:textFill>
                  <w14:solidFill>
                    <w14:schemeClr w14:val="tx1"/>
                  </w14:solidFill>
                </w14:textFill>
              </w:rPr>
              <w:t>）</w:t>
            </w:r>
          </w:p>
        </w:tc>
        <w:tc>
          <w:tcPr>
            <w:tcW w:w="562"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default" w:ascii="Times New Roman" w:hAnsi="Times New Roman" w:cs="Times New Roman"/>
                <w:b w:val="0"/>
                <w:bCs w:val="0"/>
                <w:color w:val="000000" w:themeColor="text1"/>
                <w:sz w:val="21"/>
                <w:szCs w:val="21"/>
                <w:u w:val="single"/>
                <w14:textFill>
                  <w14:solidFill>
                    <w14:schemeClr w14:val="tx1"/>
                  </w14:solidFill>
                </w14:textFill>
              </w:rPr>
              <w:t>河宽（m）</w:t>
            </w:r>
          </w:p>
        </w:tc>
        <w:tc>
          <w:tcPr>
            <w:tcW w:w="800" w:type="pct"/>
            <w:vMerge w:val="restar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default" w:ascii="Times New Roman" w:hAnsi="Times New Roman" w:cs="Times New Roman"/>
                <w:b w:val="0"/>
                <w:bCs w:val="0"/>
                <w:color w:val="000000" w:themeColor="text1"/>
                <w:sz w:val="21"/>
                <w:szCs w:val="21"/>
                <w:u w:val="single"/>
                <w14:textFill>
                  <w14:solidFill>
                    <w14:schemeClr w14:val="tx1"/>
                  </w14:solidFill>
                </w14:textFill>
              </w:rPr>
              <w:t>水深（m）</w:t>
            </w:r>
          </w:p>
        </w:tc>
        <w:tc>
          <w:tcPr>
            <w:tcW w:w="737" w:type="pct"/>
            <w:vMerge w:val="restart"/>
            <w:tcBorders>
              <w:tl2br w:val="nil"/>
              <w:tr2bl w:val="nil"/>
            </w:tcBorders>
            <w:vAlign w:val="center"/>
          </w:tcPr>
          <w:p>
            <w:pPr>
              <w:pStyle w:val="122"/>
              <w:rPr>
                <w:rFonts w:hint="default" w:ascii="Times New Roman" w:hAnsi="Times New Roman" w:cs="Times New Roman"/>
                <w:b w:val="0"/>
                <w:bCs w:val="0"/>
                <w:szCs w:val="21"/>
                <w:u w:val="single"/>
              </w:rPr>
            </w:pPr>
            <w:r>
              <w:rPr>
                <w:rFonts w:hint="default" w:ascii="Times New Roman" w:hAnsi="Times New Roman" w:cs="Times New Roman"/>
                <w:b w:val="0"/>
                <w:bCs w:val="0"/>
                <w:szCs w:val="21"/>
                <w:u w:val="single"/>
              </w:rPr>
              <w:t>水力坡降(%)</w:t>
            </w:r>
          </w:p>
        </w:tc>
        <w:tc>
          <w:tcPr>
            <w:tcW w:w="941" w:type="pct"/>
            <w:vMerge w:val="restart"/>
            <w:tcBorders>
              <w:tl2br w:val="nil"/>
              <w:tr2bl w:val="nil"/>
            </w:tcBorders>
            <w:vAlign w:val="center"/>
          </w:tcPr>
          <w:p>
            <w:pPr>
              <w:pStyle w:val="122"/>
              <w:rPr>
                <w:rFonts w:hint="default" w:ascii="Times New Roman" w:hAnsi="Times New Roman" w:cs="Times New Roman"/>
                <w:b w:val="0"/>
                <w:bCs w:val="0"/>
                <w:szCs w:val="21"/>
                <w:u w:val="single"/>
              </w:rPr>
            </w:pPr>
            <w:r>
              <w:rPr>
                <w:rFonts w:hint="default" w:ascii="Times New Roman" w:hAnsi="Times New Roman" w:cs="Times New Roman"/>
                <w:b w:val="0"/>
                <w:bCs w:val="0"/>
                <w:szCs w:val="21"/>
                <w:u w:val="single"/>
              </w:rPr>
              <w:t>混合系数My(m</w:t>
            </w:r>
            <w:r>
              <w:rPr>
                <w:rFonts w:hint="default" w:ascii="Times New Roman" w:hAnsi="Times New Roman" w:cs="Times New Roman"/>
                <w:b w:val="0"/>
                <w:bCs w:val="0"/>
                <w:szCs w:val="21"/>
                <w:u w:val="single"/>
                <w:vertAlign w:val="superscript"/>
              </w:rPr>
              <w:t>2</w:t>
            </w:r>
            <w:r>
              <w:rPr>
                <w:rFonts w:hint="default" w:ascii="Times New Roman" w:hAnsi="Times New Roman" w:cs="Times New Roman"/>
                <w:b w:val="0"/>
                <w:bCs w:val="0"/>
                <w:szCs w:val="21"/>
                <w:u w:val="single"/>
              </w:rPr>
              <w:t>/s)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7"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p>
        </w:tc>
        <w:tc>
          <w:tcPr>
            <w:tcW w:w="744"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p>
        </w:tc>
        <w:tc>
          <w:tcPr>
            <w:tcW w:w="616"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p>
        </w:tc>
        <w:tc>
          <w:tcPr>
            <w:tcW w:w="562"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p>
        </w:tc>
        <w:tc>
          <w:tcPr>
            <w:tcW w:w="800" w:type="pct"/>
            <w:vMerge w:val="continue"/>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p>
        </w:tc>
        <w:tc>
          <w:tcPr>
            <w:tcW w:w="737" w:type="pct"/>
            <w:vMerge w:val="continue"/>
            <w:tcBorders>
              <w:tl2br w:val="nil"/>
              <w:tr2bl w:val="nil"/>
            </w:tcBorders>
            <w:vAlign w:val="center"/>
          </w:tcPr>
          <w:p>
            <w:pPr>
              <w:pStyle w:val="122"/>
              <w:rPr>
                <w:rFonts w:hint="default" w:ascii="Times New Roman" w:hAnsi="Times New Roman" w:cs="Times New Roman"/>
                <w:b w:val="0"/>
                <w:bCs w:val="0"/>
                <w:szCs w:val="21"/>
                <w:u w:val="single"/>
              </w:rPr>
            </w:pPr>
          </w:p>
        </w:tc>
        <w:tc>
          <w:tcPr>
            <w:tcW w:w="941" w:type="pct"/>
            <w:vMerge w:val="continue"/>
            <w:tcBorders>
              <w:tl2br w:val="nil"/>
              <w:tr2bl w:val="nil"/>
            </w:tcBorders>
            <w:vAlign w:val="center"/>
          </w:tcPr>
          <w:p>
            <w:pPr>
              <w:pStyle w:val="122"/>
              <w:rPr>
                <w:rFonts w:hint="default" w:ascii="Times New Roman" w:hAnsi="Times New Roman" w:cs="Times New Roman"/>
                <w:b w:val="0"/>
                <w:bCs w:val="0"/>
                <w:szCs w:val="21"/>
                <w:u w:val="singl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7" w:type="pct"/>
            <w:tcBorders>
              <w:tl2br w:val="nil"/>
              <w:tr2bl w:val="nil"/>
            </w:tcBorders>
            <w:vAlign w:val="center"/>
          </w:tcPr>
          <w:p>
            <w:pPr>
              <w:pStyle w:val="122"/>
              <w:rPr>
                <w:rFonts w:hint="default" w:ascii="Times New Roman" w:hAnsi="Times New Roman" w:eastAsia="宋体" w:cs="Times New Roman"/>
                <w:b w:val="0"/>
                <w:bCs w:val="0"/>
                <w:szCs w:val="21"/>
                <w:u w:val="single"/>
                <w:lang w:val="en-US" w:eastAsia="zh-CN"/>
              </w:rPr>
            </w:pPr>
            <w:r>
              <w:rPr>
                <w:rFonts w:hint="eastAsia" w:cs="Times New Roman"/>
                <w:b w:val="0"/>
                <w:bCs w:val="0"/>
                <w:szCs w:val="21"/>
                <w:u w:val="single"/>
                <w:lang w:val="en-US" w:eastAsia="zh-CN"/>
              </w:rPr>
              <w:t>西北侧无名小溪</w:t>
            </w:r>
          </w:p>
        </w:tc>
        <w:tc>
          <w:tcPr>
            <w:tcW w:w="744" w:type="pct"/>
            <w:tcBorders>
              <w:tl2br w:val="nil"/>
              <w:tr2bl w:val="nil"/>
            </w:tcBorders>
            <w:vAlign w:val="center"/>
          </w:tcPr>
          <w:p>
            <w:pPr>
              <w:widowControl w:val="0"/>
              <w:spacing w:line="240" w:lineRule="auto"/>
              <w:ind w:firstLine="0" w:firstLineChars="0"/>
              <w:jc w:val="center"/>
              <w:rPr>
                <w:rFonts w:hint="default" w:ascii="Times New Roman" w:hAnsi="Times New Roman" w:cs="Times New Roman"/>
                <w:b w:val="0"/>
                <w:bCs w:val="0"/>
                <w:color w:val="000000" w:themeColor="text1"/>
                <w:sz w:val="21"/>
                <w:szCs w:val="21"/>
                <w:u w:val="single"/>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559.87</w:t>
            </w:r>
          </w:p>
        </w:tc>
        <w:tc>
          <w:tcPr>
            <w:tcW w:w="616"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b w:val="0"/>
                <w:bCs w:val="0"/>
                <w:color w:val="000000" w:themeColor="text1"/>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0.45</w:t>
            </w:r>
          </w:p>
        </w:tc>
        <w:tc>
          <w:tcPr>
            <w:tcW w:w="562" w:type="pct"/>
            <w:tcBorders>
              <w:tl2br w:val="nil"/>
              <w:tr2bl w:val="nil"/>
            </w:tcBorders>
            <w:vAlign w:val="center"/>
          </w:tcPr>
          <w:p>
            <w:pPr>
              <w:widowControl w:val="0"/>
              <w:spacing w:line="240" w:lineRule="auto"/>
              <w:ind w:firstLine="0" w:firstLineChars="0"/>
              <w:jc w:val="center"/>
              <w:rPr>
                <w:rFonts w:hint="default" w:ascii="Times New Roman" w:hAnsi="Times New Roman" w:eastAsia="宋体" w:cs="Times New Roman"/>
                <w:b w:val="0"/>
                <w:bCs w:val="0"/>
                <w:color w:val="000000" w:themeColor="text1"/>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0.96</w:t>
            </w:r>
          </w:p>
        </w:tc>
        <w:tc>
          <w:tcPr>
            <w:tcW w:w="800" w:type="pct"/>
            <w:tcBorders>
              <w:tl2br w:val="nil"/>
              <w:tr2bl w:val="nil"/>
            </w:tcBorders>
            <w:vAlign w:val="center"/>
          </w:tcPr>
          <w:p>
            <w:pPr>
              <w:pStyle w:val="122"/>
              <w:rPr>
                <w:rFonts w:hint="default" w:ascii="Times New Roman" w:hAnsi="Times New Roman" w:cs="Times New Roman"/>
                <w:b w:val="0"/>
                <w:bCs w:val="0"/>
                <w:szCs w:val="21"/>
                <w:u w:val="single"/>
              </w:rPr>
            </w:pPr>
            <w:r>
              <w:rPr>
                <w:rFonts w:hint="eastAsia"/>
                <w:color w:val="000000" w:themeColor="text1"/>
                <w:kern w:val="2"/>
                <w:sz w:val="21"/>
                <w:szCs w:val="21"/>
                <w:u w:val="single"/>
                <w:lang w:val="en-US" w:eastAsia="zh-CN"/>
                <w14:textFill>
                  <w14:solidFill>
                    <w14:schemeClr w14:val="tx1"/>
                  </w14:solidFill>
                </w14:textFill>
              </w:rPr>
              <w:t>0.36</w:t>
            </w:r>
          </w:p>
        </w:tc>
        <w:tc>
          <w:tcPr>
            <w:tcW w:w="737" w:type="pct"/>
            <w:tcBorders>
              <w:tl2br w:val="nil"/>
              <w:tr2bl w:val="nil"/>
            </w:tcBorders>
            <w:vAlign w:val="center"/>
          </w:tcPr>
          <w:p>
            <w:pPr>
              <w:pStyle w:val="122"/>
              <w:rPr>
                <w:rFonts w:hint="default" w:ascii="Times New Roman" w:hAnsi="Times New Roman" w:cs="Times New Roman"/>
                <w:b w:val="0"/>
                <w:bCs w:val="0"/>
                <w:szCs w:val="21"/>
                <w:u w:val="single"/>
              </w:rPr>
            </w:pPr>
            <w:r>
              <w:rPr>
                <w:rFonts w:hint="default" w:ascii="Times New Roman" w:hAnsi="Times New Roman" w:cs="Times New Roman"/>
                <w:b w:val="0"/>
                <w:bCs w:val="0"/>
                <w:szCs w:val="21"/>
                <w:u w:val="single"/>
              </w:rPr>
              <w:t>0.1</w:t>
            </w:r>
          </w:p>
        </w:tc>
        <w:tc>
          <w:tcPr>
            <w:tcW w:w="941" w:type="pct"/>
            <w:tcBorders>
              <w:tl2br w:val="nil"/>
              <w:tr2bl w:val="nil"/>
            </w:tcBorders>
            <w:vAlign w:val="center"/>
          </w:tcPr>
          <w:p>
            <w:pPr>
              <w:pStyle w:val="122"/>
              <w:rPr>
                <w:rFonts w:hint="default" w:ascii="Times New Roman" w:hAnsi="Times New Roman" w:cs="Times New Roman"/>
                <w:b w:val="0"/>
                <w:bCs w:val="0"/>
                <w:szCs w:val="21"/>
                <w:u w:val="single"/>
              </w:rPr>
            </w:pPr>
            <w:r>
              <w:rPr>
                <w:rFonts w:hint="default" w:ascii="Times New Roman" w:hAnsi="Times New Roman" w:cs="Times New Roman"/>
                <w:b w:val="0"/>
                <w:bCs w:val="0"/>
                <w:szCs w:val="21"/>
                <w:u w:val="single"/>
              </w:rPr>
              <w:t>0.01</w:t>
            </w:r>
          </w:p>
        </w:tc>
      </w:tr>
    </w:tbl>
    <w:p>
      <w:pPr>
        <w:pStyle w:val="62"/>
        <w:bidi w:val="0"/>
        <w:rPr>
          <w:rFonts w:hint="default"/>
          <w:lang w:val="en-US" w:eastAsia="zh-CN"/>
        </w:rPr>
      </w:pPr>
      <w:r>
        <w:rPr>
          <w:rFonts w:hint="eastAsia"/>
          <w:lang w:val="en-US" w:eastAsia="zh-CN"/>
        </w:rPr>
        <w:t>污染物源强和河流背景值</w:t>
      </w:r>
    </w:p>
    <w:p>
      <w:pPr>
        <w:ind w:firstLine="480"/>
        <w:rPr>
          <w:rFonts w:hint="default" w:ascii="Times New Roman" w:hAnsi="Times New Roman" w:eastAsia="宋体" w:cs="Times New Roman"/>
          <w:color w:val="000000" w:themeColor="text1"/>
          <w:u w:val="none"/>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项目处理后的废水从厂区设置管道铺设至项目西北侧的无名小溪，排口设置在项目西北侧的无名小溪处，排水的污染物浓度均较低，则本项目主要论证项目直排河流项目西北侧的无名小溪处，项目西北侧无名小溪上游500m至西北侧无名小溪下游3000m</w:t>
      </w:r>
      <w:r>
        <w:rPr>
          <w:rFonts w:hint="default" w:ascii="Times New Roman" w:hAnsi="Times New Roman" w:cs="Times New Roman"/>
          <w:color w:val="000000" w:themeColor="text1"/>
          <w:u w:val="none"/>
          <w:lang w:val="en-US" w:eastAsia="zh-CN"/>
          <w14:textFill>
            <w14:solidFill>
              <w14:schemeClr w14:val="tx1"/>
            </w14:solidFill>
          </w14:textFill>
        </w:rPr>
        <w:t>。</w:t>
      </w:r>
    </w:p>
    <w:p>
      <w:pPr>
        <w:ind w:firstLine="480"/>
        <w:rPr>
          <w:rFonts w:hint="default" w:ascii="Times New Roman" w:hAnsi="Times New Roman" w:cs="Times New Roman"/>
          <w:color w:val="000000" w:themeColor="text1"/>
          <w:u w:val="single"/>
          <w:lang w:val="zh-CN"/>
          <w14:textFill>
            <w14:solidFill>
              <w14:schemeClr w14:val="tx1"/>
            </w14:solidFill>
          </w14:textFill>
        </w:rPr>
      </w:pPr>
      <w:r>
        <w:rPr>
          <w:rFonts w:hint="default" w:ascii="Times New Roman" w:hAnsi="Times New Roman" w:cs="Times New Roman"/>
          <w:color w:val="000000" w:themeColor="text1"/>
          <w:u w:val="none"/>
          <w:lang w:val="zh-CN"/>
          <w14:textFill>
            <w14:solidFill>
              <w14:schemeClr w14:val="tx1"/>
            </w14:solidFill>
          </w14:textFill>
        </w:rPr>
        <w:t>背</w:t>
      </w:r>
      <w:r>
        <w:rPr>
          <w:rFonts w:hint="default" w:ascii="Times New Roman" w:hAnsi="Times New Roman" w:cs="Times New Roman"/>
          <w:color w:val="000000" w:themeColor="text1"/>
          <w:u w:val="single"/>
          <w:lang w:val="zh-CN"/>
          <w14:textFill>
            <w14:solidFill>
              <w14:schemeClr w14:val="tx1"/>
            </w14:solidFill>
          </w14:textFill>
        </w:rPr>
        <w:t>景值</w:t>
      </w:r>
      <w:r>
        <w:rPr>
          <w:rFonts w:hint="default" w:ascii="Times New Roman" w:hAnsi="Times New Roman" w:cs="Times New Roman"/>
          <w:color w:val="000000" w:themeColor="text1"/>
          <w:u w:val="single"/>
          <w14:textFill>
            <w14:solidFill>
              <w14:schemeClr w14:val="tx1"/>
            </w14:solidFill>
          </w14:textFill>
        </w:rPr>
        <w:t>分别取历史监测数据</w:t>
      </w:r>
      <w:r>
        <w:rPr>
          <w:rFonts w:hint="default" w:ascii="Times New Roman" w:hAnsi="Times New Roman" w:cs="Times New Roman"/>
          <w:color w:val="000000" w:themeColor="text1"/>
          <w:u w:val="single"/>
          <w:lang w:val="zh-CN"/>
          <w14:textFill>
            <w14:solidFill>
              <w14:schemeClr w14:val="tx1"/>
            </w14:solidFill>
          </w14:textFill>
        </w:rPr>
        <w:t>。</w:t>
      </w:r>
    </w:p>
    <w:p>
      <w:pPr>
        <w:pStyle w:val="56"/>
        <w:bidi w:val="0"/>
        <w:ind w:left="960" w:leftChars="0" w:firstLineChars="0"/>
        <w:rPr>
          <w:rFonts w:hint="default"/>
          <w:u w:val="single"/>
          <w:lang w:val="en-US" w:eastAsia="zh-CN"/>
        </w:rPr>
      </w:pPr>
      <w:r>
        <w:rPr>
          <w:rFonts w:hint="eastAsia"/>
          <w:u w:val="single"/>
          <w:lang w:val="en-US" w:eastAsia="zh-CN"/>
        </w:rPr>
        <w:t>水文和预测参数</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63"/>
        <w:gridCol w:w="1734"/>
        <w:gridCol w:w="2396"/>
        <w:gridCol w:w="24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tcBorders>
              <w:tl2br w:val="nil"/>
              <w:tr2bl w:val="nil"/>
            </w:tcBorders>
            <w:vAlign w:val="center"/>
          </w:tcPr>
          <w:p>
            <w:pPr>
              <w:widowControl w:val="0"/>
              <w:adjustRightInd w:val="0"/>
              <w:snapToGrid w:val="0"/>
              <w:spacing w:line="240" w:lineRule="auto"/>
              <w:ind w:firstLine="422"/>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污染物源强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79" w:type="pct"/>
            <w:gridSpan w:val="2"/>
            <w:tcBorders>
              <w:tl2br w:val="nil"/>
              <w:tr2bl w:val="nil"/>
            </w:tcBorders>
            <w:vAlign w:val="center"/>
          </w:tcPr>
          <w:p>
            <w:pPr>
              <w:widowControl w:val="0"/>
              <w:adjustRightInd w:val="0"/>
              <w:snapToGrid w:val="0"/>
              <w:spacing w:line="240" w:lineRule="auto"/>
              <w:ind w:firstLine="42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项   目</w:t>
            </w:r>
          </w:p>
        </w:tc>
        <w:tc>
          <w:tcPr>
            <w:tcW w:w="1296"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正常排放</w:t>
            </w:r>
          </w:p>
        </w:tc>
        <w:tc>
          <w:tcPr>
            <w:tcW w:w="1323"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事故排放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1" w:type="pct"/>
            <w:vMerge w:val="restar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初始源强(C</w:t>
            </w:r>
            <w:r>
              <w:rPr>
                <w:rFonts w:hint="default" w:ascii="Times New Roman" w:hAnsi="Times New Roman" w:cs="Times New Roman"/>
                <w:b w:val="0"/>
                <w:bCs/>
                <w:color w:val="000000" w:themeColor="text1"/>
                <w:sz w:val="21"/>
                <w:szCs w:val="21"/>
                <w:u w:val="single"/>
                <w:vertAlign w:val="subscript"/>
                <w14:textFill>
                  <w14:solidFill>
                    <w14:schemeClr w14:val="tx1"/>
                  </w14:solidFill>
                </w14:textFill>
              </w:rPr>
              <w:t>p</w:t>
            </w:r>
            <w:r>
              <w:rPr>
                <w:rFonts w:hint="default" w:ascii="Times New Roman" w:hAnsi="Times New Roman" w:cs="Times New Roman"/>
                <w:b w:val="0"/>
                <w:bCs/>
                <w:color w:val="000000" w:themeColor="text1"/>
                <w:sz w:val="21"/>
                <w:szCs w:val="21"/>
                <w:u w:val="single"/>
                <w14:textFill>
                  <w14:solidFill>
                    <w14:schemeClr w14:val="tx1"/>
                  </w14:solidFill>
                </w14:textFill>
              </w:rPr>
              <w:t>)</w:t>
            </w:r>
          </w:p>
        </w:tc>
        <w:tc>
          <w:tcPr>
            <w:tcW w:w="938"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化学需氧量</w:t>
            </w:r>
          </w:p>
        </w:tc>
        <w:tc>
          <w:tcPr>
            <w:tcW w:w="1296"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100</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c>
          <w:tcPr>
            <w:tcW w:w="1323" w:type="pct"/>
            <w:tcBorders>
              <w:tl2br w:val="nil"/>
              <w:tr2bl w:val="nil"/>
            </w:tcBorders>
            <w:vAlign w:val="center"/>
          </w:tcPr>
          <w:p>
            <w:pPr>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eastAsia" w:cs="Times New Roman"/>
                <w:b w:val="0"/>
                <w:bCs/>
                <w:color w:val="000000" w:themeColor="text1"/>
                <w:sz w:val="21"/>
                <w:szCs w:val="21"/>
                <w:u w:val="single"/>
                <w:lang w:val="en-US" w:eastAsia="zh-CN"/>
                <w14:textFill>
                  <w14:solidFill>
                    <w14:schemeClr w14:val="tx1"/>
                  </w14:solidFill>
                </w14:textFill>
              </w:rPr>
              <w:t>150</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1" w:type="pct"/>
            <w:vMerge w:val="continue"/>
            <w:tcBorders>
              <w:tl2br w:val="nil"/>
              <w:tr2bl w:val="nil"/>
            </w:tcBorders>
            <w:vAlign w:val="center"/>
          </w:tcPr>
          <w:p>
            <w:pPr>
              <w:widowControl w:val="0"/>
              <w:adjustRightInd w:val="0"/>
              <w:snapToGrid w:val="0"/>
              <w:spacing w:line="240" w:lineRule="auto"/>
              <w:ind w:firstLine="420"/>
              <w:jc w:val="center"/>
              <w:rPr>
                <w:rFonts w:hint="default" w:ascii="Times New Roman" w:hAnsi="Times New Roman" w:cs="Times New Roman"/>
                <w:b w:val="0"/>
                <w:bCs/>
                <w:color w:val="000000" w:themeColor="text1"/>
                <w:sz w:val="21"/>
                <w:szCs w:val="21"/>
                <w:u w:val="single"/>
                <w14:textFill>
                  <w14:solidFill>
                    <w14:schemeClr w14:val="tx1"/>
                  </w14:solidFill>
                </w14:textFill>
              </w:rPr>
            </w:pPr>
          </w:p>
        </w:tc>
        <w:tc>
          <w:tcPr>
            <w:tcW w:w="938"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14:textFill>
                  <w14:solidFill>
                    <w14:schemeClr w14:val="tx1"/>
                  </w14:solidFill>
                </w14:textFill>
              </w:rPr>
              <w:t>NH</w:t>
            </w:r>
            <w:r>
              <w:rPr>
                <w:rFonts w:hint="default" w:ascii="Times New Roman" w:hAnsi="Times New Roman" w:cs="Times New Roman"/>
                <w:b w:val="0"/>
                <w:bCs/>
                <w:color w:val="000000" w:themeColor="text1"/>
                <w:sz w:val="21"/>
                <w:szCs w:val="21"/>
                <w:u w:val="single"/>
                <w:vertAlign w:val="subscript"/>
                <w14:textFill>
                  <w14:solidFill>
                    <w14:schemeClr w14:val="tx1"/>
                  </w14:solidFill>
                </w14:textFill>
              </w:rPr>
              <w:t>3</w:t>
            </w:r>
            <w:r>
              <w:rPr>
                <w:rFonts w:hint="default" w:ascii="Times New Roman" w:hAnsi="Times New Roman" w:cs="Times New Roman"/>
                <w:b w:val="0"/>
                <w:bCs/>
                <w:color w:val="000000" w:themeColor="text1"/>
                <w:sz w:val="21"/>
                <w:szCs w:val="21"/>
                <w:u w:val="single"/>
                <w14:textFill>
                  <w14:solidFill>
                    <w14:schemeClr w14:val="tx1"/>
                  </w14:solidFill>
                </w14:textFill>
              </w:rPr>
              <w:t>-N</w:t>
            </w:r>
          </w:p>
        </w:tc>
        <w:tc>
          <w:tcPr>
            <w:tcW w:w="1296"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15</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c>
          <w:tcPr>
            <w:tcW w:w="1323" w:type="pct"/>
            <w:tcBorders>
              <w:tl2br w:val="nil"/>
              <w:tr2bl w:val="nil"/>
            </w:tcBorders>
            <w:vAlign w:val="center"/>
          </w:tcPr>
          <w:p>
            <w:pPr>
              <w:spacing w:line="240" w:lineRule="auto"/>
              <w:ind w:firstLine="0" w:firstLineChars="0"/>
              <w:jc w:val="center"/>
              <w:rPr>
                <w:rFonts w:hint="default" w:ascii="Times New Roman" w:hAnsi="Times New Roman" w:cs="Times New Roman"/>
                <w:b w:val="0"/>
                <w:bCs/>
                <w:color w:val="000000" w:themeColor="text1"/>
                <w:sz w:val="21"/>
                <w:szCs w:val="21"/>
                <w:u w:val="single"/>
                <w14:textFill>
                  <w14:solidFill>
                    <w14:schemeClr w14:val="tx1"/>
                  </w14:solidFill>
                </w14:textFill>
              </w:rPr>
            </w:pPr>
            <w:r>
              <w:rPr>
                <w:rFonts w:hint="eastAsia" w:cs="Times New Roman"/>
                <w:b w:val="0"/>
                <w:bCs/>
                <w:color w:val="000000" w:themeColor="text1"/>
                <w:sz w:val="21"/>
                <w:szCs w:val="21"/>
                <w:u w:val="single"/>
                <w:lang w:val="en-US" w:eastAsia="zh-CN"/>
                <w14:textFill>
                  <w14:solidFill>
                    <w14:schemeClr w14:val="tx1"/>
                  </w14:solidFill>
                </w14:textFill>
              </w:rPr>
              <w:t>25</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1" w:type="pct"/>
            <w:vMerge w:val="continue"/>
            <w:tcBorders>
              <w:tl2br w:val="nil"/>
              <w:tr2bl w:val="nil"/>
            </w:tcBorders>
            <w:vAlign w:val="center"/>
          </w:tcPr>
          <w:p>
            <w:pPr>
              <w:widowControl w:val="0"/>
              <w:adjustRightInd w:val="0"/>
              <w:snapToGrid w:val="0"/>
              <w:spacing w:line="240" w:lineRule="auto"/>
              <w:ind w:firstLine="420"/>
              <w:jc w:val="center"/>
              <w:rPr>
                <w:rFonts w:hint="default" w:ascii="Times New Roman" w:hAnsi="Times New Roman" w:cs="Times New Roman"/>
                <w:b w:val="0"/>
                <w:bCs/>
                <w:color w:val="000000" w:themeColor="text1"/>
                <w:sz w:val="21"/>
                <w:szCs w:val="21"/>
                <w:u w:val="single"/>
                <w14:textFill>
                  <w14:solidFill>
                    <w14:schemeClr w14:val="tx1"/>
                  </w14:solidFill>
                </w14:textFill>
              </w:rPr>
            </w:pPr>
          </w:p>
        </w:tc>
        <w:tc>
          <w:tcPr>
            <w:tcW w:w="938"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u w:val="singl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TP</w:t>
            </w:r>
          </w:p>
        </w:tc>
        <w:tc>
          <w:tcPr>
            <w:tcW w:w="1296"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1</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c>
          <w:tcPr>
            <w:tcW w:w="2449" w:type="dxa"/>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1</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1" w:type="pct"/>
            <w:vMerge w:val="continue"/>
            <w:tcBorders>
              <w:tl2br w:val="nil"/>
              <w:tr2bl w:val="nil"/>
            </w:tcBorders>
            <w:vAlign w:val="center"/>
          </w:tcPr>
          <w:p>
            <w:pPr>
              <w:widowControl w:val="0"/>
              <w:adjustRightInd w:val="0"/>
              <w:snapToGrid w:val="0"/>
              <w:spacing w:line="240" w:lineRule="auto"/>
              <w:ind w:firstLine="420"/>
              <w:jc w:val="center"/>
              <w:rPr>
                <w:rFonts w:hint="default" w:ascii="Times New Roman" w:hAnsi="Times New Roman" w:cs="Times New Roman"/>
                <w:b w:val="0"/>
                <w:bCs/>
                <w:color w:val="000000" w:themeColor="text1"/>
                <w:sz w:val="21"/>
                <w:szCs w:val="21"/>
                <w:u w:val="single"/>
                <w14:textFill>
                  <w14:solidFill>
                    <w14:schemeClr w14:val="tx1"/>
                  </w14:solidFill>
                </w14:textFill>
              </w:rPr>
            </w:pPr>
          </w:p>
        </w:tc>
        <w:tc>
          <w:tcPr>
            <w:tcW w:w="938"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b w:val="0"/>
                <w:bCs/>
                <w:color w:val="000000" w:themeColor="text1"/>
                <w:sz w:val="21"/>
                <w:szCs w:val="21"/>
                <w:u w:val="singl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TN</w:t>
            </w:r>
          </w:p>
        </w:tc>
        <w:tc>
          <w:tcPr>
            <w:tcW w:w="1296" w:type="pct"/>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20</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c>
          <w:tcPr>
            <w:tcW w:w="2449" w:type="dxa"/>
            <w:tcBorders>
              <w:tl2br w:val="nil"/>
              <w:tr2bl w:val="nil"/>
            </w:tcBorders>
            <w:vAlign w:val="center"/>
          </w:tcPr>
          <w:p>
            <w:pPr>
              <w:widowControl w:val="0"/>
              <w:adjustRightInd w:val="0"/>
              <w:snapToGrid w:val="0"/>
              <w:spacing w:line="240" w:lineRule="auto"/>
              <w:ind w:firstLine="0" w:firstLineChars="0"/>
              <w:jc w:val="cente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pPr>
            <w:r>
              <w:rPr>
                <w:rFonts w:hint="default" w:ascii="Times New Roman" w:hAnsi="Times New Roman" w:cs="Times New Roman"/>
                <w:b w:val="0"/>
                <w:bCs/>
                <w:color w:val="000000" w:themeColor="text1"/>
                <w:sz w:val="21"/>
                <w:szCs w:val="21"/>
                <w:u w:val="single"/>
                <w:lang w:val="en-US" w:eastAsia="zh-CN"/>
                <w14:textFill>
                  <w14:solidFill>
                    <w14:schemeClr w14:val="tx1"/>
                  </w14:solidFill>
                </w14:textFill>
              </w:rPr>
              <w:t>20</w:t>
            </w:r>
            <w:r>
              <w:rPr>
                <w:rFonts w:hint="default" w:ascii="Times New Roman" w:hAnsi="Times New Roman"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tcBorders>
              <w:tl2br w:val="nil"/>
              <w:tr2bl w:val="nil"/>
            </w:tcBorders>
            <w:vAlign w:val="center"/>
          </w:tcPr>
          <w:p>
            <w:pPr>
              <w:widowControl w:val="0"/>
              <w:adjustRightInd w:val="0"/>
              <w:snapToGrid w:val="0"/>
              <w:spacing w:line="240" w:lineRule="auto"/>
              <w:ind w:firstLine="422"/>
              <w:jc w:val="center"/>
              <w:rPr>
                <w:rFonts w:cs="Times New Roman"/>
                <w:b w:val="0"/>
                <w:bCs/>
                <w:color w:val="000000" w:themeColor="text1"/>
                <w:sz w:val="21"/>
                <w:szCs w:val="21"/>
                <w:u w:val="single"/>
                <w14:textFill>
                  <w14:solidFill>
                    <w14:schemeClr w14:val="tx1"/>
                  </w14:solidFill>
                </w14:textFill>
              </w:rPr>
            </w:pPr>
            <w:r>
              <w:rPr>
                <w:rFonts w:cs="Times New Roman"/>
                <w:b w:val="0"/>
                <w:bCs/>
                <w:color w:val="000000" w:themeColor="text1"/>
                <w:sz w:val="21"/>
                <w:szCs w:val="21"/>
                <w:u w:val="single"/>
                <w14:textFill>
                  <w14:solidFill>
                    <w14:schemeClr w14:val="tx1"/>
                  </w14:solidFill>
                </w14:textFill>
              </w:rPr>
              <w:t>河流背景值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1" w:type="pct"/>
            <w:vMerge w:val="restart"/>
            <w:tcBorders>
              <w:tl2br w:val="nil"/>
              <w:tr2bl w:val="nil"/>
            </w:tcBorders>
            <w:vAlign w:val="center"/>
          </w:tcPr>
          <w:p>
            <w:pPr>
              <w:widowControl w:val="0"/>
              <w:adjustRightInd w:val="0"/>
              <w:snapToGrid w:val="0"/>
              <w:spacing w:line="240" w:lineRule="auto"/>
              <w:ind w:firstLine="0" w:firstLineChars="0"/>
              <w:jc w:val="center"/>
              <w:rPr>
                <w:rFonts w:hint="default" w:cs="Times New Roman"/>
                <w:b w:val="0"/>
                <w:bCs/>
                <w:color w:val="000000" w:themeColor="text1"/>
                <w:sz w:val="21"/>
                <w:szCs w:val="21"/>
                <w:u w:val="single"/>
                <w:lang w:val="en-US"/>
                <w14:textFill>
                  <w14:solidFill>
                    <w14:schemeClr w14:val="tx1"/>
                  </w14:solidFill>
                </w14:textFill>
              </w:rPr>
            </w:pPr>
            <w:r>
              <w:rPr>
                <w:rFonts w:hint="eastAsia" w:cs="Times New Roman"/>
                <w:b w:val="0"/>
                <w:bCs/>
                <w:color w:val="000000" w:themeColor="text1"/>
                <w:sz w:val="21"/>
                <w:szCs w:val="21"/>
                <w:u w:val="single"/>
                <w:lang w:val="en-US" w:eastAsia="zh-CN"/>
                <w14:textFill>
                  <w14:solidFill>
                    <w14:schemeClr w14:val="tx1"/>
                  </w14:solidFill>
                </w14:textFill>
              </w:rPr>
              <w:t>项目西北侧无名小溪</w:t>
            </w:r>
          </w:p>
        </w:tc>
        <w:tc>
          <w:tcPr>
            <w:tcW w:w="1734" w:type="dxa"/>
            <w:tcBorders>
              <w:tl2br w:val="nil"/>
              <w:tr2bl w:val="nil"/>
            </w:tcBorders>
            <w:vAlign w:val="center"/>
          </w:tcPr>
          <w:p>
            <w:pPr>
              <w:widowControl w:val="0"/>
              <w:adjustRightInd w:val="0"/>
              <w:snapToGrid w:val="0"/>
              <w:spacing w:line="240" w:lineRule="auto"/>
              <w:ind w:firstLine="0" w:firstLineChars="0"/>
              <w:jc w:val="center"/>
              <w:rPr>
                <w:rFonts w:cs="Times New Roman"/>
                <w:b w:val="0"/>
                <w:bCs/>
                <w:color w:val="000000" w:themeColor="text1"/>
                <w:sz w:val="21"/>
                <w:szCs w:val="21"/>
                <w:u w:val="single"/>
                <w14:textFill>
                  <w14:solidFill>
                    <w14:schemeClr w14:val="tx1"/>
                  </w14:solidFill>
                </w14:textFill>
              </w:rPr>
            </w:pPr>
            <w:r>
              <w:rPr>
                <w:rFonts w:hint="eastAsia" w:cs="Times New Roman"/>
                <w:b w:val="0"/>
                <w:bCs/>
                <w:color w:val="000000" w:themeColor="text1"/>
                <w:sz w:val="21"/>
                <w:szCs w:val="21"/>
                <w:u w:val="single"/>
                <w14:textFill>
                  <w14:solidFill>
                    <w14:schemeClr w14:val="tx1"/>
                  </w14:solidFill>
                </w14:textFill>
              </w:rPr>
              <w:t>化学需氧量</w:t>
            </w:r>
          </w:p>
        </w:tc>
        <w:tc>
          <w:tcPr>
            <w:tcW w:w="2620" w:type="pct"/>
            <w:gridSpan w:val="2"/>
            <w:tcBorders>
              <w:tl2br w:val="nil"/>
              <w:tr2bl w:val="nil"/>
            </w:tcBorders>
            <w:vAlign w:val="center"/>
          </w:tcPr>
          <w:p>
            <w:pPr>
              <w:widowControl w:val="0"/>
              <w:adjustRightInd w:val="0"/>
              <w:snapToGrid w:val="0"/>
              <w:spacing w:line="240" w:lineRule="auto"/>
              <w:ind w:firstLine="0" w:firstLineChars="0"/>
              <w:jc w:val="center"/>
              <w:rPr>
                <w:rFonts w:cs="Times New Roman"/>
                <w:b w:val="0"/>
                <w:bCs/>
                <w:color w:val="000000" w:themeColor="text1"/>
                <w:sz w:val="21"/>
                <w:szCs w:val="21"/>
                <w:u w:val="single"/>
                <w14:textFill>
                  <w14:solidFill>
                    <w14:schemeClr w14:val="tx1"/>
                  </w14:solidFill>
                </w14:textFill>
              </w:rPr>
            </w:pPr>
            <w:r>
              <w:rPr>
                <w:rFonts w:hint="eastAsia"/>
                <w:b w:val="0"/>
                <w:bCs/>
                <w:color w:val="000000" w:themeColor="text1"/>
                <w:kern w:val="2"/>
                <w:sz w:val="21"/>
                <w:szCs w:val="21"/>
                <w:u w:val="single"/>
                <w:lang w:val="en-US" w:eastAsia="zh-CN"/>
                <w14:textFill>
                  <w14:solidFill>
                    <w14:schemeClr w14:val="tx1"/>
                  </w14:solidFill>
                </w14:textFill>
              </w:rPr>
              <w:t>10</w:t>
            </w:r>
            <w:r>
              <w:rPr>
                <w:rFonts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441" w:type="pct"/>
            <w:vMerge w:val="continue"/>
            <w:tcBorders>
              <w:tl2br w:val="nil"/>
              <w:tr2bl w:val="nil"/>
            </w:tcBorders>
            <w:vAlign w:val="center"/>
          </w:tcPr>
          <w:p>
            <w:pPr>
              <w:widowControl w:val="0"/>
              <w:adjustRightInd w:val="0"/>
              <w:snapToGrid w:val="0"/>
              <w:spacing w:line="240" w:lineRule="auto"/>
              <w:ind w:firstLine="420"/>
              <w:jc w:val="center"/>
              <w:rPr>
                <w:rFonts w:cs="Times New Roman"/>
                <w:b w:val="0"/>
                <w:bCs/>
                <w:color w:val="000000" w:themeColor="text1"/>
                <w:sz w:val="21"/>
                <w:szCs w:val="21"/>
                <w:u w:val="single"/>
                <w14:textFill>
                  <w14:solidFill>
                    <w14:schemeClr w14:val="tx1"/>
                  </w14:solidFill>
                </w14:textFill>
              </w:rPr>
            </w:pPr>
          </w:p>
        </w:tc>
        <w:tc>
          <w:tcPr>
            <w:tcW w:w="1734" w:type="dxa"/>
            <w:tcBorders>
              <w:tl2br w:val="nil"/>
              <w:tr2bl w:val="nil"/>
            </w:tcBorders>
            <w:vAlign w:val="center"/>
          </w:tcPr>
          <w:p>
            <w:pPr>
              <w:widowControl w:val="0"/>
              <w:adjustRightInd w:val="0"/>
              <w:snapToGrid w:val="0"/>
              <w:spacing w:line="240" w:lineRule="auto"/>
              <w:ind w:firstLine="0" w:firstLineChars="0"/>
              <w:jc w:val="center"/>
              <w:rPr>
                <w:rFonts w:cs="Times New Roman"/>
                <w:b w:val="0"/>
                <w:bCs/>
                <w:color w:val="000000" w:themeColor="text1"/>
                <w:sz w:val="21"/>
                <w:szCs w:val="21"/>
                <w:u w:val="single"/>
                <w14:textFill>
                  <w14:solidFill>
                    <w14:schemeClr w14:val="tx1"/>
                  </w14:solidFill>
                </w14:textFill>
              </w:rPr>
            </w:pPr>
            <w:r>
              <w:rPr>
                <w:rFonts w:cs="Times New Roman"/>
                <w:b w:val="0"/>
                <w:bCs/>
                <w:color w:val="000000" w:themeColor="text1"/>
                <w:sz w:val="21"/>
                <w:szCs w:val="21"/>
                <w:u w:val="single"/>
                <w14:textFill>
                  <w14:solidFill>
                    <w14:schemeClr w14:val="tx1"/>
                  </w14:solidFill>
                </w14:textFill>
              </w:rPr>
              <w:t>NH</w:t>
            </w:r>
            <w:r>
              <w:rPr>
                <w:rFonts w:cs="Times New Roman"/>
                <w:b w:val="0"/>
                <w:bCs/>
                <w:color w:val="000000" w:themeColor="text1"/>
                <w:sz w:val="21"/>
                <w:szCs w:val="21"/>
                <w:u w:val="single"/>
                <w:vertAlign w:val="subscript"/>
                <w14:textFill>
                  <w14:solidFill>
                    <w14:schemeClr w14:val="tx1"/>
                  </w14:solidFill>
                </w14:textFill>
              </w:rPr>
              <w:t>3</w:t>
            </w:r>
            <w:r>
              <w:rPr>
                <w:rFonts w:cs="Times New Roman"/>
                <w:b w:val="0"/>
                <w:bCs/>
                <w:color w:val="000000" w:themeColor="text1"/>
                <w:sz w:val="21"/>
                <w:szCs w:val="21"/>
                <w:u w:val="single"/>
                <w14:textFill>
                  <w14:solidFill>
                    <w14:schemeClr w14:val="tx1"/>
                  </w14:solidFill>
                </w14:textFill>
              </w:rPr>
              <w:t>-N</w:t>
            </w:r>
          </w:p>
        </w:tc>
        <w:tc>
          <w:tcPr>
            <w:tcW w:w="2620" w:type="pct"/>
            <w:gridSpan w:val="2"/>
            <w:tcBorders>
              <w:tl2br w:val="nil"/>
              <w:tr2bl w:val="nil"/>
            </w:tcBorders>
            <w:vAlign w:val="center"/>
          </w:tcPr>
          <w:p>
            <w:pPr>
              <w:widowControl w:val="0"/>
              <w:adjustRightInd w:val="0"/>
              <w:snapToGrid w:val="0"/>
              <w:spacing w:line="240" w:lineRule="auto"/>
              <w:ind w:firstLine="0" w:firstLineChars="0"/>
              <w:jc w:val="center"/>
              <w:rPr>
                <w:rFonts w:cs="Times New Roman"/>
                <w:b w:val="0"/>
                <w:bCs/>
                <w:color w:val="000000" w:themeColor="text1"/>
                <w:sz w:val="21"/>
                <w:szCs w:val="21"/>
                <w:u w:val="single"/>
                <w14:textFill>
                  <w14:solidFill>
                    <w14:schemeClr w14:val="tx1"/>
                  </w14:solidFill>
                </w14:textFill>
              </w:rPr>
            </w:pPr>
            <w:r>
              <w:rPr>
                <w:rFonts w:hint="eastAsia"/>
                <w:b w:val="0"/>
                <w:bCs/>
                <w:color w:val="000000" w:themeColor="text1"/>
                <w:kern w:val="2"/>
                <w:sz w:val="21"/>
                <w:szCs w:val="21"/>
                <w:u w:val="single"/>
                <w:lang w:val="en-US" w:eastAsia="zh-CN"/>
                <w14:textFill>
                  <w14:solidFill>
                    <w14:schemeClr w14:val="tx1"/>
                  </w14:solidFill>
                </w14:textFill>
              </w:rPr>
              <w:t>0.297</w:t>
            </w:r>
            <w:r>
              <w:rPr>
                <w:rFonts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441" w:type="pct"/>
            <w:vMerge w:val="continue"/>
            <w:tcBorders>
              <w:tl2br w:val="nil"/>
              <w:tr2bl w:val="nil"/>
            </w:tcBorders>
            <w:vAlign w:val="center"/>
          </w:tcPr>
          <w:p>
            <w:pPr>
              <w:widowControl w:val="0"/>
              <w:adjustRightInd w:val="0"/>
              <w:snapToGrid w:val="0"/>
              <w:spacing w:line="240" w:lineRule="auto"/>
              <w:ind w:firstLine="420"/>
              <w:jc w:val="center"/>
              <w:rPr>
                <w:rFonts w:cs="Times New Roman"/>
                <w:b w:val="0"/>
                <w:bCs/>
                <w:color w:val="000000" w:themeColor="text1"/>
                <w:sz w:val="21"/>
                <w:szCs w:val="21"/>
                <w:u w:val="single"/>
                <w14:textFill>
                  <w14:solidFill>
                    <w14:schemeClr w14:val="tx1"/>
                  </w14:solidFill>
                </w14:textFill>
              </w:rPr>
            </w:pPr>
          </w:p>
        </w:tc>
        <w:tc>
          <w:tcPr>
            <w:tcW w:w="1734" w:type="dxa"/>
            <w:tcBorders>
              <w:tl2br w:val="nil"/>
              <w:tr2bl w:val="nil"/>
            </w:tcBorders>
            <w:vAlign w:val="center"/>
          </w:tcPr>
          <w:p>
            <w:pPr>
              <w:widowControl w:val="0"/>
              <w:adjustRightInd w:val="0"/>
              <w:snapToGrid w:val="0"/>
              <w:spacing w:line="240" w:lineRule="auto"/>
              <w:ind w:firstLine="0" w:firstLineChars="0"/>
              <w:jc w:val="center"/>
              <w:rPr>
                <w:rFonts w:cs="Times New Roman"/>
                <w:b w:val="0"/>
                <w:bCs/>
                <w:color w:val="000000" w:themeColor="text1"/>
                <w:sz w:val="21"/>
                <w:szCs w:val="21"/>
                <w:u w:val="single"/>
                <w14:textFill>
                  <w14:solidFill>
                    <w14:schemeClr w14:val="tx1"/>
                  </w14:solidFill>
                </w14:textFill>
              </w:rPr>
            </w:pPr>
            <w:r>
              <w:rPr>
                <w:rFonts w:hint="eastAsia" w:cs="Times New Roman"/>
                <w:b w:val="0"/>
                <w:bCs/>
                <w:color w:val="000000" w:themeColor="text1"/>
                <w:sz w:val="21"/>
                <w:szCs w:val="21"/>
                <w:u w:val="single"/>
                <w:lang w:val="en-US" w:eastAsia="zh-CN"/>
                <w14:textFill>
                  <w14:solidFill>
                    <w14:schemeClr w14:val="tx1"/>
                  </w14:solidFill>
                </w14:textFill>
              </w:rPr>
              <w:t>TP</w:t>
            </w:r>
          </w:p>
        </w:tc>
        <w:tc>
          <w:tcPr>
            <w:tcW w:w="4845" w:type="dxa"/>
            <w:gridSpan w:val="2"/>
            <w:tcBorders>
              <w:tl2br w:val="nil"/>
              <w:tr2bl w:val="nil"/>
            </w:tcBorders>
            <w:vAlign w:val="center"/>
          </w:tcPr>
          <w:p>
            <w:pPr>
              <w:widowControl w:val="0"/>
              <w:adjustRightInd w:val="0"/>
              <w:snapToGrid w:val="0"/>
              <w:spacing w:line="240" w:lineRule="auto"/>
              <w:ind w:firstLine="0" w:firstLineChars="0"/>
              <w:jc w:val="center"/>
              <w:rPr>
                <w:rFonts w:hint="eastAsia" w:cs="Times New Roman"/>
                <w:b w:val="0"/>
                <w:bCs/>
                <w:color w:val="000000" w:themeColor="text1"/>
                <w:sz w:val="21"/>
                <w:szCs w:val="21"/>
                <w:u w:val="single"/>
                <w:lang w:val="en-US" w:eastAsia="zh-CN"/>
                <w14:textFill>
                  <w14:solidFill>
                    <w14:schemeClr w14:val="tx1"/>
                  </w14:solidFill>
                </w14:textFill>
              </w:rPr>
            </w:pPr>
            <w:r>
              <w:rPr>
                <w:rFonts w:hint="eastAsia"/>
                <w:b w:val="0"/>
                <w:bCs/>
                <w:color w:val="000000" w:themeColor="text1"/>
                <w:kern w:val="2"/>
                <w:sz w:val="21"/>
                <w:szCs w:val="21"/>
                <w:u w:val="single"/>
                <w:lang w:val="en-US" w:eastAsia="zh-CN"/>
                <w14:textFill>
                  <w14:solidFill>
                    <w14:schemeClr w14:val="tx1"/>
                  </w14:solidFill>
                </w14:textFill>
              </w:rPr>
              <w:t>0.09</w:t>
            </w:r>
            <w:r>
              <w:rPr>
                <w:rFonts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441" w:type="pct"/>
            <w:vMerge w:val="continue"/>
            <w:tcBorders>
              <w:tl2br w:val="nil"/>
              <w:tr2bl w:val="nil"/>
            </w:tcBorders>
            <w:vAlign w:val="center"/>
          </w:tcPr>
          <w:p>
            <w:pPr>
              <w:widowControl w:val="0"/>
              <w:adjustRightInd w:val="0"/>
              <w:snapToGrid w:val="0"/>
              <w:spacing w:line="240" w:lineRule="auto"/>
              <w:ind w:firstLine="420"/>
              <w:jc w:val="center"/>
              <w:rPr>
                <w:rFonts w:cs="Times New Roman"/>
                <w:b w:val="0"/>
                <w:bCs/>
                <w:color w:val="000000" w:themeColor="text1"/>
                <w:sz w:val="21"/>
                <w:szCs w:val="21"/>
                <w:u w:val="single"/>
                <w14:textFill>
                  <w14:solidFill>
                    <w14:schemeClr w14:val="tx1"/>
                  </w14:solidFill>
                </w14:textFill>
              </w:rPr>
            </w:pPr>
          </w:p>
        </w:tc>
        <w:tc>
          <w:tcPr>
            <w:tcW w:w="1734" w:type="dxa"/>
            <w:tcBorders>
              <w:tl2br w:val="nil"/>
              <w:tr2bl w:val="nil"/>
            </w:tcBorders>
            <w:vAlign w:val="center"/>
          </w:tcPr>
          <w:p>
            <w:pPr>
              <w:widowControl w:val="0"/>
              <w:adjustRightInd w:val="0"/>
              <w:snapToGrid w:val="0"/>
              <w:spacing w:line="240" w:lineRule="auto"/>
              <w:ind w:firstLine="0" w:firstLineChars="0"/>
              <w:jc w:val="center"/>
              <w:rPr>
                <w:rFonts w:cs="Times New Roman"/>
                <w:b w:val="0"/>
                <w:bCs/>
                <w:color w:val="000000" w:themeColor="text1"/>
                <w:sz w:val="21"/>
                <w:szCs w:val="21"/>
                <w:u w:val="single"/>
                <w14:textFill>
                  <w14:solidFill>
                    <w14:schemeClr w14:val="tx1"/>
                  </w14:solidFill>
                </w14:textFill>
              </w:rPr>
            </w:pPr>
            <w:r>
              <w:rPr>
                <w:rFonts w:hint="eastAsia" w:cs="Times New Roman"/>
                <w:b w:val="0"/>
                <w:bCs/>
                <w:color w:val="000000" w:themeColor="text1"/>
                <w:sz w:val="21"/>
                <w:szCs w:val="21"/>
                <w:u w:val="single"/>
                <w:lang w:val="en-US" w:eastAsia="zh-CN"/>
                <w14:textFill>
                  <w14:solidFill>
                    <w14:schemeClr w14:val="tx1"/>
                  </w14:solidFill>
                </w14:textFill>
              </w:rPr>
              <w:t>TN</w:t>
            </w:r>
          </w:p>
        </w:tc>
        <w:tc>
          <w:tcPr>
            <w:tcW w:w="4845" w:type="dxa"/>
            <w:gridSpan w:val="2"/>
            <w:tcBorders>
              <w:tl2br w:val="nil"/>
              <w:tr2bl w:val="nil"/>
            </w:tcBorders>
            <w:vAlign w:val="center"/>
          </w:tcPr>
          <w:p>
            <w:pPr>
              <w:widowControl w:val="0"/>
              <w:adjustRightInd w:val="0"/>
              <w:snapToGrid w:val="0"/>
              <w:spacing w:line="240" w:lineRule="auto"/>
              <w:ind w:firstLine="0" w:firstLineChars="0"/>
              <w:jc w:val="center"/>
              <w:rPr>
                <w:rFonts w:hint="eastAsia" w:cs="Times New Roman"/>
                <w:b w:val="0"/>
                <w:bCs/>
                <w:color w:val="000000" w:themeColor="text1"/>
                <w:sz w:val="21"/>
                <w:szCs w:val="21"/>
                <w:u w:val="single"/>
                <w:lang w:val="en-US" w:eastAsia="zh-CN"/>
                <w14:textFill>
                  <w14:solidFill>
                    <w14:schemeClr w14:val="tx1"/>
                  </w14:solidFill>
                </w14:textFill>
              </w:rPr>
            </w:pPr>
            <w:r>
              <w:rPr>
                <w:rFonts w:hint="eastAsia"/>
                <w:b w:val="0"/>
                <w:bCs/>
                <w:color w:val="000000" w:themeColor="text1"/>
                <w:kern w:val="2"/>
                <w:sz w:val="21"/>
                <w:szCs w:val="21"/>
                <w:u w:val="single"/>
                <w:lang w:val="en-US" w:eastAsia="zh-CN"/>
                <w14:textFill>
                  <w14:solidFill>
                    <w14:schemeClr w14:val="tx1"/>
                  </w14:solidFill>
                </w14:textFill>
              </w:rPr>
              <w:t>0.42</w:t>
            </w:r>
            <w:r>
              <w:rPr>
                <w:rFonts w:cs="Times New Roman"/>
                <w:b w:val="0"/>
                <w:bCs/>
                <w:color w:val="000000" w:themeColor="text1"/>
                <w:sz w:val="21"/>
                <w:szCs w:val="21"/>
                <w:u w:val="single"/>
                <w14:textFill>
                  <w14:solidFill>
                    <w14:schemeClr w14:val="tx1"/>
                  </w14:solidFill>
                </w14:textFill>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41" w:type="pct"/>
            <w:tcBorders>
              <w:tl2br w:val="nil"/>
              <w:tr2bl w:val="nil"/>
            </w:tcBorders>
            <w:vAlign w:val="center"/>
          </w:tcPr>
          <w:p>
            <w:pPr>
              <w:widowControl w:val="0"/>
              <w:spacing w:line="240" w:lineRule="auto"/>
              <w:ind w:firstLine="420"/>
              <w:jc w:val="center"/>
              <w:rPr>
                <w:rFonts w:cs="Times New Roman"/>
                <w:b w:val="0"/>
                <w:bCs/>
                <w:color w:val="000000" w:themeColor="text1"/>
                <w:sz w:val="21"/>
                <w:szCs w:val="21"/>
                <w:u w:val="single"/>
                <w14:textFill>
                  <w14:solidFill>
                    <w14:schemeClr w14:val="tx1"/>
                  </w14:solidFill>
                </w14:textFill>
              </w:rPr>
            </w:pPr>
            <w:r>
              <w:rPr>
                <w:rFonts w:cs="Times New Roman"/>
                <w:b w:val="0"/>
                <w:bCs/>
                <w:color w:val="000000" w:themeColor="text1"/>
                <w:sz w:val="21"/>
                <w:szCs w:val="21"/>
                <w:u w:val="single"/>
                <w14:textFill>
                  <w14:solidFill>
                    <w14:schemeClr w14:val="tx1"/>
                  </w14:solidFill>
                </w14:textFill>
              </w:rPr>
              <w:t>废水排放量Qp</w:t>
            </w:r>
          </w:p>
        </w:tc>
        <w:tc>
          <w:tcPr>
            <w:tcW w:w="3558" w:type="pct"/>
            <w:gridSpan w:val="3"/>
            <w:tcBorders>
              <w:tl2br w:val="nil"/>
              <w:tr2bl w:val="nil"/>
            </w:tcBorders>
            <w:vAlign w:val="center"/>
          </w:tcPr>
          <w:p>
            <w:pPr>
              <w:widowControl w:val="0"/>
              <w:spacing w:line="240" w:lineRule="auto"/>
              <w:ind w:firstLine="420"/>
              <w:jc w:val="center"/>
              <w:rPr>
                <w:rFonts w:cs="Times New Roman"/>
                <w:b w:val="0"/>
                <w:bCs/>
                <w:color w:val="000000" w:themeColor="text1"/>
                <w:sz w:val="21"/>
                <w:szCs w:val="21"/>
                <w:u w:val="single"/>
                <w14:textFill>
                  <w14:solidFill>
                    <w14:schemeClr w14:val="tx1"/>
                  </w14:solidFill>
                </w14:textFill>
              </w:rPr>
            </w:pPr>
            <w:r>
              <w:rPr>
                <w:rFonts w:hint="default" w:ascii="Times New Roman" w:hAnsi="Times New Roman" w:cs="Times New Roman"/>
                <w:b w:val="0"/>
                <w:bCs/>
                <w:sz w:val="21"/>
                <w:szCs w:val="21"/>
                <w:u w:val="single"/>
                <w:lang w:val="en-US" w:eastAsia="zh-CN"/>
              </w:rPr>
              <w:t>2.92</w:t>
            </w:r>
            <w:r>
              <w:rPr>
                <w:rFonts w:hint="default" w:ascii="Times New Roman" w:hAnsi="Times New Roman" w:cs="Times New Roman"/>
                <w:b w:val="0"/>
                <w:bCs/>
                <w:sz w:val="21"/>
                <w:szCs w:val="21"/>
                <w:u w:val="single"/>
              </w:rPr>
              <w:t>m</w:t>
            </w:r>
            <w:r>
              <w:rPr>
                <w:rFonts w:hint="default" w:ascii="Times New Roman" w:hAnsi="Times New Roman" w:cs="Times New Roman"/>
                <w:b w:val="0"/>
                <w:bCs/>
                <w:sz w:val="21"/>
                <w:szCs w:val="21"/>
                <w:u w:val="single"/>
                <w:vertAlign w:val="superscript"/>
              </w:rPr>
              <w:t>3</w:t>
            </w:r>
            <w:r>
              <w:rPr>
                <w:rFonts w:hint="default" w:ascii="Times New Roman" w:hAnsi="Times New Roman" w:cs="Times New Roman"/>
                <w:b w:val="0"/>
                <w:bCs/>
                <w:sz w:val="21"/>
                <w:szCs w:val="21"/>
                <w:u w:val="single"/>
              </w:rPr>
              <w:t>/d，</w:t>
            </w:r>
            <w:r>
              <w:rPr>
                <w:rFonts w:hint="default" w:ascii="Times New Roman" w:hAnsi="Times New Roman" w:cs="Times New Roman"/>
                <w:b w:val="0"/>
                <w:bCs/>
                <w:sz w:val="21"/>
                <w:szCs w:val="21"/>
                <w:u w:val="single"/>
                <w:lang w:val="en-US" w:eastAsia="zh-CN"/>
              </w:rPr>
              <w:t>876</w:t>
            </w:r>
            <w:r>
              <w:rPr>
                <w:rFonts w:hint="default" w:ascii="Times New Roman" w:hAnsi="Times New Roman" w:cs="Times New Roman"/>
                <w:b w:val="0"/>
                <w:bCs/>
                <w:sz w:val="21"/>
                <w:szCs w:val="21"/>
                <w:u w:val="single"/>
              </w:rPr>
              <w:t>m</w:t>
            </w:r>
            <w:r>
              <w:rPr>
                <w:rFonts w:hint="default" w:ascii="Times New Roman" w:hAnsi="Times New Roman" w:cs="Times New Roman"/>
                <w:b w:val="0"/>
                <w:bCs/>
                <w:sz w:val="21"/>
                <w:szCs w:val="21"/>
                <w:u w:val="single"/>
                <w:vertAlign w:val="superscript"/>
              </w:rPr>
              <w:t>3</w:t>
            </w:r>
            <w:r>
              <w:rPr>
                <w:rFonts w:hint="default" w:ascii="Times New Roman" w:hAnsi="Times New Roman" w:cs="Times New Roman"/>
                <w:b w:val="0"/>
                <w:bCs/>
                <w:sz w:val="21"/>
                <w:szCs w:val="21"/>
                <w:u w:val="single"/>
              </w:rPr>
              <w:t>/a</w:t>
            </w:r>
          </w:p>
        </w:tc>
      </w:tr>
    </w:tbl>
    <w:p>
      <w:pPr>
        <w:pStyle w:val="62"/>
        <w:bidi w:val="0"/>
        <w:rPr>
          <w:rFonts w:hint="default"/>
          <w:lang w:val="en-US" w:eastAsia="zh-CN"/>
        </w:rPr>
      </w:pPr>
      <w:r>
        <w:rPr>
          <w:rFonts w:hint="eastAsia"/>
          <w:lang w:val="en-US" w:eastAsia="zh-CN"/>
        </w:rPr>
        <w:t>水质影响预测分析</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cs="Times New Roman"/>
          <w:color w:val="000000" w:themeColor="text1"/>
          <w:u w:val="single"/>
          <w14:textFill>
            <w14:solidFill>
              <w14:schemeClr w14:val="tx1"/>
            </w14:solidFill>
          </w14:textFill>
        </w:rPr>
      </w:pPr>
      <w:r>
        <w:rPr>
          <w:rFonts w:cs="Times New Roman"/>
          <w:color w:val="000000" w:themeColor="text1"/>
          <w:u w:val="single"/>
          <w:lang w:bidi="ar"/>
          <w14:textFill>
            <w14:solidFill>
              <w14:schemeClr w14:val="tx1"/>
            </w14:solidFill>
          </w14:textFill>
        </w:rPr>
        <w:t>（1）</w:t>
      </w:r>
      <w:r>
        <w:rPr>
          <w:rFonts w:hint="eastAsia" w:cs="Times New Roman"/>
          <w:color w:val="000000" w:themeColor="text1"/>
          <w:u w:val="single"/>
          <w:lang w:val="en-US" w:eastAsia="zh-CN" w:bidi="ar"/>
          <w14:textFill>
            <w14:solidFill>
              <w14:schemeClr w14:val="tx1"/>
            </w14:solidFill>
          </w14:textFill>
        </w:rPr>
        <w:t>项目西北侧的无名小溪</w:t>
      </w:r>
      <w:r>
        <w:rPr>
          <w:rFonts w:hint="eastAsia" w:cs="Times New Roman"/>
          <w:color w:val="000000" w:themeColor="text1"/>
          <w:u w:val="single"/>
          <w14:textFill>
            <w14:solidFill>
              <w14:schemeClr w14:val="tx1"/>
            </w14:solidFill>
          </w14:textFill>
        </w:rPr>
        <w:t>影响预测分析</w:t>
      </w:r>
    </w:p>
    <w:p>
      <w:pPr>
        <w:keepNext w:val="0"/>
        <w:keepLines w:val="0"/>
        <w:pageBreakBefore w:val="0"/>
        <w:widowControl w:val="0"/>
        <w:kinsoku/>
        <w:wordWrap/>
        <w:overflowPunct/>
        <w:topLinePunct w:val="0"/>
        <w:autoSpaceDE/>
        <w:autoSpaceDN/>
        <w:bidi w:val="0"/>
        <w:adjustRightInd w:val="0"/>
        <w:snapToGrid w:val="0"/>
        <w:ind w:firstLine="480"/>
        <w:textAlignment w:val="auto"/>
        <w:rPr>
          <w:rFonts w:hint="default" w:ascii="Times New Roman" w:hAnsi="Times New Roman" w:cs="Times New Roman"/>
          <w:color w:val="000000" w:themeColor="text1"/>
          <w:u w:val="single"/>
          <w:lang w:bidi="ar"/>
          <w14:textFill>
            <w14:solidFill>
              <w14:schemeClr w14:val="tx1"/>
            </w14:solidFill>
          </w14:textFill>
        </w:rPr>
      </w:pPr>
      <w:r>
        <w:rPr>
          <w:rFonts w:hint="default" w:ascii="Times New Roman" w:hAnsi="Times New Roman" w:cs="Times New Roman"/>
          <w:color w:val="000000" w:themeColor="text1"/>
          <w:u w:val="single"/>
          <w14:textFill>
            <w14:solidFill>
              <w14:schemeClr w14:val="tx1"/>
            </w14:solidFill>
          </w14:textFill>
        </w:rPr>
        <w:t>本项目第一受纳水体为</w:t>
      </w:r>
      <w:r>
        <w:rPr>
          <w:rFonts w:hint="eastAsia" w:cs="Times New Roman"/>
          <w:color w:val="000000" w:themeColor="text1"/>
          <w:u w:val="single"/>
          <w:lang w:val="en-US" w:eastAsia="zh-CN"/>
          <w14:textFill>
            <w14:solidFill>
              <w14:schemeClr w14:val="tx1"/>
            </w14:solidFill>
          </w14:textFill>
        </w:rPr>
        <w:t>项目西北侧的无名小溪</w:t>
      </w:r>
      <w:r>
        <w:rPr>
          <w:rFonts w:hint="default" w:ascii="Times New Roman" w:hAnsi="Times New Roman" w:cs="Times New Roman"/>
          <w:color w:val="000000" w:themeColor="text1"/>
          <w:u w:val="single"/>
          <w14:textFill>
            <w14:solidFill>
              <w14:schemeClr w14:val="tx1"/>
            </w14:solidFill>
          </w14:textFill>
        </w:rPr>
        <w:t>，但因为</w:t>
      </w:r>
      <w:r>
        <w:rPr>
          <w:rFonts w:hint="eastAsia" w:cs="Times New Roman"/>
          <w:color w:val="000000" w:themeColor="text1"/>
          <w:u w:val="single"/>
          <w:lang w:val="en-US" w:eastAsia="zh-CN"/>
          <w14:textFill>
            <w14:solidFill>
              <w14:schemeClr w14:val="tx1"/>
            </w14:solidFill>
          </w14:textFill>
        </w:rPr>
        <w:t>项目西北侧的无名小溪</w:t>
      </w:r>
      <w:r>
        <w:rPr>
          <w:rFonts w:hint="default" w:ascii="Times New Roman" w:hAnsi="Times New Roman" w:cs="Times New Roman"/>
          <w:color w:val="000000" w:themeColor="text1"/>
          <w:u w:val="single"/>
          <w14:textFill>
            <w14:solidFill>
              <w14:schemeClr w14:val="tx1"/>
            </w14:solidFill>
          </w14:textFill>
        </w:rPr>
        <w:t>只有</w:t>
      </w:r>
      <w:r>
        <w:rPr>
          <w:rFonts w:hint="default" w:ascii="Times New Roman" w:hAnsi="Times New Roman" w:cs="Times New Roman"/>
          <w:color w:val="000000" w:themeColor="text1"/>
          <w:u w:val="single"/>
          <w:lang w:val="en-US" w:eastAsia="zh-CN"/>
          <w14:textFill>
            <w14:solidFill>
              <w14:schemeClr w14:val="tx1"/>
            </w14:solidFill>
          </w14:textFill>
        </w:rPr>
        <w:t>本公司的</w:t>
      </w:r>
      <w:r>
        <w:rPr>
          <w:rFonts w:hint="default" w:ascii="Times New Roman" w:hAnsi="Times New Roman" w:cs="Times New Roman"/>
          <w:color w:val="000000" w:themeColor="text1"/>
          <w:u w:val="single"/>
          <w14:textFill>
            <w14:solidFill>
              <w14:schemeClr w14:val="tx1"/>
            </w14:solidFill>
          </w14:textFill>
        </w:rPr>
        <w:t>废水，无其他来源，故本次采用</w:t>
      </w:r>
      <w:r>
        <w:rPr>
          <w:rFonts w:hint="default" w:ascii="Times New Roman" w:hAnsi="Times New Roman" w:cs="Times New Roman"/>
          <w:color w:val="000000" w:themeColor="text1"/>
          <w:kern w:val="0"/>
          <w:u w:val="single"/>
          <w:lang w:bidi="ar"/>
          <w14:textFill>
            <w14:solidFill>
              <w14:schemeClr w14:val="tx1"/>
            </w14:solidFill>
          </w14:textFill>
        </w:rPr>
        <w:t>河流均匀混合模型</w:t>
      </w:r>
      <w:r>
        <w:rPr>
          <w:rFonts w:hint="default" w:ascii="Times New Roman" w:hAnsi="Times New Roman" w:cs="Times New Roman"/>
          <w:color w:val="000000" w:themeColor="text1"/>
          <w:u w:val="single"/>
          <w14:textFill>
            <w14:solidFill>
              <w14:schemeClr w14:val="tx1"/>
            </w14:solidFill>
          </w14:textFill>
        </w:rPr>
        <w:t>对其进行影响分析。以</w:t>
      </w:r>
      <w:r>
        <w:rPr>
          <w:rFonts w:hint="default" w:ascii="Times New Roman" w:hAnsi="Times New Roman" w:cs="Times New Roman"/>
          <w:color w:val="000000" w:themeColor="text1"/>
          <w:u w:val="single"/>
          <w:lang w:val="en-US" w:eastAsia="zh-CN"/>
          <w14:textFill>
            <w14:solidFill>
              <w14:schemeClr w14:val="tx1"/>
            </w14:solidFill>
          </w14:textFill>
        </w:rPr>
        <w:t>湖南润景水业（桃江）有限公司</w:t>
      </w:r>
      <w:r>
        <w:rPr>
          <w:rFonts w:hint="default" w:ascii="Times New Roman" w:hAnsi="Times New Roman" w:cs="Times New Roman"/>
          <w:color w:val="000000" w:themeColor="text1"/>
          <w:u w:val="single"/>
          <w14:textFill>
            <w14:solidFill>
              <w14:schemeClr w14:val="tx1"/>
            </w14:solidFill>
          </w14:textFill>
        </w:rPr>
        <w:t>废水与</w:t>
      </w:r>
      <w:r>
        <w:rPr>
          <w:rFonts w:hint="eastAsia" w:cs="Times New Roman"/>
          <w:color w:val="000000" w:themeColor="text1"/>
          <w:u w:val="single"/>
          <w:lang w:val="en-US" w:eastAsia="zh-CN"/>
          <w14:textFill>
            <w14:solidFill>
              <w14:schemeClr w14:val="tx1"/>
            </w14:solidFill>
          </w14:textFill>
        </w:rPr>
        <w:t>西北侧的无名小溪</w:t>
      </w:r>
      <w:r>
        <w:rPr>
          <w:rFonts w:hint="default" w:ascii="Times New Roman" w:hAnsi="Times New Roman" w:cs="Times New Roman"/>
          <w:color w:val="000000" w:themeColor="text1"/>
          <w:u w:val="single"/>
          <w14:textFill>
            <w14:solidFill>
              <w14:schemeClr w14:val="tx1"/>
            </w14:solidFill>
          </w14:textFill>
        </w:rPr>
        <w:t>完全混合浓度为初始浓度</w:t>
      </w:r>
      <w:r>
        <w:rPr>
          <w:rFonts w:hint="eastAsia" w:cs="Times New Roman"/>
          <w:color w:val="000000" w:themeColor="text1"/>
          <w:u w:val="single"/>
          <w:lang w:val="en-US" w:eastAsia="zh-CN"/>
          <w14:textFill>
            <w14:solidFill>
              <w14:schemeClr w14:val="tx1"/>
            </w14:solidFill>
          </w14:textFill>
        </w:rPr>
        <w:t>进行</w:t>
      </w:r>
      <w:r>
        <w:rPr>
          <w:rFonts w:hint="default" w:ascii="Times New Roman" w:hAnsi="Times New Roman" w:cs="Times New Roman"/>
          <w:color w:val="000000" w:themeColor="text1"/>
          <w:u w:val="single"/>
          <w14:textFill>
            <w14:solidFill>
              <w14:schemeClr w14:val="tx1"/>
            </w14:solidFill>
          </w14:textFill>
        </w:rPr>
        <w:t>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000000" w:themeColor="text1"/>
          <w:u w:val="single"/>
          <w:lang w:bidi="ar"/>
          <w14:textFill>
            <w14:solidFill>
              <w14:schemeClr w14:val="tx1"/>
            </w14:solidFill>
          </w14:textFill>
        </w:rPr>
      </w:pPr>
      <w:r>
        <w:rPr>
          <w:rFonts w:hint="default" w:ascii="Times New Roman" w:hAnsi="Times New Roman" w:cs="Times New Roman"/>
          <w:color w:val="000000" w:themeColor="text1"/>
          <w:u w:val="single"/>
          <w:lang w:bidi="ar"/>
          <w14:textFill>
            <w14:solidFill>
              <w14:schemeClr w14:val="tx1"/>
            </w14:solidFill>
          </w14:textFill>
        </w:rPr>
        <w:t>①完全混合断面初始浓度计算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cs="Times New Roman"/>
          <w:color w:val="000000" w:themeColor="text1"/>
          <w:u w:val="single"/>
          <w:lang w:bidi="ar"/>
          <w14:textFill>
            <w14:solidFill>
              <w14:schemeClr w14:val="tx1"/>
            </w14:solidFill>
          </w14:textFill>
        </w:rPr>
      </w:pPr>
      <w:r>
        <w:rPr>
          <w:rFonts w:cs="Times New Roman"/>
          <w:color w:val="000000" w:themeColor="text1"/>
          <w:u w:val="single"/>
          <w:lang w:bidi="ar"/>
          <w14:textFill>
            <w14:solidFill>
              <w14:schemeClr w14:val="tx1"/>
            </w14:solidFill>
          </w14:textFill>
        </w:rPr>
        <w:t>项目废水排入</w:t>
      </w:r>
      <w:r>
        <w:rPr>
          <w:rFonts w:hint="eastAsia" w:cs="Times New Roman"/>
          <w:color w:val="000000" w:themeColor="text1"/>
          <w:u w:val="single"/>
          <w:lang w:val="en-US" w:eastAsia="zh-CN" w:bidi="ar"/>
          <w14:textFill>
            <w14:solidFill>
              <w14:schemeClr w14:val="tx1"/>
            </w14:solidFill>
          </w14:textFill>
        </w:rPr>
        <w:t>西北侧小溪</w:t>
      </w:r>
      <w:r>
        <w:rPr>
          <w:rFonts w:cs="Times New Roman"/>
          <w:color w:val="000000" w:themeColor="text1"/>
          <w:u w:val="single"/>
          <w:lang w:bidi="ar"/>
          <w14:textFill>
            <w14:solidFill>
              <w14:schemeClr w14:val="tx1"/>
            </w14:solidFill>
          </w14:textFill>
        </w:rPr>
        <w:t>后，采用完全混合模型计算断面初始浓度：</w:t>
      </w:r>
    </w:p>
    <w:p>
      <w:pPr>
        <w:pStyle w:val="204"/>
        <w:keepLines w:val="0"/>
        <w:pageBreakBefore w:val="0"/>
        <w:widowControl/>
        <w:numPr>
          <w:ilvl w:val="0"/>
          <w:numId w:val="0"/>
        </w:numPr>
        <w:kinsoku/>
        <w:wordWrap/>
        <w:overflowPunct/>
        <w:topLinePunct w:val="0"/>
        <w:autoSpaceDE/>
        <w:autoSpaceDN/>
        <w:bidi w:val="0"/>
        <w:adjustRightInd/>
        <w:spacing w:line="480" w:lineRule="atLeast"/>
        <w:ind w:left="0" w:leftChars="0"/>
        <w:jc w:val="center"/>
        <w:textAlignment w:val="auto"/>
        <w:rPr>
          <w:rFonts w:hint="default" w:hAnsi="宋体" w:eastAsia="宋体" w:cs="Times New Roman"/>
          <w:color w:val="auto"/>
          <w:sz w:val="24"/>
          <w:szCs w:val="24"/>
          <w:u w:val="single"/>
          <w:lang w:val="en-US" w:eastAsia="zh-CN"/>
        </w:rPr>
      </w:pPr>
      <w:r>
        <w:rPr>
          <w:rFonts w:hint="eastAsia" w:eastAsia="宋体"/>
          <w:color w:val="auto"/>
          <w:u w:val="single"/>
          <w:lang w:val="en-US" w:eastAsia="zh-CN"/>
        </w:rPr>
        <w:t>C</w:t>
      </w:r>
      <w:r>
        <w:rPr>
          <w:rFonts w:hint="eastAsia" w:eastAsia="宋体"/>
          <w:color w:val="auto"/>
          <w:u w:val="single"/>
          <w:vertAlign w:val="subscript"/>
          <w:lang w:val="en-US" w:eastAsia="zh-CN"/>
        </w:rPr>
        <w:t>0</w:t>
      </w:r>
      <w:r>
        <w:rPr>
          <w:rFonts w:hint="eastAsia" w:eastAsia="宋体"/>
          <w:color w:val="auto"/>
          <w:u w:val="single"/>
          <w:lang w:val="en-US" w:eastAsia="zh-CN"/>
        </w:rPr>
        <w:t>=（C</w:t>
      </w:r>
      <w:r>
        <w:rPr>
          <w:rFonts w:hint="eastAsia" w:eastAsia="宋体"/>
          <w:color w:val="auto"/>
          <w:u w:val="single"/>
          <w:vertAlign w:val="subscript"/>
          <w:lang w:val="en-US" w:eastAsia="zh-CN"/>
        </w:rPr>
        <w:t>p</w:t>
      </w:r>
      <w:r>
        <w:rPr>
          <w:rFonts w:hint="eastAsia" w:eastAsia="宋体"/>
          <w:color w:val="auto"/>
          <w:u w:val="single"/>
          <w:lang w:val="en-US" w:eastAsia="zh-CN"/>
        </w:rPr>
        <w:t>Q</w:t>
      </w:r>
      <w:r>
        <w:rPr>
          <w:rFonts w:hint="eastAsia" w:eastAsia="宋体"/>
          <w:color w:val="auto"/>
          <w:u w:val="single"/>
          <w:vertAlign w:val="subscript"/>
          <w:lang w:val="en-US" w:eastAsia="zh-CN"/>
        </w:rPr>
        <w:t>p</w:t>
      </w:r>
      <w:r>
        <w:rPr>
          <w:rFonts w:hint="eastAsia" w:eastAsia="宋体"/>
          <w:color w:val="auto"/>
          <w:u w:val="single"/>
          <w:lang w:val="en-US" w:eastAsia="zh-CN"/>
        </w:rPr>
        <w:t>+C</w:t>
      </w:r>
      <w:r>
        <w:rPr>
          <w:rFonts w:hint="eastAsia" w:eastAsia="宋体"/>
          <w:color w:val="auto"/>
          <w:u w:val="single"/>
          <w:vertAlign w:val="subscript"/>
          <w:lang w:val="en-US" w:eastAsia="zh-CN"/>
        </w:rPr>
        <w:t>h</w:t>
      </w:r>
      <w:r>
        <w:rPr>
          <w:rFonts w:hint="eastAsia" w:eastAsia="宋体"/>
          <w:color w:val="auto"/>
          <w:u w:val="single"/>
          <w:lang w:val="en-US" w:eastAsia="zh-CN"/>
        </w:rPr>
        <w:t>Q</w:t>
      </w:r>
      <w:r>
        <w:rPr>
          <w:rFonts w:hint="eastAsia" w:eastAsia="宋体"/>
          <w:color w:val="auto"/>
          <w:u w:val="single"/>
          <w:vertAlign w:val="subscript"/>
          <w:lang w:val="en-US" w:eastAsia="zh-CN"/>
        </w:rPr>
        <w:t>h</w:t>
      </w:r>
      <w:r>
        <w:rPr>
          <w:rFonts w:hint="eastAsia" w:eastAsia="宋体"/>
          <w:color w:val="auto"/>
          <w:u w:val="single"/>
          <w:vertAlign w:val="baseline"/>
          <w:lang w:val="en-US" w:eastAsia="zh-CN"/>
        </w:rPr>
        <w:t>）</w:t>
      </w:r>
      <w:r>
        <w:rPr>
          <w:rFonts w:hint="eastAsia" w:eastAsia="宋体"/>
          <w:color w:val="auto"/>
          <w:u w:val="single"/>
          <w:lang w:val="en-US" w:eastAsia="zh-CN"/>
        </w:rPr>
        <w:t>/（Q</w:t>
      </w:r>
      <w:r>
        <w:rPr>
          <w:rFonts w:hint="eastAsia" w:eastAsia="宋体"/>
          <w:color w:val="auto"/>
          <w:u w:val="single"/>
          <w:vertAlign w:val="subscript"/>
          <w:lang w:val="en-US" w:eastAsia="zh-CN"/>
        </w:rPr>
        <w:t>p</w:t>
      </w:r>
      <w:r>
        <w:rPr>
          <w:rFonts w:hint="eastAsia" w:eastAsia="宋体"/>
          <w:color w:val="auto"/>
          <w:u w:val="single"/>
          <w:lang w:val="en-US" w:eastAsia="zh-CN"/>
        </w:rPr>
        <w:t>+Q</w:t>
      </w:r>
      <w:r>
        <w:rPr>
          <w:rFonts w:hint="eastAsia" w:eastAsia="宋体"/>
          <w:color w:val="auto"/>
          <w:u w:val="single"/>
          <w:vertAlign w:val="subscript"/>
          <w:lang w:val="en-US" w:eastAsia="zh-CN"/>
        </w:rPr>
        <w:t>h</w:t>
      </w:r>
      <w:r>
        <w:rPr>
          <w:rFonts w:hint="eastAsia" w:eastAsia="宋体"/>
          <w:color w:val="auto"/>
          <w:u w:val="single"/>
          <w:lang w:val="en-US" w:eastAsia="zh-CN"/>
        </w:rPr>
        <w:t>）</w:t>
      </w:r>
    </w:p>
    <w:p>
      <w:pPr>
        <w:pStyle w:val="204"/>
        <w:keepNext w:val="0"/>
        <w:keepLines w:val="0"/>
        <w:pageBreakBefore w:val="0"/>
        <w:widowControl/>
        <w:numPr>
          <w:ilvl w:val="0"/>
          <w:numId w:val="0"/>
        </w:numPr>
        <w:kinsoku/>
        <w:wordWrap/>
        <w:overflowPunct/>
        <w:topLinePunct w:val="0"/>
        <w:autoSpaceDE/>
        <w:autoSpaceDN/>
        <w:bidi w:val="0"/>
        <w:adjustRightInd/>
        <w:snapToGrid w:val="0"/>
        <w:spacing w:line="360" w:lineRule="auto"/>
        <w:ind w:left="0" w:leftChars="0" w:firstLine="720" w:firstLineChars="3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式中：</w:t>
      </w:r>
    </w:p>
    <w:p>
      <w:pPr>
        <w:pStyle w:val="204"/>
        <w:keepNext w:val="0"/>
        <w:keepLines w:val="0"/>
        <w:pageBreakBefore w:val="0"/>
        <w:widowControl/>
        <w:numPr>
          <w:ilvl w:val="0"/>
          <w:numId w:val="0"/>
        </w:numPr>
        <w:kinsoku/>
        <w:wordWrap/>
        <w:overflowPunct/>
        <w:topLinePunct w:val="0"/>
        <w:autoSpaceDE/>
        <w:autoSpaceDN/>
        <w:bidi w:val="0"/>
        <w:adjustRightInd/>
        <w:spacing w:line="360" w:lineRule="auto"/>
        <w:ind w:left="0" w:leftChars="0" w:firstLine="1200" w:firstLineChars="5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C</w:t>
      </w:r>
      <w:r>
        <w:rPr>
          <w:rFonts w:hint="default" w:ascii="Times New Roman" w:hAnsi="Times New Roman" w:eastAsia="宋体" w:cs="Times New Roman"/>
          <w:color w:val="auto"/>
          <w:sz w:val="24"/>
          <w:szCs w:val="24"/>
          <w:u w:val="single"/>
          <w:vertAlign w:val="subscript"/>
          <w:lang w:val="en-US" w:eastAsia="zh-CN"/>
        </w:rPr>
        <w:t>0</w:t>
      </w:r>
      <w:r>
        <w:rPr>
          <w:rFonts w:hint="default" w:ascii="Times New Roman" w:hAnsi="Times New Roman" w:eastAsia="宋体" w:cs="Times New Roman"/>
          <w:color w:val="auto"/>
          <w:sz w:val="24"/>
          <w:szCs w:val="24"/>
          <w:u w:val="single"/>
          <w:lang w:val="en-US" w:eastAsia="zh-CN"/>
        </w:rPr>
        <w:t>--污染物浓度，mg/L；</w:t>
      </w:r>
    </w:p>
    <w:p>
      <w:pPr>
        <w:pStyle w:val="204"/>
        <w:keepNext w:val="0"/>
        <w:keepLines w:val="0"/>
        <w:pageBreakBefore w:val="0"/>
        <w:widowControl/>
        <w:numPr>
          <w:ilvl w:val="0"/>
          <w:numId w:val="0"/>
        </w:numPr>
        <w:kinsoku/>
        <w:wordWrap/>
        <w:overflowPunct/>
        <w:topLinePunct w:val="0"/>
        <w:autoSpaceDE/>
        <w:autoSpaceDN/>
        <w:bidi w:val="0"/>
        <w:adjustRightInd/>
        <w:spacing w:line="360" w:lineRule="auto"/>
        <w:ind w:left="0" w:leftChars="0" w:firstLine="1200" w:firstLineChars="5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C</w:t>
      </w:r>
      <w:r>
        <w:rPr>
          <w:rFonts w:hint="default" w:ascii="Times New Roman" w:hAnsi="Times New Roman" w:eastAsia="宋体" w:cs="Times New Roman"/>
          <w:color w:val="auto"/>
          <w:sz w:val="24"/>
          <w:szCs w:val="24"/>
          <w:u w:val="single"/>
          <w:vertAlign w:val="subscript"/>
          <w:lang w:val="en-US" w:eastAsia="zh-CN"/>
        </w:rPr>
        <w:t>p</w:t>
      </w:r>
      <w:r>
        <w:rPr>
          <w:rFonts w:hint="default" w:ascii="Times New Roman" w:hAnsi="Times New Roman" w:eastAsia="宋体" w:cs="Times New Roman"/>
          <w:color w:val="auto"/>
          <w:sz w:val="24"/>
          <w:szCs w:val="24"/>
          <w:u w:val="single"/>
          <w:lang w:val="en-US" w:eastAsia="zh-CN"/>
        </w:rPr>
        <w:t>--污染物排放浓度，mg/L；</w:t>
      </w:r>
    </w:p>
    <w:p>
      <w:pPr>
        <w:pStyle w:val="204"/>
        <w:keepNext w:val="0"/>
        <w:keepLines w:val="0"/>
        <w:pageBreakBefore w:val="0"/>
        <w:widowControl/>
        <w:numPr>
          <w:ilvl w:val="0"/>
          <w:numId w:val="0"/>
        </w:numPr>
        <w:kinsoku/>
        <w:wordWrap/>
        <w:overflowPunct/>
        <w:topLinePunct w:val="0"/>
        <w:autoSpaceDE/>
        <w:autoSpaceDN/>
        <w:bidi w:val="0"/>
        <w:adjustRightInd/>
        <w:spacing w:line="360" w:lineRule="auto"/>
        <w:ind w:left="0" w:leftChars="0" w:firstLine="1200" w:firstLineChars="5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Q</w:t>
      </w:r>
      <w:r>
        <w:rPr>
          <w:rFonts w:hint="default" w:ascii="Times New Roman" w:hAnsi="Times New Roman" w:eastAsia="宋体" w:cs="Times New Roman"/>
          <w:color w:val="auto"/>
          <w:sz w:val="24"/>
          <w:szCs w:val="24"/>
          <w:u w:val="single"/>
          <w:vertAlign w:val="subscript"/>
          <w:lang w:val="en-US" w:eastAsia="zh-CN"/>
        </w:rPr>
        <w:t>p</w:t>
      </w:r>
      <w:r>
        <w:rPr>
          <w:rFonts w:hint="default" w:ascii="Times New Roman" w:hAnsi="Times New Roman" w:eastAsia="宋体" w:cs="Times New Roman"/>
          <w:color w:val="auto"/>
          <w:sz w:val="24"/>
          <w:szCs w:val="24"/>
          <w:u w:val="single"/>
          <w:lang w:val="en-US" w:eastAsia="zh-CN"/>
        </w:rPr>
        <w:t>--污水排放量，m</w:t>
      </w:r>
      <w:r>
        <w:rPr>
          <w:rFonts w:hint="default" w:ascii="Times New Roman" w:hAnsi="Times New Roman" w:eastAsia="宋体" w:cs="Times New Roman"/>
          <w:color w:val="auto"/>
          <w:sz w:val="24"/>
          <w:szCs w:val="24"/>
          <w:u w:val="single"/>
          <w:vertAlign w:val="superscript"/>
          <w:lang w:val="en-US" w:eastAsia="zh-CN"/>
        </w:rPr>
        <w:t>3</w:t>
      </w:r>
      <w:r>
        <w:rPr>
          <w:rFonts w:hint="default" w:ascii="Times New Roman" w:hAnsi="Times New Roman" w:eastAsia="宋体" w:cs="Times New Roman"/>
          <w:color w:val="auto"/>
          <w:sz w:val="24"/>
          <w:szCs w:val="24"/>
          <w:u w:val="single"/>
          <w:lang w:val="en-US" w:eastAsia="zh-CN"/>
        </w:rPr>
        <w:t>/s；</w:t>
      </w:r>
    </w:p>
    <w:p>
      <w:pPr>
        <w:pStyle w:val="204"/>
        <w:keepNext w:val="0"/>
        <w:keepLines w:val="0"/>
        <w:pageBreakBefore w:val="0"/>
        <w:widowControl/>
        <w:numPr>
          <w:ilvl w:val="0"/>
          <w:numId w:val="0"/>
        </w:numPr>
        <w:kinsoku/>
        <w:wordWrap/>
        <w:overflowPunct/>
        <w:topLinePunct w:val="0"/>
        <w:autoSpaceDE/>
        <w:autoSpaceDN/>
        <w:bidi w:val="0"/>
        <w:adjustRightInd/>
        <w:spacing w:line="360" w:lineRule="auto"/>
        <w:ind w:left="0" w:leftChars="0" w:firstLine="1200" w:firstLineChars="500"/>
        <w:textAlignment w:val="auto"/>
        <w:rPr>
          <w:rFonts w:hint="default" w:ascii="Times New Roman" w:hAnsi="Times New Roman" w:eastAsia="宋体" w:cs="Times New Roman"/>
          <w:color w:val="auto"/>
          <w:sz w:val="24"/>
          <w:szCs w:val="24"/>
          <w:u w:val="single"/>
          <w:lang w:val="en-US" w:eastAsia="zh-CN"/>
        </w:rPr>
      </w:pPr>
      <w:r>
        <w:rPr>
          <w:rFonts w:hint="default" w:ascii="Times New Roman" w:hAnsi="Times New Roman" w:eastAsia="宋体" w:cs="Times New Roman"/>
          <w:color w:val="auto"/>
          <w:sz w:val="24"/>
          <w:szCs w:val="24"/>
          <w:u w:val="single"/>
          <w:lang w:val="en-US" w:eastAsia="zh-CN"/>
        </w:rPr>
        <w:t>C</w:t>
      </w:r>
      <w:r>
        <w:rPr>
          <w:rFonts w:hint="default" w:ascii="Times New Roman" w:hAnsi="Times New Roman" w:eastAsia="宋体" w:cs="Times New Roman"/>
          <w:color w:val="auto"/>
          <w:sz w:val="24"/>
          <w:szCs w:val="24"/>
          <w:u w:val="single"/>
          <w:vertAlign w:val="subscript"/>
          <w:lang w:val="en-US" w:eastAsia="zh-CN"/>
        </w:rPr>
        <w:t>h</w:t>
      </w:r>
      <w:r>
        <w:rPr>
          <w:rFonts w:hint="default" w:ascii="Times New Roman" w:hAnsi="Times New Roman" w:eastAsia="宋体" w:cs="Times New Roman"/>
          <w:color w:val="auto"/>
          <w:sz w:val="24"/>
          <w:szCs w:val="24"/>
          <w:u w:val="single"/>
          <w:lang w:val="en-US" w:eastAsia="zh-CN"/>
        </w:rPr>
        <w:t>--河流上游污染物浓度，mg/L；</w:t>
      </w:r>
    </w:p>
    <w:p>
      <w:pPr>
        <w:pStyle w:val="204"/>
        <w:keepNext w:val="0"/>
        <w:keepLines w:val="0"/>
        <w:pageBreakBefore w:val="0"/>
        <w:widowControl/>
        <w:numPr>
          <w:ilvl w:val="0"/>
          <w:numId w:val="0"/>
        </w:numPr>
        <w:kinsoku/>
        <w:wordWrap/>
        <w:overflowPunct/>
        <w:topLinePunct w:val="0"/>
        <w:autoSpaceDE/>
        <w:autoSpaceDN/>
        <w:bidi w:val="0"/>
        <w:adjustRightInd/>
        <w:spacing w:line="360" w:lineRule="auto"/>
        <w:ind w:left="0" w:leftChars="0" w:firstLine="1200" w:firstLineChars="500"/>
        <w:textAlignment w:val="auto"/>
        <w:rPr>
          <w:rFonts w:hint="default" w:ascii="Times New Roman" w:hAnsi="Times New Roman" w:cs="Times New Roman"/>
          <w:color w:val="auto"/>
          <w:u w:val="single"/>
        </w:rPr>
      </w:pPr>
      <w:r>
        <w:rPr>
          <w:rFonts w:hint="default" w:ascii="Times New Roman" w:hAnsi="Times New Roman" w:eastAsia="宋体" w:cs="Times New Roman"/>
          <w:color w:val="auto"/>
          <w:sz w:val="24"/>
          <w:szCs w:val="24"/>
          <w:u w:val="single"/>
          <w:lang w:val="en-US" w:eastAsia="zh-CN"/>
        </w:rPr>
        <w:t>Q</w:t>
      </w:r>
      <w:r>
        <w:rPr>
          <w:rFonts w:hint="default" w:ascii="Times New Roman" w:hAnsi="Times New Roman" w:eastAsia="宋体" w:cs="Times New Roman"/>
          <w:color w:val="auto"/>
          <w:sz w:val="24"/>
          <w:szCs w:val="24"/>
          <w:u w:val="single"/>
          <w:vertAlign w:val="subscript"/>
          <w:lang w:val="en-US" w:eastAsia="zh-CN"/>
        </w:rPr>
        <w:t>h</w:t>
      </w:r>
      <w:r>
        <w:rPr>
          <w:rFonts w:hint="default" w:ascii="Times New Roman" w:hAnsi="Times New Roman" w:eastAsia="宋体" w:cs="Times New Roman"/>
          <w:color w:val="auto"/>
          <w:sz w:val="24"/>
          <w:szCs w:val="24"/>
          <w:u w:val="single"/>
          <w:lang w:val="en-US" w:eastAsia="zh-CN"/>
        </w:rPr>
        <w:t>--河流流量，m</w:t>
      </w:r>
      <w:r>
        <w:rPr>
          <w:rFonts w:hint="default" w:ascii="Times New Roman" w:hAnsi="Times New Roman" w:eastAsia="宋体" w:cs="Times New Roman"/>
          <w:color w:val="auto"/>
          <w:sz w:val="24"/>
          <w:szCs w:val="24"/>
          <w:u w:val="single"/>
          <w:vertAlign w:val="superscript"/>
          <w:lang w:val="en-US" w:eastAsia="zh-CN"/>
        </w:rPr>
        <w:t>3</w:t>
      </w:r>
      <w:r>
        <w:rPr>
          <w:rFonts w:hint="default" w:ascii="Times New Roman" w:hAnsi="Times New Roman" w:eastAsia="宋体" w:cs="Times New Roman"/>
          <w:color w:val="auto"/>
          <w:sz w:val="24"/>
          <w:szCs w:val="24"/>
          <w:u w:val="single"/>
          <w:lang w:val="en-US" w:eastAsia="zh-CN"/>
        </w:rPr>
        <w:t>/s。</w:t>
      </w:r>
    </w:p>
    <w:p>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eastAsia" w:cs="Times New Roman"/>
          <w:color w:val="000000" w:themeColor="text1"/>
          <w:u w:val="single"/>
          <w:lang w:val="en-US" w:eastAsia="zh-CN"/>
          <w14:textFill>
            <w14:solidFill>
              <w14:schemeClr w14:val="tx1"/>
            </w14:solidFill>
          </w14:textFill>
        </w:rPr>
      </w:pPr>
      <w:r>
        <w:rPr>
          <w:rFonts w:hint="eastAsia" w:cs="Times New Roman"/>
          <w:color w:val="000000" w:themeColor="text1"/>
          <w:u w:val="single"/>
          <w:lang w:eastAsia="zh-CN"/>
          <w14:textFill>
            <w14:solidFill>
              <w14:schemeClr w14:val="tx1"/>
            </w14:solidFill>
          </w14:textFill>
        </w:rPr>
        <w:t>（</w:t>
      </w:r>
      <w:r>
        <w:rPr>
          <w:rFonts w:hint="eastAsia" w:cs="Times New Roman"/>
          <w:color w:val="000000" w:themeColor="text1"/>
          <w:u w:val="single"/>
          <w:lang w:val="en-US" w:eastAsia="zh-CN"/>
          <w14:textFill>
            <w14:solidFill>
              <w14:schemeClr w14:val="tx1"/>
            </w14:solidFill>
          </w14:textFill>
        </w:rPr>
        <w:t>2</w:t>
      </w:r>
      <w:r>
        <w:rPr>
          <w:rFonts w:hint="eastAsia" w:cs="Times New Roman"/>
          <w:color w:val="000000" w:themeColor="text1"/>
          <w:u w:val="single"/>
          <w:lang w:eastAsia="zh-CN"/>
          <w14:textFill>
            <w14:solidFill>
              <w14:schemeClr w14:val="tx1"/>
            </w14:solidFill>
          </w14:textFill>
        </w:rPr>
        <w:t>）</w:t>
      </w:r>
      <w:r>
        <w:rPr>
          <w:rFonts w:hint="eastAsia" w:cs="Times New Roman"/>
          <w:color w:val="000000" w:themeColor="text1"/>
          <w:u w:val="single"/>
          <w:lang w:val="en-US" w:eastAsia="zh-CN"/>
          <w14:textFill>
            <w14:solidFill>
              <w14:schemeClr w14:val="tx1"/>
            </w14:solidFill>
          </w14:textFill>
        </w:rPr>
        <w:t>预测结果</w:t>
      </w:r>
    </w:p>
    <w:p>
      <w:pPr>
        <w:pStyle w:val="63"/>
        <w:keepNext w:val="0"/>
        <w:keepLines w:val="0"/>
        <w:pageBreakBefore w:val="0"/>
        <w:kinsoku/>
        <w:wordWrap/>
        <w:overflowPunct/>
        <w:topLinePunct w:val="0"/>
        <w:autoSpaceDE/>
        <w:autoSpaceDN/>
        <w:bidi w:val="0"/>
        <w:adjustRightInd w:val="0"/>
        <w:snapToGrid w:val="0"/>
        <w:spacing w:line="360" w:lineRule="auto"/>
        <w:textAlignment w:val="auto"/>
        <w:rPr>
          <w:rFonts w:hint="default" w:eastAsia="宋体" w:cs="Times New Roman"/>
          <w:color w:val="000000" w:themeColor="text1"/>
          <w:u w:val="single"/>
          <w:lang w:val="en-US" w:eastAsia="zh-CN" w:bidi="ar"/>
          <w14:textFill>
            <w14:solidFill>
              <w14:schemeClr w14:val="tx1"/>
            </w14:solidFill>
          </w14:textFill>
        </w:rPr>
      </w:pPr>
      <w:r>
        <w:rPr>
          <w:rFonts w:cs="Times New Roman"/>
          <w:color w:val="000000" w:themeColor="text1"/>
          <w:u w:val="single"/>
          <w:lang w:bidi="ar"/>
          <w14:textFill>
            <w14:solidFill>
              <w14:schemeClr w14:val="tx1"/>
            </w14:solidFill>
          </w14:textFill>
        </w:rPr>
        <w:t>预测时，</w:t>
      </w:r>
      <w:r>
        <w:rPr>
          <w:rFonts w:hint="eastAsia" w:cs="Times New Roman"/>
          <w:color w:val="000000" w:themeColor="text1"/>
          <w:u w:val="single"/>
          <w:lang w:val="en-US" w:eastAsia="zh-CN" w:bidi="ar"/>
          <w14:textFill>
            <w14:solidFill>
              <w14:schemeClr w14:val="tx1"/>
            </w14:solidFill>
          </w14:textFill>
        </w:rPr>
        <w:t>西北侧小溪</w:t>
      </w:r>
      <w:r>
        <w:rPr>
          <w:rFonts w:cs="Times New Roman"/>
          <w:color w:val="000000" w:themeColor="text1"/>
          <w:u w:val="single"/>
          <w:lang w:bidi="ar"/>
          <w14:textFill>
            <w14:solidFill>
              <w14:schemeClr w14:val="tx1"/>
            </w14:solidFill>
          </w14:textFill>
        </w:rPr>
        <w:t>背景值采用本项目排污口上游</w:t>
      </w:r>
      <w:r>
        <w:rPr>
          <w:rFonts w:hint="eastAsia" w:cs="Times New Roman"/>
          <w:color w:val="000000" w:themeColor="text1"/>
          <w:u w:val="single"/>
          <w:lang w:val="en-US" w:eastAsia="zh-CN" w:bidi="ar"/>
          <w14:textFill>
            <w14:solidFill>
              <w14:schemeClr w14:val="tx1"/>
            </w14:solidFill>
          </w14:textFill>
        </w:rPr>
        <w:t>500</w:t>
      </w:r>
      <w:r>
        <w:rPr>
          <w:rFonts w:cs="Times New Roman"/>
          <w:color w:val="000000" w:themeColor="text1"/>
          <w:u w:val="single"/>
          <w:lang w:bidi="ar"/>
          <w14:textFill>
            <w14:solidFill>
              <w14:schemeClr w14:val="tx1"/>
            </w14:solidFill>
          </w14:textFill>
        </w:rPr>
        <w:t>米(</w:t>
      </w:r>
      <w:r>
        <w:rPr>
          <w:rFonts w:hint="eastAsia" w:cs="Times New Roman"/>
          <w:color w:val="000000" w:themeColor="text1"/>
          <w:u w:val="single"/>
          <w:lang w:val="en-US" w:eastAsia="zh-CN" w:bidi="ar"/>
          <w14:textFill>
            <w14:solidFill>
              <w14:schemeClr w14:val="tx1"/>
            </w14:solidFill>
          </w14:textFill>
        </w:rPr>
        <w:t>西北侧小溪）</w:t>
      </w:r>
      <w:r>
        <w:rPr>
          <w:rFonts w:cs="Times New Roman"/>
          <w:color w:val="000000" w:themeColor="text1"/>
          <w:u w:val="single"/>
          <w:lang w:bidi="ar"/>
          <w14:textFill>
            <w14:solidFill>
              <w14:schemeClr w14:val="tx1"/>
            </w14:solidFill>
          </w14:textFill>
        </w:rPr>
        <w:t>的监测浓度。该断面与本项目排污口之间无其他排口。厂区正常排放及非正常排放情景下，完全混合断面初始浓度计算结果见</w:t>
      </w:r>
      <w:r>
        <w:rPr>
          <w:rFonts w:hint="eastAsia" w:cs="Times New Roman"/>
          <w:color w:val="000000" w:themeColor="text1"/>
          <w:u w:val="single"/>
          <w:lang w:val="en-US" w:eastAsia="zh-CN" w:bidi="ar"/>
          <w14:textFill>
            <w14:solidFill>
              <w14:schemeClr w14:val="tx1"/>
            </w14:solidFill>
          </w14:textFill>
        </w:rPr>
        <w:t>下表所示。</w:t>
      </w:r>
    </w:p>
    <w:p>
      <w:pPr>
        <w:pStyle w:val="204"/>
        <w:keepNext w:val="0"/>
        <w:keepLines w:val="0"/>
        <w:pageBreakBefore w:val="0"/>
        <w:widowControl/>
        <w:numPr>
          <w:ilvl w:val="0"/>
          <w:numId w:val="19"/>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color w:val="auto"/>
          <w:sz w:val="24"/>
          <w:szCs w:val="24"/>
          <w:u w:val="single"/>
        </w:rPr>
      </w:pPr>
      <w:r>
        <w:rPr>
          <w:rFonts w:hint="eastAsia" w:ascii="Times New Roman" w:hAnsi="宋体" w:eastAsia="宋体" w:cs="Times New Roman"/>
          <w:color w:val="auto"/>
          <w:sz w:val="24"/>
          <w:szCs w:val="24"/>
          <w:u w:val="single"/>
        </w:rPr>
        <w:t>正常排放时</w:t>
      </w:r>
    </w:p>
    <w:p>
      <w:pPr>
        <w:pStyle w:val="204"/>
        <w:keepNext w:val="0"/>
        <w:keepLines w:val="0"/>
        <w:pageBreakBefore w:val="0"/>
        <w:widowControl/>
        <w:kinsoku/>
        <w:wordWrap/>
        <w:overflowPunct/>
        <w:topLinePunct w:val="0"/>
        <w:autoSpaceDE/>
        <w:autoSpaceDN/>
        <w:bidi w:val="0"/>
        <w:adjustRightInd/>
        <w:snapToGrid w:val="0"/>
        <w:spacing w:line="360" w:lineRule="auto"/>
        <w:ind w:firstLine="960" w:firstLineChars="400"/>
        <w:textAlignment w:val="auto"/>
        <w:rPr>
          <w:rFonts w:hint="default" w:ascii="Times New Roman"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C</w:t>
      </w:r>
      <w:r>
        <w:rPr>
          <w:rFonts w:hint="eastAsia" w:hAnsi="宋体" w:eastAsia="宋体" w:cs="Times New Roman"/>
          <w:color w:val="auto"/>
          <w:sz w:val="24"/>
          <w:szCs w:val="24"/>
          <w:u w:val="single"/>
          <w:vertAlign w:val="subscript"/>
          <w:lang w:val="en-US" w:eastAsia="zh-CN"/>
        </w:rPr>
        <w:t>0（COD）</w:t>
      </w:r>
      <w:r>
        <w:rPr>
          <w:rFonts w:hint="eastAsia" w:hAnsi="宋体" w:eastAsia="宋体" w:cs="Times New Roman"/>
          <w:color w:val="auto"/>
          <w:sz w:val="24"/>
          <w:szCs w:val="24"/>
          <w:u w:val="single"/>
          <w:lang w:val="en-US" w:eastAsia="zh-CN"/>
        </w:rPr>
        <w:t>=（100×0.0001+10×0.1555）/（0.0001+0.1555）=10mg/L</w:t>
      </w:r>
    </w:p>
    <w:p>
      <w:pPr>
        <w:pStyle w:val="204"/>
        <w:keepNext w:val="0"/>
        <w:keepLines w:val="0"/>
        <w:pageBreakBefore w:val="0"/>
        <w:widowControl/>
        <w:kinsoku/>
        <w:wordWrap/>
        <w:overflowPunct/>
        <w:topLinePunct w:val="0"/>
        <w:autoSpaceDE/>
        <w:autoSpaceDN/>
        <w:bidi w:val="0"/>
        <w:adjustRightInd/>
        <w:snapToGrid w:val="0"/>
        <w:spacing w:line="360" w:lineRule="auto"/>
        <w:ind w:firstLine="480" w:firstLineChars="200"/>
        <w:textAlignment w:val="auto"/>
        <w:rPr>
          <w:rFonts w:hint="default"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 xml:space="preserve">    C</w:t>
      </w:r>
      <w:r>
        <w:rPr>
          <w:rFonts w:hint="eastAsia" w:hAnsi="宋体" w:eastAsia="宋体" w:cs="Times New Roman"/>
          <w:color w:val="auto"/>
          <w:sz w:val="24"/>
          <w:szCs w:val="24"/>
          <w:u w:val="single"/>
          <w:vertAlign w:val="subscript"/>
          <w:lang w:val="en-US" w:eastAsia="zh-CN"/>
        </w:rPr>
        <w:t>0（</w:t>
      </w:r>
      <w:r>
        <w:rPr>
          <w:rFonts w:hint="default" w:ascii="Times New Roman" w:hAnsi="Times New Roman" w:cs="Times New Roman"/>
          <w:color w:val="auto"/>
          <w:position w:val="2"/>
          <w:sz w:val="21"/>
          <w:u w:val="single"/>
          <w:vertAlign w:val="subscript"/>
        </w:rPr>
        <w:t>NH3-N</w:t>
      </w:r>
      <w:r>
        <w:rPr>
          <w:rFonts w:hint="eastAsia" w:eastAsia="宋体" w:cs="Times New Roman"/>
          <w:color w:val="auto"/>
          <w:position w:val="2"/>
          <w:sz w:val="21"/>
          <w:u w:val="single"/>
          <w:vertAlign w:val="subscript"/>
          <w:lang w:eastAsia="zh-CN"/>
        </w:rPr>
        <w:t>）</w:t>
      </w:r>
      <w:r>
        <w:rPr>
          <w:rFonts w:hint="eastAsia" w:eastAsia="宋体" w:cs="Times New Roman"/>
          <w:color w:val="auto"/>
          <w:position w:val="2"/>
          <w:sz w:val="21"/>
          <w:u w:val="single"/>
          <w:vertAlign w:val="baseline"/>
          <w:lang w:val="en-US" w:eastAsia="zh-CN"/>
        </w:rPr>
        <w:t>=</w:t>
      </w:r>
      <w:r>
        <w:rPr>
          <w:rFonts w:hint="eastAsia" w:hAnsi="宋体" w:eastAsia="宋体" w:cs="Times New Roman"/>
          <w:color w:val="auto"/>
          <w:sz w:val="24"/>
          <w:szCs w:val="24"/>
          <w:u w:val="single"/>
          <w:lang w:val="en-US" w:eastAsia="zh-CN"/>
        </w:rPr>
        <w:t>（15×0.0001+0.297×0.1555）/（0.0001+0.1555）=0.297mg/L</w:t>
      </w:r>
    </w:p>
    <w:p>
      <w:pPr>
        <w:pStyle w:val="204"/>
        <w:keepNext w:val="0"/>
        <w:keepLines w:val="0"/>
        <w:pageBreakBefore w:val="0"/>
        <w:widowControl/>
        <w:numPr>
          <w:ilvl w:val="0"/>
          <w:numId w:val="0"/>
        </w:numPr>
        <w:kinsoku/>
        <w:wordWrap/>
        <w:overflowPunct/>
        <w:topLinePunct w:val="0"/>
        <w:autoSpaceDE/>
        <w:autoSpaceDN/>
        <w:bidi w:val="0"/>
        <w:adjustRightInd w:val="0"/>
        <w:snapToGrid w:val="0"/>
        <w:spacing w:line="360" w:lineRule="auto"/>
        <w:textAlignment w:val="auto"/>
        <w:rPr>
          <w:rFonts w:hint="eastAsia"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 xml:space="preserve">        C</w:t>
      </w:r>
      <w:r>
        <w:rPr>
          <w:rFonts w:hint="eastAsia" w:hAnsi="宋体" w:eastAsia="宋体" w:cs="Times New Roman"/>
          <w:color w:val="auto"/>
          <w:sz w:val="24"/>
          <w:szCs w:val="24"/>
          <w:u w:val="single"/>
          <w:vertAlign w:val="subscript"/>
          <w:lang w:val="en-US" w:eastAsia="zh-CN"/>
        </w:rPr>
        <w:t>0（TP</w:t>
      </w:r>
      <w:r>
        <w:rPr>
          <w:rFonts w:hint="eastAsia" w:eastAsia="宋体" w:cs="Times New Roman"/>
          <w:color w:val="auto"/>
          <w:position w:val="2"/>
          <w:sz w:val="21"/>
          <w:u w:val="single"/>
          <w:vertAlign w:val="subscript"/>
          <w:lang w:eastAsia="zh-CN"/>
        </w:rPr>
        <w:t>）</w:t>
      </w:r>
      <w:r>
        <w:rPr>
          <w:rFonts w:hint="eastAsia" w:eastAsia="宋体" w:cs="Times New Roman"/>
          <w:color w:val="auto"/>
          <w:position w:val="2"/>
          <w:sz w:val="21"/>
          <w:u w:val="single"/>
          <w:vertAlign w:val="baseline"/>
          <w:lang w:val="en-US" w:eastAsia="zh-CN"/>
        </w:rPr>
        <w:t>=</w:t>
      </w:r>
      <w:r>
        <w:rPr>
          <w:rFonts w:hint="eastAsia" w:hAnsi="宋体" w:eastAsia="宋体" w:cs="Times New Roman"/>
          <w:color w:val="auto"/>
          <w:sz w:val="24"/>
          <w:szCs w:val="24"/>
          <w:u w:val="single"/>
          <w:lang w:val="en-US" w:eastAsia="zh-CN"/>
        </w:rPr>
        <w:t>（1×0.0001+0.09×0.1555）/（0.0001+0.1555）=0.09mg/L</w:t>
      </w:r>
    </w:p>
    <w:p>
      <w:pPr>
        <w:pStyle w:val="204"/>
        <w:keepNext w:val="0"/>
        <w:keepLines w:val="0"/>
        <w:pageBreakBefore w:val="0"/>
        <w:widowControl/>
        <w:numPr>
          <w:ilvl w:val="0"/>
          <w:numId w:val="0"/>
        </w:numPr>
        <w:kinsoku/>
        <w:wordWrap/>
        <w:overflowPunct/>
        <w:topLinePunct w:val="0"/>
        <w:autoSpaceDE/>
        <w:autoSpaceDN/>
        <w:bidi w:val="0"/>
        <w:adjustRightInd w:val="0"/>
        <w:snapToGrid w:val="0"/>
        <w:spacing w:line="360" w:lineRule="auto"/>
        <w:textAlignment w:val="auto"/>
        <w:rPr>
          <w:rFonts w:hint="eastAsia"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 xml:space="preserve">        C</w:t>
      </w:r>
      <w:r>
        <w:rPr>
          <w:rFonts w:hint="eastAsia" w:hAnsi="宋体" w:eastAsia="宋体" w:cs="Times New Roman"/>
          <w:color w:val="auto"/>
          <w:sz w:val="24"/>
          <w:szCs w:val="24"/>
          <w:u w:val="single"/>
          <w:vertAlign w:val="subscript"/>
          <w:lang w:val="en-US" w:eastAsia="zh-CN"/>
        </w:rPr>
        <w:t>0（TN</w:t>
      </w:r>
      <w:r>
        <w:rPr>
          <w:rFonts w:hint="eastAsia" w:eastAsia="宋体" w:cs="Times New Roman"/>
          <w:color w:val="auto"/>
          <w:position w:val="2"/>
          <w:sz w:val="21"/>
          <w:u w:val="single"/>
          <w:vertAlign w:val="subscript"/>
          <w:lang w:eastAsia="zh-CN"/>
        </w:rPr>
        <w:t>）</w:t>
      </w:r>
      <w:r>
        <w:rPr>
          <w:rFonts w:hint="eastAsia" w:eastAsia="宋体" w:cs="Times New Roman"/>
          <w:color w:val="auto"/>
          <w:position w:val="2"/>
          <w:sz w:val="21"/>
          <w:u w:val="single"/>
          <w:vertAlign w:val="baseline"/>
          <w:lang w:val="en-US" w:eastAsia="zh-CN"/>
        </w:rPr>
        <w:t>=</w:t>
      </w:r>
      <w:r>
        <w:rPr>
          <w:rFonts w:hint="eastAsia" w:hAnsi="宋体" w:eastAsia="宋体" w:cs="Times New Roman"/>
          <w:color w:val="auto"/>
          <w:sz w:val="24"/>
          <w:szCs w:val="24"/>
          <w:u w:val="single"/>
          <w:lang w:val="en-US" w:eastAsia="zh-CN"/>
        </w:rPr>
        <w:t>（20×0.0001+0.42×0.1555）/（0.0001+0.1555）=0.42mg/L</w:t>
      </w:r>
    </w:p>
    <w:p>
      <w:pPr>
        <w:pStyle w:val="204"/>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hAnsi="宋体" w:eastAsia="宋体" w:cs="Times New Roman"/>
          <w:color w:val="000000" w:themeColor="text1"/>
          <w:sz w:val="24"/>
          <w:szCs w:val="24"/>
          <w:u w:val="single"/>
          <w:lang w:val="en-US" w:eastAsia="zh-CN"/>
          <w14:textFill>
            <w14:solidFill>
              <w14:schemeClr w14:val="tx1"/>
            </w14:solidFill>
          </w14:textFill>
        </w:rPr>
      </w:pPr>
      <w:r>
        <w:rPr>
          <w:rFonts w:hint="eastAsia" w:hAnsi="宋体" w:eastAsia="宋体" w:cs="Times New Roman"/>
          <w:color w:val="000000" w:themeColor="text1"/>
          <w:sz w:val="24"/>
          <w:szCs w:val="24"/>
          <w:u w:val="single"/>
          <w:lang w:val="en-US" w:eastAsia="zh-CN"/>
          <w14:textFill>
            <w14:solidFill>
              <w14:schemeClr w14:val="tx1"/>
            </w14:solidFill>
          </w14:textFill>
        </w:rPr>
        <w:t>项目预测结果与《地表水环境质量标准》（GB3838-2002）中Ⅲ类标准对标结果见下表所示。</w:t>
      </w:r>
    </w:p>
    <w:p>
      <w:pPr>
        <w:pStyle w:val="56"/>
        <w:bidi w:val="0"/>
        <w:ind w:left="960" w:leftChars="0" w:firstLineChars="0"/>
        <w:rPr>
          <w:rFonts w:hint="default"/>
          <w:u w:val="single"/>
          <w:vertAlign w:val="baseline"/>
          <w:lang w:val="en-US" w:eastAsia="zh-CN"/>
        </w:rPr>
      </w:pPr>
      <w:r>
        <w:rPr>
          <w:rFonts w:hint="eastAsia"/>
          <w:u w:val="single"/>
          <w:lang w:val="en-US" w:eastAsia="zh-CN"/>
        </w:rPr>
        <w:t>正常排放预测情况一览表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1847"/>
        <w:gridCol w:w="1848"/>
        <w:gridCol w:w="1848"/>
        <w:gridCol w:w="1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top w:val="single" w:color="auto" w:sz="12" w:space="0"/>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序号</w:t>
            </w:r>
          </w:p>
        </w:tc>
        <w:tc>
          <w:tcPr>
            <w:tcW w:w="1847"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预测因子</w:t>
            </w:r>
          </w:p>
        </w:tc>
        <w:tc>
          <w:tcPr>
            <w:tcW w:w="1848"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预测结果的浓度值（</w:t>
            </w:r>
            <w:r>
              <w:rPr>
                <w:rFonts w:hint="default" w:ascii="Times New Roman" w:hAnsi="Times New Roman" w:eastAsia="宋体" w:cs="Times New Roman"/>
                <w:color w:val="auto"/>
                <w:kern w:val="2"/>
                <w:sz w:val="24"/>
                <w:szCs w:val="24"/>
                <w:u w:val="single"/>
                <w:lang w:val="en-US" w:eastAsia="zh-CN"/>
              </w:rPr>
              <w:t>mg/L</w:t>
            </w:r>
            <w:r>
              <w:rPr>
                <w:rFonts w:hint="eastAsia"/>
                <w:color w:val="000000" w:themeColor="text1"/>
                <w:kern w:val="2"/>
                <w:sz w:val="21"/>
                <w:szCs w:val="21"/>
                <w:u w:val="single"/>
                <w:lang w:val="en-US" w:eastAsia="zh-CN"/>
                <w14:textFill>
                  <w14:solidFill>
                    <w14:schemeClr w14:val="tx1"/>
                  </w14:solidFill>
                </w14:textFill>
              </w:rPr>
              <w:t>）</w:t>
            </w:r>
          </w:p>
        </w:tc>
        <w:tc>
          <w:tcPr>
            <w:tcW w:w="1848"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标准限值（</w:t>
            </w:r>
            <w:r>
              <w:rPr>
                <w:rFonts w:hint="default" w:ascii="Times New Roman" w:hAnsi="Times New Roman" w:eastAsia="宋体" w:cs="Times New Roman"/>
                <w:color w:val="auto"/>
                <w:kern w:val="2"/>
                <w:sz w:val="24"/>
                <w:szCs w:val="24"/>
                <w:u w:val="single"/>
                <w:lang w:val="en-US" w:eastAsia="zh-CN"/>
              </w:rPr>
              <w:t>mg/L</w:t>
            </w:r>
            <w:r>
              <w:rPr>
                <w:rFonts w:hint="eastAsia"/>
                <w:color w:val="000000" w:themeColor="text1"/>
                <w:kern w:val="2"/>
                <w:sz w:val="21"/>
                <w:szCs w:val="21"/>
                <w:u w:val="single"/>
                <w:lang w:val="en-US" w:eastAsia="zh-CN"/>
                <w14:textFill>
                  <w14:solidFill>
                    <w14:schemeClr w14:val="tx1"/>
                  </w14:solidFill>
                </w14:textFill>
              </w:rPr>
              <w:t>）</w:t>
            </w:r>
          </w:p>
        </w:tc>
        <w:tc>
          <w:tcPr>
            <w:tcW w:w="1848" w:type="dxa"/>
            <w:tcBorders>
              <w:top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w:t>
            </w:r>
          </w:p>
        </w:tc>
        <w:tc>
          <w:tcPr>
            <w:tcW w:w="184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COD</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10</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w:t>
            </w:r>
          </w:p>
        </w:tc>
        <w:tc>
          <w:tcPr>
            <w:tcW w:w="1848"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w:t>
            </w:r>
          </w:p>
        </w:tc>
        <w:tc>
          <w:tcPr>
            <w:tcW w:w="184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NH</w:t>
            </w:r>
            <w:r>
              <w:rPr>
                <w:rFonts w:hint="eastAsia" w:hAnsi="宋体" w:eastAsia="宋体" w:cs="Times New Roman"/>
                <w:color w:val="000000" w:themeColor="text1"/>
                <w:kern w:val="2"/>
                <w:sz w:val="21"/>
                <w:szCs w:val="21"/>
                <w:u w:val="single"/>
                <w:vertAlign w:val="subscript"/>
                <w:lang w:val="en-US" w:eastAsia="zh-CN"/>
                <w14:textFill>
                  <w14:solidFill>
                    <w14:schemeClr w14:val="tx1"/>
                  </w14:solidFill>
                </w14:textFill>
              </w:rPr>
              <w:t>3</w:t>
            </w:r>
            <w:r>
              <w:rPr>
                <w:rFonts w:hint="eastAsia" w:hAnsi="宋体" w:eastAsia="宋体" w:cs="Times New Roman"/>
                <w:color w:val="000000" w:themeColor="text1"/>
                <w:kern w:val="2"/>
                <w:sz w:val="21"/>
                <w:szCs w:val="21"/>
                <w:u w:val="single"/>
                <w:lang w:val="en-US" w:eastAsia="zh-CN"/>
                <w14:textFill>
                  <w14:solidFill>
                    <w14:schemeClr w14:val="tx1"/>
                  </w14:solidFill>
                </w14:textFill>
              </w:rPr>
              <w:t>-N</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0.297</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w:t>
            </w:r>
          </w:p>
        </w:tc>
        <w:tc>
          <w:tcPr>
            <w:tcW w:w="1848"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3</w:t>
            </w:r>
          </w:p>
        </w:tc>
        <w:tc>
          <w:tcPr>
            <w:tcW w:w="184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TP</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0.09</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w:t>
            </w:r>
          </w:p>
        </w:tc>
        <w:tc>
          <w:tcPr>
            <w:tcW w:w="1848"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4</w:t>
            </w:r>
          </w:p>
        </w:tc>
        <w:tc>
          <w:tcPr>
            <w:tcW w:w="1847"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TN</w:t>
            </w:r>
          </w:p>
        </w:tc>
        <w:tc>
          <w:tcPr>
            <w:tcW w:w="1848"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0.42</w:t>
            </w:r>
          </w:p>
        </w:tc>
        <w:tc>
          <w:tcPr>
            <w:tcW w:w="1848"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w:t>
            </w:r>
          </w:p>
        </w:tc>
        <w:tc>
          <w:tcPr>
            <w:tcW w:w="1848" w:type="dxa"/>
            <w:tcBorders>
              <w:bottom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bl>
    <w:p>
      <w:pPr>
        <w:pStyle w:val="204"/>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hAnsi="宋体" w:eastAsia="宋体" w:cs="Times New Roman"/>
          <w:color w:val="000000" w:themeColor="text1"/>
          <w:sz w:val="24"/>
          <w:szCs w:val="24"/>
          <w:u w:val="single"/>
          <w:lang w:val="en-US" w:eastAsia="zh-CN"/>
          <w14:textFill>
            <w14:solidFill>
              <w14:schemeClr w14:val="tx1"/>
            </w14:solidFill>
          </w14:textFill>
        </w:rPr>
      </w:pPr>
      <w:r>
        <w:rPr>
          <w:rFonts w:hint="eastAsia" w:hAnsi="宋体" w:eastAsia="宋体" w:cs="Times New Roman"/>
          <w:color w:val="000000" w:themeColor="text1"/>
          <w:sz w:val="24"/>
          <w:szCs w:val="24"/>
          <w:u w:val="single"/>
          <w:lang w:val="en-US" w:eastAsia="zh-CN"/>
          <w14:textFill>
            <w14:solidFill>
              <w14:schemeClr w14:val="tx1"/>
            </w14:solidFill>
          </w14:textFill>
        </w:rPr>
        <w:t>根据预测结果可知，正常排放时COD、NH</w:t>
      </w:r>
      <w:r>
        <w:rPr>
          <w:rFonts w:hint="eastAsia" w:hAnsi="宋体" w:eastAsia="宋体" w:cs="Times New Roman"/>
          <w:color w:val="000000" w:themeColor="text1"/>
          <w:sz w:val="24"/>
          <w:szCs w:val="24"/>
          <w:u w:val="single"/>
          <w:vertAlign w:val="subscript"/>
          <w:lang w:val="en-US" w:eastAsia="zh-CN"/>
          <w14:textFill>
            <w14:solidFill>
              <w14:schemeClr w14:val="tx1"/>
            </w14:solidFill>
          </w14:textFill>
        </w:rPr>
        <w:t>3</w:t>
      </w:r>
      <w:r>
        <w:rPr>
          <w:rFonts w:hint="eastAsia" w:hAnsi="宋体" w:eastAsia="宋体" w:cs="Times New Roman"/>
          <w:color w:val="000000" w:themeColor="text1"/>
          <w:sz w:val="24"/>
          <w:szCs w:val="24"/>
          <w:u w:val="single"/>
          <w:lang w:val="en-US" w:eastAsia="zh-CN"/>
          <w14:textFill>
            <w14:solidFill>
              <w14:schemeClr w14:val="tx1"/>
            </w14:solidFill>
          </w14:textFill>
        </w:rPr>
        <w:t>-N、TP、TN浓度均可满足《地表水环境质量标准》（GB3838-2002）中Ⅲ类标准要求，可以看出项目废水正常排放情况不会对项目西北侧无名小溪产生大的影响。</w:t>
      </w:r>
    </w:p>
    <w:p>
      <w:pPr>
        <w:pStyle w:val="204"/>
        <w:keepNext w:val="0"/>
        <w:keepLines w:val="0"/>
        <w:pageBreakBefore w:val="0"/>
        <w:widowControl/>
        <w:numPr>
          <w:ilvl w:val="0"/>
          <w:numId w:val="19"/>
        </w:numPr>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color w:val="auto"/>
          <w:sz w:val="24"/>
          <w:szCs w:val="24"/>
          <w:u w:val="single"/>
          <w:lang w:eastAsia="zh-CN"/>
        </w:rPr>
      </w:pPr>
      <w:r>
        <w:rPr>
          <w:rFonts w:hint="eastAsia" w:ascii="Times New Roman" w:hAnsi="宋体" w:eastAsia="宋体" w:cs="Times New Roman"/>
          <w:color w:val="auto"/>
          <w:sz w:val="24"/>
          <w:szCs w:val="24"/>
          <w:u w:val="single"/>
          <w:lang w:val="en-US" w:eastAsia="zh-CN"/>
        </w:rPr>
        <w:t>非正常排放时</w:t>
      </w:r>
    </w:p>
    <w:p>
      <w:pPr>
        <w:pStyle w:val="204"/>
        <w:keepNext w:val="0"/>
        <w:keepLines w:val="0"/>
        <w:pageBreakBefore w:val="0"/>
        <w:widowControl/>
        <w:kinsoku/>
        <w:wordWrap/>
        <w:overflowPunct/>
        <w:topLinePunct w:val="0"/>
        <w:autoSpaceDE/>
        <w:autoSpaceDN/>
        <w:bidi w:val="0"/>
        <w:adjustRightInd/>
        <w:snapToGrid w:val="0"/>
        <w:spacing w:line="360" w:lineRule="auto"/>
        <w:ind w:firstLine="960" w:firstLineChars="400"/>
        <w:textAlignment w:val="auto"/>
        <w:rPr>
          <w:rFonts w:hint="default" w:ascii="Times New Roman"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C</w:t>
      </w:r>
      <w:r>
        <w:rPr>
          <w:rFonts w:hint="eastAsia" w:hAnsi="宋体" w:eastAsia="宋体" w:cs="Times New Roman"/>
          <w:color w:val="auto"/>
          <w:sz w:val="24"/>
          <w:szCs w:val="24"/>
          <w:u w:val="single"/>
          <w:vertAlign w:val="subscript"/>
          <w:lang w:val="en-US" w:eastAsia="zh-CN"/>
        </w:rPr>
        <w:t>0（COD）</w:t>
      </w:r>
      <w:r>
        <w:rPr>
          <w:rFonts w:hint="eastAsia" w:hAnsi="宋体" w:eastAsia="宋体" w:cs="Times New Roman"/>
          <w:color w:val="auto"/>
          <w:sz w:val="24"/>
          <w:szCs w:val="24"/>
          <w:u w:val="single"/>
          <w:lang w:val="en-US" w:eastAsia="zh-CN"/>
        </w:rPr>
        <w:t>=（150×0.0001+10×0.1555）/（0.0001+0.1555）=10.089mg/L</w:t>
      </w:r>
    </w:p>
    <w:p>
      <w:pPr>
        <w:pStyle w:val="204"/>
        <w:keepNext w:val="0"/>
        <w:keepLines w:val="0"/>
        <w:pageBreakBefore w:val="0"/>
        <w:widowControl/>
        <w:kinsoku/>
        <w:wordWrap/>
        <w:overflowPunct/>
        <w:topLinePunct w:val="0"/>
        <w:autoSpaceDE/>
        <w:autoSpaceDN/>
        <w:bidi w:val="0"/>
        <w:adjustRightInd/>
        <w:snapToGrid w:val="0"/>
        <w:spacing w:line="360" w:lineRule="auto"/>
        <w:ind w:firstLine="480" w:firstLineChars="200"/>
        <w:textAlignment w:val="auto"/>
        <w:rPr>
          <w:rFonts w:hint="default"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 xml:space="preserve">    C</w:t>
      </w:r>
      <w:r>
        <w:rPr>
          <w:rFonts w:hint="eastAsia" w:hAnsi="宋体" w:eastAsia="宋体" w:cs="Times New Roman"/>
          <w:color w:val="auto"/>
          <w:sz w:val="24"/>
          <w:szCs w:val="24"/>
          <w:u w:val="single"/>
          <w:vertAlign w:val="subscript"/>
          <w:lang w:val="en-US" w:eastAsia="zh-CN"/>
        </w:rPr>
        <w:t>0（</w:t>
      </w:r>
      <w:r>
        <w:rPr>
          <w:rFonts w:hint="default" w:ascii="Times New Roman" w:hAnsi="Times New Roman" w:cs="Times New Roman"/>
          <w:color w:val="auto"/>
          <w:position w:val="2"/>
          <w:sz w:val="21"/>
          <w:u w:val="single"/>
          <w:vertAlign w:val="subscript"/>
        </w:rPr>
        <w:t>NH3-N</w:t>
      </w:r>
      <w:r>
        <w:rPr>
          <w:rFonts w:hint="eastAsia" w:eastAsia="宋体" w:cs="Times New Roman"/>
          <w:color w:val="auto"/>
          <w:position w:val="2"/>
          <w:sz w:val="21"/>
          <w:u w:val="single"/>
          <w:vertAlign w:val="subscript"/>
          <w:lang w:eastAsia="zh-CN"/>
        </w:rPr>
        <w:t>）</w:t>
      </w:r>
      <w:r>
        <w:rPr>
          <w:rFonts w:hint="eastAsia" w:eastAsia="宋体" w:cs="Times New Roman"/>
          <w:color w:val="auto"/>
          <w:position w:val="2"/>
          <w:sz w:val="21"/>
          <w:u w:val="single"/>
          <w:vertAlign w:val="baseline"/>
          <w:lang w:val="en-US" w:eastAsia="zh-CN"/>
        </w:rPr>
        <w:t>=</w:t>
      </w:r>
      <w:r>
        <w:rPr>
          <w:rFonts w:hint="eastAsia" w:hAnsi="宋体" w:eastAsia="宋体" w:cs="Times New Roman"/>
          <w:color w:val="auto"/>
          <w:sz w:val="24"/>
          <w:szCs w:val="24"/>
          <w:u w:val="single"/>
          <w:lang w:val="en-US" w:eastAsia="zh-CN"/>
        </w:rPr>
        <w:t>（25×0.0001+0.297×0.1555）/（0.0001+0.1555）=0.31288mg/L</w:t>
      </w:r>
    </w:p>
    <w:p>
      <w:pPr>
        <w:pStyle w:val="204"/>
        <w:keepNext w:val="0"/>
        <w:keepLines w:val="0"/>
        <w:pageBreakBefore w:val="0"/>
        <w:widowControl/>
        <w:numPr>
          <w:ilvl w:val="0"/>
          <w:numId w:val="0"/>
        </w:numPr>
        <w:kinsoku/>
        <w:wordWrap/>
        <w:overflowPunct/>
        <w:topLinePunct w:val="0"/>
        <w:autoSpaceDE/>
        <w:autoSpaceDN/>
        <w:bidi w:val="0"/>
        <w:adjustRightInd w:val="0"/>
        <w:snapToGrid w:val="0"/>
        <w:spacing w:line="360" w:lineRule="auto"/>
        <w:textAlignment w:val="auto"/>
        <w:rPr>
          <w:rFonts w:hint="eastAsia"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 xml:space="preserve">        C</w:t>
      </w:r>
      <w:r>
        <w:rPr>
          <w:rFonts w:hint="eastAsia" w:hAnsi="宋体" w:eastAsia="宋体" w:cs="Times New Roman"/>
          <w:color w:val="auto"/>
          <w:sz w:val="24"/>
          <w:szCs w:val="24"/>
          <w:u w:val="single"/>
          <w:vertAlign w:val="subscript"/>
          <w:lang w:val="en-US" w:eastAsia="zh-CN"/>
        </w:rPr>
        <w:t>0（TP</w:t>
      </w:r>
      <w:r>
        <w:rPr>
          <w:rFonts w:hint="eastAsia" w:eastAsia="宋体" w:cs="Times New Roman"/>
          <w:color w:val="auto"/>
          <w:position w:val="2"/>
          <w:sz w:val="21"/>
          <w:u w:val="single"/>
          <w:vertAlign w:val="subscript"/>
          <w:lang w:eastAsia="zh-CN"/>
        </w:rPr>
        <w:t>）</w:t>
      </w:r>
      <w:r>
        <w:rPr>
          <w:rFonts w:hint="eastAsia" w:eastAsia="宋体" w:cs="Times New Roman"/>
          <w:color w:val="auto"/>
          <w:position w:val="2"/>
          <w:sz w:val="21"/>
          <w:u w:val="single"/>
          <w:vertAlign w:val="baseline"/>
          <w:lang w:val="en-US" w:eastAsia="zh-CN"/>
        </w:rPr>
        <w:t>=</w:t>
      </w:r>
      <w:r>
        <w:rPr>
          <w:rFonts w:hint="eastAsia" w:hAnsi="宋体" w:eastAsia="宋体" w:cs="Times New Roman"/>
          <w:color w:val="auto"/>
          <w:sz w:val="24"/>
          <w:szCs w:val="24"/>
          <w:u w:val="single"/>
          <w:lang w:val="en-US" w:eastAsia="zh-CN"/>
        </w:rPr>
        <w:t>（1×0.0001+0.09×0.1555）/（0.0001+0.1555）=0.09058mg/L</w:t>
      </w:r>
    </w:p>
    <w:p>
      <w:pPr>
        <w:pStyle w:val="204"/>
        <w:keepNext w:val="0"/>
        <w:keepLines w:val="0"/>
        <w:pageBreakBefore w:val="0"/>
        <w:widowControl/>
        <w:numPr>
          <w:ilvl w:val="0"/>
          <w:numId w:val="0"/>
        </w:numPr>
        <w:kinsoku/>
        <w:wordWrap/>
        <w:overflowPunct/>
        <w:topLinePunct w:val="0"/>
        <w:autoSpaceDE/>
        <w:autoSpaceDN/>
        <w:bidi w:val="0"/>
        <w:adjustRightInd w:val="0"/>
        <w:snapToGrid w:val="0"/>
        <w:spacing w:line="360" w:lineRule="auto"/>
        <w:textAlignment w:val="auto"/>
        <w:rPr>
          <w:rFonts w:hint="eastAsia" w:hAnsi="宋体" w:eastAsia="宋体" w:cs="Times New Roman"/>
          <w:color w:val="auto"/>
          <w:sz w:val="24"/>
          <w:szCs w:val="24"/>
          <w:u w:val="single"/>
          <w:lang w:val="en-US" w:eastAsia="zh-CN"/>
        </w:rPr>
      </w:pPr>
      <w:r>
        <w:rPr>
          <w:rFonts w:hint="eastAsia" w:hAnsi="宋体" w:eastAsia="宋体" w:cs="Times New Roman"/>
          <w:color w:val="auto"/>
          <w:sz w:val="24"/>
          <w:szCs w:val="24"/>
          <w:u w:val="single"/>
          <w:lang w:val="en-US" w:eastAsia="zh-CN"/>
        </w:rPr>
        <w:t xml:space="preserve">        C</w:t>
      </w:r>
      <w:r>
        <w:rPr>
          <w:rFonts w:hint="eastAsia" w:hAnsi="宋体" w:eastAsia="宋体" w:cs="Times New Roman"/>
          <w:color w:val="auto"/>
          <w:sz w:val="24"/>
          <w:szCs w:val="24"/>
          <w:u w:val="single"/>
          <w:vertAlign w:val="subscript"/>
          <w:lang w:val="en-US" w:eastAsia="zh-CN"/>
        </w:rPr>
        <w:t>0（TN</w:t>
      </w:r>
      <w:r>
        <w:rPr>
          <w:rFonts w:hint="eastAsia" w:eastAsia="宋体" w:cs="Times New Roman"/>
          <w:color w:val="auto"/>
          <w:position w:val="2"/>
          <w:sz w:val="21"/>
          <w:u w:val="single"/>
          <w:vertAlign w:val="subscript"/>
          <w:lang w:eastAsia="zh-CN"/>
        </w:rPr>
        <w:t>）</w:t>
      </w:r>
      <w:r>
        <w:rPr>
          <w:rFonts w:hint="eastAsia" w:eastAsia="宋体" w:cs="Times New Roman"/>
          <w:color w:val="auto"/>
          <w:position w:val="2"/>
          <w:sz w:val="21"/>
          <w:u w:val="single"/>
          <w:vertAlign w:val="baseline"/>
          <w:lang w:val="en-US" w:eastAsia="zh-CN"/>
        </w:rPr>
        <w:t>=</w:t>
      </w:r>
      <w:r>
        <w:rPr>
          <w:rFonts w:hint="eastAsia" w:hAnsi="宋体" w:eastAsia="宋体" w:cs="Times New Roman"/>
          <w:color w:val="auto"/>
          <w:sz w:val="24"/>
          <w:szCs w:val="24"/>
          <w:u w:val="single"/>
          <w:lang w:val="en-US" w:eastAsia="zh-CN"/>
        </w:rPr>
        <w:t>（20×0.0001+0.42×0.1555）/（0.0001+0.1555）=0.4326mg/L</w:t>
      </w:r>
    </w:p>
    <w:p>
      <w:pPr>
        <w:pStyle w:val="204"/>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hAnsi="宋体" w:eastAsia="宋体" w:cs="Times New Roman"/>
          <w:color w:val="000000" w:themeColor="text1"/>
          <w:sz w:val="24"/>
          <w:szCs w:val="24"/>
          <w:u w:val="single"/>
          <w:lang w:val="en-US" w:eastAsia="zh-CN"/>
          <w14:textFill>
            <w14:solidFill>
              <w14:schemeClr w14:val="tx1"/>
            </w14:solidFill>
          </w14:textFill>
        </w:rPr>
      </w:pPr>
      <w:r>
        <w:rPr>
          <w:rFonts w:hint="eastAsia" w:hAnsi="宋体" w:eastAsia="宋体" w:cs="Times New Roman"/>
          <w:color w:val="000000" w:themeColor="text1"/>
          <w:sz w:val="24"/>
          <w:szCs w:val="24"/>
          <w:u w:val="single"/>
          <w:lang w:val="en-US" w:eastAsia="zh-CN"/>
          <w14:textFill>
            <w14:solidFill>
              <w14:schemeClr w14:val="tx1"/>
            </w14:solidFill>
          </w14:textFill>
        </w:rPr>
        <w:t>项目非正常预测结果与《地表水环境质量标准》（GB3838-2002）中Ⅲ类标准对标结果见下表所示。</w:t>
      </w:r>
    </w:p>
    <w:p>
      <w:pPr>
        <w:pStyle w:val="56"/>
        <w:bidi w:val="0"/>
        <w:ind w:left="960" w:leftChars="0" w:firstLineChars="0"/>
        <w:rPr>
          <w:rFonts w:hint="default"/>
          <w:u w:val="single"/>
          <w:vertAlign w:val="baseline"/>
          <w:lang w:val="en-US" w:eastAsia="zh-CN"/>
        </w:rPr>
      </w:pPr>
      <w:r>
        <w:rPr>
          <w:rFonts w:hint="eastAsia"/>
          <w:u w:val="single"/>
          <w:lang w:val="en-US" w:eastAsia="zh-CN"/>
        </w:rPr>
        <w:t>正常排放预测情况一览表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1847"/>
        <w:gridCol w:w="1848"/>
        <w:gridCol w:w="1848"/>
        <w:gridCol w:w="1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47" w:type="dxa"/>
            <w:tcBorders>
              <w:top w:val="single" w:color="auto" w:sz="12" w:space="0"/>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序号</w:t>
            </w:r>
          </w:p>
        </w:tc>
        <w:tc>
          <w:tcPr>
            <w:tcW w:w="1847"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预测因子</w:t>
            </w:r>
          </w:p>
        </w:tc>
        <w:tc>
          <w:tcPr>
            <w:tcW w:w="1848"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预测结果的浓度值（</w:t>
            </w:r>
            <w:r>
              <w:rPr>
                <w:rFonts w:hint="default" w:ascii="Times New Roman" w:hAnsi="Times New Roman" w:eastAsia="宋体" w:cs="Times New Roman"/>
                <w:color w:val="auto"/>
                <w:kern w:val="2"/>
                <w:sz w:val="24"/>
                <w:szCs w:val="24"/>
                <w:u w:val="single"/>
                <w:lang w:val="en-US" w:eastAsia="zh-CN"/>
              </w:rPr>
              <w:t>mg/L</w:t>
            </w:r>
            <w:r>
              <w:rPr>
                <w:rFonts w:hint="eastAsia"/>
                <w:color w:val="000000" w:themeColor="text1"/>
                <w:kern w:val="2"/>
                <w:sz w:val="21"/>
                <w:szCs w:val="21"/>
                <w:u w:val="single"/>
                <w:lang w:val="en-US" w:eastAsia="zh-CN"/>
                <w14:textFill>
                  <w14:solidFill>
                    <w14:schemeClr w14:val="tx1"/>
                  </w14:solidFill>
                </w14:textFill>
              </w:rPr>
              <w:t>）</w:t>
            </w:r>
          </w:p>
        </w:tc>
        <w:tc>
          <w:tcPr>
            <w:tcW w:w="1848"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标准限值（</w:t>
            </w:r>
            <w:r>
              <w:rPr>
                <w:rFonts w:hint="default" w:ascii="Times New Roman" w:hAnsi="Times New Roman" w:eastAsia="宋体" w:cs="Times New Roman"/>
                <w:color w:val="auto"/>
                <w:kern w:val="2"/>
                <w:sz w:val="24"/>
                <w:szCs w:val="24"/>
                <w:u w:val="single"/>
                <w:lang w:val="en-US" w:eastAsia="zh-CN"/>
              </w:rPr>
              <w:t>mg/L</w:t>
            </w:r>
            <w:r>
              <w:rPr>
                <w:rFonts w:hint="eastAsia"/>
                <w:color w:val="000000" w:themeColor="text1"/>
                <w:kern w:val="2"/>
                <w:sz w:val="21"/>
                <w:szCs w:val="21"/>
                <w:u w:val="single"/>
                <w:lang w:val="en-US" w:eastAsia="zh-CN"/>
                <w14:textFill>
                  <w14:solidFill>
                    <w14:schemeClr w14:val="tx1"/>
                  </w14:solidFill>
                </w14:textFill>
              </w:rPr>
              <w:t>）</w:t>
            </w:r>
          </w:p>
        </w:tc>
        <w:tc>
          <w:tcPr>
            <w:tcW w:w="1848" w:type="dxa"/>
            <w:tcBorders>
              <w:top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w:t>
            </w:r>
          </w:p>
        </w:tc>
        <w:tc>
          <w:tcPr>
            <w:tcW w:w="184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COD</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10.089</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20</w:t>
            </w:r>
          </w:p>
        </w:tc>
        <w:tc>
          <w:tcPr>
            <w:tcW w:w="1848"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w:t>
            </w:r>
          </w:p>
        </w:tc>
        <w:tc>
          <w:tcPr>
            <w:tcW w:w="184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NH</w:t>
            </w:r>
            <w:r>
              <w:rPr>
                <w:rFonts w:hint="eastAsia" w:hAnsi="宋体" w:eastAsia="宋体" w:cs="Times New Roman"/>
                <w:color w:val="000000" w:themeColor="text1"/>
                <w:kern w:val="2"/>
                <w:sz w:val="21"/>
                <w:szCs w:val="21"/>
                <w:u w:val="single"/>
                <w:vertAlign w:val="subscript"/>
                <w:lang w:val="en-US" w:eastAsia="zh-CN"/>
                <w14:textFill>
                  <w14:solidFill>
                    <w14:schemeClr w14:val="tx1"/>
                  </w14:solidFill>
                </w14:textFill>
              </w:rPr>
              <w:t>3</w:t>
            </w:r>
            <w:r>
              <w:rPr>
                <w:rFonts w:hint="eastAsia" w:hAnsi="宋体" w:eastAsia="宋体" w:cs="Times New Roman"/>
                <w:color w:val="000000" w:themeColor="text1"/>
                <w:kern w:val="2"/>
                <w:sz w:val="21"/>
                <w:szCs w:val="21"/>
                <w:u w:val="single"/>
                <w:lang w:val="en-US" w:eastAsia="zh-CN"/>
                <w14:textFill>
                  <w14:solidFill>
                    <w14:schemeClr w14:val="tx1"/>
                  </w14:solidFill>
                </w14:textFill>
              </w:rPr>
              <w:t>-N</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0.31288</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w:t>
            </w:r>
          </w:p>
        </w:tc>
        <w:tc>
          <w:tcPr>
            <w:tcW w:w="1848"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3</w:t>
            </w:r>
          </w:p>
        </w:tc>
        <w:tc>
          <w:tcPr>
            <w:tcW w:w="184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TP</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0.09058</w:t>
            </w:r>
          </w:p>
        </w:tc>
        <w:tc>
          <w:tcPr>
            <w:tcW w:w="1848"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0.2</w:t>
            </w:r>
          </w:p>
        </w:tc>
        <w:tc>
          <w:tcPr>
            <w:tcW w:w="1848"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7" w:type="dxa"/>
            <w:tcBorders>
              <w:left w:val="single" w:color="auto" w:sz="12" w:space="0"/>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4</w:t>
            </w:r>
          </w:p>
        </w:tc>
        <w:tc>
          <w:tcPr>
            <w:tcW w:w="1847"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hAnsi="宋体" w:eastAsia="宋体" w:cs="Times New Roman"/>
                <w:color w:val="000000" w:themeColor="text1"/>
                <w:kern w:val="2"/>
                <w:sz w:val="21"/>
                <w:szCs w:val="21"/>
                <w:u w:val="single"/>
                <w:lang w:val="en-US" w:eastAsia="zh-CN"/>
                <w14:textFill>
                  <w14:solidFill>
                    <w14:schemeClr w14:val="tx1"/>
                  </w14:solidFill>
                </w14:textFill>
              </w:rPr>
              <w:t>TN</w:t>
            </w:r>
          </w:p>
        </w:tc>
        <w:tc>
          <w:tcPr>
            <w:tcW w:w="1848"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0.4326</w:t>
            </w:r>
          </w:p>
        </w:tc>
        <w:tc>
          <w:tcPr>
            <w:tcW w:w="1848"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1</w:t>
            </w:r>
          </w:p>
        </w:tc>
        <w:tc>
          <w:tcPr>
            <w:tcW w:w="1848" w:type="dxa"/>
            <w:tcBorders>
              <w:bottom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达标</w:t>
            </w:r>
          </w:p>
        </w:tc>
      </w:tr>
    </w:tbl>
    <w:p>
      <w:pPr>
        <w:pStyle w:val="204"/>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default" w:hAnsi="宋体" w:eastAsia="宋体" w:cs="Times New Roman"/>
          <w:color w:val="000000" w:themeColor="text1"/>
          <w:sz w:val="24"/>
          <w:szCs w:val="24"/>
          <w:u w:val="single"/>
          <w:lang w:val="en-US" w:eastAsia="zh-CN"/>
          <w14:textFill>
            <w14:solidFill>
              <w14:schemeClr w14:val="tx1"/>
            </w14:solidFill>
          </w14:textFill>
        </w:rPr>
      </w:pPr>
      <w:r>
        <w:rPr>
          <w:rFonts w:hint="eastAsia" w:hAnsi="宋体" w:eastAsia="宋体" w:cs="Times New Roman"/>
          <w:color w:val="000000" w:themeColor="text1"/>
          <w:sz w:val="24"/>
          <w:szCs w:val="24"/>
          <w:u w:val="single"/>
          <w:lang w:val="en-US" w:eastAsia="zh-CN"/>
          <w14:textFill>
            <w14:solidFill>
              <w14:schemeClr w14:val="tx1"/>
            </w14:solidFill>
          </w14:textFill>
        </w:rPr>
        <w:t>非正常排放时COD、NH</w:t>
      </w:r>
      <w:r>
        <w:rPr>
          <w:rFonts w:hint="eastAsia" w:hAnsi="宋体" w:eastAsia="宋体" w:cs="Times New Roman"/>
          <w:color w:val="000000" w:themeColor="text1"/>
          <w:sz w:val="24"/>
          <w:szCs w:val="24"/>
          <w:u w:val="single"/>
          <w:vertAlign w:val="subscript"/>
          <w:lang w:val="en-US" w:eastAsia="zh-CN"/>
          <w14:textFill>
            <w14:solidFill>
              <w14:schemeClr w14:val="tx1"/>
            </w14:solidFill>
          </w14:textFill>
        </w:rPr>
        <w:t>3</w:t>
      </w:r>
      <w:r>
        <w:rPr>
          <w:rFonts w:hint="eastAsia" w:hAnsi="宋体" w:eastAsia="宋体" w:cs="Times New Roman"/>
          <w:color w:val="000000" w:themeColor="text1"/>
          <w:sz w:val="24"/>
          <w:szCs w:val="24"/>
          <w:u w:val="single"/>
          <w:lang w:val="en-US" w:eastAsia="zh-CN"/>
          <w14:textFill>
            <w14:solidFill>
              <w14:schemeClr w14:val="tx1"/>
            </w14:solidFill>
          </w14:textFill>
        </w:rPr>
        <w:t>-N、TP、TN浓度均可满足《地表水环境质量标准》（GB3838-2002）中Ⅲ类标准要求，可以看出项目废水非正常排放情况对项目西北侧无名小溪影响较小。</w:t>
      </w:r>
    </w:p>
    <w:p>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eastAsia" w:cs="Times New Roman"/>
          <w:color w:val="000000" w:themeColor="text1"/>
          <w:u w:val="single"/>
          <w:lang w:val="en-US" w:eastAsia="zh-CN"/>
          <w14:textFill>
            <w14:solidFill>
              <w14:schemeClr w14:val="tx1"/>
            </w14:solidFill>
          </w14:textFill>
        </w:rPr>
      </w:pPr>
      <w:r>
        <w:rPr>
          <w:rFonts w:hint="eastAsia" w:cs="Times New Roman"/>
          <w:color w:val="000000" w:themeColor="text1"/>
          <w:u w:val="single"/>
          <w:lang w:eastAsia="zh-CN"/>
          <w14:textFill>
            <w14:solidFill>
              <w14:schemeClr w14:val="tx1"/>
            </w14:solidFill>
          </w14:textFill>
        </w:rPr>
        <w:t>（</w:t>
      </w:r>
      <w:r>
        <w:rPr>
          <w:rFonts w:hint="eastAsia" w:cs="Times New Roman"/>
          <w:color w:val="000000" w:themeColor="text1"/>
          <w:u w:val="single"/>
          <w:lang w:val="en-US" w:eastAsia="zh-CN"/>
          <w14:textFill>
            <w14:solidFill>
              <w14:schemeClr w14:val="tx1"/>
            </w14:solidFill>
          </w14:textFill>
        </w:rPr>
        <w:t>3</w:t>
      </w:r>
      <w:r>
        <w:rPr>
          <w:rFonts w:hint="eastAsia" w:cs="Times New Roman"/>
          <w:color w:val="000000" w:themeColor="text1"/>
          <w:u w:val="single"/>
          <w:lang w:eastAsia="zh-CN"/>
          <w14:textFill>
            <w14:solidFill>
              <w14:schemeClr w14:val="tx1"/>
            </w14:solidFill>
          </w14:textFill>
        </w:rPr>
        <w:t>）</w:t>
      </w:r>
      <w:r>
        <w:rPr>
          <w:rFonts w:hint="eastAsia" w:cs="Times New Roman"/>
          <w:color w:val="000000" w:themeColor="text1"/>
          <w:u w:val="single"/>
          <w:lang w:val="en-US" w:eastAsia="zh-CN"/>
          <w14:textFill>
            <w14:solidFill>
              <w14:schemeClr w14:val="tx1"/>
            </w14:solidFill>
          </w14:textFill>
        </w:rPr>
        <w:t>预测结果</w:t>
      </w:r>
    </w:p>
    <w:p>
      <w:pPr>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cs="Times New Roman"/>
          <w:color w:val="000000" w:themeColor="text1"/>
          <w:u w:val="single"/>
          <w14:textFill>
            <w14:solidFill>
              <w14:schemeClr w14:val="tx1"/>
            </w14:solidFill>
          </w14:textFill>
        </w:rPr>
      </w:pPr>
      <w:r>
        <w:rPr>
          <w:rFonts w:hint="eastAsia" w:cs="Times New Roman"/>
          <w:color w:val="000000" w:themeColor="text1"/>
          <w:u w:val="single"/>
          <w:lang w:val="en-US" w:eastAsia="zh-CN"/>
          <w14:textFill>
            <w14:solidFill>
              <w14:schemeClr w14:val="tx1"/>
            </w14:solidFill>
          </w14:textFill>
        </w:rPr>
        <w:t>根据以上分析可知，项目正常排放和非正常排放的废水预测浓度均可满足</w:t>
      </w:r>
      <w:r>
        <w:rPr>
          <w:rFonts w:hint="eastAsia" w:hAnsi="宋体" w:eastAsia="宋体" w:cs="Times New Roman"/>
          <w:color w:val="000000" w:themeColor="text1"/>
          <w:sz w:val="24"/>
          <w:szCs w:val="24"/>
          <w:u w:val="single"/>
          <w:lang w:val="en-US" w:eastAsia="zh-CN"/>
          <w14:textFill>
            <w14:solidFill>
              <w14:schemeClr w14:val="tx1"/>
            </w14:solidFill>
          </w14:textFill>
        </w:rPr>
        <w:t>《地表水环境质量标准》（GB3838-2002）中Ⅲ类标准要求，但是</w:t>
      </w:r>
      <w:r>
        <w:rPr>
          <w:rFonts w:cs="Times New Roman"/>
          <w:color w:val="000000" w:themeColor="text1"/>
          <w:u w:val="single"/>
          <w14:textFill>
            <w14:solidFill>
              <w14:schemeClr w14:val="tx1"/>
            </w14:solidFill>
          </w14:textFill>
        </w:rPr>
        <w:t>项目应采取相应防范措施，禁止事故废水排放的发生。因此，污水处理厂制定严密安全措施，如在线监控系统等。确保项目正常运行，坚决杜绝事故排放的发生，以免对当地水环境造成污染</w:t>
      </w:r>
      <w:r>
        <w:rPr>
          <w:rFonts w:hint="eastAsia" w:cs="Times New Roman"/>
          <w:color w:val="000000" w:themeColor="text1"/>
          <w:u w:val="single"/>
          <w:lang w:eastAsia="zh-CN"/>
          <w14:textFill>
            <w14:solidFill>
              <w14:schemeClr w14:val="tx1"/>
            </w14:solidFill>
          </w14:textFill>
        </w:rPr>
        <w:t>，</w:t>
      </w:r>
      <w:r>
        <w:rPr>
          <w:rFonts w:cs="Times New Roman"/>
          <w:color w:val="000000" w:themeColor="text1"/>
          <w:spacing w:val="-2"/>
          <w:position w:val="2"/>
          <w:u w:val="single"/>
          <w14:textFill>
            <w14:solidFill>
              <w14:schemeClr w14:val="tx1"/>
            </w14:solidFill>
          </w14:textFill>
        </w:rPr>
        <w:t>避免事故发生。</w:t>
      </w:r>
    </w:p>
    <w:p>
      <w:pPr>
        <w:pStyle w:val="60"/>
        <w:bidi w:val="0"/>
        <w:rPr>
          <w:rFonts w:hint="default"/>
          <w:lang w:val="en-US" w:eastAsia="zh-CN"/>
        </w:rPr>
      </w:pPr>
      <w:bookmarkStart w:id="77" w:name="_Toc4443"/>
      <w:r>
        <w:rPr>
          <w:rFonts w:hint="eastAsia"/>
          <w:lang w:val="en-US" w:eastAsia="zh-CN"/>
        </w:rPr>
        <w:t>对水功能区水质影响分析</w:t>
      </w:r>
      <w:bookmarkEnd w:id="77"/>
    </w:p>
    <w:p>
      <w:pPr>
        <w:rPr>
          <w:rFonts w:hint="default" w:ascii="Times New Roman" w:hAnsi="Times New Roman" w:cs="Times New Roman"/>
          <w:color w:val="000000" w:themeColor="text1"/>
          <w:u w:val="none"/>
          <w:lang w:eastAsia="zh-CN"/>
          <w14:textFill>
            <w14:solidFill>
              <w14:schemeClr w14:val="tx1"/>
            </w14:solidFill>
          </w14:textFill>
        </w:rPr>
      </w:pPr>
      <w:r>
        <w:rPr>
          <w:rFonts w:hint="default" w:ascii="Times New Roman" w:hAnsi="Times New Roman" w:cs="Times New Roman"/>
          <w:color w:val="000000" w:themeColor="text1"/>
          <w:u w:val="none"/>
          <w:lang w:val="en-US" w:eastAsia="zh-CN"/>
          <w14:textFill>
            <w14:solidFill>
              <w14:schemeClr w14:val="tx1"/>
            </w14:solidFill>
          </w14:textFill>
        </w:rPr>
        <w:t>湖南润景水业（桃江）有限公司入河排污口位于项目西北侧小溪的右岸，经纬度坐标为东经：112°39'46.345"，北纬：28°26'7.141"，</w:t>
      </w:r>
      <w:r>
        <w:rPr>
          <w:rFonts w:hint="default" w:ascii="Times New Roman" w:hAnsi="Times New Roman" w:cs="Times New Roman"/>
          <w:color w:val="000000" w:themeColor="text1"/>
          <w:kern w:val="2"/>
          <w:u w:val="none"/>
          <w14:textFill>
            <w14:solidFill>
              <w14:schemeClr w14:val="tx1"/>
            </w14:solidFill>
          </w14:textFill>
        </w:rPr>
        <w:t>根据水体实际属性情况，为</w:t>
      </w:r>
      <w:r>
        <w:rPr>
          <w:rFonts w:hint="default" w:ascii="Times New Roman" w:hAnsi="Times New Roman" w:cs="Times New Roman"/>
          <w:color w:val="000000" w:themeColor="text1"/>
          <w:u w:val="none"/>
          <w14:textFill>
            <w14:solidFill>
              <w14:schemeClr w14:val="tx1"/>
            </w14:solidFill>
          </w14:textFill>
        </w:rPr>
        <w:t>《地表水环境质量标准》（GB3838-2002）Ⅲ类</w:t>
      </w:r>
      <w:r>
        <w:rPr>
          <w:rFonts w:hint="default" w:ascii="Times New Roman" w:hAnsi="Times New Roman" w:cs="Times New Roman"/>
          <w:color w:val="000000" w:themeColor="text1"/>
          <w:u w:val="none"/>
          <w:lang w:eastAsia="zh-CN"/>
          <w14:textFill>
            <w14:solidFill>
              <w14:schemeClr w14:val="tx1"/>
            </w14:solidFill>
          </w14:textFill>
        </w:rPr>
        <w:t>。</w:t>
      </w:r>
    </w:p>
    <w:p>
      <w:pPr>
        <w:rPr>
          <w:rFonts w:hint="default" w:eastAsia="宋体"/>
          <w:color w:val="000000" w:themeColor="text1"/>
          <w:u w:val="none"/>
          <w:lang w:val="en-US" w:eastAsia="zh-CN"/>
          <w14:textFill>
            <w14:solidFill>
              <w14:schemeClr w14:val="tx1"/>
            </w14:solidFill>
          </w14:textFill>
        </w:rPr>
      </w:pPr>
      <w:r>
        <w:rPr>
          <w:rFonts w:hint="eastAsia"/>
          <w:color w:val="000000" w:themeColor="text1"/>
          <w:u w:val="none"/>
          <w:lang w:val="en-US" w:eastAsia="zh-CN"/>
          <w14:textFill>
            <w14:solidFill>
              <w14:schemeClr w14:val="tx1"/>
            </w14:solidFill>
          </w14:textFill>
        </w:rPr>
        <w:t>根据设计要求，项目经自建污水处理站处理后将污水处理到达</w:t>
      </w:r>
      <w:r>
        <w:rPr>
          <w:rFonts w:hint="default" w:ascii="Times New Roman" w:hAnsi="Times New Roman" w:eastAsia="宋体" w:cs="Times New Roman"/>
          <w:b w:val="0"/>
          <w:bCs w:val="0"/>
          <w:color w:val="000000" w:themeColor="text1"/>
          <w:sz w:val="24"/>
          <w:szCs w:val="24"/>
          <w14:textFill>
            <w14:solidFill>
              <w14:schemeClr w14:val="tx1"/>
            </w14:solidFill>
          </w14:textFill>
        </w:rPr>
        <w:t>《污水综合排放标准》（</w:t>
      </w:r>
      <w:r>
        <w:rPr>
          <w:rFonts w:hint="default" w:ascii="Times New Roman" w:hAnsi="Times New Roman" w:eastAsia="TimesNewRomanPSMT" w:cs="Times New Roman"/>
          <w:b w:val="0"/>
          <w:bCs w:val="0"/>
          <w:color w:val="000000" w:themeColor="text1"/>
          <w:sz w:val="24"/>
          <w:szCs w:val="24"/>
          <w14:textFill>
            <w14:solidFill>
              <w14:schemeClr w14:val="tx1"/>
            </w14:solidFill>
          </w14:textFill>
        </w:rPr>
        <w:t>GB8978-1996</w:t>
      </w:r>
      <w:r>
        <w:rPr>
          <w:rFonts w:hint="default" w:ascii="Times New Roman" w:hAnsi="Times New Roman" w:eastAsia="宋体" w:cs="Times New Roman"/>
          <w:b w:val="0"/>
          <w:bCs w:val="0"/>
          <w:color w:val="000000" w:themeColor="text1"/>
          <w:sz w:val="24"/>
          <w:szCs w:val="24"/>
          <w14:textFill>
            <w14:solidFill>
              <w14:schemeClr w14:val="tx1"/>
            </w14:solidFill>
          </w14:textFill>
        </w:rPr>
        <w:t>）</w:t>
      </w:r>
      <w:r>
        <w:rPr>
          <w:rFonts w:hint="eastAsia" w:cs="Times New Roman"/>
          <w:b w:val="0"/>
          <w:bCs w:val="0"/>
          <w:color w:val="000000" w:themeColor="text1"/>
          <w:sz w:val="24"/>
          <w:szCs w:val="24"/>
          <w:lang w:val="en-US" w:eastAsia="zh-CN"/>
          <w14:textFill>
            <w14:solidFill>
              <w14:schemeClr w14:val="tx1"/>
            </w14:solidFill>
          </w14:textFill>
        </w:rPr>
        <w:t>标准后排放至项目</w:t>
      </w:r>
      <w:r>
        <w:rPr>
          <w:rFonts w:hint="eastAsia"/>
          <w:color w:val="000000" w:themeColor="text1"/>
          <w:lang w:val="en-US" w:eastAsia="zh-CN"/>
          <w14:textFill>
            <w14:solidFill>
              <w14:schemeClr w14:val="tx1"/>
            </w14:solidFill>
          </w14:textFill>
        </w:rPr>
        <w:t>西北侧无名小溪</w:t>
      </w:r>
      <w:r>
        <w:rPr>
          <w:rFonts w:hint="eastAsia" w:cs="Times New Roman"/>
          <w:b w:val="0"/>
          <w:bCs w:val="0"/>
          <w:color w:val="000000" w:themeColor="text1"/>
          <w:sz w:val="24"/>
          <w:szCs w:val="24"/>
          <w:lang w:val="en-US" w:eastAsia="zh-CN"/>
          <w14:textFill>
            <w14:solidFill>
              <w14:schemeClr w14:val="tx1"/>
            </w14:solidFill>
          </w14:textFill>
        </w:rPr>
        <w:t>。正常排放情况下，项目</w:t>
      </w:r>
      <w:r>
        <w:rPr>
          <w:rFonts w:hint="eastAsia"/>
          <w:color w:val="000000" w:themeColor="text1"/>
          <w:lang w:val="en-US" w:eastAsia="zh-CN"/>
          <w14:textFill>
            <w14:solidFill>
              <w14:schemeClr w14:val="tx1"/>
            </w14:solidFill>
          </w14:textFill>
        </w:rPr>
        <w:t>西北侧无名小溪</w:t>
      </w:r>
      <w:r>
        <w:rPr>
          <w:rFonts w:hint="eastAsia" w:cs="Times New Roman"/>
          <w:b w:val="0"/>
          <w:bCs w:val="0"/>
          <w:color w:val="000000" w:themeColor="text1"/>
          <w:sz w:val="24"/>
          <w:szCs w:val="24"/>
          <w:lang w:val="en-US" w:eastAsia="zh-CN"/>
          <w14:textFill>
            <w14:solidFill>
              <w14:schemeClr w14:val="tx1"/>
            </w14:solidFill>
          </w14:textFill>
        </w:rPr>
        <w:t>COD、氨氮、TP、TN预测浓度均可达到</w:t>
      </w:r>
      <w:r>
        <w:rPr>
          <w:rFonts w:hint="eastAsia" w:cs="Times New Roman"/>
          <w:color w:val="000000" w:themeColor="text1"/>
          <w:u w:val="none"/>
          <w14:textFill>
            <w14:solidFill>
              <w14:schemeClr w14:val="tx1"/>
            </w14:solidFill>
          </w14:textFill>
        </w:rPr>
        <w:t>《地表水环境质量标准》（GB3838-2002）Ⅲ类</w:t>
      </w:r>
      <w:r>
        <w:rPr>
          <w:rFonts w:hint="eastAsia" w:cs="Times New Roman"/>
          <w:color w:val="000000" w:themeColor="text1"/>
          <w:u w:val="none"/>
          <w:lang w:val="en-US" w:eastAsia="zh-CN"/>
          <w14:textFill>
            <w14:solidFill>
              <w14:schemeClr w14:val="tx1"/>
            </w14:solidFill>
          </w14:textFill>
        </w:rPr>
        <w:t>标准要求。本排污口的设置不改变排污口所处水功能区及下游功能，也不会影响邻近水功能区的使用。</w:t>
      </w:r>
    </w:p>
    <w:p>
      <w:pPr>
        <w:pStyle w:val="18"/>
        <w:tabs>
          <w:tab w:val="left" w:pos="-2486"/>
        </w:tabs>
        <w:snapToGrid w:val="0"/>
        <w:spacing w:line="360" w:lineRule="auto"/>
        <w:ind w:firstLine="480"/>
        <w:jc w:val="both"/>
        <w:rPr>
          <w:rFonts w:cs="Times New Roman"/>
          <w:color w:val="000000" w:themeColor="text1"/>
          <w:kern w:val="2"/>
          <w:u w:val="none"/>
          <w14:textFill>
            <w14:solidFill>
              <w14:schemeClr w14:val="tx1"/>
            </w14:solidFill>
          </w14:textFill>
        </w:rPr>
      </w:pPr>
      <w:r>
        <w:rPr>
          <w:rFonts w:hint="eastAsia" w:cs="Times New Roman"/>
          <w:color w:val="000000" w:themeColor="text1"/>
          <w:u w:val="none"/>
          <w14:textFill>
            <w14:solidFill>
              <w14:schemeClr w14:val="tx1"/>
            </w14:solidFill>
          </w14:textFill>
        </w:rPr>
        <w:t>污水处理站</w:t>
      </w:r>
      <w:r>
        <w:rPr>
          <w:rFonts w:cs="Times New Roman"/>
          <w:color w:val="000000" w:themeColor="text1"/>
          <w:u w:val="none"/>
          <w14:textFill>
            <w14:solidFill>
              <w14:schemeClr w14:val="tx1"/>
            </w14:solidFill>
          </w14:textFill>
        </w:rPr>
        <w:t>在事故排污时，</w:t>
      </w:r>
      <w:r>
        <w:rPr>
          <w:rFonts w:hint="eastAsia" w:hAnsi="宋体" w:eastAsia="宋体" w:cs="Times New Roman"/>
          <w:color w:val="000000" w:themeColor="text1"/>
          <w:sz w:val="24"/>
          <w:szCs w:val="24"/>
          <w:u w:val="none"/>
          <w:lang w:val="en-US" w:eastAsia="zh-CN"/>
          <w14:textFill>
            <w14:solidFill>
              <w14:schemeClr w14:val="tx1"/>
            </w14:solidFill>
          </w14:textFill>
        </w:rPr>
        <w:t>COD、NH</w:t>
      </w:r>
      <w:r>
        <w:rPr>
          <w:rFonts w:hint="eastAsia" w:hAnsi="宋体" w:eastAsia="宋体" w:cs="Times New Roman"/>
          <w:color w:val="000000" w:themeColor="text1"/>
          <w:sz w:val="24"/>
          <w:szCs w:val="24"/>
          <w:u w:val="none"/>
          <w:vertAlign w:val="subscript"/>
          <w:lang w:val="en-US" w:eastAsia="zh-CN"/>
          <w14:textFill>
            <w14:solidFill>
              <w14:schemeClr w14:val="tx1"/>
            </w14:solidFill>
          </w14:textFill>
        </w:rPr>
        <w:t>3</w:t>
      </w:r>
      <w:r>
        <w:rPr>
          <w:rFonts w:hint="eastAsia" w:hAnsi="宋体" w:eastAsia="宋体" w:cs="Times New Roman"/>
          <w:color w:val="000000" w:themeColor="text1"/>
          <w:sz w:val="24"/>
          <w:szCs w:val="24"/>
          <w:u w:val="none"/>
          <w:lang w:val="en-US" w:eastAsia="zh-CN"/>
          <w14:textFill>
            <w14:solidFill>
              <w14:schemeClr w14:val="tx1"/>
            </w14:solidFill>
          </w14:textFill>
        </w:rPr>
        <w:t>-N、TP、TN浓度均可满足《地表水环境质量标准》（GB3838-2002）中Ⅲ类标准要求，可以看出项目废水非正常排放情况对项目西北侧无名小溪影响较小</w:t>
      </w:r>
      <w:r>
        <w:rPr>
          <w:rFonts w:cs="Times New Roman"/>
          <w:color w:val="000000" w:themeColor="text1"/>
          <w:u w:val="none"/>
          <w14:textFill>
            <w14:solidFill>
              <w14:schemeClr w14:val="tx1"/>
            </w14:solidFill>
          </w14:textFill>
        </w:rPr>
        <w:t>。项目应采取相应防范措施，禁止事故废水排放的发生。因此，污水处理厂制定严密安全措施，如在线监控系统等。确保项目正常运行，坚决杜绝事故排放的发生，以免对当地水环境造成污染。</w:t>
      </w:r>
    </w:p>
    <w:p>
      <w:pPr>
        <w:pStyle w:val="60"/>
        <w:bidi w:val="0"/>
        <w:rPr>
          <w:rFonts w:hint="default"/>
          <w:lang w:val="en-US" w:eastAsia="zh-CN"/>
        </w:rPr>
      </w:pPr>
      <w:bookmarkStart w:id="78" w:name="_Toc3409"/>
      <w:r>
        <w:rPr>
          <w:rFonts w:hint="eastAsia"/>
          <w:lang w:val="en-US" w:eastAsia="zh-CN"/>
        </w:rPr>
        <w:t>对生态的影响分析</w:t>
      </w:r>
      <w:bookmarkEnd w:id="78"/>
    </w:p>
    <w:p>
      <w:pPr>
        <w:rPr>
          <w:rFonts w:hint="default" w:ascii="Times New Roman" w:hAnsi="Times New Roman" w:cs="Times New Roman"/>
          <w:color w:val="000000" w:themeColor="text1"/>
          <w:u w:val="none"/>
          <w:lang w:val="en-US" w:eastAsia="zh-CN"/>
          <w14:textFill>
            <w14:solidFill>
              <w14:schemeClr w14:val="tx1"/>
            </w14:solidFill>
          </w14:textFill>
        </w:rPr>
      </w:pPr>
      <w:r>
        <w:rPr>
          <w:rFonts w:hint="default" w:ascii="Times New Roman" w:hAnsi="Times New Roman" w:cs="Times New Roman"/>
          <w:u w:val="none"/>
          <w:lang w:val="en-US" w:eastAsia="zh-CN"/>
        </w:rPr>
        <w:t>湖南润景水业（桃江）有限公司入河排污口位于</w:t>
      </w:r>
      <w:r>
        <w:rPr>
          <w:rFonts w:hint="default" w:ascii="Times New Roman" w:hAnsi="Times New Roman" w:cs="Times New Roman"/>
          <w:color w:val="000000" w:themeColor="text1"/>
          <w:u w:val="none"/>
          <w:lang w:val="en-US" w:eastAsia="zh-CN"/>
          <w14:textFill>
            <w14:solidFill>
              <w14:schemeClr w14:val="tx1"/>
            </w14:solidFill>
          </w14:textFill>
        </w:rPr>
        <w:t>项目西北侧无名小溪的右岸，根据现场勘察可知，项目小溪资源相对贫乏，主要种类有常见鱼类、两栖类、爬行类、甲壳类、软体类等水生动物，构成了当地的生态系统。</w:t>
      </w:r>
    </w:p>
    <w:p>
      <w:pPr>
        <w:ind w:firstLine="480"/>
        <w:rPr>
          <w:rFonts w:hint="default" w:ascii="Times New Roman" w:hAnsi="Times New Roman" w:cs="Times New Roman"/>
          <w:color w:val="000000" w:themeColor="text1"/>
          <w:u w:val="none"/>
          <w14:textFill>
            <w14:solidFill>
              <w14:schemeClr w14:val="tx1"/>
            </w14:solidFill>
          </w14:textFill>
        </w:rPr>
      </w:pPr>
      <w:r>
        <w:rPr>
          <w:rFonts w:hint="default" w:ascii="Times New Roman" w:hAnsi="Times New Roman" w:cs="Times New Roman"/>
          <w:u w:val="none"/>
          <w:lang w:val="en-US" w:eastAsia="zh-CN"/>
        </w:rPr>
        <w:t>根据水质模型预测分析，本项目尾水外排</w:t>
      </w:r>
      <w:r>
        <w:rPr>
          <w:rFonts w:hint="default" w:ascii="Times New Roman" w:hAnsi="Times New Roman" w:cs="Times New Roman"/>
          <w:color w:val="000000" w:themeColor="text1"/>
          <w:lang w:val="en-US" w:eastAsia="zh-CN"/>
          <w14:textFill>
            <w14:solidFill>
              <w14:schemeClr w14:val="tx1"/>
            </w14:solidFill>
          </w14:textFill>
        </w:rPr>
        <w:t>西北侧无名</w:t>
      </w:r>
      <w:r>
        <w:rPr>
          <w:rFonts w:hint="default" w:ascii="Times New Roman" w:hAnsi="Times New Roman" w:cs="Times New Roman"/>
          <w:color w:val="000000" w:themeColor="text1"/>
          <w:u w:val="none"/>
          <w:lang w:val="en-US" w:eastAsia="zh-CN"/>
          <w14:textFill>
            <w14:solidFill>
              <w14:schemeClr w14:val="tx1"/>
            </w14:solidFill>
          </w14:textFill>
        </w:rPr>
        <w:t>小溪后，收纳水体水质满足《</w:t>
      </w:r>
      <w:r>
        <w:rPr>
          <w:rFonts w:hint="default" w:ascii="Times New Roman" w:hAnsi="Times New Roman" w:cs="Times New Roman"/>
          <w:color w:val="000000" w:themeColor="text1"/>
          <w:u w:val="none"/>
          <w14:textFill>
            <w14:solidFill>
              <w14:schemeClr w14:val="tx1"/>
            </w14:solidFill>
          </w14:textFill>
        </w:rPr>
        <w:t>地表水环境质量标准》（GB3838-2002）Ⅲ类</w:t>
      </w:r>
      <w:r>
        <w:rPr>
          <w:rFonts w:hint="default" w:ascii="Times New Roman" w:hAnsi="Times New Roman" w:cs="Times New Roman"/>
          <w:color w:val="000000" w:themeColor="text1"/>
          <w:u w:val="none"/>
          <w:lang w:val="en-US" w:eastAsia="zh-CN"/>
          <w14:textFill>
            <w14:solidFill>
              <w14:schemeClr w14:val="tx1"/>
            </w14:solidFill>
          </w14:textFill>
        </w:rPr>
        <w:t>标准要求，项目对水生生物造成影响小。项目排污口下游无鱼虾类越冬场、产卵场以及</w:t>
      </w:r>
      <w:r>
        <w:rPr>
          <w:rFonts w:hint="default" w:ascii="Times New Roman" w:hAnsi="Times New Roman" w:cs="Times New Roman"/>
          <w:color w:val="000000" w:themeColor="text1"/>
          <w:u w:val="none"/>
          <w14:textFill>
            <w14:solidFill>
              <w14:schemeClr w14:val="tx1"/>
            </w14:solidFill>
          </w14:textFill>
        </w:rPr>
        <w:t>索饵场，也无鱼类栖息地、洄游通道，对该河段水域生态的需水水质影响相对较小，对该河段水域生态影响轻微。</w:t>
      </w:r>
    </w:p>
    <w:p>
      <w:pPr>
        <w:ind w:firstLine="480"/>
        <w:rPr>
          <w:rFonts w:hint="default" w:ascii="Times New Roman" w:hAnsi="Times New Roman" w:cs="Times New Roman"/>
          <w:u w:val="none"/>
          <w:lang w:val="en-US" w:eastAsia="zh-CN"/>
        </w:rPr>
      </w:pPr>
      <w:r>
        <w:rPr>
          <w:rFonts w:hint="default" w:ascii="Times New Roman" w:hAnsi="Times New Roman" w:cs="Times New Roman"/>
          <w:u w:val="none"/>
          <w:lang w:val="en-US" w:eastAsia="zh-CN"/>
        </w:rPr>
        <w:t>小溪下游现有鱼类绝大多数是广布性种类；下游河段无鱼类“三场”，不会对鱼类产卵、索饵、越冬等产生影响。考虑到正常排污及非正常排污影响范围均有限，不会对鱼类产生明显不利影响。因此，湖南润景水业（桃江）有限公司入河排污口的设置对该河段鱼类资源无明显不利影响。</w:t>
      </w:r>
    </w:p>
    <w:p>
      <w:pPr>
        <w:pStyle w:val="60"/>
        <w:bidi w:val="0"/>
        <w:rPr>
          <w:rFonts w:hint="default"/>
          <w:lang w:val="en-US" w:eastAsia="zh-CN"/>
        </w:rPr>
      </w:pPr>
      <w:bookmarkStart w:id="79" w:name="_Toc27680"/>
      <w:r>
        <w:rPr>
          <w:rFonts w:hint="eastAsia"/>
          <w:lang w:val="en-US" w:eastAsia="zh-CN"/>
        </w:rPr>
        <w:t>对地下水影响的分析</w:t>
      </w:r>
      <w:bookmarkEnd w:id="79"/>
    </w:p>
    <w:p>
      <w:pPr>
        <w:rPr>
          <w:rFonts w:hint="eastAsia"/>
          <w:lang w:val="en-US" w:eastAsia="zh-CN"/>
        </w:rPr>
      </w:pPr>
      <w:r>
        <w:rPr>
          <w:rFonts w:hint="eastAsia"/>
          <w:lang w:val="en-US" w:eastAsia="zh-CN"/>
        </w:rPr>
        <w:t>根据《环境影响评价技术导则 地下水环境》（HJ610-2016），以地下水作为供水水资源及地下水环境可能产生影响的建设项目需对地下水进行影响分析。本项目采用地下水作为水源，根据环评及相关监测资料显示地下水监测数据检测结果达标。营运期，其污染地下水的可能性主要为项目污水的少量渗漏。若发生渗漏，污染物肯定会穿过包气带进入浅层地下水，对浅层地下水的产生一定污染。</w:t>
      </w:r>
    </w:p>
    <w:p>
      <w:pPr>
        <w:rPr>
          <w:rFonts w:hint="eastAsia"/>
          <w:lang w:val="en-US" w:eastAsia="zh-CN"/>
        </w:rPr>
      </w:pPr>
      <w:r>
        <w:rPr>
          <w:rFonts w:hint="eastAsia"/>
          <w:lang w:val="en-US" w:eastAsia="zh-CN"/>
        </w:rPr>
        <w:t>项目对可能产生地下水影响的各项途径均进行有效预防，在确保各项防渗措施得以落实，并加强维护和项目环境管理的前提下，可有效控制项目内的污水渗漏现象，因此项目运营期不会对区域地下水环境产生不良影响。</w:t>
      </w:r>
    </w:p>
    <w:p>
      <w:pPr>
        <w:pStyle w:val="60"/>
        <w:bidi w:val="0"/>
        <w:rPr>
          <w:rFonts w:hint="default"/>
          <w:lang w:val="en-US" w:eastAsia="zh-CN"/>
        </w:rPr>
      </w:pPr>
      <w:bookmarkStart w:id="80" w:name="_Toc7435"/>
      <w:r>
        <w:rPr>
          <w:rFonts w:hint="eastAsia"/>
          <w:lang w:val="en-US" w:eastAsia="zh-CN"/>
        </w:rPr>
        <w:t>对第三者影响分析</w:t>
      </w:r>
      <w:bookmarkEnd w:id="80"/>
    </w:p>
    <w:p>
      <w:pPr>
        <w:rPr>
          <w:rFonts w:hint="eastAsia" w:cs="Times New Roman"/>
          <w:color w:val="000000" w:themeColor="text1"/>
          <w:u w:val="none"/>
          <w:lang w:val="en-US" w:eastAsia="zh-CN"/>
          <w14:textFill>
            <w14:solidFill>
              <w14:schemeClr w14:val="tx1"/>
            </w14:solidFill>
          </w14:textFill>
        </w:rPr>
      </w:pPr>
      <w:r>
        <w:rPr>
          <w:rFonts w:hint="eastAsia"/>
          <w:lang w:val="en-US" w:eastAsia="zh-CN"/>
        </w:rPr>
        <w:t>论证区域水体的主要用途为农业灌溉用水，根据地表水现状监测，项目所在区水域均可满足</w:t>
      </w:r>
      <w:r>
        <w:rPr>
          <w:rFonts w:hint="eastAsia" w:cs="Times New Roman"/>
          <w:color w:val="000000" w:themeColor="text1"/>
          <w:u w:val="none"/>
          <w:lang w:val="en-US" w:eastAsia="zh-CN"/>
          <w14:textFill>
            <w14:solidFill>
              <w14:schemeClr w14:val="tx1"/>
            </w14:solidFill>
          </w14:textFill>
        </w:rPr>
        <w:t>《</w:t>
      </w:r>
      <w:r>
        <w:rPr>
          <w:rFonts w:hint="eastAsia" w:cs="Times New Roman"/>
          <w:color w:val="000000" w:themeColor="text1"/>
          <w:u w:val="none"/>
          <w14:textFill>
            <w14:solidFill>
              <w14:schemeClr w14:val="tx1"/>
            </w14:solidFill>
          </w14:textFill>
        </w:rPr>
        <w:t>地表水环境质量标准》（GB3838-2002）Ⅲ类</w:t>
      </w:r>
      <w:r>
        <w:rPr>
          <w:rFonts w:hint="eastAsia" w:cs="Times New Roman"/>
          <w:color w:val="000000" w:themeColor="text1"/>
          <w:u w:val="none"/>
          <w:lang w:val="en-US" w:eastAsia="zh-CN"/>
          <w14:textFill>
            <w14:solidFill>
              <w14:schemeClr w14:val="tx1"/>
            </w14:solidFill>
          </w14:textFill>
        </w:rPr>
        <w:t>标准要求，经调查</w:t>
      </w:r>
      <w:r>
        <w:rPr>
          <w:rFonts w:cs="Times New Roman"/>
          <w:color w:val="000000" w:themeColor="text1"/>
          <w:u w:val="none"/>
          <w14:textFill>
            <w14:solidFill>
              <w14:schemeClr w14:val="tx1"/>
            </w14:solidFill>
          </w14:textFill>
        </w:rPr>
        <w:t>围内无集中饮用水取水口</w:t>
      </w:r>
      <w:r>
        <w:rPr>
          <w:rFonts w:hint="eastAsia" w:cs="Times New Roman"/>
          <w:color w:val="000000" w:themeColor="text1"/>
          <w:u w:val="none"/>
          <w:lang w:val="en-US" w:eastAsia="zh-CN"/>
          <w14:textFill>
            <w14:solidFill>
              <w14:schemeClr w14:val="tx1"/>
            </w14:solidFill>
          </w14:textFill>
        </w:rPr>
        <w:t>和工业取水口，亦无现状养殖或规划养殖区。因此，本项目废水经排污口后正常排放情况下，区域水质能满足用水要求，对水功能区水质、生态以及第三者权益三方面产生的影响极小。建设单位需要对入河污水进行妥善处理与监控，严格控制污水水质达标排放，将基本不会对江河水功能区水质、生态产生不良影响。</w:t>
      </w:r>
    </w:p>
    <w:p>
      <w:pPr>
        <w:pStyle w:val="2"/>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eastAsia="宋体" w:cs="Times New Roman"/>
          <w:snapToGrid w:val="0"/>
          <w:color w:val="000000" w:themeColor="text1"/>
          <w:sz w:val="24"/>
          <w:szCs w:val="21"/>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z w:val="24"/>
          <w:szCs w:val="21"/>
          <w:u w:val="none"/>
          <w:lang w:val="en-US" w:eastAsia="zh-CN" w:bidi="ar-SA"/>
          <w14:textFill>
            <w14:solidFill>
              <w14:schemeClr w14:val="tx1"/>
            </w14:solidFill>
          </w14:textFill>
        </w:rPr>
        <w:t>本项目区域内居民较少，分散居住</w:t>
      </w:r>
      <w:r>
        <w:rPr>
          <w:rFonts w:hint="eastAsia" w:eastAsia="宋体" w:cs="Times New Roman"/>
          <w:snapToGrid w:val="0"/>
          <w:color w:val="000000" w:themeColor="text1"/>
          <w:sz w:val="24"/>
          <w:szCs w:val="21"/>
          <w:u w:val="none"/>
          <w:lang w:val="en-US" w:eastAsia="zh-CN" w:bidi="ar-SA"/>
          <w14:textFill>
            <w14:solidFill>
              <w14:schemeClr w14:val="tx1"/>
            </w14:solidFill>
          </w14:textFill>
        </w:rPr>
        <w:t>，目前湖南润景水业（桃江）有限公司生产活动未影响到厂区及周边的生产生活用水，居民一般取用自来水做生活饮用水，本项目排水不会对居民饮用水造成影响。</w:t>
      </w:r>
    </w:p>
    <w:p>
      <w:pPr>
        <w:rPr>
          <w:rFonts w:hint="eastAsia"/>
          <w:lang w:val="en-US" w:eastAsia="zh-CN"/>
        </w:rPr>
      </w:pPr>
      <w:r>
        <w:rPr>
          <w:rFonts w:hint="eastAsia"/>
          <w:lang w:val="en-US" w:eastAsia="zh-CN"/>
        </w:rPr>
        <w:t>枯水期的影响预测结果表明排污口下游基本未形成明显的污染带，对项目西北侧无名小溪水质基本无影响。因此本项目入河排污口的设置不会对功能区内取水户权益产生明显的影响。</w:t>
      </w:r>
    </w:p>
    <w:p>
      <w:pPr>
        <w:rPr>
          <w:rFonts w:hint="eastAsia"/>
          <w:lang w:val="en-US" w:eastAsia="zh-CN"/>
        </w:rPr>
      </w:pPr>
      <w:r>
        <w:rPr>
          <w:rFonts w:hint="eastAsia"/>
          <w:lang w:val="en-US" w:eastAsia="zh-CN"/>
        </w:rPr>
        <w:t>本项目建设会在一定程度上提高居民生活水平、促进当地的经济发展，增加就业机会。项目落实防治措施，保证污染防治装置稳定运行，污染物都能达标排放，项目的建设是可行的。</w:t>
      </w:r>
    </w:p>
    <w:p>
      <w:pPr>
        <w:rPr>
          <w:rFonts w:hint="default"/>
          <w:lang w:val="en-US" w:eastAsia="zh-CN"/>
        </w:rPr>
      </w:pPr>
      <w:r>
        <w:rPr>
          <w:rFonts w:hint="eastAsia"/>
          <w:lang w:val="en-US" w:eastAsia="zh-CN"/>
        </w:rPr>
        <w:t>综上分析，本项目入河排污口的设置对第三者影响较小，但是要采取适当措施，避免水环境污染浓度超标。加强管理，避免发生非正常排放事故。</w:t>
      </w:r>
    </w:p>
    <w:p>
      <w:pPr>
        <w:pStyle w:val="61"/>
        <w:bidi w:val="0"/>
        <w:rPr>
          <w:rFonts w:hint="default"/>
          <w:lang w:val="en-US" w:eastAsia="zh-CN"/>
        </w:rPr>
      </w:pPr>
      <w:r>
        <w:rPr>
          <w:rFonts w:hint="eastAsia"/>
          <w:lang w:val="en-US" w:eastAsia="zh-CN"/>
        </w:rPr>
        <w:t>对生活饮用水水源的影响</w:t>
      </w:r>
    </w:p>
    <w:p>
      <w:pPr>
        <w:rPr>
          <w:rFonts w:hint="eastAsia"/>
          <w:lang w:val="en-US" w:eastAsia="zh-CN"/>
        </w:rPr>
      </w:pPr>
      <w:r>
        <w:rPr>
          <w:rFonts w:hint="eastAsia"/>
          <w:lang w:val="en-US" w:eastAsia="zh-CN"/>
        </w:rPr>
        <w:t>根据现状调查，本项目论证范围内无饮用水源保护区。因此，本排污口的设置对排污口附近取水单位用水不会产生不良影响。因此，本项目入河排污口的设置不影响第三者的合法权益。</w:t>
      </w:r>
    </w:p>
    <w:p>
      <w:pPr>
        <w:pStyle w:val="61"/>
        <w:bidi w:val="0"/>
        <w:rPr>
          <w:rFonts w:hint="default"/>
          <w:lang w:val="en-US" w:eastAsia="zh-CN"/>
        </w:rPr>
      </w:pPr>
      <w:r>
        <w:rPr>
          <w:rFonts w:hint="eastAsia"/>
          <w:lang w:val="en-US" w:eastAsia="zh-CN"/>
        </w:rPr>
        <w:t>对上下游取水安全的影响</w:t>
      </w:r>
    </w:p>
    <w:p>
      <w:pPr>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湖南润景水业（桃江）有限公司</w:t>
      </w:r>
      <w:r>
        <w:rPr>
          <w:rFonts w:hint="eastAsia" w:cs="Times New Roman"/>
          <w:color w:val="000000" w:themeColor="text1"/>
          <w:lang w:val="en-US" w:eastAsia="zh-CN"/>
          <w14:textFill>
            <w14:solidFill>
              <w14:schemeClr w14:val="tx1"/>
            </w14:solidFill>
          </w14:textFill>
        </w:rPr>
        <w:t>”排放的水污染因子主要为常规污染物，不会涉及重金属、不会涉及有毒有害污染物及持久性有毒化学污染，本项目废水在厂区设置排污管道直接排放至项目西北侧的无名小溪，项目排水下游存在农业灌溉取排水情况，项目污染物的排放不会影响上下游农业灌溉取排水。经核实，汇水处</w:t>
      </w:r>
      <w:r>
        <w:rPr>
          <w:rFonts w:hint="eastAsia" w:cs="Times New Roman"/>
          <w:color w:val="000000" w:themeColor="text1"/>
          <w:kern w:val="0"/>
          <w:lang w:val="en-US" w:eastAsia="zh-CN" w:bidi="ar"/>
          <w14:textFill>
            <w14:solidFill>
              <w14:schemeClr w14:val="tx1"/>
            </w14:solidFill>
          </w14:textFill>
        </w:rPr>
        <w:t>西北侧无名小溪</w:t>
      </w:r>
      <w:r>
        <w:rPr>
          <w:rFonts w:hint="eastAsia" w:cs="Times New Roman"/>
          <w:color w:val="000000" w:themeColor="text1"/>
          <w:lang w:val="en-US" w:eastAsia="zh-CN"/>
          <w14:textFill>
            <w14:solidFill>
              <w14:schemeClr w14:val="tx1"/>
            </w14:solidFill>
          </w14:textFill>
        </w:rPr>
        <w:t>上游1km及西北侧无名小溪下游3km范围内无取水口，对上游区域基本不会产生明显不利影响。</w:t>
      </w:r>
    </w:p>
    <w:p>
      <w:pPr>
        <w:pStyle w:val="2"/>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eastAsia="宋体" w:cs="Times New Roman"/>
          <w:snapToGrid w:val="0"/>
          <w:color w:val="000000" w:themeColor="text1"/>
          <w:sz w:val="24"/>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z w:val="24"/>
          <w:szCs w:val="21"/>
          <w:lang w:val="en-US" w:eastAsia="zh-CN" w:bidi="ar-SA"/>
          <w14:textFill>
            <w14:solidFill>
              <w14:schemeClr w14:val="tx1"/>
            </w14:solidFill>
          </w14:textFill>
        </w:rPr>
        <w:t>根据模型分析，污水在正常排放下经过充分混合后，最终受纳水体桃花江段水质满足《地表水环境质量标准》（GB3838-2002）Ⅲ类标准要求</w:t>
      </w:r>
      <w:r>
        <w:rPr>
          <w:rFonts w:hint="eastAsia" w:eastAsia="宋体" w:cs="Times New Roman"/>
          <w:snapToGrid w:val="0"/>
          <w:color w:val="000000" w:themeColor="text1"/>
          <w:sz w:val="24"/>
          <w:szCs w:val="21"/>
          <w:lang w:val="en-US" w:eastAsia="zh-CN" w:bidi="ar-SA"/>
          <w14:textFill>
            <w14:solidFill>
              <w14:schemeClr w14:val="tx1"/>
            </w14:solidFill>
          </w14:textFill>
        </w:rPr>
        <w:t>，下游水质可达到</w:t>
      </w:r>
      <w:r>
        <w:rPr>
          <w:rFonts w:hint="eastAsia" w:ascii="Times New Roman" w:hAnsi="Times New Roman" w:eastAsia="宋体" w:cs="Times New Roman"/>
          <w:snapToGrid w:val="0"/>
          <w:color w:val="000000" w:themeColor="text1"/>
          <w:sz w:val="24"/>
          <w:szCs w:val="21"/>
          <w:lang w:val="en-US" w:eastAsia="zh-CN" w:bidi="ar-SA"/>
          <w14:textFill>
            <w14:solidFill>
              <w14:schemeClr w14:val="tx1"/>
            </w14:solidFill>
          </w14:textFill>
        </w:rPr>
        <w:t>《地表水环境质量标准》（GB3838-2002）Ⅲ类标准要求</w:t>
      </w:r>
      <w:r>
        <w:rPr>
          <w:rFonts w:hint="eastAsia" w:eastAsia="宋体" w:cs="Times New Roman"/>
          <w:snapToGrid w:val="0"/>
          <w:color w:val="000000" w:themeColor="text1"/>
          <w:sz w:val="24"/>
          <w:szCs w:val="21"/>
          <w:lang w:val="en-US" w:eastAsia="zh-CN" w:bidi="ar-SA"/>
          <w14:textFill>
            <w14:solidFill>
              <w14:schemeClr w14:val="tx1"/>
            </w14:solidFill>
          </w14:textFill>
        </w:rPr>
        <w:t>。不影响项目西北侧无名小溪的水质，因此排污口污水排放基本不会对下游取水安全造成影响。</w:t>
      </w:r>
    </w:p>
    <w:p>
      <w:pPr>
        <w:pStyle w:val="61"/>
        <w:bidi w:val="0"/>
        <w:rPr>
          <w:rFonts w:hint="default"/>
          <w:lang w:val="en-US" w:eastAsia="zh-CN"/>
        </w:rPr>
      </w:pPr>
      <w:r>
        <w:rPr>
          <w:rFonts w:hint="eastAsia"/>
          <w:lang w:val="en-US" w:eastAsia="zh-CN"/>
        </w:rPr>
        <w:t>对农业灌溉用水的影响</w:t>
      </w:r>
    </w:p>
    <w:p>
      <w:pPr>
        <w:rPr>
          <w:rFonts w:hint="default" w:eastAsia="宋体"/>
          <w:u w:val="single"/>
          <w:lang w:val="en-US" w:eastAsia="zh-CN"/>
        </w:rPr>
      </w:pPr>
      <w:r>
        <w:rPr>
          <w:rFonts w:hint="eastAsia"/>
          <w:u w:val="single"/>
          <w:lang w:val="en-US" w:eastAsia="zh-CN"/>
        </w:rPr>
        <w:t>项目西北侧无名小溪现在主要的功能是排水和农业灌溉，沿线的主要作物类型主要是水稻、油菜及其它杂粮和经济作物。本项目外排废水经处理后达到</w:t>
      </w:r>
      <w:r>
        <w:rPr>
          <w:rFonts w:hint="default" w:ascii="Times New Roman" w:hAnsi="Times New Roman" w:eastAsia="宋体" w:cs="Times New Roman"/>
          <w:b w:val="0"/>
          <w:bCs w:val="0"/>
          <w:color w:val="000000"/>
          <w:sz w:val="24"/>
          <w:szCs w:val="24"/>
          <w:u w:val="single"/>
        </w:rPr>
        <w:t>《污水综合排放标准》（</w:t>
      </w:r>
      <w:r>
        <w:rPr>
          <w:rFonts w:hint="default" w:ascii="Times New Roman" w:hAnsi="Times New Roman" w:eastAsia="TimesNewRomanPSMT" w:cs="Times New Roman"/>
          <w:b w:val="0"/>
          <w:bCs w:val="0"/>
          <w:color w:val="000000"/>
          <w:sz w:val="24"/>
          <w:szCs w:val="24"/>
          <w:u w:val="single"/>
        </w:rPr>
        <w:t>GB8978-1996</w:t>
      </w:r>
      <w:r>
        <w:rPr>
          <w:rFonts w:hint="default" w:ascii="Times New Roman" w:hAnsi="Times New Roman" w:eastAsia="宋体" w:cs="Times New Roman"/>
          <w:b w:val="0"/>
          <w:bCs w:val="0"/>
          <w:color w:val="000000"/>
          <w:sz w:val="24"/>
          <w:szCs w:val="24"/>
          <w:u w:val="single"/>
        </w:rPr>
        <w:t>）</w:t>
      </w:r>
      <w:r>
        <w:rPr>
          <w:rFonts w:hint="eastAsia" w:cs="Times New Roman"/>
          <w:b w:val="0"/>
          <w:bCs w:val="0"/>
          <w:color w:val="000000"/>
          <w:sz w:val="24"/>
          <w:szCs w:val="24"/>
          <w:u w:val="single"/>
          <w:lang w:val="en-US" w:eastAsia="zh-CN"/>
        </w:rPr>
        <w:t>后排入项目西北侧无名小溪，各污染因子指标均符合《地表水环境质量标准》（GB3838-2002）</w:t>
      </w:r>
      <w:r>
        <w:rPr>
          <w:rFonts w:hint="eastAsia" w:ascii="Times New Roman" w:hAnsi="Times New Roman" w:eastAsia="宋体" w:cs="Times New Roman"/>
          <w:snapToGrid w:val="0"/>
          <w:color w:val="000000" w:themeColor="text1"/>
          <w:sz w:val="24"/>
          <w:szCs w:val="21"/>
          <w:u w:val="single"/>
          <w:lang w:val="en-US" w:eastAsia="zh-CN" w:bidi="ar-SA"/>
          <w14:textFill>
            <w14:solidFill>
              <w14:schemeClr w14:val="tx1"/>
            </w14:solidFill>
          </w14:textFill>
        </w:rPr>
        <w:t>Ⅲ类</w:t>
      </w:r>
      <w:r>
        <w:rPr>
          <w:rFonts w:hint="eastAsia" w:cs="Times New Roman"/>
          <w:snapToGrid w:val="0"/>
          <w:color w:val="000000" w:themeColor="text1"/>
          <w:sz w:val="24"/>
          <w:szCs w:val="21"/>
          <w:u w:val="single"/>
          <w:lang w:val="en-US" w:eastAsia="zh-CN" w:bidi="ar-SA"/>
          <w14:textFill>
            <w14:solidFill>
              <w14:schemeClr w14:val="tx1"/>
            </w14:solidFill>
          </w14:textFill>
        </w:rPr>
        <w:t>标准要求。项目无高温废水排放，不会造成农业灌溉水温变化，因此项目西北侧无名小溪的水可以直接用于农业灌溉，缓解农业用水压力，本项目废水的污染因子中盐分排入小溪，对下游农业灌溉有一定的影响，会影响灌溉渠的土壤结构和土壤质地，但本项目企业主要是从地下取井水制取饮用水，排放的水质的污染影响不大，本企业要求严格控制企业废水排放，加强污水处理措施，避免项目废水处理站事故废水的影响。</w:t>
      </w:r>
    </w:p>
    <w:p>
      <w:pPr>
        <w:rPr>
          <w:rFonts w:hint="default"/>
          <w:lang w:val="en-US" w:eastAsia="zh-CN"/>
        </w:rPr>
      </w:pPr>
    </w:p>
    <w:p>
      <w:pPr>
        <w:pStyle w:val="2"/>
        <w:rPr>
          <w:rFonts w:hint="default"/>
          <w:lang w:val="en-US" w:eastAsia="zh-CN"/>
        </w:rPr>
      </w:pPr>
    </w:p>
    <w:p>
      <w:pPr>
        <w:pStyle w:val="59"/>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bookmarkStart w:id="81" w:name="_Toc4595"/>
      <w:r>
        <w:rPr>
          <w:rFonts w:hint="eastAsia"/>
          <w:lang w:val="en-US" w:eastAsia="zh-CN"/>
        </w:rPr>
        <w:t>入河排污口设置可行性分析</w:t>
      </w:r>
      <w:bookmarkEnd w:id="81"/>
    </w:p>
    <w:p>
      <w:pPr>
        <w:pStyle w:val="60"/>
        <w:bidi w:val="0"/>
        <w:rPr>
          <w:rFonts w:hint="default"/>
          <w:lang w:val="en-US" w:eastAsia="zh-CN"/>
        </w:rPr>
      </w:pPr>
      <w:bookmarkStart w:id="82" w:name="_Toc3380"/>
      <w:r>
        <w:rPr>
          <w:rFonts w:hint="eastAsia"/>
          <w:lang w:val="en-US" w:eastAsia="zh-CN"/>
        </w:rPr>
        <w:t>入河排污口设置可行性分析</w:t>
      </w:r>
      <w:bookmarkEnd w:id="82"/>
    </w:p>
    <w:p>
      <w:pPr>
        <w:pStyle w:val="61"/>
        <w:bidi w:val="0"/>
        <w:rPr>
          <w:rFonts w:hint="default"/>
          <w:lang w:val="en-US" w:eastAsia="zh-CN"/>
        </w:rPr>
      </w:pPr>
      <w:r>
        <w:rPr>
          <w:rFonts w:hint="eastAsia"/>
          <w:lang w:val="en-US" w:eastAsia="zh-CN"/>
        </w:rPr>
        <w:t>与《中华人民共和国水法》《中华人民共和国水污染防治法》等法律法规符合性分析</w:t>
      </w:r>
    </w:p>
    <w:p>
      <w:pPr>
        <w:rPr>
          <w:rFonts w:hint="eastAsia"/>
          <w:lang w:val="en-US" w:eastAsia="zh-CN"/>
        </w:rPr>
      </w:pPr>
      <w:r>
        <w:rPr>
          <w:rFonts w:hint="eastAsia"/>
          <w:lang w:val="en-US" w:eastAsia="zh-CN"/>
        </w:rPr>
        <w:t>本入河排污口与《中华人民共和国水法》《中华人民共和国水污染防治法》等法律法规符合性分析见下表所示。</w:t>
      </w:r>
    </w:p>
    <w:p>
      <w:pPr>
        <w:pStyle w:val="56"/>
        <w:bidi w:val="0"/>
        <w:ind w:left="960" w:leftChars="0" w:firstLineChars="0"/>
        <w:rPr>
          <w:rFonts w:hint="default"/>
          <w:vertAlign w:val="baseline"/>
          <w:lang w:val="en-US" w:eastAsia="zh-CN"/>
        </w:rPr>
      </w:pPr>
      <w:r>
        <w:rPr>
          <w:rFonts w:hint="eastAsia"/>
          <w:lang w:val="en-US" w:eastAsia="zh-CN"/>
        </w:rPr>
        <w:t>项目与《中华人民共和国水法》《中华人民共和国水污染防治法》相符性分析</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3469"/>
        <w:gridCol w:w="3389"/>
        <w:gridCol w:w="12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51"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法律名称</w:t>
            </w:r>
          </w:p>
        </w:tc>
        <w:tc>
          <w:tcPr>
            <w:tcW w:w="34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法律要求</w:t>
            </w:r>
          </w:p>
        </w:tc>
        <w:tc>
          <w:tcPr>
            <w:tcW w:w="338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相符性分析</w:t>
            </w:r>
          </w:p>
        </w:tc>
        <w:tc>
          <w:tcPr>
            <w:tcW w:w="1233"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51"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《中华人民共和国 水法》</w:t>
            </w:r>
          </w:p>
        </w:tc>
        <w:tc>
          <w:tcPr>
            <w:tcW w:w="34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第三十四条：禁止在饮用水水源保护区 内设置排污口。在江河、湖泊新建、改建或者扩大排污 口，应当经过有管辖权的水行政主管部门或者流域管理机构同意，由环境保护行政主管部门负责对该建设项目的环境影响报告书进行审批。</w:t>
            </w:r>
          </w:p>
        </w:tc>
        <w:tc>
          <w:tcPr>
            <w:tcW w:w="338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ascii="宋体" w:hAnsi="宋体" w:eastAsia="宋体" w:cs="宋体"/>
                <w:b w:val="0"/>
                <w:bCs w:val="0"/>
                <w:color w:val="000000" w:themeColor="text1"/>
                <w:kern w:val="2"/>
                <w:sz w:val="21"/>
                <w:szCs w:val="21"/>
                <w14:textFill>
                  <w14:solidFill>
                    <w14:schemeClr w14:val="tx1"/>
                  </w14:solidFill>
                </w14:textFill>
              </w:rPr>
              <w:t>项目受纳水体为</w:t>
            </w:r>
            <w:r>
              <w:rPr>
                <w:rFonts w:hint="eastAsia" w:ascii="宋体" w:hAnsi="宋体" w:cs="宋体"/>
                <w:b w:val="0"/>
                <w:bCs w:val="0"/>
                <w:color w:val="000000" w:themeColor="text1"/>
                <w:kern w:val="2"/>
                <w:sz w:val="21"/>
                <w:szCs w:val="21"/>
                <w:lang w:val="en-US" w:eastAsia="zh-CN"/>
                <w14:textFill>
                  <w14:solidFill>
                    <w14:schemeClr w14:val="tx1"/>
                  </w14:solidFill>
                </w14:textFill>
              </w:rPr>
              <w:t>项目西北侧无名小溪</w:t>
            </w:r>
            <w:r>
              <w:rPr>
                <w:rFonts w:ascii="宋体" w:hAnsi="宋体" w:eastAsia="宋体" w:cs="宋体"/>
                <w:b w:val="0"/>
                <w:bCs w:val="0"/>
                <w:color w:val="000000" w:themeColor="text1"/>
                <w:kern w:val="2"/>
                <w:sz w:val="21"/>
                <w:szCs w:val="21"/>
                <w14:textFill>
                  <w14:solidFill>
                    <w14:schemeClr w14:val="tx1"/>
                  </w14:solidFill>
                </w14:textFill>
              </w:rPr>
              <w:t>，排污口及其影响范围内不涉及饮用水水源保护区</w:t>
            </w:r>
            <w:r>
              <w:rPr>
                <w:rFonts w:hint="default"/>
                <w:color w:val="000000" w:themeColor="text1"/>
                <w:kern w:val="2"/>
                <w:sz w:val="21"/>
                <w:szCs w:val="21"/>
                <w:lang w:val="en-US" w:eastAsia="zh-CN"/>
                <w14:textFill>
                  <w14:solidFill>
                    <w14:schemeClr w14:val="tx1"/>
                  </w14:solidFill>
                </w14:textFill>
              </w:rPr>
              <w:t>。</w:t>
            </w:r>
          </w:p>
        </w:tc>
        <w:tc>
          <w:tcPr>
            <w:tcW w:w="1233"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51"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c>
          <w:tcPr>
            <w:tcW w:w="34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第三十七条：禁止在河道管理范围内建设妨碍行洪的建筑物、构筑物以及从事影响河势稳定、危害河岸堤防安全和其他妨碍河道行洪的活动。</w:t>
            </w:r>
          </w:p>
        </w:tc>
        <w:tc>
          <w:tcPr>
            <w:tcW w:w="338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本排污口为岸边排放，不会对河道防洪产生影响。</w:t>
            </w:r>
          </w:p>
        </w:tc>
        <w:tc>
          <w:tcPr>
            <w:tcW w:w="1233"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51"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《中华人民共和国水污染防 治法》</w:t>
            </w:r>
          </w:p>
        </w:tc>
        <w:tc>
          <w:tcPr>
            <w:tcW w:w="34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第十九条：新建、改建、扩建直接或者 间接向水体排放污染物的建设项目和其他水上设施，应当依法进行环境影响评价。建设单位在江河、湖泊新建、改建、扩建排污口的，应当取得水行政主管部门或者流域管理机构同意。</w:t>
            </w:r>
          </w:p>
        </w:tc>
        <w:tc>
          <w:tcPr>
            <w:tcW w:w="338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建设单位已委托单位开展环境影响评价编制工作；通过本次入河排污口论证，申请入河排污口设置许可。</w:t>
            </w:r>
          </w:p>
        </w:tc>
        <w:tc>
          <w:tcPr>
            <w:tcW w:w="1233"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51"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《中华人民共和国水污染防 治法》</w:t>
            </w:r>
          </w:p>
        </w:tc>
        <w:tc>
          <w:tcPr>
            <w:tcW w:w="34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第二十三条实行排污许可管理的企业事业单位和其他生产经营者应当按照国家有关规定和监测规范，对所排放的水污染物自行监测，并保存原始监测记录。重点排污单位还应当安装水污染物排放自动监测设备，与 环境保护主管部门的监控设备联网，并保证监测设备正常运行</w:t>
            </w:r>
          </w:p>
        </w:tc>
        <w:tc>
          <w:tcPr>
            <w:tcW w:w="338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本排污口严格按照相关技术规范，安装水质自动监测设备，并与生态环境主管部门的监控设备联网。</w:t>
            </w:r>
          </w:p>
        </w:tc>
        <w:tc>
          <w:tcPr>
            <w:tcW w:w="1233"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51"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c>
          <w:tcPr>
            <w:tcW w:w="34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第六十四条：在饮用水水源保护区内，禁止设置排污口。</w:t>
            </w:r>
          </w:p>
        </w:tc>
        <w:tc>
          <w:tcPr>
            <w:tcW w:w="338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ascii="宋体" w:hAnsi="宋体" w:eastAsia="宋体" w:cs="宋体"/>
                <w:b w:val="0"/>
                <w:bCs w:val="0"/>
                <w:color w:val="000000" w:themeColor="text1"/>
                <w:kern w:val="2"/>
                <w:sz w:val="21"/>
                <w:szCs w:val="21"/>
                <w14:textFill>
                  <w14:solidFill>
                    <w14:schemeClr w14:val="tx1"/>
                  </w14:solidFill>
                </w14:textFill>
              </w:rPr>
              <w:t>项目受纳水体为</w:t>
            </w:r>
            <w:r>
              <w:rPr>
                <w:rFonts w:hint="eastAsia" w:ascii="宋体" w:hAnsi="宋体" w:cs="宋体"/>
                <w:b w:val="0"/>
                <w:bCs w:val="0"/>
                <w:color w:val="000000" w:themeColor="text1"/>
                <w:kern w:val="2"/>
                <w:sz w:val="21"/>
                <w:szCs w:val="21"/>
                <w:lang w:val="en-US" w:eastAsia="zh-CN"/>
                <w14:textFill>
                  <w14:solidFill>
                    <w14:schemeClr w14:val="tx1"/>
                  </w14:solidFill>
                </w14:textFill>
              </w:rPr>
              <w:t>项目西北侧无名小溪</w:t>
            </w:r>
            <w:r>
              <w:rPr>
                <w:rFonts w:ascii="宋体" w:hAnsi="宋体" w:eastAsia="宋体" w:cs="宋体"/>
                <w:b w:val="0"/>
                <w:bCs w:val="0"/>
                <w:color w:val="000000" w:themeColor="text1"/>
                <w:kern w:val="2"/>
                <w:sz w:val="21"/>
                <w:szCs w:val="21"/>
                <w14:textFill>
                  <w14:solidFill>
                    <w14:schemeClr w14:val="tx1"/>
                  </w14:solidFill>
                </w14:textFill>
              </w:rPr>
              <w:t>，排污口及其影响范围内不涉及饮用水水源保护区</w:t>
            </w:r>
            <w:r>
              <w:rPr>
                <w:rFonts w:hint="default"/>
                <w:color w:val="000000" w:themeColor="text1"/>
                <w:kern w:val="2"/>
                <w:sz w:val="21"/>
                <w:szCs w:val="21"/>
                <w:lang w:val="en-US" w:eastAsia="zh-CN"/>
                <w14:textFill>
                  <w14:solidFill>
                    <w14:schemeClr w14:val="tx1"/>
                  </w14:solidFill>
                </w14:textFill>
              </w:rPr>
              <w:t>。</w:t>
            </w:r>
          </w:p>
        </w:tc>
        <w:tc>
          <w:tcPr>
            <w:tcW w:w="1233"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r>
    </w:tbl>
    <w:p>
      <w:pPr>
        <w:pStyle w:val="61"/>
        <w:bidi w:val="0"/>
        <w:rPr>
          <w:rFonts w:hint="default"/>
          <w:lang w:val="en-US" w:eastAsia="zh-CN"/>
        </w:rPr>
      </w:pPr>
      <w:r>
        <w:rPr>
          <w:rFonts w:hint="eastAsia"/>
          <w:lang w:val="en-US" w:eastAsia="zh-CN"/>
        </w:rPr>
        <w:t>与《中华人民共和国自然保护区条例》（2017年修订）符合性分析</w:t>
      </w:r>
    </w:p>
    <w:p>
      <w:pPr>
        <w:rPr>
          <w:rFonts w:hint="eastAsia"/>
          <w:lang w:val="en-US" w:eastAsia="zh-CN"/>
        </w:rPr>
      </w:pPr>
      <w:r>
        <w:rPr>
          <w:rFonts w:hint="eastAsia"/>
          <w:lang w:val="en-US" w:eastAsia="zh-CN"/>
        </w:rPr>
        <w:t>本入河排污口与《中华人民共和国自然保护区条例》（2017年修订）相关要求符合性分析见下表所示。</w:t>
      </w:r>
    </w:p>
    <w:p>
      <w:pPr>
        <w:rPr>
          <w:rFonts w:hint="eastAsia"/>
          <w:lang w:val="en-US" w:eastAsia="zh-CN"/>
        </w:rPr>
      </w:pPr>
    </w:p>
    <w:p>
      <w:pPr>
        <w:pStyle w:val="56"/>
        <w:bidi w:val="0"/>
        <w:ind w:left="960" w:leftChars="0" w:firstLineChars="0"/>
        <w:rPr>
          <w:rFonts w:hint="default"/>
          <w:vertAlign w:val="baseline"/>
          <w:lang w:val="en-US" w:eastAsia="zh-CN"/>
        </w:rPr>
      </w:pPr>
      <w:r>
        <w:rPr>
          <w:rFonts w:hint="eastAsia"/>
          <w:lang w:val="en-US" w:eastAsia="zh-CN"/>
        </w:rPr>
        <w:t>项目与《中华人民共和国自然保护区条例》（2017年修订）相符性分析</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17"/>
        <w:gridCol w:w="4140"/>
        <w:gridCol w:w="9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17" w:type="dxa"/>
            <w:tcBorders>
              <w:top w:val="single" w:color="auto" w:sz="12" w:space="0"/>
              <w:left w:val="single" w:color="auto" w:sz="12" w:space="0"/>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法律要求</w:t>
            </w:r>
          </w:p>
        </w:tc>
        <w:tc>
          <w:tcPr>
            <w:tcW w:w="4140" w:type="dxa"/>
            <w:tcBorders>
              <w:top w:val="single" w:color="auto" w:sz="12" w:space="0"/>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相符性分析</w:t>
            </w:r>
          </w:p>
        </w:tc>
        <w:tc>
          <w:tcPr>
            <w:tcW w:w="983" w:type="dxa"/>
            <w:tcBorders>
              <w:top w:val="single" w:color="auto" w:sz="12" w:space="0"/>
              <w:right w:val="single" w:color="auto" w:sz="12" w:space="0"/>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17" w:type="dxa"/>
            <w:tcBorders>
              <w:left w:val="single" w:color="auto" w:sz="12" w:space="0"/>
              <w:bottom w:val="single" w:color="auto" w:sz="12" w:space="0"/>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第三十二条在自然保护区的核心区和缓冲区内，不得建设任何生产设施。在自然保护区的试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tc>
        <w:tc>
          <w:tcPr>
            <w:tcW w:w="4140" w:type="dxa"/>
            <w:tcBorders>
              <w:bottom w:val="single" w:color="auto" w:sz="12" w:space="0"/>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ascii="宋体" w:hAnsi="宋体" w:eastAsia="宋体" w:cs="宋体"/>
                <w:b w:val="0"/>
                <w:bCs w:val="0"/>
                <w:color w:val="000000" w:themeColor="text1"/>
                <w:kern w:val="2"/>
                <w:sz w:val="21"/>
                <w:szCs w:val="21"/>
                <w14:textFill>
                  <w14:solidFill>
                    <w14:schemeClr w14:val="tx1"/>
                  </w14:solidFill>
                </w14:textFill>
              </w:rPr>
              <w:t>项目受纳水体为</w:t>
            </w:r>
            <w:r>
              <w:rPr>
                <w:rFonts w:hint="eastAsia" w:ascii="宋体" w:hAnsi="宋体" w:cs="宋体"/>
                <w:b w:val="0"/>
                <w:bCs w:val="0"/>
                <w:color w:val="000000" w:themeColor="text1"/>
                <w:kern w:val="2"/>
                <w:sz w:val="21"/>
                <w:szCs w:val="21"/>
                <w:lang w:val="en-US" w:eastAsia="zh-CN"/>
                <w14:textFill>
                  <w14:solidFill>
                    <w14:schemeClr w14:val="tx1"/>
                  </w14:solidFill>
                </w14:textFill>
              </w:rPr>
              <w:t>项目西北侧无名小溪</w:t>
            </w:r>
            <w:r>
              <w:rPr>
                <w:rFonts w:ascii="宋体" w:hAnsi="宋体" w:eastAsia="宋体" w:cs="宋体"/>
                <w:b w:val="0"/>
                <w:bCs w:val="0"/>
                <w:color w:val="000000" w:themeColor="text1"/>
                <w:kern w:val="2"/>
                <w:sz w:val="21"/>
                <w:szCs w:val="21"/>
                <w14:textFill>
                  <w14:solidFill>
                    <w14:schemeClr w14:val="tx1"/>
                  </w14:solidFill>
                </w14:textFill>
              </w:rPr>
              <w:t>，排污口及其影响范围内不涉及饮用水水源保护区</w:t>
            </w:r>
            <w:r>
              <w:rPr>
                <w:rFonts w:hint="default"/>
                <w:color w:val="000000" w:themeColor="text1"/>
                <w:kern w:val="2"/>
                <w:sz w:val="21"/>
                <w:szCs w:val="21"/>
                <w:lang w:val="en-US" w:eastAsia="zh-CN"/>
                <w14:textFill>
                  <w14:solidFill>
                    <w14:schemeClr w14:val="tx1"/>
                  </w14:solidFill>
                </w14:textFill>
              </w:rPr>
              <w:t>。</w:t>
            </w:r>
          </w:p>
        </w:tc>
        <w:tc>
          <w:tcPr>
            <w:tcW w:w="983" w:type="dxa"/>
            <w:tcBorders>
              <w:bottom w:val="single" w:color="auto" w:sz="12" w:space="0"/>
              <w:right w:val="single" w:color="auto" w:sz="12" w:space="0"/>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bl>
    <w:p>
      <w:pPr>
        <w:pStyle w:val="61"/>
        <w:bidi w:val="0"/>
        <w:rPr>
          <w:rFonts w:hint="default"/>
          <w:lang w:val="en-US" w:eastAsia="zh-CN"/>
        </w:rPr>
      </w:pPr>
      <w:r>
        <w:rPr>
          <w:rFonts w:hint="eastAsia"/>
          <w:lang w:val="en-US" w:eastAsia="zh-CN"/>
        </w:rPr>
        <w:t>与《湖南省水功能区监督管理办法》的符合性分析</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本项目排污口位于项目西北侧无名小溪右岸，与《湖南省水功能区监督管理办法》相关条款符合性分析见下表所示。</w:t>
      </w:r>
    </w:p>
    <w:p>
      <w:pPr>
        <w:pStyle w:val="56"/>
        <w:bidi w:val="0"/>
        <w:ind w:left="960" w:leftChars="0" w:firstLineChars="0"/>
        <w:rPr>
          <w:rFonts w:hint="default"/>
          <w:vertAlign w:val="baseline"/>
          <w:lang w:val="en-US" w:eastAsia="zh-CN"/>
        </w:rPr>
      </w:pPr>
      <w:r>
        <w:rPr>
          <w:rFonts w:hint="eastAsia"/>
          <w:lang w:val="en-US" w:eastAsia="zh-CN"/>
        </w:rPr>
        <w:t>项目与《湖南省水功能区监督管理办法》相符性分析</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3097"/>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tcBorders>
              <w:top w:val="single" w:color="auto" w:sz="12" w:space="0"/>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《湖南省水功能区监督管理办法》相关条款</w:t>
            </w:r>
          </w:p>
        </w:tc>
        <w:tc>
          <w:tcPr>
            <w:tcW w:w="3097" w:type="dxa"/>
            <w:tcBorders>
              <w:top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本排污口</w:t>
            </w:r>
          </w:p>
        </w:tc>
        <w:tc>
          <w:tcPr>
            <w:tcW w:w="1441" w:type="dxa"/>
            <w:tcBorders>
              <w:top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饮用水源区按照规划要求属于饮用水水源地的，禁止新设入河排污口，并严格控制其他功能的取水。</w:t>
            </w:r>
          </w:p>
        </w:tc>
        <w:tc>
          <w:tcPr>
            <w:tcW w:w="309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不属于饮用水水源地</w:t>
            </w:r>
          </w:p>
        </w:tc>
        <w:tc>
          <w:tcPr>
            <w:tcW w:w="1441"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在工业用水区和农业用水区设置入河排污口，应当保证该功能区内取水点的水质符合工业及农业用水水质要求。</w:t>
            </w:r>
          </w:p>
        </w:tc>
        <w:tc>
          <w:tcPr>
            <w:tcW w:w="309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预测水质满足工业及农业用水水质要求</w:t>
            </w:r>
          </w:p>
        </w:tc>
        <w:tc>
          <w:tcPr>
            <w:tcW w:w="1441"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tcBorders>
              <w:lef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重要渔业水体的保护区内，禁止新设入河排污口。</w:t>
            </w:r>
          </w:p>
        </w:tc>
        <w:tc>
          <w:tcPr>
            <w:tcW w:w="3097" w:type="dxa"/>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不位于重要渔业水体的保护区内</w:t>
            </w:r>
          </w:p>
        </w:tc>
        <w:tc>
          <w:tcPr>
            <w:tcW w:w="1441" w:type="dxa"/>
            <w:tcBorders>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tcBorders>
              <w:left w:val="single" w:color="auto" w:sz="12" w:space="0"/>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风景名胜区的涉水区内，禁止新设入河排污口</w:t>
            </w:r>
          </w:p>
        </w:tc>
        <w:tc>
          <w:tcPr>
            <w:tcW w:w="3097" w:type="dxa"/>
            <w:tcBorders>
              <w:bottom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不属于</w:t>
            </w:r>
          </w:p>
        </w:tc>
        <w:tc>
          <w:tcPr>
            <w:tcW w:w="1441" w:type="dxa"/>
            <w:tcBorders>
              <w:bottom w:val="single" w:color="auto" w:sz="12" w:space="0"/>
              <w:right w:val="single" w:color="auto" w:sz="12" w:space="0"/>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符合</w:t>
            </w:r>
          </w:p>
        </w:tc>
      </w:tr>
    </w:tbl>
    <w:p>
      <w:pPr>
        <w:pStyle w:val="103"/>
        <w:bidi w:val="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综上，本排污口符合《湖南省水功能区监督管理办法》的要求。</w:t>
      </w:r>
    </w:p>
    <w:p>
      <w:pPr>
        <w:pStyle w:val="61"/>
        <w:bidi w:val="0"/>
        <w:rPr>
          <w:rFonts w:hint="default"/>
          <w:lang w:val="en-US" w:eastAsia="zh-CN"/>
        </w:rPr>
      </w:pPr>
      <w:r>
        <w:rPr>
          <w:rFonts w:hint="eastAsia"/>
          <w:lang w:val="en-US" w:eastAsia="zh-CN"/>
        </w:rPr>
        <w:t>与入河排污口设置基本要求的相符性分析</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ascii="宋体" w:hAnsi="宋体" w:eastAsia="宋体" w:cs="宋体"/>
          <w:b w:val="0"/>
          <w:bCs w:val="0"/>
          <w:color w:val="000000"/>
          <w:sz w:val="24"/>
          <w:szCs w:val="24"/>
        </w:rPr>
      </w:pPr>
      <w:r>
        <w:rPr>
          <w:rFonts w:hint="eastAsia"/>
          <w:lang w:val="en-US" w:eastAsia="zh-CN"/>
        </w:rPr>
        <w:t>按照《入河排污口监督管理办法》（2015年修正本）及《湖南省入河排污口监督管理办法》（湘政办</w:t>
      </w:r>
      <w:r>
        <w:rPr>
          <w:rFonts w:ascii="宋体" w:hAnsi="宋体" w:eastAsia="宋体" w:cs="宋体"/>
          <w:b w:val="0"/>
          <w:bCs w:val="0"/>
          <w:color w:val="000000"/>
          <w:sz w:val="24"/>
          <w:szCs w:val="24"/>
        </w:rPr>
        <w:t>﹝</w:t>
      </w:r>
      <w:r>
        <w:rPr>
          <w:rFonts w:ascii="TimesNewRomanPSMT" w:hAnsi="TimesNewRomanPSMT" w:eastAsia="TimesNewRomanPSMT" w:cs="TimesNewRomanPSMT"/>
          <w:b w:val="0"/>
          <w:bCs w:val="0"/>
          <w:color w:val="000000"/>
          <w:sz w:val="24"/>
          <w:szCs w:val="24"/>
        </w:rPr>
        <w:t>2018</w:t>
      </w:r>
      <w:r>
        <w:rPr>
          <w:rFonts w:ascii="宋体" w:hAnsi="宋体" w:eastAsia="宋体" w:cs="宋体"/>
          <w:b w:val="0"/>
          <w:bCs w:val="0"/>
          <w:color w:val="000000"/>
          <w:sz w:val="24"/>
          <w:szCs w:val="24"/>
        </w:rPr>
        <w:t>﹞</w:t>
      </w:r>
      <w:r>
        <w:rPr>
          <w:rFonts w:hint="default" w:ascii="TimesNewRomanPSMT" w:hAnsi="TimesNewRomanPSMT" w:eastAsia="TimesNewRomanPSMT" w:cs="TimesNewRomanPSMT"/>
          <w:b w:val="0"/>
          <w:bCs w:val="0"/>
          <w:color w:val="000000"/>
          <w:sz w:val="24"/>
          <w:szCs w:val="24"/>
        </w:rPr>
        <w:t>44</w:t>
      </w:r>
      <w:r>
        <w:rPr>
          <w:rFonts w:ascii="宋体" w:hAnsi="宋体" w:eastAsia="宋体" w:cs="宋体"/>
          <w:b w:val="0"/>
          <w:bCs w:val="0"/>
          <w:color w:val="000000"/>
          <w:sz w:val="24"/>
          <w:szCs w:val="24"/>
        </w:rPr>
        <w:t>号</w:t>
      </w:r>
      <w:r>
        <w:rPr>
          <w:rFonts w:hint="eastAsia"/>
          <w:lang w:val="en-US" w:eastAsia="zh-CN"/>
        </w:rPr>
        <w:t>）、</w:t>
      </w:r>
      <w:r>
        <w:rPr>
          <w:rFonts w:hint="eastAsia" w:ascii="Times New Roman" w:hAnsi="Times New Roman"/>
          <w:color w:val="000000"/>
          <w:sz w:val="24"/>
          <w:lang w:val="zh-CN"/>
        </w:rPr>
        <w:t>《国务院办公厅关于加强入河入海排污口监督管理工作的实施意见》(国办函</w:t>
      </w:r>
      <w:r>
        <w:rPr>
          <w:rFonts w:ascii="Times New Roman" w:hAnsi="Times New Roman"/>
          <w:color w:val="000000"/>
          <w:sz w:val="24"/>
          <w:lang w:val="zh-CN"/>
        </w:rPr>
        <w:t>﹝20</w:t>
      </w:r>
      <w:r>
        <w:rPr>
          <w:rFonts w:hint="eastAsia" w:ascii="Times New Roman" w:hAnsi="Times New Roman"/>
          <w:color w:val="000000"/>
          <w:sz w:val="24"/>
          <w:lang w:val="zh-CN"/>
        </w:rPr>
        <w:t>22</w:t>
      </w:r>
      <w:r>
        <w:rPr>
          <w:rFonts w:ascii="Times New Roman" w:hAnsi="Times New Roman"/>
          <w:color w:val="000000"/>
          <w:sz w:val="24"/>
          <w:lang w:val="zh-CN"/>
        </w:rPr>
        <w:t>﹞</w:t>
      </w:r>
      <w:r>
        <w:rPr>
          <w:rFonts w:hint="eastAsia" w:ascii="Times New Roman" w:hAnsi="Times New Roman"/>
          <w:color w:val="000000"/>
          <w:sz w:val="24"/>
          <w:lang w:val="zh-CN"/>
        </w:rPr>
        <w:t>17号)及《关于规范入河排污口设置审批工作的函》（湘环函</w:t>
      </w:r>
      <w:r>
        <w:rPr>
          <w:rFonts w:ascii="Times New Roman" w:hAnsi="Times New Roman"/>
          <w:color w:val="000000"/>
          <w:sz w:val="24"/>
          <w:lang w:val="zh-CN"/>
        </w:rPr>
        <w:t>﹝20</w:t>
      </w:r>
      <w:r>
        <w:rPr>
          <w:rFonts w:hint="eastAsia" w:ascii="Times New Roman" w:hAnsi="Times New Roman"/>
          <w:color w:val="000000"/>
          <w:sz w:val="24"/>
          <w:lang w:val="zh-CN"/>
        </w:rPr>
        <w:t>21</w:t>
      </w:r>
      <w:r>
        <w:rPr>
          <w:rFonts w:ascii="Times New Roman" w:hAnsi="Times New Roman"/>
          <w:color w:val="000000"/>
          <w:sz w:val="24"/>
          <w:lang w:val="zh-CN"/>
        </w:rPr>
        <w:t>﹞</w:t>
      </w:r>
      <w:r>
        <w:rPr>
          <w:rFonts w:hint="eastAsia" w:ascii="Times New Roman" w:hAnsi="Times New Roman"/>
          <w:color w:val="000000"/>
          <w:sz w:val="24"/>
          <w:lang w:val="zh-CN"/>
        </w:rPr>
        <w:t>71号）</w:t>
      </w:r>
      <w:r>
        <w:rPr>
          <w:rFonts w:ascii="Times New Roman" w:hAnsi="Times New Roman"/>
          <w:color w:val="000000"/>
          <w:sz w:val="24"/>
          <w:lang w:val="zh-CN"/>
        </w:rPr>
        <w:t>中相关要求进行</w:t>
      </w:r>
      <w:r>
        <w:rPr>
          <w:rFonts w:ascii="宋体" w:hAnsi="宋体" w:eastAsia="宋体" w:cs="宋体"/>
          <w:b w:val="0"/>
          <w:bCs w:val="0"/>
          <w:color w:val="000000"/>
          <w:sz w:val="24"/>
          <w:szCs w:val="24"/>
        </w:rPr>
        <w:t>相关要求，本工程符合性分析见下表。</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ascii="宋体" w:hAnsi="宋体" w:eastAsia="宋体" w:cs="宋体"/>
          <w:b w:val="0"/>
          <w:bCs w:val="0"/>
          <w:color w:val="000000"/>
          <w:sz w:val="24"/>
          <w:szCs w:val="24"/>
        </w:rPr>
      </w:pPr>
    </w:p>
    <w:p>
      <w:pPr>
        <w:pStyle w:val="18"/>
        <w:keepNext w:val="0"/>
        <w:keepLines w:val="0"/>
        <w:pageBreakBefore w:val="0"/>
        <w:widowControl w:val="0"/>
        <w:kinsoku/>
        <w:wordWrap/>
        <w:overflowPunct/>
        <w:topLinePunct w:val="0"/>
        <w:autoSpaceDE/>
        <w:autoSpaceDN/>
        <w:bidi w:val="0"/>
        <w:adjustRightInd/>
        <w:snapToGrid/>
        <w:spacing w:after="0"/>
        <w:textAlignment w:val="auto"/>
        <w:rPr>
          <w:rFonts w:ascii="宋体" w:hAnsi="宋体" w:eastAsia="宋体" w:cs="宋体"/>
          <w:b w:val="0"/>
          <w:bCs w:val="0"/>
          <w:color w:val="000000"/>
          <w:sz w:val="24"/>
          <w:szCs w:val="24"/>
        </w:rPr>
      </w:pPr>
    </w:p>
    <w:p>
      <w:pPr>
        <w:pStyle w:val="18"/>
        <w:keepNext w:val="0"/>
        <w:keepLines w:val="0"/>
        <w:pageBreakBefore w:val="0"/>
        <w:widowControl w:val="0"/>
        <w:kinsoku/>
        <w:wordWrap/>
        <w:overflowPunct/>
        <w:topLinePunct w:val="0"/>
        <w:autoSpaceDE/>
        <w:autoSpaceDN/>
        <w:bidi w:val="0"/>
        <w:adjustRightInd/>
        <w:snapToGrid/>
        <w:spacing w:after="0"/>
        <w:textAlignment w:val="auto"/>
        <w:rPr>
          <w:rFonts w:ascii="宋体" w:hAnsi="宋体" w:eastAsia="宋体" w:cs="宋体"/>
          <w:b w:val="0"/>
          <w:bCs w:val="0"/>
          <w:color w:val="000000"/>
          <w:sz w:val="24"/>
          <w:szCs w:val="24"/>
        </w:rPr>
      </w:pPr>
    </w:p>
    <w:p>
      <w:pPr>
        <w:pStyle w:val="56"/>
        <w:bidi w:val="0"/>
        <w:ind w:left="960" w:leftChars="0" w:firstLineChars="0"/>
        <w:rPr>
          <w:rFonts w:hint="default"/>
          <w:lang w:val="en-US" w:eastAsia="zh-CN"/>
        </w:rPr>
      </w:pPr>
      <w:r>
        <w:rPr>
          <w:rFonts w:hint="eastAsia"/>
          <w:vertAlign w:val="baseline"/>
          <w:lang w:val="en-US" w:eastAsia="zh-CN"/>
        </w:rPr>
        <w:t>与入河口设置基本要求相符性分析</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466"/>
        <w:gridCol w:w="3455"/>
        <w:gridCol w:w="3521"/>
        <w:gridCol w:w="180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tblHeader/>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
                <w:bCs w:val="0"/>
                <w:color w:val="000000" w:themeColor="text1"/>
                <w:kern w:val="0"/>
                <w:sz w:val="21"/>
                <w:szCs w:val="21"/>
                <w:u w:val="none"/>
                <w:lang w:val="en-US" w:eastAsia="zh-CN" w:bidi="ar-SA"/>
                <w14:textFill>
                  <w14:solidFill>
                    <w14:schemeClr w14:val="tx1"/>
                  </w14:solidFill>
                </w14:textFill>
              </w:rPr>
            </w:pPr>
            <w: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t>序号</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t>情形</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t>本项目情况分析</w:t>
            </w:r>
          </w:p>
        </w:tc>
        <w:tc>
          <w:tcPr>
            <w:tcW w:w="97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t>分析结论</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《入河排污口监督管理办法》（2015年修正本）第十四条规定：有下列情形之一的，不予同意设置入河排污口：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1</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在饮用水水源保护区内设置入河排污口的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本项目排污口位于</w:t>
            </w:r>
            <w:r>
              <w:rPr>
                <w:rFonts w:hint="eastAsia" w:cs="Times New Roman"/>
                <w:bCs/>
                <w:color w:val="000000" w:themeColor="text1"/>
                <w:kern w:val="2"/>
                <w:sz w:val="21"/>
                <w:szCs w:val="21"/>
                <w:u w:val="none"/>
                <w:lang w:val="en-US" w:eastAsia="zh-CN" w:bidi="ar-SA"/>
                <w14:textFill>
                  <w14:solidFill>
                    <w14:schemeClr w14:val="tx1"/>
                  </w14:solidFill>
                </w14:textFill>
              </w:rPr>
              <w:t>项目西北侧无名小溪</w:t>
            </w: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，且排污口所在河段不属于饮用水水源保护区</w:t>
            </w:r>
          </w:p>
        </w:tc>
        <w:tc>
          <w:tcPr>
            <w:tcW w:w="972" w:type="pct"/>
            <w:vMerge w:val="restar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本项目排污口设置符合</w:t>
            </w: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《入河排污口监督管理办法》（2015年修正本）要求。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2</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在省级以上人民政府要求削减排污总量的水域设置入河排污口的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排污口所在水域不属于省级以上人民政府要求削减排污总量的水域</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3</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入河排污口设置可能使水域水质达不到水功能区要求的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经预测分析，本项目入河排污口设置不会引起水域水质超过所在水功能区水质目标</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入河排污口设置直接影响合法取水户用水安全的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排污河段无合法取水户，项目排污口设置不涉及影响合法取水户用水安全</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5</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入河排污口设置不符合防洪要求的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本项目排污口为岸边排放，基本不会对河道防洪产生影响</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6</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不符合法律、法规和国家产业政策规定的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项目排污口设置符合相关法律法规和国家产业政策规定</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7</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其他不符合国务院水行政主管部门规定条件的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本项目设置的排污口不存在其他不符合国务院水行政主管部门规定条件的情形</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《湖南省入河排污口监督管理办法》（湘政办﹝2018﹞44 号）第十五条规定有下列情形之一的，不予同意设置入河排污口：</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1</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饮用水水源一级、二级保护区内</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本项目排污口所在水域不涉及饮用水水源保护区</w:t>
            </w:r>
          </w:p>
        </w:tc>
        <w:tc>
          <w:tcPr>
            <w:tcW w:w="972" w:type="pct"/>
            <w:vMerge w:val="restar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本项目排污口设置符合《湖南省入河排污口监督管理办法》（湘政办﹝2018﹞44号）要求</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2</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自然保护区核心区、缓冲区内</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本项目排污口</w:t>
            </w:r>
            <w:r>
              <w:rPr>
                <w:rFonts w:hint="eastAsia" w:cs="Times New Roman"/>
                <w:bCs/>
                <w:color w:val="000000" w:themeColor="text1"/>
                <w:kern w:val="2"/>
                <w:sz w:val="21"/>
                <w:szCs w:val="21"/>
                <w:u w:val="none"/>
                <w:lang w:val="en-US" w:eastAsia="zh-CN" w:bidi="ar-SA"/>
                <w14:textFill>
                  <w14:solidFill>
                    <w14:schemeClr w14:val="tx1"/>
                  </w14:solidFill>
                </w14:textFill>
              </w:rPr>
              <w:t>不属于自然保护区核心区、缓冲区</w:t>
            </w:r>
          </w:p>
        </w:tc>
        <w:tc>
          <w:tcPr>
            <w:tcW w:w="972" w:type="pct"/>
            <w:vMerge w:val="continue"/>
            <w:noWrap w:val="0"/>
            <w:vAlign w:val="center"/>
          </w:tcPr>
          <w:p>
            <w:pPr>
              <w:widowControl/>
              <w:spacing w:line="240" w:lineRule="auto"/>
              <w:ind w:firstLine="0" w:firstLineChars="0"/>
              <w:jc w:val="center"/>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3</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水产种质资源保护区内</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本项目排污口</w:t>
            </w:r>
            <w:r>
              <w:rPr>
                <w:rFonts w:hint="eastAsia" w:cs="Times New Roman"/>
                <w:bCs/>
                <w:color w:val="000000" w:themeColor="text1"/>
                <w:kern w:val="2"/>
                <w:sz w:val="21"/>
                <w:szCs w:val="21"/>
                <w:u w:val="none"/>
                <w:lang w:val="en-US" w:eastAsia="zh-CN" w:bidi="ar-SA"/>
                <w14:textFill>
                  <w14:solidFill>
                    <w14:schemeClr w14:val="tx1"/>
                  </w14:solidFill>
                </w14:textFill>
              </w:rPr>
              <w:t>不属于自然保护区核心区、缓冲区</w:t>
            </w:r>
          </w:p>
        </w:tc>
        <w:tc>
          <w:tcPr>
            <w:tcW w:w="972" w:type="pct"/>
            <w:vMerge w:val="continue"/>
            <w:noWrap w:val="0"/>
            <w:vAlign w:val="center"/>
          </w:tcPr>
          <w:p>
            <w:pPr>
              <w:widowControl/>
              <w:spacing w:line="240" w:lineRule="auto"/>
              <w:ind w:firstLine="0" w:firstLineChars="0"/>
              <w:jc w:val="center"/>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省级以上湿地公园保育区、恢复重建区内</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w:t>
            </w:r>
            <w:r>
              <w:rPr>
                <w:rFonts w:hint="eastAsia"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不在省级以上湿地公园保育区、恢复重建区内</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5</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能够由污水系统接纳但拒不接入的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本项目不存在“能够由污水系统接纳但拒不接入的”情形</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6</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经论证不符合设置要求的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经论证，本项目排污口符合设置要求</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7</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设置可能使水域水质达不到水功能区要求的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根据预测，项目排污会对纳污水体造成一定影响，但不会引起水域水质达不到水功能区要求</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8</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其他不符合法律法规及国家和地方有关规定的</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本项目符合</w:t>
            </w: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法律法规及国家和地方有关规定</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pPr>
              <w:widowControl/>
              <w:spacing w:line="240" w:lineRule="auto"/>
              <w:ind w:firstLine="0" w:firstLineChars="0"/>
              <w:jc w:val="center"/>
              <w:rPr>
                <w:rFonts w:ascii="Times New Roman" w:hAnsi="Times New Roman" w:eastAsia="宋体" w:cs="Times New Roman"/>
                <w:snapToGrid/>
                <w:color w:val="000000" w:themeColor="text1"/>
                <w:kern w:val="0"/>
                <w:sz w:val="21"/>
                <w:szCs w:val="21"/>
                <w:u w:val="none"/>
                <w14:textFill>
                  <w14:solidFill>
                    <w14:schemeClr w14:val="tx1"/>
                  </w14:solidFill>
                </w14:textFill>
              </w:rPr>
            </w:pPr>
            <w:r>
              <w:rPr>
                <w:rFonts w:hint="eastAsia" w:ascii="Times New Roman" w:hAnsi="Times New Roman" w:eastAsia="宋体" w:cs="Times New Roman"/>
                <w:snapToGrid/>
                <w:color w:val="000000" w:themeColor="text1"/>
                <w:kern w:val="0"/>
                <w:sz w:val="21"/>
                <w:szCs w:val="21"/>
                <w:u w:val="none"/>
                <w14:textFill>
                  <w14:solidFill>
                    <w14:schemeClr w14:val="tx1"/>
                  </w14:solidFill>
                </w14:textFill>
              </w:rPr>
              <w:t>《国务院办公厅关于加强入河入海排污口监督管理工作的实施意见》(国办函</w:t>
            </w:r>
            <w:r>
              <w:rPr>
                <w:rFonts w:ascii="Times New Roman" w:hAnsi="Times New Roman" w:eastAsia="宋体" w:cs="Times New Roman"/>
                <w:snapToGrid/>
                <w:color w:val="000000" w:themeColor="text1"/>
                <w:kern w:val="2"/>
                <w:sz w:val="21"/>
                <w:szCs w:val="21"/>
                <w:u w:val="none"/>
                <w:lang w:val="zh-CN"/>
                <w14:textFill>
                  <w14:solidFill>
                    <w14:schemeClr w14:val="tx1"/>
                  </w14:solidFill>
                </w14:textFill>
              </w:rPr>
              <w:t>﹝20</w:t>
            </w:r>
            <w:r>
              <w:rPr>
                <w:rFonts w:hint="eastAsia" w:ascii="Times New Roman" w:hAnsi="Times New Roman" w:eastAsia="宋体" w:cs="Times New Roman"/>
                <w:snapToGrid/>
                <w:color w:val="000000" w:themeColor="text1"/>
                <w:kern w:val="2"/>
                <w:sz w:val="21"/>
                <w:szCs w:val="21"/>
                <w:u w:val="none"/>
                <w:lang w:val="zh-CN"/>
                <w14:textFill>
                  <w14:solidFill>
                    <w14:schemeClr w14:val="tx1"/>
                  </w14:solidFill>
                </w14:textFill>
              </w:rPr>
              <w:t>22</w:t>
            </w:r>
            <w:r>
              <w:rPr>
                <w:rFonts w:ascii="Times New Roman" w:hAnsi="Times New Roman" w:eastAsia="宋体" w:cs="Times New Roman"/>
                <w:snapToGrid/>
                <w:color w:val="000000" w:themeColor="text1"/>
                <w:kern w:val="2"/>
                <w:sz w:val="21"/>
                <w:szCs w:val="21"/>
                <w:u w:val="none"/>
                <w:lang w:val="zh-CN"/>
                <w14:textFill>
                  <w14:solidFill>
                    <w14:schemeClr w14:val="tx1"/>
                  </w14:solidFill>
                </w14:textFill>
              </w:rPr>
              <w:t>﹞</w:t>
            </w:r>
            <w:r>
              <w:rPr>
                <w:rFonts w:hint="eastAsia" w:ascii="Times New Roman" w:hAnsi="Times New Roman" w:eastAsia="宋体" w:cs="Times New Roman"/>
                <w:snapToGrid/>
                <w:color w:val="000000" w:themeColor="text1"/>
                <w:kern w:val="0"/>
                <w:sz w:val="21"/>
                <w:szCs w:val="21"/>
                <w:u w:val="none"/>
                <w14:textFill>
                  <w14:solidFill>
                    <w14:schemeClr w14:val="tx1"/>
                  </w14:solidFill>
                </w14:textFill>
              </w:rPr>
              <w:t>17号)</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1</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明确排污口分类。根据排污口责任主体所属行业及排放特征，将排污口分为工业排污口、城镇污水处理厂排污口、农业排口、其他排口等四种类型。其中，工业排污口包括工矿企业排污口和雨洪排口、工业及其他各类园区污水处理厂排污口和雨洪排口等；农业排口包括规模化畜禽养殖排污口、规模化水产养殖排污口等；其他排口包括大中型灌区排口、规模以下水产养殖排污口、农村污水处理设施排污口、农村生活污水散排口等。各地可从实际出发细化排污口类型。</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zh-CN" w:eastAsia="zh-CN" w:bidi="ar-SA"/>
                <w14:textFill>
                  <w14:solidFill>
                    <w14:schemeClr w14:val="tx1"/>
                  </w14:solidFill>
                </w14:textFill>
              </w:rPr>
              <w:t>项目排污口属于</w:t>
            </w:r>
            <w:r>
              <w:rPr>
                <w:rFonts w:hint="eastAsia" w:cs="Times New Roman"/>
                <w:bCs/>
                <w:color w:val="000000" w:themeColor="text1"/>
                <w:kern w:val="2"/>
                <w:sz w:val="21"/>
                <w:szCs w:val="21"/>
                <w:lang w:val="en-US" w:eastAsia="zh-CN" w:bidi="ar-SA"/>
                <w14:textFill>
                  <w14:solidFill>
                    <w14:schemeClr w14:val="tx1"/>
                  </w14:solidFill>
                </w14:textFill>
              </w:rPr>
              <w:t>工业排污口</w:t>
            </w:r>
          </w:p>
        </w:tc>
        <w:tc>
          <w:tcPr>
            <w:tcW w:w="972" w:type="pct"/>
            <w:vMerge w:val="restart"/>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14:textFill>
                  <w14:solidFill>
                    <w14:schemeClr w14:val="tx1"/>
                  </w14:solidFill>
                </w14:textFill>
              </w:rPr>
            </w:pPr>
            <w:r>
              <w:rPr>
                <w:rFonts w:hint="eastAsia" w:ascii="Times New Roman" w:hAnsi="Times New Roman" w:eastAsia="宋体" w:cs="Times New Roman"/>
                <w:snapToGrid/>
                <w:color w:val="000000" w:themeColor="text1"/>
                <w:kern w:val="0"/>
                <w:sz w:val="21"/>
                <w:szCs w:val="21"/>
                <w14:textFill>
                  <w14:solidFill>
                    <w14:schemeClr w14:val="tx1"/>
                  </w14:solidFill>
                </w14:textFill>
              </w:rPr>
              <w:t>本项目排污口设置符合《国务院办公厅关于加强入河入海排污口监督管理工作的实施意见》(国办函</w:t>
            </w:r>
            <w:r>
              <w:rPr>
                <w:rFonts w:ascii="Times New Roman" w:hAnsi="Times New Roman" w:eastAsia="宋体" w:cs="Times New Roman"/>
                <w:snapToGrid/>
                <w:color w:val="000000" w:themeColor="text1"/>
                <w:kern w:val="2"/>
                <w:sz w:val="21"/>
                <w:szCs w:val="21"/>
                <w:lang w:val="zh-CN"/>
                <w14:textFill>
                  <w14:solidFill>
                    <w14:schemeClr w14:val="tx1"/>
                  </w14:solidFill>
                </w14:textFill>
              </w:rPr>
              <w:t>﹝20</w:t>
            </w:r>
            <w:r>
              <w:rPr>
                <w:rFonts w:hint="eastAsia" w:ascii="Times New Roman" w:hAnsi="Times New Roman" w:eastAsia="宋体" w:cs="Times New Roman"/>
                <w:snapToGrid/>
                <w:color w:val="000000" w:themeColor="text1"/>
                <w:kern w:val="2"/>
                <w:sz w:val="21"/>
                <w:szCs w:val="21"/>
                <w:lang w:val="zh-CN"/>
                <w14:textFill>
                  <w14:solidFill>
                    <w14:schemeClr w14:val="tx1"/>
                  </w14:solidFill>
                </w14:textFill>
              </w:rPr>
              <w:t>22</w:t>
            </w:r>
            <w:r>
              <w:rPr>
                <w:rFonts w:ascii="Times New Roman" w:hAnsi="Times New Roman" w:eastAsia="宋体" w:cs="Times New Roman"/>
                <w:snapToGrid/>
                <w:color w:val="000000" w:themeColor="text1"/>
                <w:kern w:val="2"/>
                <w:sz w:val="21"/>
                <w:szCs w:val="21"/>
                <w:lang w:val="zh-CN"/>
                <w14:textFill>
                  <w14:solidFill>
                    <w14:schemeClr w14:val="tx1"/>
                  </w14:solidFill>
                </w14:textFill>
              </w:rPr>
              <w:t>﹞</w:t>
            </w:r>
            <w:r>
              <w:rPr>
                <w:rFonts w:hint="eastAsia" w:ascii="Times New Roman" w:hAnsi="Times New Roman" w:eastAsia="宋体" w:cs="Times New Roman"/>
                <w:snapToGrid/>
                <w:color w:val="000000" w:themeColor="text1"/>
                <w:kern w:val="0"/>
                <w:sz w:val="21"/>
                <w:szCs w:val="21"/>
                <w14:textFill>
                  <w14:solidFill>
                    <w14:schemeClr w14:val="tx1"/>
                  </w14:solidFill>
                </w14:textFill>
              </w:rPr>
              <w:t>17号)</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2</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对违反法律法规规定，在饮用水水源保护区、自然保护地及其他需要特殊保护区域内设置的排污口，由属地县级以上地方人民政府或生态环境部门依法采取责令拆除、责令关闭等措施予以取缔。要妥善处理历史遗留问题，避免“一刀切”，合理制定整治措施，确保相关区域水生态环境安全和供水安全。</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000000" w:themeColor="text1"/>
                <w:kern w:val="2"/>
                <w:sz w:val="21"/>
                <w:szCs w:val="21"/>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本项目排污口</w:t>
            </w:r>
            <w:r>
              <w:rPr>
                <w:rFonts w:hint="eastAsia" w:cs="Times New Roman"/>
                <w:bCs/>
                <w:color w:val="000000" w:themeColor="text1"/>
                <w:kern w:val="2"/>
                <w:sz w:val="21"/>
                <w:szCs w:val="21"/>
                <w:u w:val="none"/>
                <w:lang w:val="en-US" w:eastAsia="zh-CN" w:bidi="ar-SA"/>
                <w14:textFill>
                  <w14:solidFill>
                    <w14:schemeClr w14:val="tx1"/>
                  </w14:solidFill>
                </w14:textFill>
              </w:rPr>
              <w:t>不属于自然保护区核心区、缓冲区</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3</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清理合并一批。对于城镇污水收集管网覆盖范围内的生活污水散排口，原则上予以清理合并，污水依法规范接入污水收集管网。工业及其他各类园区或各类开发区内企业现有排污口应尽可能清理合并，污水通过截污纳管由园区或开发区污水集中处理设施统一处理。工业及其他各类园区或各类开发区外的工矿企业，原则上一个企业只保留一个工矿企业排污口，对于厂区较大或有多个厂区的，应尽可能清理合并排污口，清理合并后确有必要保留两个及以上工矿企业排污口的，应告知属地地市级生态环境部门。对于集中分布、连片聚集的中小型水产养殖散排口，鼓励各地统一收集处理养殖尾水，设置统一的排污口。</w:t>
            </w:r>
          </w:p>
        </w:tc>
        <w:tc>
          <w:tcPr>
            <w:tcW w:w="1905" w:type="pct"/>
            <w:noWrap w:val="0"/>
            <w:vAlign w:val="center"/>
          </w:tcPr>
          <w:p>
            <w:pPr>
              <w:widowControl w:val="0"/>
              <w:autoSpaceDE w:val="0"/>
              <w:autoSpaceDN w:val="0"/>
              <w:adjustRightInd w:val="0"/>
              <w:snapToGrid w:val="0"/>
              <w:spacing w:line="240" w:lineRule="auto"/>
              <w:ind w:left="0" w:leftChars="0" w:firstLine="0" w:firstLineChars="0"/>
              <w:jc w:val="center"/>
              <w:rPr>
                <w:rFonts w:ascii="Times New Roman" w:hAnsi="Times New Roman" w:eastAsia="宋体" w:cs="Times New Roman"/>
                <w:bCs/>
                <w:color w:val="000000" w:themeColor="text1"/>
                <w:kern w:val="2"/>
                <w:sz w:val="21"/>
                <w:szCs w:val="21"/>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本项目排污口</w:t>
            </w:r>
            <w:r>
              <w:rPr>
                <w:rFonts w:hint="eastAsia" w:cs="Times New Roman"/>
                <w:bCs/>
                <w:color w:val="000000" w:themeColor="text1"/>
                <w:kern w:val="2"/>
                <w:sz w:val="21"/>
                <w:szCs w:val="21"/>
                <w:u w:val="none"/>
                <w:lang w:val="en-US" w:eastAsia="zh-CN" w:bidi="ar-SA"/>
                <w14:textFill>
                  <w14:solidFill>
                    <w14:schemeClr w14:val="tx1"/>
                  </w14:solidFill>
                </w14:textFill>
              </w:rPr>
              <w:t>不属于自然保护区核心区、缓冲区</w:t>
            </w:r>
          </w:p>
        </w:tc>
        <w:tc>
          <w:tcPr>
            <w:tcW w:w="972" w:type="pct"/>
            <w:vMerge w:val="continue"/>
            <w:noWrap w:val="0"/>
            <w:vAlign w:val="center"/>
          </w:tcPr>
          <w:p>
            <w:pPr>
              <w:widowControl/>
              <w:spacing w:line="240" w:lineRule="auto"/>
              <w:ind w:firstLine="0" w:firstLineChars="0"/>
              <w:jc w:val="left"/>
              <w:rPr>
                <w:rFonts w:ascii="Times New Roman" w:hAnsi="Times New Roman" w:eastAsia="宋体" w:cs="Times New Roman"/>
                <w:snapToGrid/>
                <w:color w:val="000000" w:themeColor="text1"/>
                <w:kern w:val="0"/>
                <w:sz w:val="21"/>
                <w:szCs w:val="21"/>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5000" w:type="pct"/>
            <w:gridSpan w:val="4"/>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0"/>
                <w:sz w:val="26"/>
                <w:szCs w:val="21"/>
                <w:u w:val="none"/>
                <w:lang w:val="zh-CN"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《关于规范入河排污口设置审批工作的函》（湘环函</w:t>
            </w:r>
            <w:r>
              <w:rPr>
                <w:rFonts w:hint="eastAsia" w:ascii="宋体" w:hAnsi="宋体" w:eastAsia="宋体" w:cs="宋体"/>
                <w:bCs/>
                <w:color w:val="000000" w:themeColor="text1"/>
                <w:kern w:val="2"/>
                <w:sz w:val="21"/>
                <w:szCs w:val="21"/>
                <w:u w:val="none"/>
                <w:lang w:val="zh-CN" w:eastAsia="zh-CN" w:bidi="ar-SA"/>
                <w14:textFill>
                  <w14:solidFill>
                    <w14:schemeClr w14:val="tx1"/>
                  </w14:solidFill>
                </w14:textFill>
              </w:rPr>
              <w:t>﹝</w:t>
            </w:r>
            <w:r>
              <w:rPr>
                <w:rFonts w:ascii="Times New Roman" w:hAnsi="Times New Roman" w:eastAsia="仿宋_GB2312" w:cs="Times New Roman"/>
                <w:bCs/>
                <w:color w:val="000000" w:themeColor="text1"/>
                <w:kern w:val="2"/>
                <w:sz w:val="21"/>
                <w:szCs w:val="21"/>
                <w:u w:val="none"/>
                <w:lang w:val="zh-CN" w:eastAsia="zh-CN" w:bidi="ar-SA"/>
                <w14:textFill>
                  <w14:solidFill>
                    <w14:schemeClr w14:val="tx1"/>
                  </w14:solidFill>
                </w14:textFill>
              </w:rPr>
              <w:t>20</w:t>
            </w:r>
            <w:r>
              <w:rPr>
                <w:rFonts w:hint="eastAsia" w:ascii="Times New Roman" w:hAnsi="Times New Roman" w:eastAsia="仿宋_GB2312" w:cs="Times New Roman"/>
                <w:bCs/>
                <w:color w:val="000000" w:themeColor="text1"/>
                <w:kern w:val="2"/>
                <w:sz w:val="21"/>
                <w:szCs w:val="21"/>
                <w:u w:val="none"/>
                <w:lang w:val="zh-CN" w:eastAsia="zh-CN" w:bidi="ar-SA"/>
                <w14:textFill>
                  <w14:solidFill>
                    <w14:schemeClr w14:val="tx1"/>
                  </w14:solidFill>
                </w14:textFill>
              </w:rPr>
              <w:t>21</w:t>
            </w:r>
            <w:r>
              <w:rPr>
                <w:rFonts w:hint="eastAsia" w:ascii="宋体" w:hAnsi="宋体" w:eastAsia="宋体" w:cs="宋体"/>
                <w:bCs/>
                <w:color w:val="000000" w:themeColor="text1"/>
                <w:kern w:val="2"/>
                <w:sz w:val="21"/>
                <w:szCs w:val="21"/>
                <w:u w:val="none"/>
                <w:lang w:val="zh-CN"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71号）</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252"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1</w:t>
            </w:r>
          </w:p>
        </w:tc>
        <w:tc>
          <w:tcPr>
            <w:tcW w:w="1869"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2</w:t>
            </w:r>
            <w:r>
              <w:rPr>
                <w:rFonts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011</w:t>
            </w:r>
            <w:r>
              <w:rPr>
                <w:rFonts w:hint="eastAsia"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年3月1日原农业部《水产种质资源保护区管理暂行办法》颁布实施之前或水产种质资源保护区划定之前建成、现位于水产种质资源保护区内的入河排污口，可以按程序审批，不需要征求农业农村部门的意见；其污染物的排放必须达到国家规定的排放标准。</w:t>
            </w:r>
          </w:p>
        </w:tc>
        <w:tc>
          <w:tcPr>
            <w:tcW w:w="1905" w:type="pct"/>
            <w:noWrap w:val="0"/>
            <w:vAlign w:val="center"/>
          </w:tcPr>
          <w:p>
            <w:pPr>
              <w:widowControl w:val="0"/>
              <w:autoSpaceDE w:val="0"/>
              <w:autoSpaceDN w:val="0"/>
              <w:adjustRightInd w:val="0"/>
              <w:snapToGrid w:val="0"/>
              <w:spacing w:line="240" w:lineRule="auto"/>
              <w:ind w:firstLine="0" w:firstLineChars="0"/>
              <w:jc w:val="cente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pPr>
            <w:r>
              <w:rPr>
                <w:rFonts w:ascii="Times New Roman" w:hAnsi="Times New Roman" w:eastAsia="宋体" w:cs="Times New Roman"/>
                <w:bCs/>
                <w:color w:val="000000" w:themeColor="text1"/>
                <w:kern w:val="2"/>
                <w:sz w:val="21"/>
                <w:szCs w:val="21"/>
                <w:u w:val="none"/>
                <w:lang w:val="zh-CN" w:eastAsia="zh-CN" w:bidi="ar-SA"/>
                <w14:textFill>
                  <w14:solidFill>
                    <w14:schemeClr w14:val="tx1"/>
                  </w14:solidFill>
                </w14:textFill>
              </w:rPr>
              <w:t>本项目排污口</w:t>
            </w:r>
            <w:r>
              <w:rPr>
                <w:rFonts w:hint="eastAsia" w:cs="Times New Roman"/>
                <w:bCs/>
                <w:color w:val="000000" w:themeColor="text1"/>
                <w:kern w:val="2"/>
                <w:sz w:val="21"/>
                <w:szCs w:val="21"/>
                <w:u w:val="none"/>
                <w:lang w:val="en-US" w:eastAsia="zh-CN" w:bidi="ar-SA"/>
                <w14:textFill>
                  <w14:solidFill>
                    <w14:schemeClr w14:val="tx1"/>
                  </w14:solidFill>
                </w14:textFill>
              </w:rPr>
              <w:t>不属于自然保护区核心区、缓冲区</w:t>
            </w:r>
          </w:p>
        </w:tc>
        <w:tc>
          <w:tcPr>
            <w:tcW w:w="972" w:type="pct"/>
            <w:noWrap w:val="0"/>
            <w:vAlign w:val="center"/>
          </w:tcPr>
          <w:p>
            <w:pPr>
              <w:widowControl/>
              <w:spacing w:line="240" w:lineRule="auto"/>
              <w:ind w:firstLine="0" w:firstLineChars="0"/>
              <w:jc w:val="center"/>
              <w:rPr>
                <w:rFonts w:ascii="Times New Roman" w:hAnsi="Times New Roman" w:eastAsia="宋体" w:cs="Times New Roman"/>
                <w:snapToGrid/>
                <w:color w:val="000000" w:themeColor="text1"/>
                <w:kern w:val="0"/>
                <w:sz w:val="21"/>
                <w:szCs w:val="21"/>
                <w:u w:val="none"/>
                <w14:textFill>
                  <w14:solidFill>
                    <w14:schemeClr w14:val="tx1"/>
                  </w14:solidFill>
                </w14:textFill>
              </w:rPr>
            </w:pPr>
            <w:r>
              <w:rPr>
                <w:rFonts w:hint="eastAsia" w:ascii="Times New Roman" w:hAnsi="Times New Roman" w:eastAsia="宋体" w:cs="Times New Roman"/>
                <w:snapToGrid/>
                <w:color w:val="000000" w:themeColor="text1"/>
                <w:kern w:val="0"/>
                <w:sz w:val="21"/>
                <w:szCs w:val="21"/>
                <w:u w:val="none"/>
                <w14:textFill>
                  <w14:solidFill>
                    <w14:schemeClr w14:val="tx1"/>
                  </w14:solidFill>
                </w14:textFill>
              </w:rPr>
              <w:t>本项目排污口设置符合《关于规范入河排污口设置审批工作的函》（湘环函</w:t>
            </w:r>
            <w:r>
              <w:rPr>
                <w:rFonts w:ascii="Times New Roman" w:hAnsi="Times New Roman" w:eastAsia="宋体" w:cs="Times New Roman"/>
                <w:snapToGrid/>
                <w:color w:val="000000" w:themeColor="text1"/>
                <w:kern w:val="2"/>
                <w:sz w:val="21"/>
                <w:szCs w:val="21"/>
                <w:u w:val="none"/>
                <w:lang w:val="zh-CN"/>
                <w14:textFill>
                  <w14:solidFill>
                    <w14:schemeClr w14:val="tx1"/>
                  </w14:solidFill>
                </w14:textFill>
              </w:rPr>
              <w:t>﹝20</w:t>
            </w:r>
            <w:r>
              <w:rPr>
                <w:rFonts w:hint="eastAsia" w:ascii="Times New Roman" w:hAnsi="Times New Roman" w:eastAsia="宋体" w:cs="Times New Roman"/>
                <w:snapToGrid/>
                <w:color w:val="000000" w:themeColor="text1"/>
                <w:kern w:val="2"/>
                <w:sz w:val="21"/>
                <w:szCs w:val="21"/>
                <w:u w:val="none"/>
                <w:lang w:val="zh-CN"/>
                <w14:textFill>
                  <w14:solidFill>
                    <w14:schemeClr w14:val="tx1"/>
                  </w14:solidFill>
                </w14:textFill>
              </w:rPr>
              <w:t>21</w:t>
            </w:r>
            <w:r>
              <w:rPr>
                <w:rFonts w:ascii="Times New Roman" w:hAnsi="Times New Roman" w:eastAsia="宋体" w:cs="Times New Roman"/>
                <w:snapToGrid/>
                <w:color w:val="000000" w:themeColor="text1"/>
                <w:kern w:val="2"/>
                <w:sz w:val="21"/>
                <w:szCs w:val="21"/>
                <w:u w:val="none"/>
                <w:lang w:val="zh-CN"/>
                <w14:textFill>
                  <w14:solidFill>
                    <w14:schemeClr w14:val="tx1"/>
                  </w14:solidFill>
                </w14:textFill>
              </w:rPr>
              <w:t>﹞</w:t>
            </w:r>
            <w:r>
              <w:rPr>
                <w:rFonts w:hint="eastAsia" w:ascii="Times New Roman" w:hAnsi="Times New Roman" w:eastAsia="宋体" w:cs="Times New Roman"/>
                <w:snapToGrid/>
                <w:color w:val="000000" w:themeColor="text1"/>
                <w:kern w:val="0"/>
                <w:sz w:val="21"/>
                <w:szCs w:val="21"/>
                <w:u w:val="none"/>
                <w14:textFill>
                  <w14:solidFill>
                    <w14:schemeClr w14:val="tx1"/>
                  </w14:solidFill>
                </w14:textFill>
              </w:rPr>
              <w:t>71号）</w:t>
            </w:r>
          </w:p>
        </w:tc>
      </w:tr>
    </w:tbl>
    <w:p>
      <w:pPr>
        <w:pStyle w:val="61"/>
        <w:bidi w:val="0"/>
        <w:rPr>
          <w:rFonts w:hint="default"/>
          <w:lang w:val="en-US" w:eastAsia="zh-CN"/>
        </w:rPr>
      </w:pPr>
      <w:r>
        <w:rPr>
          <w:rFonts w:hint="eastAsia"/>
          <w:lang w:val="en-US" w:eastAsia="zh-CN"/>
        </w:rPr>
        <w:t>与国办函〔2022〕17 号符合性分析</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国务院办公厅关于加强入河入海排污口监督管理工作的实施意见》（国办函〔2022〕17号）要求：严格规范审批。对未达到水质目标的水功能区，除城镇废水处理站入河排污口外，应当严格控制新设、改设或者扩大排污口。</w:t>
      </w:r>
    </w:p>
    <w:p>
      <w:pPr>
        <w:pStyle w:val="18"/>
        <w:keepNext w:val="0"/>
        <w:keepLines w:val="0"/>
        <w:pageBreakBefore w:val="0"/>
        <w:widowControl w:val="0"/>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本项目排污口为湖南润景水业（桃江）有限公司入河排污口，且纳污水域的水功能区达到水质目标，因此，本排污口设置符合《国务院办公厅关于加强入河入海排污口监督管理工作的实施意见》（国办函〔2022〕17号）要求。</w:t>
      </w:r>
    </w:p>
    <w:p>
      <w:pPr>
        <w:pStyle w:val="60"/>
        <w:bidi w:val="0"/>
        <w:rPr>
          <w:rFonts w:hint="default"/>
          <w:lang w:val="en-US" w:eastAsia="zh-CN"/>
        </w:rPr>
      </w:pPr>
      <w:bookmarkStart w:id="83" w:name="_Toc31413"/>
      <w:r>
        <w:rPr>
          <w:rFonts w:hint="eastAsia"/>
          <w:lang w:val="en-US" w:eastAsia="zh-CN"/>
        </w:rPr>
        <w:t>水功能区（水域）水质和水生态保护要求</w:t>
      </w:r>
      <w:bookmarkEnd w:id="83"/>
    </w:p>
    <w:p>
      <w:pPr>
        <w:pStyle w:val="61"/>
        <w:bidi w:val="0"/>
        <w:rPr>
          <w:rFonts w:hint="default"/>
          <w:lang w:val="en-US" w:eastAsia="zh-CN"/>
        </w:rPr>
      </w:pPr>
      <w:r>
        <w:rPr>
          <w:rFonts w:hint="eastAsia"/>
          <w:lang w:val="en-US" w:eastAsia="zh-CN"/>
        </w:rPr>
        <w:t>水功能区（水域）水质要求</w:t>
      </w:r>
    </w:p>
    <w:p>
      <w:pPr>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根据设计要求，项目废水经废水处理站达到</w:t>
      </w:r>
      <w:r>
        <w:rPr>
          <w:rFonts w:hint="default" w:ascii="Times New Roman" w:hAnsi="Times New Roman" w:eastAsia="宋体" w:cs="Times New Roman"/>
          <w:b w:val="0"/>
          <w:bCs w:val="0"/>
          <w:color w:val="000000" w:themeColor="text1"/>
          <w:sz w:val="24"/>
          <w:szCs w:val="24"/>
          <w14:textFill>
            <w14:solidFill>
              <w14:schemeClr w14:val="tx1"/>
            </w14:solidFill>
          </w14:textFill>
        </w:rPr>
        <w:t>《污水综合排放标准》（</w:t>
      </w:r>
      <w:r>
        <w:rPr>
          <w:rFonts w:hint="default" w:ascii="Times New Roman" w:hAnsi="Times New Roman" w:eastAsia="TimesNewRomanPSMT" w:cs="Times New Roman"/>
          <w:b w:val="0"/>
          <w:bCs w:val="0"/>
          <w:color w:val="000000" w:themeColor="text1"/>
          <w:sz w:val="24"/>
          <w:szCs w:val="24"/>
          <w14:textFill>
            <w14:solidFill>
              <w14:schemeClr w14:val="tx1"/>
            </w14:solidFill>
          </w14:textFill>
        </w:rPr>
        <w:t>GB8978-1996</w:t>
      </w:r>
      <w:r>
        <w:rPr>
          <w:rFonts w:hint="default" w:ascii="Times New Roman" w:hAnsi="Times New Roman" w:eastAsia="宋体" w:cs="Times New Roman"/>
          <w:b w:val="0"/>
          <w:bCs w:val="0"/>
          <w:color w:val="000000" w:themeColor="text1"/>
          <w:sz w:val="24"/>
          <w:szCs w:val="24"/>
          <w14:textFill>
            <w14:solidFill>
              <w14:schemeClr w14:val="tx1"/>
            </w14:solidFill>
          </w14:textFill>
        </w:rPr>
        <w:t>）</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相应的标准要求后排放到项目</w:t>
      </w:r>
      <w:r>
        <w:rPr>
          <w:rFonts w:hint="eastAsia" w:cs="Times New Roman"/>
          <w:b w:val="0"/>
          <w:bCs w:val="0"/>
          <w:color w:val="000000" w:themeColor="text1"/>
          <w:sz w:val="24"/>
          <w:szCs w:val="24"/>
          <w:lang w:val="en-US" w:eastAsia="zh-CN"/>
          <w14:textFill>
            <w14:solidFill>
              <w14:schemeClr w14:val="tx1"/>
            </w14:solidFill>
          </w14:textFill>
        </w:rPr>
        <w:t>西北侧无名小溪</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。正常排放情况下，项目</w:t>
      </w:r>
      <w:r>
        <w:rPr>
          <w:rFonts w:hint="eastAsia" w:cs="Times New Roman"/>
          <w:b w:val="0"/>
          <w:bCs w:val="0"/>
          <w:color w:val="000000" w:themeColor="text1"/>
          <w:sz w:val="24"/>
          <w:szCs w:val="24"/>
          <w:lang w:val="en-US" w:eastAsia="zh-CN"/>
          <w14:textFill>
            <w14:solidFill>
              <w14:schemeClr w14:val="tx1"/>
            </w14:solidFill>
          </w14:textFill>
        </w:rPr>
        <w:t>西北侧无名小溪</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枯水期COD、氨氮</w:t>
      </w:r>
      <w:r>
        <w:rPr>
          <w:rFonts w:hint="eastAsia" w:cs="Times New Roman"/>
          <w:b w:val="0"/>
          <w:bCs w:val="0"/>
          <w:color w:val="000000" w:themeColor="text1"/>
          <w:sz w:val="24"/>
          <w:szCs w:val="24"/>
          <w:lang w:val="en-US" w:eastAsia="zh-CN"/>
          <w14:textFill>
            <w14:solidFill>
              <w14:schemeClr w14:val="tx1"/>
            </w14:solidFill>
          </w14:textFill>
        </w:rPr>
        <w:t>、TP、TN</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预测浓度均可达到《地表水环境质量标准》（GB3838-2002）</w:t>
      </w:r>
      <w:r>
        <w:rPr>
          <w:rFonts w:hint="default" w:ascii="Times New Roman" w:hAnsi="Times New Roman" w:cs="Times New Roman"/>
          <w:color w:val="000000" w:themeColor="text1"/>
          <w:lang w:val="en-US" w:eastAsia="zh-CN"/>
          <w14:textFill>
            <w14:solidFill>
              <w14:schemeClr w14:val="tx1"/>
            </w14:solidFill>
          </w14:textFill>
        </w:rPr>
        <w:t>Ⅲ类标准</w:t>
      </w:r>
      <w:r>
        <w:rPr>
          <w:rFonts w:hint="eastAsia" w:ascii="Times New Roman" w:hAnsi="Times New Roman" w:cs="Times New Roman"/>
          <w:color w:val="000000" w:themeColor="text1"/>
          <w:lang w:val="en-US" w:eastAsia="zh-CN"/>
          <w14:textFill>
            <w14:solidFill>
              <w14:schemeClr w14:val="tx1"/>
            </w14:solidFill>
          </w14:textFill>
        </w:rPr>
        <w:t>。本排污口的设置不改变排污口所处水功能区及下游水功能的使用功能，也不会影响相邻水功能区的使用。</w:t>
      </w:r>
      <w:r>
        <w:rPr>
          <w:rFonts w:hint="eastAsia" w:cs="Times New Roman"/>
          <w:color w:val="000000" w:themeColor="text1"/>
          <w:u w:val="none"/>
          <w14:textFill>
            <w14:solidFill>
              <w14:schemeClr w14:val="tx1"/>
            </w14:solidFill>
          </w14:textFill>
        </w:rPr>
        <w:t>污水处理站</w:t>
      </w:r>
      <w:r>
        <w:rPr>
          <w:rFonts w:cs="Times New Roman"/>
          <w:color w:val="000000" w:themeColor="text1"/>
          <w:u w:val="none"/>
          <w14:textFill>
            <w14:solidFill>
              <w14:schemeClr w14:val="tx1"/>
            </w14:solidFill>
          </w14:textFill>
        </w:rPr>
        <w:t>在事故排污时，COD</w:t>
      </w:r>
      <w:r>
        <w:rPr>
          <w:rFonts w:cs="Times New Roman"/>
          <w:color w:val="000000" w:themeColor="text1"/>
          <w:u w:val="none"/>
          <w:vertAlign w:val="subscript"/>
          <w14:textFill>
            <w14:solidFill>
              <w14:schemeClr w14:val="tx1"/>
            </w14:solidFill>
          </w14:textFill>
        </w:rPr>
        <w:t>cr</w:t>
      </w:r>
      <w:r>
        <w:rPr>
          <w:rFonts w:cs="Times New Roman"/>
          <w:color w:val="000000" w:themeColor="text1"/>
          <w:u w:val="none"/>
          <w14:textFill>
            <w14:solidFill>
              <w14:schemeClr w14:val="tx1"/>
            </w14:solidFill>
          </w14:textFill>
        </w:rPr>
        <w:t>、NH</w:t>
      </w:r>
      <w:r>
        <w:rPr>
          <w:rFonts w:cs="Times New Roman"/>
          <w:color w:val="000000" w:themeColor="text1"/>
          <w:u w:val="none"/>
          <w:vertAlign w:val="subscript"/>
          <w14:textFill>
            <w14:solidFill>
              <w14:schemeClr w14:val="tx1"/>
            </w14:solidFill>
          </w14:textFill>
        </w:rPr>
        <w:t>3</w:t>
      </w:r>
      <w:r>
        <w:rPr>
          <w:rFonts w:cs="Times New Roman"/>
          <w:color w:val="000000" w:themeColor="text1"/>
          <w:u w:val="none"/>
          <w14:textFill>
            <w14:solidFill>
              <w14:schemeClr w14:val="tx1"/>
            </w14:solidFill>
          </w14:textFill>
        </w:rPr>
        <w:t>-N</w:t>
      </w:r>
      <w:r>
        <w:rPr>
          <w:rFonts w:hint="eastAsia" w:cs="Times New Roman"/>
          <w:color w:val="000000" w:themeColor="text1"/>
          <w:u w:val="none"/>
          <w:lang w:eastAsia="zh-CN"/>
          <w14:textFill>
            <w14:solidFill>
              <w14:schemeClr w14:val="tx1"/>
            </w14:solidFill>
          </w14:textFill>
        </w:rPr>
        <w:t>、</w:t>
      </w:r>
      <w:r>
        <w:rPr>
          <w:rFonts w:hint="eastAsia" w:cs="Times New Roman"/>
          <w:b w:val="0"/>
          <w:bCs w:val="0"/>
          <w:color w:val="000000" w:themeColor="text1"/>
          <w:sz w:val="24"/>
          <w:szCs w:val="24"/>
          <w:lang w:val="en-US" w:eastAsia="zh-CN"/>
          <w14:textFill>
            <w14:solidFill>
              <w14:schemeClr w14:val="tx1"/>
            </w14:solidFill>
          </w14:textFill>
        </w:rPr>
        <w:t>TP、TN</w:t>
      </w:r>
      <w:r>
        <w:rPr>
          <w:rFonts w:cs="Times New Roman"/>
          <w:color w:val="000000" w:themeColor="text1"/>
          <w:u w:val="none"/>
          <w14:textFill>
            <w14:solidFill>
              <w14:schemeClr w14:val="tx1"/>
            </w14:solidFill>
          </w14:textFill>
        </w:rPr>
        <w:t>等对水质有一定影响，会出现超标。项目应采取相应防范措施，禁止事故废水排放的发生。因此，污水处理厂制定严密安全措施，如在线监控系统等。确保项目正常运行，坚决杜绝事故排放的发生，以免对当地水环境造成污染。</w:t>
      </w:r>
    </w:p>
    <w:p>
      <w:pP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企业应采取相应防范措施，建设事故应急池，制定规范管理制度。确保工程正常运行，严防事故排污现象的发生，防止对当地的水环境造成污染。</w:t>
      </w:r>
    </w:p>
    <w:p>
      <w:pPr>
        <w:pStyle w:val="61"/>
        <w:bidi w:val="0"/>
        <w:rPr>
          <w:rFonts w:hint="default"/>
          <w:lang w:val="en-US" w:eastAsia="zh-CN"/>
        </w:rPr>
      </w:pPr>
      <w:r>
        <w:rPr>
          <w:rFonts w:hint="eastAsia"/>
          <w:lang w:val="en-US" w:eastAsia="zh-CN"/>
        </w:rPr>
        <w:t>水生态保护要求</w:t>
      </w:r>
    </w:p>
    <w:p>
      <w:pPr>
        <w:rPr>
          <w:rFonts w:hint="default"/>
          <w:lang w:val="en-US" w:eastAsia="zh-CN"/>
        </w:rPr>
      </w:pPr>
      <w:r>
        <w:rPr>
          <w:rFonts w:hint="eastAsia"/>
          <w:lang w:val="en-US" w:eastAsia="zh-CN"/>
        </w:rPr>
        <w:t>本入河排污口位于项目西北侧的无名小溪，未设置在自然保护区、风景名胜区、重要湿地以及鱼类“三场”和</w:t>
      </w:r>
      <w:r>
        <w:rPr>
          <w:rFonts w:ascii="宋体" w:hAnsi="宋体" w:eastAsia="宋体" w:cs="宋体"/>
          <w:b w:val="0"/>
          <w:bCs w:val="0"/>
          <w:color w:val="000000"/>
          <w:sz w:val="24"/>
          <w:szCs w:val="24"/>
        </w:rPr>
        <w:t>和洄游通道，本入河排污口设置不存在生态制约因素，符合水生态保护要求。</w:t>
      </w:r>
    </w:p>
    <w:p>
      <w:pPr>
        <w:pStyle w:val="60"/>
        <w:bidi w:val="0"/>
        <w:rPr>
          <w:rFonts w:hint="default"/>
          <w:lang w:val="en-US" w:eastAsia="zh-CN"/>
        </w:rPr>
      </w:pPr>
      <w:bookmarkStart w:id="84" w:name="_Toc3288"/>
      <w:r>
        <w:rPr>
          <w:rFonts w:hint="eastAsia"/>
          <w:lang w:val="en-US" w:eastAsia="zh-CN"/>
        </w:rPr>
        <w:t>入河排污口设置可行性分析小结</w:t>
      </w:r>
      <w:bookmarkEnd w:id="84"/>
    </w:p>
    <w:p>
      <w:pPr>
        <w:rPr>
          <w:rFonts w:hint="eastAsia"/>
          <w:lang w:val="en-US" w:eastAsia="zh-CN"/>
        </w:rPr>
      </w:pPr>
      <w:r>
        <w:rPr>
          <w:rFonts w:hint="default"/>
          <w:lang w:val="en-US" w:eastAsia="zh-CN"/>
        </w:rPr>
        <w:t>湖南润景水业（桃江）有限公司</w:t>
      </w:r>
      <w:r>
        <w:rPr>
          <w:rFonts w:hint="eastAsia"/>
          <w:lang w:val="en-US" w:eastAsia="zh-CN"/>
        </w:rPr>
        <w:t>入河排污口设置符合国家法律法规和相关产业政策，不涉及饮用水水源保护区，不位于省级以上人民政府要求削减排污总量的水域，符合《湖南省入河排污口监督管理办法》《湖南省水功能区监督管理办法》《国务院办公厅关于加强入河入海排污口监督管理办法的实施意见》等要求，入河排污口设置无《入河排污监督管理办法》（2015年修正本）和《湖南省入河排污口监督管理办法》（湘政办﹝2018﹞44 号）提出的不予同意设置入河排污口的情形。污染物排放未超过纳污水体纳污总量，正常情况下本入河排污口不会对水功能区（水域）水质造成影响，不会对水生生态造成明显不利影响，对第三者影响较小。</w:t>
      </w:r>
    </w:p>
    <w:p>
      <w:pPr>
        <w:rPr>
          <w:rFonts w:hint="eastAsia"/>
          <w:lang w:val="en-US" w:eastAsia="zh-CN"/>
        </w:rPr>
        <w:sectPr>
          <w:pgSz w:w="11906" w:h="16838"/>
          <w:pgMar w:top="1440" w:right="1440" w:bottom="1440" w:left="1440" w:header="850" w:footer="680" w:gutter="0"/>
          <w:pgBorders>
            <w:top w:val="none" w:sz="0" w:space="0"/>
            <w:left w:val="none" w:sz="0" w:space="0"/>
            <w:bottom w:val="none" w:sz="0" w:space="0"/>
            <w:right w:val="none" w:sz="0" w:space="0"/>
          </w:pgBorders>
          <w:pgNumType w:fmt="decimal"/>
          <w:cols w:space="0" w:num="1"/>
          <w:rtlGutter w:val="0"/>
          <w:docGrid w:linePitch="335" w:charSpace="0"/>
        </w:sectPr>
      </w:pPr>
      <w:r>
        <w:rPr>
          <w:rFonts w:hint="eastAsia"/>
          <w:lang w:val="en-US" w:eastAsia="zh-CN"/>
        </w:rPr>
        <w:t>因此，</w:t>
      </w:r>
      <w:r>
        <w:rPr>
          <w:rFonts w:hint="default"/>
          <w:lang w:val="en-US" w:eastAsia="zh-CN"/>
        </w:rPr>
        <w:t>湖南润景水业（桃江）有限公司</w:t>
      </w:r>
      <w:r>
        <w:rPr>
          <w:rFonts w:hint="eastAsia"/>
          <w:lang w:val="en-US" w:eastAsia="zh-CN"/>
        </w:rPr>
        <w:t>入河排污口设置可行，入河排污口设置方案合理。</w:t>
      </w:r>
    </w:p>
    <w:p>
      <w:pPr>
        <w:pStyle w:val="59"/>
        <w:keepLines w:val="0"/>
        <w:kinsoku/>
        <w:wordWrap/>
        <w:overflowPunct/>
        <w:topLinePunct w:val="0"/>
        <w:autoSpaceDE/>
        <w:autoSpaceDN/>
        <w:bidi w:val="0"/>
        <w:adjustRightInd/>
        <w:snapToGrid/>
        <w:spacing w:line="360" w:lineRule="auto"/>
        <w:textAlignment w:val="auto"/>
        <w:rPr>
          <w:rFonts w:hint="eastAsia"/>
          <w:lang w:val="en-US" w:eastAsia="zh-CN"/>
        </w:rPr>
      </w:pPr>
      <w:bookmarkStart w:id="85" w:name="_Toc7467"/>
      <w:r>
        <w:rPr>
          <w:rFonts w:hint="eastAsia"/>
          <w:lang w:val="en-US" w:eastAsia="zh-CN"/>
        </w:rPr>
        <w:t>水环境保护措施</w:t>
      </w:r>
      <w:bookmarkEnd w:id="85"/>
    </w:p>
    <w:p>
      <w:pPr>
        <w:pStyle w:val="60"/>
        <w:keepLines w:val="0"/>
        <w:kinsoku/>
        <w:wordWrap/>
        <w:overflowPunct/>
        <w:topLinePunct w:val="0"/>
        <w:autoSpaceDE/>
        <w:autoSpaceDN/>
        <w:bidi w:val="0"/>
        <w:adjustRightInd/>
        <w:snapToGrid/>
        <w:spacing w:line="360" w:lineRule="auto"/>
        <w:textAlignment w:val="auto"/>
        <w:rPr>
          <w:rFonts w:hint="eastAsia"/>
          <w:lang w:val="en-US" w:eastAsia="zh-CN"/>
        </w:rPr>
      </w:pPr>
      <w:bookmarkStart w:id="86" w:name="_Toc21480"/>
      <w:r>
        <w:rPr>
          <w:rFonts w:hint="eastAsia"/>
          <w:lang w:val="en-US" w:eastAsia="zh-CN"/>
        </w:rPr>
        <w:t>入河排污口建设管理要求</w:t>
      </w:r>
      <w:bookmarkEnd w:id="86"/>
    </w:p>
    <w:p>
      <w:pPr>
        <w:pStyle w:val="61"/>
        <w:keepLines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污染源控制</w:t>
      </w:r>
    </w:p>
    <w:p>
      <w:pPr>
        <w:keepLines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color w:val="000000"/>
          <w:sz w:val="24"/>
          <w:szCs w:val="24"/>
          <w:u w:val="single"/>
          <w:lang w:val="en-US" w:eastAsia="zh-CN"/>
        </w:rPr>
      </w:pPr>
      <w:r>
        <w:rPr>
          <w:rFonts w:hint="eastAsia"/>
          <w:u w:val="single"/>
          <w:lang w:val="en-US" w:eastAsia="zh-CN"/>
        </w:rPr>
        <w:t>湖南润景水业（桃江）有限公司处理的污水的水质水量确定，为保障废水处理站的正常运行，一定做好水污染源的源头控制和管理。经处理处理站处理后满足</w:t>
      </w:r>
      <w:r>
        <w:rPr>
          <w:rFonts w:ascii="宋体" w:hAnsi="宋体" w:eastAsia="宋体" w:cs="宋体"/>
          <w:b w:val="0"/>
          <w:bCs w:val="0"/>
          <w:color w:val="000000"/>
          <w:sz w:val="24"/>
          <w:szCs w:val="24"/>
          <w:u w:val="single"/>
        </w:rPr>
        <w:t>《污水综合排放标准》（</w:t>
      </w:r>
      <w:r>
        <w:rPr>
          <w:rFonts w:ascii="TimesNewRomanPSMT" w:hAnsi="TimesNewRomanPSMT" w:eastAsia="TimesNewRomanPSMT" w:cs="TimesNewRomanPSMT"/>
          <w:b w:val="0"/>
          <w:bCs w:val="0"/>
          <w:color w:val="000000"/>
          <w:sz w:val="24"/>
          <w:szCs w:val="24"/>
          <w:u w:val="single"/>
        </w:rPr>
        <w:t>GB8978-1996</w:t>
      </w:r>
      <w:r>
        <w:rPr>
          <w:rFonts w:ascii="宋体" w:hAnsi="宋体" w:eastAsia="宋体" w:cs="宋体"/>
          <w:b w:val="0"/>
          <w:bCs w:val="0"/>
          <w:color w:val="000000"/>
          <w:sz w:val="24"/>
          <w:szCs w:val="24"/>
          <w:u w:val="single"/>
        </w:rPr>
        <w:t>）</w:t>
      </w:r>
      <w:r>
        <w:rPr>
          <w:rFonts w:hint="eastAsia" w:ascii="宋体" w:hAnsi="宋体" w:eastAsia="宋体" w:cs="宋体"/>
          <w:b w:val="0"/>
          <w:bCs w:val="0"/>
          <w:color w:val="000000"/>
          <w:sz w:val="24"/>
          <w:szCs w:val="24"/>
          <w:u w:val="single"/>
          <w:lang w:val="en-US" w:eastAsia="zh-CN"/>
        </w:rPr>
        <w:t>一级标准要求。</w:t>
      </w:r>
    </w:p>
    <w:p>
      <w:pPr>
        <w:pStyle w:val="61"/>
        <w:keepLines w:val="0"/>
        <w:kinsoku/>
        <w:wordWrap/>
        <w:overflowPunct/>
        <w:topLinePunct w:val="0"/>
        <w:autoSpaceDE/>
        <w:autoSpaceDN/>
        <w:bidi w:val="0"/>
        <w:adjustRightInd/>
        <w:snapToGrid/>
        <w:spacing w:line="360" w:lineRule="auto"/>
        <w:textAlignment w:val="auto"/>
        <w:rPr>
          <w:rFonts w:hint="eastAsia"/>
          <w:u w:val="single"/>
          <w:lang w:val="en-US" w:eastAsia="zh-CN"/>
        </w:rPr>
      </w:pPr>
      <w:r>
        <w:rPr>
          <w:rFonts w:hint="eastAsia"/>
          <w:u w:val="single"/>
          <w:lang w:val="en-US" w:eastAsia="zh-CN"/>
        </w:rPr>
        <w:t>管网维护措施</w:t>
      </w:r>
    </w:p>
    <w:p>
      <w:pPr>
        <w:numPr>
          <w:ilvl w:val="0"/>
          <w:numId w:val="20"/>
        </w:numPr>
        <w:rPr>
          <w:rFonts w:hint="eastAsia"/>
          <w:u w:val="single"/>
          <w:lang w:val="en-US" w:eastAsia="zh-CN"/>
        </w:rPr>
      </w:pPr>
      <w:r>
        <w:rPr>
          <w:rFonts w:hint="eastAsia"/>
          <w:u w:val="single"/>
          <w:lang w:val="en-US" w:eastAsia="zh-CN"/>
        </w:rPr>
        <w:t>为了保证废水处理站的稳定运行，应加强管网的维护和管理，防止泥沙沉积堵塞影响管道过水能力。</w:t>
      </w:r>
    </w:p>
    <w:p>
      <w:pPr>
        <w:pStyle w:val="18"/>
        <w:numPr>
          <w:ilvl w:val="0"/>
          <w:numId w:val="20"/>
        </w:numPr>
        <w:rPr>
          <w:rFonts w:hint="default"/>
          <w:u w:val="single"/>
          <w:lang w:val="en-US" w:eastAsia="zh-CN"/>
        </w:rPr>
      </w:pPr>
      <w:r>
        <w:rPr>
          <w:rFonts w:hint="eastAsia"/>
          <w:u w:val="single"/>
          <w:lang w:val="en-US" w:eastAsia="zh-CN"/>
        </w:rPr>
        <w:t>截留管网衔接应防止泄露，避免带来污染地下水和掏空地基等环境问题。</w:t>
      </w:r>
    </w:p>
    <w:p>
      <w:pPr>
        <w:pStyle w:val="61"/>
        <w:keepLines w:val="0"/>
        <w:kinsoku/>
        <w:wordWrap/>
        <w:overflowPunct/>
        <w:topLinePunct w:val="0"/>
        <w:autoSpaceDE/>
        <w:autoSpaceDN/>
        <w:bidi w:val="0"/>
        <w:adjustRightInd/>
        <w:snapToGrid/>
        <w:spacing w:line="360" w:lineRule="auto"/>
        <w:textAlignment w:val="auto"/>
        <w:rPr>
          <w:rFonts w:hint="eastAsia"/>
          <w:u w:val="single"/>
          <w:lang w:val="en-US" w:eastAsia="zh-CN"/>
        </w:rPr>
      </w:pPr>
      <w:r>
        <w:rPr>
          <w:rFonts w:hint="eastAsia"/>
          <w:u w:val="single"/>
          <w:lang w:val="en-US" w:eastAsia="zh-CN"/>
        </w:rPr>
        <w:t>厂内运行管理</w:t>
      </w:r>
    </w:p>
    <w:p>
      <w:pPr>
        <w:keepNext w:val="0"/>
        <w:keepLines w:val="0"/>
        <w:pageBreakBefore w:val="0"/>
        <w:widowControl w:val="0"/>
        <w:numPr>
          <w:ilvl w:val="0"/>
          <w:numId w:val="21"/>
        </w:numPr>
        <w:kinsoku/>
        <w:wordWrap/>
        <w:overflowPunct/>
        <w:topLinePunct w:val="0"/>
        <w:autoSpaceDE/>
        <w:autoSpaceDN/>
        <w:bidi w:val="0"/>
        <w:adjustRightInd/>
        <w:snapToGrid/>
        <w:textAlignment w:val="auto"/>
        <w:rPr>
          <w:rFonts w:hint="eastAsia"/>
          <w:u w:val="single"/>
          <w:lang w:val="en-US" w:eastAsia="zh-CN"/>
        </w:rPr>
      </w:pPr>
      <w:r>
        <w:rPr>
          <w:rFonts w:hint="eastAsia"/>
          <w:u w:val="single"/>
          <w:lang w:val="en-US" w:eastAsia="zh-CN"/>
        </w:rPr>
        <w:t>再保证出水水质的条件下，为使废水处理站高效运转，减少运行费用，提高能源利用率，应加强对废水处理站内部的运行管理。</w:t>
      </w:r>
    </w:p>
    <w:p>
      <w:pPr>
        <w:pStyle w:val="18"/>
        <w:keepNext w:val="0"/>
        <w:keepLines w:val="0"/>
        <w:pageBreakBefore w:val="0"/>
        <w:widowControl w:val="0"/>
        <w:numPr>
          <w:ilvl w:val="0"/>
          <w:numId w:val="21"/>
        </w:numPr>
        <w:kinsoku/>
        <w:wordWrap/>
        <w:overflowPunct/>
        <w:topLinePunct w:val="0"/>
        <w:autoSpaceDE/>
        <w:autoSpaceDN/>
        <w:bidi w:val="0"/>
        <w:adjustRightInd/>
        <w:snapToGrid/>
        <w:spacing w:after="0"/>
        <w:textAlignment w:val="auto"/>
        <w:rPr>
          <w:rFonts w:hint="default"/>
          <w:u w:val="single"/>
          <w:lang w:val="en-US" w:eastAsia="zh-CN"/>
        </w:rPr>
      </w:pPr>
      <w:r>
        <w:rPr>
          <w:rFonts w:hint="eastAsia"/>
          <w:u w:val="single"/>
          <w:lang w:val="en-US" w:eastAsia="zh-CN"/>
        </w:rPr>
        <w:t>运营公司在运行过程中由专人负责废水处理站的运营，对操作人员必须进行专业化培训和考核，应作为废水处理站运行准备工作的必要条件，特别是对主要操作人员进行理论和实际操作的培训。</w:t>
      </w:r>
    </w:p>
    <w:p>
      <w:pPr>
        <w:keepNext w:val="0"/>
        <w:keepLines w:val="0"/>
        <w:pageBreakBefore w:val="0"/>
        <w:widowControl w:val="0"/>
        <w:numPr>
          <w:ilvl w:val="0"/>
          <w:numId w:val="21"/>
        </w:numPr>
        <w:kinsoku/>
        <w:wordWrap/>
        <w:overflowPunct/>
        <w:topLinePunct w:val="0"/>
        <w:autoSpaceDE/>
        <w:autoSpaceDN/>
        <w:bidi w:val="0"/>
        <w:adjustRightInd/>
        <w:snapToGrid/>
        <w:ind w:left="0" w:leftChars="0" w:firstLine="480" w:firstLineChars="200"/>
        <w:textAlignment w:val="auto"/>
        <w:rPr>
          <w:rFonts w:hint="eastAsia"/>
          <w:u w:val="single"/>
          <w:lang w:val="en-US" w:eastAsia="zh-CN"/>
        </w:rPr>
      </w:pPr>
      <w:r>
        <w:rPr>
          <w:rFonts w:hint="eastAsia"/>
          <w:u w:val="single"/>
          <w:lang w:val="en-US" w:eastAsia="zh-CN"/>
        </w:rPr>
        <w:t>常规化验分析是污水处理站的重要组成部分之一，废水处理站的操作人员，必须根据水质变化情况，及时改变运行状况，实现最佳运行条件，减少运转费用，做到达标排放。</w:t>
      </w:r>
    </w:p>
    <w:p>
      <w:pPr>
        <w:pStyle w:val="18"/>
        <w:keepNext w:val="0"/>
        <w:keepLines w:val="0"/>
        <w:pageBreakBefore w:val="0"/>
        <w:widowControl w:val="0"/>
        <w:numPr>
          <w:ilvl w:val="0"/>
          <w:numId w:val="21"/>
        </w:numPr>
        <w:kinsoku/>
        <w:wordWrap/>
        <w:overflowPunct/>
        <w:topLinePunct w:val="0"/>
        <w:autoSpaceDE/>
        <w:autoSpaceDN/>
        <w:bidi w:val="0"/>
        <w:adjustRightInd/>
        <w:snapToGrid/>
        <w:spacing w:after="0"/>
        <w:ind w:left="0" w:leftChars="0" w:firstLine="480" w:firstLineChars="200"/>
        <w:textAlignment w:val="auto"/>
        <w:rPr>
          <w:rFonts w:hint="default"/>
          <w:u w:val="single"/>
          <w:lang w:val="en-US" w:eastAsia="zh-CN"/>
        </w:rPr>
      </w:pPr>
      <w:r>
        <w:rPr>
          <w:rFonts w:hint="eastAsia"/>
          <w:u w:val="single"/>
          <w:lang w:val="en-US" w:eastAsia="zh-CN"/>
        </w:rPr>
        <w:t>先进的自动控制系统既是实现废水处理站现代化管理的重要标志，也是提高操作水平，及时发现事故隐患的重要手段，同时应加强自动化仪器仪表的维护管理。</w:t>
      </w:r>
    </w:p>
    <w:p>
      <w:pPr>
        <w:keepNext w:val="0"/>
        <w:keepLines w:val="0"/>
        <w:pageBreakBefore w:val="0"/>
        <w:widowControl w:val="0"/>
        <w:numPr>
          <w:ilvl w:val="0"/>
          <w:numId w:val="21"/>
        </w:numPr>
        <w:kinsoku/>
        <w:wordWrap/>
        <w:overflowPunct/>
        <w:topLinePunct w:val="0"/>
        <w:autoSpaceDE/>
        <w:autoSpaceDN/>
        <w:bidi w:val="0"/>
        <w:adjustRightInd/>
        <w:snapToGrid/>
        <w:ind w:left="0" w:leftChars="0" w:firstLine="480" w:firstLineChars="200"/>
        <w:textAlignment w:val="auto"/>
        <w:rPr>
          <w:rFonts w:hint="eastAsia"/>
          <w:u w:val="single"/>
          <w:lang w:val="en-US" w:eastAsia="zh-CN"/>
        </w:rPr>
      </w:pPr>
      <w:r>
        <w:rPr>
          <w:rFonts w:hint="eastAsia"/>
          <w:u w:val="single"/>
          <w:lang w:val="en-US" w:eastAsia="zh-CN"/>
        </w:rPr>
        <w:t>废水处理站建立一套以安环总监责任制为主要内容的责权清晰的管理体系。</w:t>
      </w:r>
    </w:p>
    <w:p>
      <w:pPr>
        <w:pStyle w:val="61"/>
        <w:keepLines w:val="0"/>
        <w:kinsoku/>
        <w:wordWrap/>
        <w:overflowPunct/>
        <w:topLinePunct w:val="0"/>
        <w:autoSpaceDE/>
        <w:autoSpaceDN/>
        <w:bidi w:val="0"/>
        <w:adjustRightInd/>
        <w:snapToGrid/>
        <w:spacing w:line="360" w:lineRule="auto"/>
        <w:textAlignment w:val="auto"/>
        <w:rPr>
          <w:rFonts w:hint="eastAsia"/>
          <w:u w:val="single"/>
          <w:lang w:val="en-US" w:eastAsia="zh-CN"/>
        </w:rPr>
      </w:pPr>
      <w:r>
        <w:rPr>
          <w:rFonts w:hint="eastAsia"/>
          <w:u w:val="single"/>
          <w:lang w:val="en-US" w:eastAsia="zh-CN"/>
        </w:rPr>
        <w:t>排污口规范化建设</w:t>
      </w:r>
    </w:p>
    <w:p>
      <w:pPr>
        <w:keepNext w:val="0"/>
        <w:keepLines w:val="0"/>
        <w:pageBreakBefore w:val="0"/>
        <w:widowControl w:val="0"/>
        <w:kinsoku/>
        <w:wordWrap/>
        <w:overflowPunct/>
        <w:topLinePunct w:val="0"/>
        <w:autoSpaceDE/>
        <w:autoSpaceDN/>
        <w:bidi w:val="0"/>
        <w:adjustRightInd w:val="0"/>
        <w:snapToGrid w:val="0"/>
        <w:textAlignment w:val="auto"/>
        <w:rPr>
          <w:rFonts w:hint="eastAsia"/>
          <w:u w:val="single"/>
          <w:lang w:val="en-US" w:eastAsia="zh-CN"/>
        </w:rPr>
      </w:pPr>
      <w:r>
        <w:rPr>
          <w:rFonts w:hint="eastAsia"/>
          <w:u w:val="single"/>
          <w:lang w:val="en-US" w:eastAsia="zh-CN"/>
        </w:rPr>
        <w:t>本入河排污口占未设置，本次论证对该排污口提出建设要求，实施步骤如下所示：</w:t>
      </w:r>
    </w:p>
    <w:p>
      <w:pPr>
        <w:pStyle w:val="18"/>
        <w:keepNext w:val="0"/>
        <w:keepLines w:val="0"/>
        <w:pageBreakBefore w:val="0"/>
        <w:widowControl w:val="0"/>
        <w:numPr>
          <w:ilvl w:val="0"/>
          <w:numId w:val="22"/>
        </w:numPr>
        <w:kinsoku/>
        <w:wordWrap/>
        <w:overflowPunct/>
        <w:topLinePunct w:val="0"/>
        <w:autoSpaceDE/>
        <w:autoSpaceDN/>
        <w:bidi w:val="0"/>
        <w:adjustRightInd w:val="0"/>
        <w:snapToGrid w:val="0"/>
        <w:spacing w:after="0"/>
        <w:textAlignment w:val="auto"/>
        <w:rPr>
          <w:rFonts w:hint="eastAsia"/>
          <w:u w:val="single"/>
          <w:lang w:val="en-US" w:eastAsia="zh-CN"/>
        </w:rPr>
      </w:pPr>
      <w:r>
        <w:rPr>
          <w:rFonts w:hint="eastAsia"/>
          <w:u w:val="single"/>
          <w:lang w:val="en-US" w:eastAsia="zh-CN"/>
        </w:rPr>
        <w:t>调查入河口的河流现状情况；</w:t>
      </w:r>
    </w:p>
    <w:p>
      <w:pPr>
        <w:keepNext w:val="0"/>
        <w:keepLines w:val="0"/>
        <w:pageBreakBefore w:val="0"/>
        <w:widowControl w:val="0"/>
        <w:numPr>
          <w:ilvl w:val="0"/>
          <w:numId w:val="22"/>
        </w:numPr>
        <w:kinsoku/>
        <w:wordWrap/>
        <w:overflowPunct/>
        <w:topLinePunct w:val="0"/>
        <w:autoSpaceDE/>
        <w:autoSpaceDN/>
        <w:bidi w:val="0"/>
        <w:adjustRightInd w:val="0"/>
        <w:snapToGrid w:val="0"/>
        <w:textAlignment w:val="auto"/>
        <w:rPr>
          <w:rFonts w:hint="default"/>
          <w:u w:val="single"/>
          <w:lang w:val="en-US" w:eastAsia="zh-CN"/>
        </w:rPr>
      </w:pPr>
      <w:r>
        <w:rPr>
          <w:rFonts w:hint="eastAsia"/>
          <w:u w:val="single"/>
          <w:lang w:val="en-US" w:eastAsia="zh-CN"/>
        </w:rPr>
        <w:t>根据调查评估结果，制定具体的整治方案，明确各项措施和时间节点；</w:t>
      </w:r>
    </w:p>
    <w:p>
      <w:pPr>
        <w:keepNext w:val="0"/>
        <w:keepLines w:val="0"/>
        <w:pageBreakBefore w:val="0"/>
        <w:widowControl w:val="0"/>
        <w:numPr>
          <w:ilvl w:val="0"/>
          <w:numId w:val="22"/>
        </w:numPr>
        <w:kinsoku/>
        <w:wordWrap/>
        <w:overflowPunct/>
        <w:topLinePunct w:val="0"/>
        <w:autoSpaceDE/>
        <w:autoSpaceDN/>
        <w:bidi w:val="0"/>
        <w:adjustRightInd w:val="0"/>
        <w:snapToGrid w:val="0"/>
        <w:ind w:left="0" w:leftChars="0" w:firstLine="480" w:firstLineChars="200"/>
        <w:textAlignment w:val="auto"/>
        <w:rPr>
          <w:rFonts w:hint="default"/>
          <w:u w:val="single"/>
          <w:lang w:val="en-US" w:eastAsia="zh-CN"/>
        </w:rPr>
      </w:pPr>
      <w:r>
        <w:rPr>
          <w:rFonts w:hint="eastAsia"/>
          <w:u w:val="single"/>
          <w:lang w:val="en-US" w:eastAsia="zh-CN"/>
        </w:rPr>
        <w:t>排污口设置后，应该按照自行监测计划开展监测，及时掌握水质和环境状况，确保符合相关的法规要求。</w:t>
      </w:r>
    </w:p>
    <w:p>
      <w:pPr>
        <w:pStyle w:val="18"/>
        <w:keepNext w:val="0"/>
        <w:keepLines w:val="0"/>
        <w:pageBreakBefore w:val="0"/>
        <w:widowControl w:val="0"/>
        <w:numPr>
          <w:ilvl w:val="0"/>
          <w:numId w:val="22"/>
        </w:numPr>
        <w:kinsoku/>
        <w:wordWrap/>
        <w:overflowPunct/>
        <w:topLinePunct w:val="0"/>
        <w:autoSpaceDE/>
        <w:autoSpaceDN/>
        <w:bidi w:val="0"/>
        <w:adjustRightInd w:val="0"/>
        <w:snapToGrid w:val="0"/>
        <w:spacing w:after="0"/>
        <w:ind w:left="0" w:leftChars="0" w:firstLine="480" w:firstLineChars="200"/>
        <w:textAlignment w:val="auto"/>
        <w:rPr>
          <w:rFonts w:hint="eastAsia"/>
          <w:u w:val="single"/>
          <w:lang w:val="en-US" w:eastAsia="zh-CN"/>
        </w:rPr>
      </w:pPr>
      <w:r>
        <w:rPr>
          <w:rFonts w:hint="eastAsia"/>
          <w:u w:val="single"/>
          <w:lang w:val="en-US" w:eastAsia="zh-CN"/>
        </w:rPr>
        <w:t>排污口设置后，定期开展排污口上下游河道巡查，检查是否有新增排污口等特殊情况，发现异常及时上报主管部门。同时，巡查排污口上下游是否淤塞或存在局部黑臭，做到及时疏通、清理。</w:t>
      </w:r>
    </w:p>
    <w:p>
      <w:pPr>
        <w:keepNext w:val="0"/>
        <w:keepLines w:val="0"/>
        <w:pageBreakBefore w:val="0"/>
        <w:widowControl w:val="0"/>
        <w:numPr>
          <w:ilvl w:val="0"/>
          <w:numId w:val="0"/>
        </w:numPr>
        <w:kinsoku/>
        <w:wordWrap/>
        <w:overflowPunct/>
        <w:topLinePunct w:val="0"/>
        <w:autoSpaceDE/>
        <w:autoSpaceDN/>
        <w:bidi w:val="0"/>
        <w:adjustRightInd w:val="0"/>
        <w:snapToGrid w:val="0"/>
        <w:ind w:leftChars="0" w:firstLine="480" w:firstLineChars="200"/>
        <w:textAlignment w:val="auto"/>
        <w:rPr>
          <w:rFonts w:hint="eastAsia" w:ascii="Times New Roman" w:hAnsi="Times New Roman" w:cs="Times New Roman"/>
          <w:snapToGrid w:val="0"/>
          <w:sz w:val="24"/>
          <w:szCs w:val="21"/>
          <w:lang w:val="en-US" w:eastAsia="zh-CN" w:bidi="ar-SA"/>
        </w:rPr>
      </w:pPr>
      <w:r>
        <w:rPr>
          <w:rFonts w:hint="default" w:ascii="Times New Roman" w:hAnsi="Times New Roman" w:eastAsia="宋体" w:cs="Times New Roman"/>
          <w:snapToGrid w:val="0"/>
          <w:sz w:val="24"/>
          <w:szCs w:val="21"/>
          <w:u w:val="single"/>
          <w:lang w:val="en-US" w:eastAsia="zh-CN" w:bidi="ar-SA"/>
        </w:rPr>
        <w:t>对于入河排污口标志牌的建设，企业应按照《入河入海排污口监督管理技术指南  入河排污口规范化建设》（HJ1309-2023）、《关于印发&lt;长江、黄河和渤海入海（河）排污口排查整治分类规则（试行）&gt;&lt;长江、黄河和渤海入海（河）排污口命名与编码规则（试行）》&gt;&lt;长江、黄河和渤海入海（河）排污口标志牌 设置规则（试行）&gt;的通知》（环办执法函〔2020〕718 号）、《湖南省入河排污口标识牌设置的范围和要求》等规定的排放口标志牌技术规格，在排放口设置明显标志。</w:t>
      </w:r>
      <w:r>
        <w:rPr>
          <w:rFonts w:hint="eastAsia" w:ascii="Times New Roman" w:hAnsi="Times New Roman" w:cs="Times New Roman"/>
          <w:snapToGrid w:val="0"/>
          <w:sz w:val="24"/>
          <w:szCs w:val="21"/>
          <w:u w:val="single"/>
          <w:lang w:val="en-US" w:eastAsia="zh-CN" w:bidi="ar-SA"/>
        </w:rPr>
        <w:t>详细见下表所示</w:t>
      </w:r>
      <w:r>
        <w:rPr>
          <w:rFonts w:hint="eastAsia" w:ascii="Times New Roman" w:hAnsi="Times New Roman" w:cs="Times New Roman"/>
          <w:snapToGrid w:val="0"/>
          <w:sz w:val="24"/>
          <w:szCs w:val="21"/>
          <w:lang w:val="en-US" w:eastAsia="zh-CN" w:bidi="ar-SA"/>
        </w:rPr>
        <w:t>：</w:t>
      </w:r>
    </w:p>
    <w:p>
      <w:pPr>
        <w:pStyle w:val="56"/>
        <w:bidi w:val="0"/>
        <w:ind w:left="960" w:leftChars="0" w:firstLineChars="0"/>
        <w:rPr>
          <w:rFonts w:hint="default"/>
          <w:vertAlign w:val="baseline"/>
          <w:lang w:val="en-US" w:eastAsia="zh-CN"/>
        </w:rPr>
      </w:pPr>
      <w:r>
        <w:rPr>
          <w:rFonts w:hint="eastAsia"/>
          <w:lang w:val="en-US" w:eastAsia="zh-CN"/>
        </w:rPr>
        <w:t>入河排污口标志牌设置要求一览表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27"/>
        <w:gridCol w:w="1279"/>
        <w:gridCol w:w="69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68" w:type="dxa"/>
            <w:gridSpan w:val="2"/>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要求</w:t>
            </w:r>
          </w:p>
        </w:tc>
        <w:tc>
          <w:tcPr>
            <w:tcW w:w="6874" w:type="dxa"/>
            <w:tcBorders>
              <w:tl2br w:val="nil"/>
              <w:tr2bl w:val="nil"/>
            </w:tcBorders>
          </w:tcPr>
          <w:p>
            <w:pPr>
              <w:pStyle w:val="103"/>
              <w:bidi w:val="0"/>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入河排污口标志内容要求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restart"/>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标志牌制作详细要求</w:t>
            </w: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一、样式</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分为立柱式、平面固定式和墩式，企业可根据地形、气候、水文等实际情况选择确定。 本次论证建议选用立柱式。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二、牌面信息</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包括图形标志、文字信息和二维码，原则上按照“左图右文”方式排列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2.1图形标志</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顶部为排污口门标志，中间为污水标志，底部为受纳水体及鱼形标志。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eastAsia"/>
                <w:color w:val="000000" w:themeColor="text1"/>
                <w:kern w:val="2"/>
                <w:sz w:val="21"/>
                <w:szCs w:val="21"/>
                <w:u w:val="single"/>
                <w:lang w:val="en-US" w:eastAsia="zh-CN"/>
                <w14:textFill>
                  <w14:solidFill>
                    <w14:schemeClr w14:val="tx1"/>
                  </w14:solidFill>
                </w14:textFill>
              </w:rPr>
              <w:t>2.2文字信息</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①排污口类型：工业排污口；</w:t>
            </w:r>
          </w:p>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②排污口名称：湖南润景水业（桃江）有限公司工业排污口；</w:t>
            </w:r>
          </w:p>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③排污口编码：根据《长江、黄河和渤海入海（河）排污口命名与编码规106则（试行）》执行，包含水系代码（FF）、行政区划代码（430923）、顺 序代码（最终由生态环境主管部门指定）、排污口类型代码（GY）；</w:t>
            </w:r>
          </w:p>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④排污口责任主体：湖南润景水业（桃江）有限公司；</w:t>
            </w:r>
          </w:p>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⑤监管主体</w:t>
            </w:r>
            <w:r>
              <w:rPr>
                <w:rFonts w:hint="eastAsia"/>
                <w:color w:val="000000" w:themeColor="text1"/>
                <w:kern w:val="2"/>
                <w:sz w:val="21"/>
                <w:szCs w:val="21"/>
                <w:u w:val="single"/>
                <w:lang w:val="en-US" w:eastAsia="zh-CN"/>
                <w14:textFill>
                  <w14:solidFill>
                    <w14:schemeClr w14:val="tx1"/>
                  </w14:solidFill>
                </w14:textFill>
              </w:rPr>
              <w:t>：益阳市生态环境局桃江分局；</w:t>
            </w:r>
          </w:p>
          <w:p>
            <w:pPr>
              <w:pStyle w:val="103"/>
              <w:bidi w:val="0"/>
              <w:ind w:left="0" w:leftChars="0" w:firstLine="210" w:firstLineChars="10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 xml:space="preserve">监督电话12369； </w:t>
            </w:r>
          </w:p>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⑥可视情况增加其他信息，如排污口执行的排放标准、排水去向、所在水系示意图等。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2.3二维码</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u w:val="single"/>
                <w:lang w:val="en-US" w:eastAsia="zh-CN"/>
                <w14:textFill>
                  <w14:solidFill>
                    <w14:schemeClr w14:val="tx1"/>
                  </w14:solidFill>
                </w14:textFill>
              </w:rPr>
            </w:pPr>
            <w:r>
              <w:rPr>
                <w:rFonts w:hint="default"/>
                <w:color w:val="000000" w:themeColor="text1"/>
                <w:kern w:val="2"/>
                <w:sz w:val="21"/>
                <w:szCs w:val="21"/>
                <w:u w:val="single"/>
                <w:lang w:val="en-US" w:eastAsia="zh-CN"/>
                <w14:textFill>
                  <w14:solidFill>
                    <w14:schemeClr w14:val="tx1"/>
                  </w14:solidFill>
                </w14:textFill>
              </w:rPr>
              <w:t>二维码应关联排污口详细信息，包括：牌面上所有信息，以及经纬度、详细地址、排水去向和排放要求。其中，排放要求可为排放标准或管理要求。各地可增加污水监测数据、受纳水体的水质目标及水质现状、所在水系示意图等信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三、材料</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标志牌应选用耐久性材料制作，具有耐候、耐腐蚀等化学性能保证一定的使用寿命。立柱式标志牌面可选用铝塑板薄钢板等，表面选用反光贴膜、搪瓷等；立柱可选用镀锌管等。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四、颜色</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立柱式标志牌面颜色可选用蓝色或绿色（见例图），图形标志和文字选用白色。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7" w:type="dxa"/>
            <w:vMerge w:val="continue"/>
            <w:tcBorders>
              <w:tl2br w:val="nil"/>
              <w:tr2bl w:val="nil"/>
            </w:tcBorders>
            <w:vAlign w:val="center"/>
          </w:tcPr>
          <w:p>
            <w:pPr>
              <w:pStyle w:val="103"/>
              <w:bidi w:val="0"/>
              <w:jc w:val="center"/>
              <w:rPr>
                <w:rFonts w:hint="default"/>
                <w:color w:val="000000" w:themeColor="text1"/>
                <w:kern w:val="2"/>
                <w:sz w:val="21"/>
                <w:szCs w:val="21"/>
                <w:lang w:val="en-US" w:eastAsia="zh-CN"/>
                <w14:textFill>
                  <w14:solidFill>
                    <w14:schemeClr w14:val="tx1"/>
                  </w14:solidFill>
                </w14:textFill>
              </w:rPr>
            </w:pPr>
          </w:p>
        </w:tc>
        <w:tc>
          <w:tcPr>
            <w:tcW w:w="1311" w:type="dxa"/>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五、尺寸</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标志牌面为横纵比大于1的矩形，立柱式标志牌面尺寸不小于 640mm×400mm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68" w:type="dxa"/>
            <w:gridSpan w:val="2"/>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标志牌管理要求</w:t>
            </w:r>
          </w:p>
        </w:tc>
        <w:tc>
          <w:tcPr>
            <w:tcW w:w="6874" w:type="dxa"/>
            <w:tcBorders>
              <w:tl2br w:val="nil"/>
              <w:tr2bl w:val="nil"/>
            </w:tcBorders>
          </w:tcPr>
          <w:p>
            <w:pPr>
              <w:pStyle w:val="103"/>
              <w:keepNext w:val="0"/>
              <w:keepLines w:val="0"/>
              <w:pageBreakBefore w:val="0"/>
              <w:widowControl w:val="0"/>
              <w:numPr>
                <w:ilvl w:val="0"/>
                <w:numId w:val="23"/>
              </w:numPr>
              <w:kinsoku/>
              <w:wordWrap/>
              <w:overflowPunct/>
              <w:topLinePunct w:val="0"/>
              <w:autoSpaceDE/>
              <w:autoSpaceDN/>
              <w:bidi w:val="0"/>
              <w:adjustRightInd w:val="0"/>
              <w:snapToGrid w:val="0"/>
              <w:jc w:val="left"/>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标志牌无明显变形；</w:t>
            </w:r>
          </w:p>
          <w:p>
            <w:pPr>
              <w:pStyle w:val="103"/>
              <w:keepNext w:val="0"/>
              <w:keepLines w:val="0"/>
              <w:pageBreakBefore w:val="0"/>
              <w:widowControl w:val="0"/>
              <w:numPr>
                <w:ilvl w:val="0"/>
                <w:numId w:val="23"/>
              </w:numPr>
              <w:kinsoku/>
              <w:wordWrap/>
              <w:overflowPunct/>
              <w:topLinePunct w:val="0"/>
              <w:autoSpaceDE/>
              <w:autoSpaceDN/>
              <w:bidi w:val="0"/>
              <w:adjustRightInd w:val="0"/>
              <w:snapToGrid w:val="0"/>
              <w:jc w:val="left"/>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 xml:space="preserve"> 标志牌表面无气泡、开裂、脱落及其他破损； </w:t>
            </w:r>
          </w:p>
          <w:p>
            <w:pPr>
              <w:pStyle w:val="103"/>
              <w:keepNext w:val="0"/>
              <w:keepLines w:val="0"/>
              <w:pageBreakBefore w:val="0"/>
              <w:widowControl w:val="0"/>
              <w:numPr>
                <w:ilvl w:val="0"/>
                <w:numId w:val="0"/>
              </w:numPr>
              <w:kinsoku/>
              <w:wordWrap/>
              <w:overflowPunct/>
              <w:topLinePunct w:val="0"/>
              <w:autoSpaceDE/>
              <w:autoSpaceDN/>
              <w:bidi w:val="0"/>
              <w:adjustRightInd w:val="0"/>
              <w:snapToGrid w:val="0"/>
              <w:ind w:right="0" w:rightChars="0"/>
              <w:jc w:val="left"/>
              <w:textAlignment w:val="auto"/>
              <w:rPr>
                <w:rFonts w:hint="default"/>
                <w:color w:val="000000" w:themeColor="text1"/>
                <w:kern w:val="2"/>
                <w:sz w:val="21"/>
                <w:szCs w:val="21"/>
                <w:lang w:val="en-US" w:eastAsia="zh-CN"/>
                <w14:textFill>
                  <w14:solidFill>
                    <w14:schemeClr w14:val="tx1"/>
                  </w14:solidFill>
                </w14:textFill>
              </w:rPr>
            </w:pPr>
            <w:r>
              <w:rPr>
                <w:rFonts w:hint="default"/>
                <w:color w:val="000000" w:themeColor="text1"/>
                <w:kern w:val="2"/>
                <w:sz w:val="21"/>
                <w:szCs w:val="21"/>
                <w:lang w:val="en-US" w:eastAsia="zh-CN"/>
                <w14:textFill>
                  <w14:solidFill>
                    <w14:schemeClr w14:val="tx1"/>
                  </w14:solidFill>
                </w14:textFill>
              </w:rPr>
              <w:t>3、标志牌图案清晰，色泽一致，无明显缺损。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68" w:type="dxa"/>
            <w:gridSpan w:val="2"/>
            <w:tcBorders>
              <w:tl2br w:val="nil"/>
              <w:tr2bl w:val="nil"/>
            </w:tcBorders>
            <w:vAlign w:val="center"/>
          </w:tcPr>
          <w:p>
            <w:pPr>
              <w:pStyle w:val="103"/>
              <w:bidi w:val="0"/>
              <w:ind w:left="0" w:leftChars="0" w:firstLine="0" w:firstLineChars="0"/>
              <w:jc w:val="center"/>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标志牌面例图</w:t>
            </w:r>
          </w:p>
        </w:tc>
        <w:tc>
          <w:tcPr>
            <w:tcW w:w="6874" w:type="dxa"/>
            <w:tcBorders>
              <w:tl2br w:val="nil"/>
              <w:tr2bl w:val="nil"/>
            </w:tcBorders>
          </w:tcPr>
          <w:p>
            <w:pPr>
              <w:pStyle w:val="103"/>
              <w:bidi w:val="0"/>
              <w:ind w:left="0" w:leftChars="0" w:firstLine="0" w:firstLineChars="0"/>
              <w:rPr>
                <w:rFonts w:hint="default"/>
                <w:color w:val="000000" w:themeColor="text1"/>
                <w:kern w:val="2"/>
                <w:sz w:val="21"/>
                <w:szCs w:val="21"/>
                <w:lang w:val="en-US" w:eastAsia="zh-CN"/>
                <w14:textFill>
                  <w14:solidFill>
                    <w14:schemeClr w14:val="tx1"/>
                  </w14:solidFill>
                </w14:textFill>
              </w:rPr>
            </w:pPr>
            <w:r>
              <w:rPr>
                <w:color w:val="000000" w:themeColor="text1"/>
                <w:kern w:val="2"/>
                <w:sz w:val="21"/>
                <w:szCs w:val="21"/>
                <w14:textFill>
                  <w14:solidFill>
                    <w14:schemeClr w14:val="tx1"/>
                  </w14:solidFill>
                </w14:textFill>
              </w:rPr>
              <w:drawing>
                <wp:inline distT="0" distB="0" distL="114300" distR="114300">
                  <wp:extent cx="4264660" cy="2516505"/>
                  <wp:effectExtent l="0" t="0" r="2540" b="1714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48"/>
                          <a:stretch>
                            <a:fillRect/>
                          </a:stretch>
                        </pic:blipFill>
                        <pic:spPr>
                          <a:xfrm>
                            <a:off x="0" y="0"/>
                            <a:ext cx="4264660" cy="2516505"/>
                          </a:xfrm>
                          <a:prstGeom prst="rect">
                            <a:avLst/>
                          </a:prstGeom>
                          <a:noFill/>
                          <a:ln>
                            <a:noFill/>
                          </a:ln>
                        </pic:spPr>
                      </pic:pic>
                    </a:graphicData>
                  </a:graphic>
                </wp:inline>
              </w:drawing>
            </w:r>
          </w:p>
        </w:tc>
      </w:tr>
    </w:tbl>
    <w:p>
      <w:pPr>
        <w:pStyle w:val="61"/>
        <w:keepLines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排污口设置验收要求</w:t>
      </w:r>
    </w:p>
    <w:p>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入河排污口试运行满3个月，正式投入使用前，入河排污口设置单位应向有管辖权的县级以上人民政府入河排污口主管部门提出入河排污口设置验收申请，验收合格后方可投入运行，验收内容包括：</w:t>
      </w:r>
    </w:p>
    <w:p>
      <w:pPr>
        <w:pStyle w:val="18"/>
        <w:keepNext w:val="0"/>
        <w:keepLines w:val="0"/>
        <w:pageBreakBefore w:val="0"/>
        <w:widowControl w:val="0"/>
        <w:numPr>
          <w:ilvl w:val="0"/>
          <w:numId w:val="24"/>
        </w:numPr>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污水处理设施验收合格；</w:t>
      </w:r>
    </w:p>
    <w:p>
      <w:pPr>
        <w:keepNext w:val="0"/>
        <w:keepLines w:val="0"/>
        <w:pageBreakBefore w:val="0"/>
        <w:widowControl w:val="0"/>
        <w:numPr>
          <w:ilvl w:val="0"/>
          <w:numId w:val="24"/>
        </w:numPr>
        <w:kinsoku/>
        <w:wordWrap/>
        <w:overflowPunct/>
        <w:topLinePunct w:val="0"/>
        <w:autoSpaceDE/>
        <w:autoSpaceDN/>
        <w:bidi w:val="0"/>
        <w:adjustRightInd/>
        <w:snapToGrid/>
        <w:textAlignment w:val="auto"/>
        <w:rPr>
          <w:rFonts w:hint="default"/>
          <w:lang w:val="en-US" w:eastAsia="zh-CN"/>
        </w:rPr>
      </w:pPr>
      <w:r>
        <w:rPr>
          <w:rFonts w:hint="eastAsia"/>
          <w:lang w:val="en-US" w:eastAsia="zh-CN"/>
        </w:rPr>
        <w:t>入河排污口设置审批手续完备，技术资料齐全；</w:t>
      </w:r>
    </w:p>
    <w:p>
      <w:pPr>
        <w:pStyle w:val="18"/>
        <w:keepNext w:val="0"/>
        <w:keepLines w:val="0"/>
        <w:pageBreakBefore w:val="0"/>
        <w:widowControl w:val="0"/>
        <w:numPr>
          <w:ilvl w:val="0"/>
          <w:numId w:val="24"/>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入河排污口已按行政许可决定的要求建成，污水排放符合行政许可决定中提出的标准及总量控制要求；</w:t>
      </w:r>
    </w:p>
    <w:p>
      <w:pPr>
        <w:keepNext w:val="0"/>
        <w:keepLines w:val="0"/>
        <w:pageBreakBefore w:val="0"/>
        <w:widowControl w:val="0"/>
        <w:numPr>
          <w:ilvl w:val="0"/>
          <w:numId w:val="24"/>
        </w:numPr>
        <w:kinsoku/>
        <w:wordWrap/>
        <w:overflowPunct/>
        <w:topLinePunct w:val="0"/>
        <w:autoSpaceDE/>
        <w:autoSpaceDN/>
        <w:bidi w:val="0"/>
        <w:adjustRightInd/>
        <w:snapToGrid/>
        <w:ind w:left="0" w:leftChars="0" w:firstLine="480" w:firstLineChars="200"/>
        <w:textAlignment w:val="auto"/>
        <w:rPr>
          <w:rFonts w:hint="default"/>
          <w:lang w:val="en-US" w:eastAsia="zh-CN"/>
        </w:rPr>
      </w:pPr>
      <w:r>
        <w:rPr>
          <w:rFonts w:hint="eastAsia"/>
          <w:lang w:val="en-US" w:eastAsia="zh-CN"/>
        </w:rPr>
        <w:t>污水处理设施水质水量监测设备、报送信息方式符合有关规定的要求；</w:t>
      </w:r>
    </w:p>
    <w:p>
      <w:pPr>
        <w:pStyle w:val="18"/>
        <w:keepNext w:val="0"/>
        <w:keepLines w:val="0"/>
        <w:pageBreakBefore w:val="0"/>
        <w:widowControl w:val="0"/>
        <w:numPr>
          <w:ilvl w:val="0"/>
          <w:numId w:val="24"/>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有完善的水污染事件应急预案，风险控制措施落实到位；</w:t>
      </w:r>
    </w:p>
    <w:p>
      <w:pPr>
        <w:keepNext w:val="0"/>
        <w:keepLines w:val="0"/>
        <w:pageBreakBefore w:val="0"/>
        <w:widowControl w:val="0"/>
        <w:numPr>
          <w:ilvl w:val="0"/>
          <w:numId w:val="24"/>
        </w:numPr>
        <w:kinsoku/>
        <w:wordWrap/>
        <w:overflowPunct/>
        <w:topLinePunct w:val="0"/>
        <w:autoSpaceDE/>
        <w:autoSpaceDN/>
        <w:bidi w:val="0"/>
        <w:adjustRightInd/>
        <w:snapToGrid/>
        <w:ind w:left="0" w:leftChars="0" w:firstLine="480" w:firstLineChars="200"/>
        <w:textAlignment w:val="auto"/>
        <w:rPr>
          <w:rFonts w:hint="default"/>
          <w:lang w:val="en-US" w:eastAsia="zh-CN"/>
        </w:rPr>
      </w:pPr>
      <w:r>
        <w:rPr>
          <w:rFonts w:hint="eastAsia"/>
          <w:lang w:val="en-US" w:eastAsia="zh-CN"/>
        </w:rPr>
        <w:t>有关水资源保护措施全面落实。</w:t>
      </w:r>
    </w:p>
    <w:p>
      <w:pPr>
        <w:pStyle w:val="18"/>
        <w:rPr>
          <w:rFonts w:hint="eastAsia"/>
          <w:lang w:val="en-US" w:eastAsia="zh-CN"/>
        </w:rPr>
      </w:pPr>
    </w:p>
    <w:p>
      <w:pPr>
        <w:rPr>
          <w:rFonts w:hint="eastAsia"/>
          <w:lang w:val="en-US" w:eastAsia="zh-CN"/>
        </w:rPr>
      </w:pPr>
    </w:p>
    <w:p>
      <w:pPr>
        <w:pStyle w:val="18"/>
        <w:rPr>
          <w:rFonts w:hint="default"/>
          <w:lang w:val="en-US" w:eastAsia="zh-CN"/>
        </w:rPr>
      </w:pPr>
    </w:p>
    <w:p>
      <w:pPr>
        <w:pStyle w:val="61"/>
        <w:keepLines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val="en-US" w:eastAsia="zh-CN"/>
        </w:rPr>
        <w:t>自行监测要求</w:t>
      </w:r>
    </w:p>
    <w:p>
      <w:pPr>
        <w:rPr>
          <w:rFonts w:hint="eastAsia"/>
          <w:lang w:val="en-US" w:eastAsia="zh-CN"/>
        </w:rPr>
      </w:pPr>
      <w:r>
        <w:rPr>
          <w:rFonts w:hint="eastAsia"/>
          <w:lang w:val="en-US" w:eastAsia="zh-CN"/>
        </w:rPr>
        <w:t>依据《排污单位自行监测技术指南酒、饮料制造》（HJ1085-2020）和《排污许可证申请与核发技术规范酒、饮料制造工业》(HJ 1028—2019)中排污单位的要求，结合企业实际情况，提出企业自行监测计划，详见下表所示。</w:t>
      </w:r>
    </w:p>
    <w:p>
      <w:pPr>
        <w:pStyle w:val="56"/>
        <w:bidi w:val="0"/>
        <w:ind w:left="960" w:leftChars="0" w:firstLineChars="0"/>
        <w:rPr>
          <w:rFonts w:hint="default"/>
          <w:vertAlign w:val="baseline"/>
          <w:lang w:val="en-US" w:eastAsia="zh-CN"/>
        </w:rPr>
      </w:pPr>
      <w:r>
        <w:rPr>
          <w:rFonts w:hint="eastAsia"/>
          <w:vertAlign w:val="baseline"/>
          <w:lang w:val="en-US" w:eastAsia="zh-CN"/>
        </w:rPr>
        <w:t>自行监测要求一览表</w:t>
      </w:r>
    </w:p>
    <w:tbl>
      <w:tblPr>
        <w:tblStyle w:val="4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1591"/>
        <w:gridCol w:w="3265"/>
        <w:gridCol w:w="1498"/>
        <w:gridCol w:w="21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310" w:type="dxa"/>
            <w:gridSpan w:val="2"/>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监测点位</w:t>
            </w:r>
          </w:p>
        </w:tc>
        <w:tc>
          <w:tcPr>
            <w:tcW w:w="3265"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监测指标</w:t>
            </w:r>
          </w:p>
        </w:tc>
        <w:tc>
          <w:tcPr>
            <w:tcW w:w="149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监测频次</w:t>
            </w:r>
          </w:p>
        </w:tc>
        <w:tc>
          <w:tcPr>
            <w:tcW w:w="21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9"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废水</w:t>
            </w:r>
          </w:p>
        </w:tc>
        <w:tc>
          <w:tcPr>
            <w:tcW w:w="1591"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进水总管</w:t>
            </w:r>
          </w:p>
        </w:tc>
        <w:tc>
          <w:tcPr>
            <w:tcW w:w="3265"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流量、化学需氧量、氨氮、总磷、总氮</w:t>
            </w:r>
          </w:p>
        </w:tc>
        <w:tc>
          <w:tcPr>
            <w:tcW w:w="149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季度/次</w:t>
            </w:r>
          </w:p>
        </w:tc>
        <w:tc>
          <w:tcPr>
            <w:tcW w:w="21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废水处理站设计进水标准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9"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c>
          <w:tcPr>
            <w:tcW w:w="1591"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废水总排口</w:t>
            </w:r>
          </w:p>
        </w:tc>
        <w:tc>
          <w:tcPr>
            <w:tcW w:w="3265"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流量、pH值、悬浮物、五日生化需氧量、化学需氧量、氨氮、总磷、总氮、色度</w:t>
            </w:r>
          </w:p>
        </w:tc>
        <w:tc>
          <w:tcPr>
            <w:tcW w:w="1498"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季度/次</w:t>
            </w:r>
          </w:p>
        </w:tc>
        <w:tc>
          <w:tcPr>
            <w:tcW w:w="2169"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满足</w:t>
            </w:r>
            <w:r>
              <w:rPr>
                <w:rFonts w:hint="default"/>
                <w:color w:val="000000" w:themeColor="text1"/>
                <w:kern w:val="2"/>
                <w:sz w:val="21"/>
                <w:szCs w:val="21"/>
                <w:lang w:val="en-US" w:eastAsia="zh-CN"/>
                <w14:textFill>
                  <w14:solidFill>
                    <w14:schemeClr w14:val="tx1"/>
                  </w14:solidFill>
                </w14:textFill>
              </w:rPr>
              <w:t>《污水综合排放标准》（GB8978-1996）</w:t>
            </w:r>
            <w:r>
              <w:rPr>
                <w:rFonts w:hint="eastAsia"/>
                <w:color w:val="000000" w:themeColor="text1"/>
                <w:kern w:val="2"/>
                <w:sz w:val="21"/>
                <w:szCs w:val="21"/>
                <w:lang w:val="en-US" w:eastAsia="zh-CN"/>
                <w14:textFill>
                  <w14:solidFill>
                    <w14:schemeClr w14:val="tx1"/>
                  </w14:solidFill>
                </w14:textFill>
              </w:rPr>
              <w:t>中一级标准要求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9"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地表水</w:t>
            </w:r>
          </w:p>
        </w:tc>
        <w:tc>
          <w:tcPr>
            <w:tcW w:w="1591"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项目西北侧无名小溪排污口上游500m</w:t>
            </w:r>
          </w:p>
        </w:tc>
        <w:tc>
          <w:tcPr>
            <w:tcW w:w="3265"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pH值、悬浮物、五日生化需氧量、化学需氧量、氨氮、总磷、总氮</w:t>
            </w:r>
          </w:p>
        </w:tc>
        <w:tc>
          <w:tcPr>
            <w:tcW w:w="1498"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每年平、枯水期至少各监测一次</w:t>
            </w:r>
          </w:p>
        </w:tc>
        <w:tc>
          <w:tcPr>
            <w:tcW w:w="2169" w:type="dxa"/>
            <w:vMerge w:val="restart"/>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《地表水环境质量标准》（GB3838-2002）中Ⅲ类标准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19"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c>
          <w:tcPr>
            <w:tcW w:w="1591" w:type="dxa"/>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color w:val="000000" w:themeColor="text1"/>
                <w:kern w:val="2"/>
                <w:sz w:val="21"/>
                <w:szCs w:val="21"/>
                <w:lang w:val="en-US" w:eastAsia="zh-CN"/>
                <w14:textFill>
                  <w14:solidFill>
                    <w14:schemeClr w14:val="tx1"/>
                  </w14:solidFill>
                </w14:textFill>
              </w:rPr>
            </w:pPr>
            <w:r>
              <w:rPr>
                <w:rFonts w:hint="eastAsia"/>
                <w:color w:val="000000" w:themeColor="text1"/>
                <w:kern w:val="2"/>
                <w:sz w:val="21"/>
                <w:szCs w:val="21"/>
                <w:lang w:val="en-US" w:eastAsia="zh-CN"/>
                <w14:textFill>
                  <w14:solidFill>
                    <w14:schemeClr w14:val="tx1"/>
                  </w14:solidFill>
                </w14:textFill>
              </w:rPr>
              <w:t>项目西北侧无名小溪排污口下游1500m</w:t>
            </w:r>
          </w:p>
        </w:tc>
        <w:tc>
          <w:tcPr>
            <w:tcW w:w="3265"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c>
          <w:tcPr>
            <w:tcW w:w="1498"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c>
          <w:tcPr>
            <w:tcW w:w="2169" w:type="dxa"/>
            <w:vMerge w:val="continue"/>
            <w:tcBorders>
              <w:tl2br w:val="nil"/>
              <w:tr2bl w:val="nil"/>
            </w:tcBorders>
            <w:vAlign w:val="center"/>
          </w:tcPr>
          <w:p>
            <w:pPr>
              <w:pStyle w:val="103"/>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kern w:val="2"/>
                <w:sz w:val="21"/>
                <w:szCs w:val="21"/>
                <w:lang w:val="en-US" w:eastAsia="zh-CN"/>
                <w14:textFill>
                  <w14:solidFill>
                    <w14:schemeClr w14:val="tx1"/>
                  </w14:solidFill>
                </w14:textFill>
              </w:rPr>
            </w:pPr>
          </w:p>
        </w:tc>
      </w:tr>
    </w:tbl>
    <w:p>
      <w:pPr>
        <w:pStyle w:val="60"/>
        <w:bidi w:val="0"/>
        <w:rPr>
          <w:rFonts w:hint="eastAsia"/>
          <w:lang w:val="en-US" w:eastAsia="zh-CN"/>
        </w:rPr>
      </w:pPr>
      <w:bookmarkStart w:id="87" w:name="_Toc1219"/>
      <w:r>
        <w:rPr>
          <w:rFonts w:hint="eastAsia"/>
          <w:lang w:val="en-US" w:eastAsia="zh-CN"/>
        </w:rPr>
        <w:t>水生态保护措施</w:t>
      </w:r>
      <w:bookmarkEnd w:id="87"/>
    </w:p>
    <w:p>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废水处理工程是治理改善水环境的重要措施之一，确保工程按照设计要求运行和管理，是工程发挥正常效益的基本保障，是对区域水生态的保护。按照排污口所在位置，所属的水功能区纳污能力考虑，现状水质基本能够满足水功能区管理目标要求，为了更好的加强水功能区管理，需要加大污水收集处理效率，减少入河污染物排放量。对比，本次论证提出以下保护措施。</w:t>
      </w:r>
    </w:p>
    <w:p>
      <w:pPr>
        <w:pStyle w:val="18"/>
        <w:keepNext w:val="0"/>
        <w:keepLines w:val="0"/>
        <w:pageBreakBefore w:val="0"/>
        <w:widowControl w:val="0"/>
        <w:numPr>
          <w:ilvl w:val="0"/>
          <w:numId w:val="25"/>
        </w:numPr>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入河口位置断面：通过手工监测控制公司排放口水质是否达标排放。一旦废水处理站运行异常，不能达标排放则关闭阀门，将水引入事故应急池，及时排查和解决问题，确保项目正常运行，坚决杜绝事故排放的发生，以免对当地水环境造成污染。</w:t>
      </w:r>
    </w:p>
    <w:p>
      <w:pPr>
        <w:keepNext w:val="0"/>
        <w:keepLines w:val="0"/>
        <w:pageBreakBefore w:val="0"/>
        <w:widowControl w:val="0"/>
        <w:numPr>
          <w:ilvl w:val="0"/>
          <w:numId w:val="25"/>
        </w:numPr>
        <w:kinsoku/>
        <w:wordWrap/>
        <w:overflowPunct/>
        <w:topLinePunct w:val="0"/>
        <w:autoSpaceDE/>
        <w:autoSpaceDN/>
        <w:bidi w:val="0"/>
        <w:adjustRightInd/>
        <w:snapToGrid/>
        <w:textAlignment w:val="auto"/>
        <w:rPr>
          <w:rFonts w:hint="default"/>
          <w:lang w:val="en-US" w:eastAsia="zh-CN"/>
        </w:rPr>
      </w:pPr>
      <w:r>
        <w:rPr>
          <w:rFonts w:hint="eastAsia"/>
          <w:lang w:val="en-US" w:eastAsia="zh-CN"/>
        </w:rPr>
        <w:t>加强运行监督管理，并实施污水排放关键节点水质监测，并根据水质监测结果指导相关措施的落实和改进。</w:t>
      </w:r>
    </w:p>
    <w:p>
      <w:pPr>
        <w:pStyle w:val="60"/>
        <w:bidi w:val="0"/>
        <w:rPr>
          <w:rFonts w:hint="eastAsia"/>
          <w:lang w:val="en-US" w:eastAsia="zh-CN"/>
        </w:rPr>
      </w:pPr>
      <w:bookmarkStart w:id="88" w:name="_Toc3698"/>
      <w:r>
        <w:rPr>
          <w:rFonts w:hint="eastAsia"/>
          <w:lang w:val="en-US" w:eastAsia="zh-CN"/>
        </w:rPr>
        <w:t>事故排放预防及应急措施</w:t>
      </w:r>
      <w:bookmarkEnd w:id="88"/>
    </w:p>
    <w:p>
      <w:pPr>
        <w:pStyle w:val="61"/>
        <w:bidi w:val="0"/>
        <w:rPr>
          <w:rFonts w:hint="eastAsia"/>
          <w:lang w:val="en-US" w:eastAsia="zh-CN"/>
        </w:rPr>
      </w:pPr>
      <w:r>
        <w:rPr>
          <w:rFonts w:hint="eastAsia"/>
          <w:lang w:val="en-US" w:eastAsia="zh-CN"/>
        </w:rPr>
        <w:t>事故排放原因</w:t>
      </w:r>
    </w:p>
    <w:p>
      <w:pPr>
        <w:keepNext w:val="0"/>
        <w:keepLines w:val="0"/>
        <w:pageBreakBefore w:val="0"/>
        <w:widowControl w:val="0"/>
        <w:kinsoku/>
        <w:wordWrap/>
        <w:overflowPunct/>
        <w:topLinePunct w:val="0"/>
        <w:autoSpaceDE/>
        <w:autoSpaceDN/>
        <w:bidi w:val="0"/>
        <w:adjustRightInd/>
        <w:snapToGrid/>
        <w:ind w:leftChars="0"/>
        <w:textAlignment w:val="auto"/>
        <w:rPr>
          <w:rFonts w:hint="eastAsia"/>
          <w:lang w:val="en-US" w:eastAsia="zh-CN"/>
        </w:rPr>
      </w:pPr>
      <w:r>
        <w:rPr>
          <w:rFonts w:hint="eastAsia"/>
          <w:lang w:val="en-US" w:eastAsia="zh-CN"/>
        </w:rPr>
        <w:t>本工程建成运行期间废水事故排放的原因主要有以下:</w:t>
      </w:r>
    </w:p>
    <w:p>
      <w:pPr>
        <w:pStyle w:val="18"/>
        <w:keepNext w:val="0"/>
        <w:keepLines w:val="0"/>
        <w:pageBreakBefore w:val="0"/>
        <w:widowControl w:val="0"/>
        <w:numPr>
          <w:ilvl w:val="0"/>
          <w:numId w:val="26"/>
        </w:numPr>
        <w:kinsoku/>
        <w:wordWrap/>
        <w:overflowPunct/>
        <w:topLinePunct w:val="0"/>
        <w:autoSpaceDE/>
        <w:autoSpaceDN/>
        <w:bidi w:val="0"/>
        <w:adjustRightInd/>
        <w:snapToGrid/>
        <w:spacing w:after="0"/>
        <w:ind w:leftChars="0"/>
        <w:textAlignment w:val="auto"/>
        <w:rPr>
          <w:rFonts w:hint="eastAsia"/>
          <w:lang w:val="en-US" w:eastAsia="zh-CN"/>
        </w:rPr>
      </w:pPr>
      <w:r>
        <w:rPr>
          <w:rFonts w:hint="eastAsia"/>
          <w:lang w:val="en-US" w:eastAsia="zh-CN"/>
        </w:rPr>
        <w:t>接管污水超出标准，导致生物污泥中毒后短期内无法恢复处理功能；</w:t>
      </w:r>
    </w:p>
    <w:p>
      <w:pPr>
        <w:keepNext w:val="0"/>
        <w:keepLines w:val="0"/>
        <w:pageBreakBefore w:val="0"/>
        <w:widowControl w:val="0"/>
        <w:numPr>
          <w:ilvl w:val="0"/>
          <w:numId w:val="26"/>
        </w:numPr>
        <w:kinsoku/>
        <w:wordWrap/>
        <w:overflowPunct/>
        <w:topLinePunct w:val="0"/>
        <w:autoSpaceDE/>
        <w:autoSpaceDN/>
        <w:bidi w:val="0"/>
        <w:adjustRightInd/>
        <w:snapToGrid/>
        <w:ind w:leftChars="0"/>
        <w:textAlignment w:val="auto"/>
        <w:rPr>
          <w:rFonts w:hint="default"/>
          <w:lang w:val="en-US" w:eastAsia="zh-CN"/>
        </w:rPr>
      </w:pPr>
      <w:r>
        <w:rPr>
          <w:rFonts w:hint="eastAsia"/>
          <w:lang w:val="en-US" w:eastAsia="zh-CN"/>
        </w:rPr>
        <w:t>停电事故和机械故障造成废污水无法正常处理；</w:t>
      </w:r>
    </w:p>
    <w:p>
      <w:pPr>
        <w:pStyle w:val="18"/>
        <w:keepNext w:val="0"/>
        <w:keepLines w:val="0"/>
        <w:pageBreakBefore w:val="0"/>
        <w:widowControl w:val="0"/>
        <w:numPr>
          <w:ilvl w:val="0"/>
          <w:numId w:val="26"/>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出于节省处理成本的违法直排；</w:t>
      </w:r>
    </w:p>
    <w:p>
      <w:pPr>
        <w:keepNext w:val="0"/>
        <w:keepLines w:val="0"/>
        <w:pageBreakBefore w:val="0"/>
        <w:widowControl w:val="0"/>
        <w:numPr>
          <w:ilvl w:val="0"/>
          <w:numId w:val="26"/>
        </w:numPr>
        <w:kinsoku/>
        <w:wordWrap/>
        <w:overflowPunct/>
        <w:topLinePunct w:val="0"/>
        <w:autoSpaceDE/>
        <w:autoSpaceDN/>
        <w:bidi w:val="0"/>
        <w:adjustRightInd/>
        <w:snapToGrid/>
        <w:ind w:left="0" w:leftChars="0" w:firstLine="480" w:firstLineChars="200"/>
        <w:textAlignment w:val="auto"/>
        <w:rPr>
          <w:rFonts w:hint="default"/>
          <w:lang w:val="en-US" w:eastAsia="zh-CN"/>
        </w:rPr>
      </w:pPr>
      <w:r>
        <w:rPr>
          <w:rFonts w:hint="eastAsia"/>
          <w:lang w:val="en-US" w:eastAsia="zh-CN"/>
        </w:rPr>
        <w:t>其他人为破坏造成的废污水泄露事故；</w:t>
      </w:r>
    </w:p>
    <w:p>
      <w:pPr>
        <w:pStyle w:val="18"/>
        <w:keepNext w:val="0"/>
        <w:keepLines w:val="0"/>
        <w:pageBreakBefore w:val="0"/>
        <w:widowControl w:val="0"/>
        <w:numPr>
          <w:ilvl w:val="0"/>
          <w:numId w:val="26"/>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自然灾害原因。</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lang w:val="en-US" w:eastAsia="zh-CN"/>
        </w:rPr>
      </w:pPr>
      <w:r>
        <w:rPr>
          <w:rFonts w:hint="eastAsia"/>
          <w:lang w:val="en-US" w:eastAsia="zh-CN"/>
        </w:rPr>
        <w:t>若出现废水事故排放，将在入河排污口下游产生一段污染带，对入河排污口下游水质产生较大影响。</w:t>
      </w:r>
    </w:p>
    <w:p>
      <w:pPr>
        <w:pStyle w:val="61"/>
        <w:bidi w:val="0"/>
        <w:rPr>
          <w:rFonts w:hint="eastAsia"/>
          <w:lang w:val="en-US" w:eastAsia="zh-CN"/>
        </w:rPr>
      </w:pPr>
      <w:r>
        <w:rPr>
          <w:rFonts w:hint="eastAsia"/>
          <w:lang w:val="en-US" w:eastAsia="zh-CN"/>
        </w:rPr>
        <w:t>事故预防措施</w:t>
      </w:r>
    </w:p>
    <w:p>
      <w:pPr>
        <w:pStyle w:val="62"/>
        <w:bidi w:val="0"/>
        <w:rPr>
          <w:rFonts w:hint="eastAsia"/>
          <w:lang w:val="en-US" w:eastAsia="zh-CN"/>
        </w:rPr>
      </w:pPr>
      <w:r>
        <w:rPr>
          <w:rFonts w:hint="eastAsia"/>
          <w:lang w:val="en-US" w:eastAsia="zh-CN"/>
        </w:rPr>
        <w:t>废水收集区域事故预防措施</w:t>
      </w:r>
    </w:p>
    <w:p>
      <w:pPr>
        <w:pStyle w:val="63"/>
        <w:numPr>
          <w:ilvl w:val="0"/>
          <w:numId w:val="27"/>
        </w:numPr>
        <w:rPr>
          <w:rFonts w:ascii="宋体" w:hAnsi="宋体" w:eastAsia="宋体" w:cs="宋体"/>
          <w:b w:val="0"/>
          <w:bCs w:val="0"/>
          <w:color w:val="000000"/>
          <w:sz w:val="24"/>
          <w:szCs w:val="24"/>
        </w:rPr>
      </w:pPr>
      <w:r>
        <w:rPr>
          <w:rFonts w:ascii="宋体" w:hAnsi="宋体" w:eastAsia="宋体" w:cs="宋体"/>
          <w:b w:val="0"/>
          <w:bCs w:val="0"/>
          <w:color w:val="000000"/>
          <w:sz w:val="24"/>
          <w:szCs w:val="24"/>
        </w:rPr>
        <w:t>在污水干管和支管设计中，要选择适当的最小设计流速和充满度，同时严禁固体废物排入管网，避免管道发生堵塞、破裂；</w:t>
      </w:r>
    </w:p>
    <w:p>
      <w:pPr>
        <w:pStyle w:val="63"/>
        <w:numPr>
          <w:ilvl w:val="0"/>
          <w:numId w:val="27"/>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污水收集管网必须采用符合国家标准和相关规定的合格材质，避免传输污水途中发生渗漏和外流，造成地下水及土壤的二次污染；</w:t>
      </w:r>
    </w:p>
    <w:p>
      <w:pPr>
        <w:pStyle w:val="63"/>
        <w:numPr>
          <w:ilvl w:val="0"/>
          <w:numId w:val="27"/>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接入废水处理站进行处理的废水，污染物排放浓度不得超出废水处理站进水水质的设计标准；</w:t>
      </w:r>
    </w:p>
    <w:p>
      <w:pPr>
        <w:pStyle w:val="63"/>
        <w:numPr>
          <w:ilvl w:val="0"/>
          <w:numId w:val="27"/>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建立污水管网事故隐患排查和排水安全保障制度</w:t>
      </w:r>
      <w:r>
        <w:rPr>
          <w:rFonts w:hint="eastAsia" w:ascii="宋体" w:hAnsi="宋体" w:eastAsia="宋体" w:cs="宋体"/>
          <w:b w:val="0"/>
          <w:bCs w:val="0"/>
          <w:color w:val="000000"/>
          <w:sz w:val="24"/>
          <w:szCs w:val="24"/>
          <w:lang w:eastAsia="zh-CN"/>
        </w:rPr>
        <w:t>；</w:t>
      </w:r>
    </w:p>
    <w:p>
      <w:pPr>
        <w:pStyle w:val="63"/>
        <w:numPr>
          <w:ilvl w:val="0"/>
          <w:numId w:val="27"/>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在废水处理站尾水排入管道前，设置阀门，并定时查看尾水在线监控系统的运行情况，记录相关数值，在发现尾水排放指标超过限值或在线监控系统发生故障自动报警时，关闭管道闸门，防止未经处理或超标尾水排入</w:t>
      </w:r>
      <w:r>
        <w:rPr>
          <w:rFonts w:hint="eastAsia" w:ascii="宋体" w:hAnsi="宋体" w:cs="宋体"/>
          <w:b w:val="0"/>
          <w:bCs w:val="0"/>
          <w:color w:val="000000"/>
          <w:sz w:val="24"/>
          <w:szCs w:val="24"/>
          <w:lang w:val="en-US" w:eastAsia="zh-CN"/>
        </w:rPr>
        <w:t>西北侧无名小溪</w:t>
      </w:r>
      <w:r>
        <w:rPr>
          <w:rFonts w:ascii="宋体" w:hAnsi="宋体" w:eastAsia="宋体" w:cs="宋体"/>
          <w:b w:val="0"/>
          <w:bCs w:val="0"/>
          <w:color w:val="000000"/>
          <w:sz w:val="24"/>
          <w:szCs w:val="24"/>
        </w:rPr>
        <w:t>。</w:t>
      </w:r>
    </w:p>
    <w:p>
      <w:pPr>
        <w:pStyle w:val="62"/>
        <w:bidi w:val="0"/>
        <w:rPr>
          <w:rFonts w:hint="eastAsia"/>
          <w:lang w:val="en-US" w:eastAsia="zh-CN"/>
        </w:rPr>
      </w:pPr>
      <w:r>
        <w:rPr>
          <w:rFonts w:hint="eastAsia"/>
          <w:lang w:val="en-US" w:eastAsia="zh-CN"/>
        </w:rPr>
        <w:t>废水处理站设备运行事故预防措施</w:t>
      </w:r>
    </w:p>
    <w:p>
      <w:pPr>
        <w:pStyle w:val="63"/>
        <w:numPr>
          <w:ilvl w:val="0"/>
          <w:numId w:val="28"/>
        </w:numPr>
        <w:rPr>
          <w:rFonts w:hint="eastAsia" w:ascii="宋体" w:hAnsi="宋体" w:eastAsia="宋体" w:cs="宋体"/>
          <w:b w:val="0"/>
          <w:bCs w:val="0"/>
          <w:color w:val="000000"/>
          <w:sz w:val="24"/>
          <w:szCs w:val="24"/>
          <w:lang w:eastAsia="zh-CN"/>
        </w:rPr>
      </w:pPr>
      <w:r>
        <w:rPr>
          <w:rFonts w:ascii="宋体" w:hAnsi="宋体" w:eastAsia="宋体" w:cs="宋体"/>
          <w:b w:val="0"/>
          <w:bCs w:val="0"/>
          <w:color w:val="000000"/>
          <w:sz w:val="24"/>
          <w:szCs w:val="24"/>
        </w:rPr>
        <w:t>在设备选型时，应采用性能可靠的优质产品</w:t>
      </w:r>
      <w:r>
        <w:rPr>
          <w:rFonts w:hint="eastAsia" w:ascii="宋体" w:hAnsi="宋体" w:eastAsia="宋体" w:cs="宋体"/>
          <w:b w:val="0"/>
          <w:bCs w:val="0"/>
          <w:color w:val="000000"/>
          <w:sz w:val="24"/>
          <w:szCs w:val="24"/>
          <w:lang w:eastAsia="zh-CN"/>
        </w:rPr>
        <w:t>；</w:t>
      </w:r>
    </w:p>
    <w:p>
      <w:pPr>
        <w:pStyle w:val="63"/>
        <w:numPr>
          <w:ilvl w:val="0"/>
          <w:numId w:val="28"/>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对易发生故障的器械部件、水泵等，在设计中应考虑备用替换品</w:t>
      </w:r>
      <w:r>
        <w:rPr>
          <w:rFonts w:hint="eastAsia" w:ascii="宋体" w:hAnsi="宋体" w:eastAsia="宋体" w:cs="宋体"/>
          <w:b w:val="0"/>
          <w:bCs w:val="0"/>
          <w:color w:val="000000"/>
          <w:sz w:val="24"/>
          <w:szCs w:val="24"/>
          <w:lang w:eastAsia="zh-CN"/>
        </w:rPr>
        <w:t>；</w:t>
      </w:r>
    </w:p>
    <w:p>
      <w:pPr>
        <w:pStyle w:val="63"/>
        <w:numPr>
          <w:ilvl w:val="0"/>
          <w:numId w:val="28"/>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对于大型机械的易损坏零件，应有足够的备用件和替换件</w:t>
      </w:r>
      <w:r>
        <w:rPr>
          <w:rFonts w:hint="eastAsia" w:ascii="宋体" w:hAnsi="宋体" w:eastAsia="宋体" w:cs="宋体"/>
          <w:b w:val="0"/>
          <w:bCs w:val="0"/>
          <w:color w:val="000000"/>
          <w:sz w:val="24"/>
          <w:szCs w:val="24"/>
          <w:lang w:eastAsia="zh-CN"/>
        </w:rPr>
        <w:t>；</w:t>
      </w:r>
    </w:p>
    <w:p>
      <w:pPr>
        <w:pStyle w:val="63"/>
        <w:numPr>
          <w:ilvl w:val="0"/>
          <w:numId w:val="28"/>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加强废水处理站内各种设备的维护、保养，确保各设备运行工况保持良好的运行状态，降低设备故障造成的风险影响</w:t>
      </w:r>
      <w:r>
        <w:rPr>
          <w:rFonts w:hint="eastAsia" w:ascii="宋体" w:hAnsi="宋体" w:eastAsia="宋体" w:cs="宋体"/>
          <w:b w:val="0"/>
          <w:bCs w:val="0"/>
          <w:color w:val="000000"/>
          <w:sz w:val="24"/>
          <w:szCs w:val="24"/>
          <w:lang w:eastAsia="zh-CN"/>
        </w:rPr>
        <w:t>。</w:t>
      </w:r>
    </w:p>
    <w:p>
      <w:pPr>
        <w:pStyle w:val="63"/>
        <w:numPr>
          <w:ilvl w:val="0"/>
          <w:numId w:val="28"/>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污水处理系统人为事故预防措施。加强工作人员职业操守、岗位技术、安全生产等培训，实行严格的管理制度和安全考核制度。</w:t>
      </w:r>
    </w:p>
    <w:p>
      <w:pPr>
        <w:pStyle w:val="63"/>
        <w:numPr>
          <w:ilvl w:val="0"/>
          <w:numId w:val="28"/>
        </w:numPr>
        <w:rPr>
          <w:rFonts w:hint="eastAsia" w:ascii="宋体" w:hAnsi="宋体" w:eastAsia="宋体" w:cs="宋体"/>
          <w:b w:val="0"/>
          <w:bCs w:val="0"/>
          <w:color w:val="000000"/>
          <w:sz w:val="24"/>
          <w:szCs w:val="24"/>
          <w:lang w:val="en-US" w:eastAsia="zh-CN"/>
        </w:rPr>
      </w:pPr>
      <w:r>
        <w:rPr>
          <w:rFonts w:ascii="宋体" w:hAnsi="宋体" w:eastAsia="宋体" w:cs="宋体"/>
          <w:b w:val="0"/>
          <w:bCs w:val="0"/>
          <w:color w:val="000000"/>
          <w:sz w:val="24"/>
          <w:szCs w:val="24"/>
        </w:rPr>
        <w:t>建设完整的在线水质监测系统，对本工程运行状况、出水水质进行监测。</w:t>
      </w:r>
    </w:p>
    <w:p>
      <w:pPr>
        <w:pStyle w:val="61"/>
        <w:bidi w:val="0"/>
        <w:rPr>
          <w:rFonts w:hint="eastAsia"/>
          <w:lang w:val="en-US" w:eastAsia="zh-CN"/>
        </w:rPr>
      </w:pPr>
      <w:r>
        <w:rPr>
          <w:rFonts w:hint="eastAsia"/>
          <w:lang w:val="en-US" w:eastAsia="zh-CN"/>
        </w:rPr>
        <w:t>事故排放应急处置措施</w:t>
      </w:r>
    </w:p>
    <w:p>
      <w:pPr>
        <w:keepNext w:val="0"/>
        <w:keepLines w:val="0"/>
        <w:pageBreakBefore w:val="0"/>
        <w:widowControl w:val="0"/>
        <w:numPr>
          <w:ilvl w:val="0"/>
          <w:numId w:val="29"/>
        </w:numPr>
        <w:kinsoku/>
        <w:wordWrap/>
        <w:overflowPunct/>
        <w:topLinePunct w:val="0"/>
        <w:autoSpaceDE/>
        <w:autoSpaceDN/>
        <w:bidi w:val="0"/>
        <w:adjustRightInd/>
        <w:snapToGrid/>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为使在事故状态下废水处理站能够迅速恢复正常运行，主要水工建筑物的容积上留有相应的缓冲能力，并配有相应的设备（如回流泵、回流管道、阀门等）。</w:t>
      </w:r>
    </w:p>
    <w:p>
      <w:pPr>
        <w:pStyle w:val="18"/>
        <w:keepNext w:val="0"/>
        <w:keepLines w:val="0"/>
        <w:pageBreakBefore w:val="0"/>
        <w:widowControl w:val="0"/>
        <w:numPr>
          <w:ilvl w:val="0"/>
          <w:numId w:val="29"/>
        </w:numPr>
        <w:kinsoku/>
        <w:wordWrap/>
        <w:overflowPunct/>
        <w:topLinePunct w:val="0"/>
        <w:autoSpaceDE/>
        <w:autoSpaceDN/>
        <w:bidi w:val="0"/>
        <w:adjustRightInd/>
        <w:snapToGrid/>
        <w:spacing w:after="0"/>
        <w:textAlignment w:val="auto"/>
        <w:rPr>
          <w:rFonts w:hint="eastAsia"/>
          <w:lang w:val="en-US" w:eastAsia="zh-CN"/>
        </w:rPr>
      </w:pPr>
      <w:r>
        <w:rPr>
          <w:rFonts w:ascii="宋体" w:hAnsi="宋体" w:eastAsia="宋体" w:cs="宋体"/>
          <w:b w:val="0"/>
          <w:bCs w:val="0"/>
          <w:color w:val="000000"/>
          <w:sz w:val="24"/>
          <w:szCs w:val="24"/>
        </w:rPr>
        <w:t>安装出水水质自动监测装置及报警装置，及时发现水质异常情况。严格控制处理单元的水量、水质、停留时间、负荷强度等工艺参数，确保处理效果的稳定性。配备流量、水质自动分析监控仪器，定期取样监测。</w:t>
      </w:r>
    </w:p>
    <w:p>
      <w:pPr>
        <w:keepNext w:val="0"/>
        <w:keepLines w:val="0"/>
        <w:pageBreakBefore w:val="0"/>
        <w:widowControl w:val="0"/>
        <w:numPr>
          <w:ilvl w:val="0"/>
          <w:numId w:val="29"/>
        </w:numPr>
        <w:kinsoku/>
        <w:wordWrap/>
        <w:overflowPunct/>
        <w:topLinePunct w:val="0"/>
        <w:autoSpaceDE/>
        <w:autoSpaceDN/>
        <w:bidi w:val="0"/>
        <w:adjustRightInd/>
        <w:snapToGrid/>
        <w:ind w:left="0" w:leftChars="0" w:firstLine="480" w:firstLineChars="200"/>
        <w:textAlignment w:val="auto"/>
        <w:rPr>
          <w:rFonts w:hint="eastAsia" w:ascii="宋体" w:hAnsi="宋体" w:eastAsia="宋体" w:cs="宋体"/>
          <w:b w:val="0"/>
          <w:bCs w:val="0"/>
          <w:color w:val="000000"/>
          <w:sz w:val="24"/>
          <w:szCs w:val="24"/>
          <w:lang w:eastAsia="zh-CN"/>
        </w:rPr>
      </w:pPr>
      <w:r>
        <w:rPr>
          <w:rFonts w:hint="eastAsia" w:ascii="宋体" w:hAnsi="宋体" w:eastAsia="宋体" w:cs="宋体"/>
          <w:b w:val="0"/>
          <w:bCs w:val="0"/>
          <w:color w:val="000000"/>
          <w:sz w:val="24"/>
          <w:szCs w:val="24"/>
          <w:lang w:eastAsia="zh-CN"/>
        </w:rPr>
        <w:t>发生管网爆管、断管、漏水时，对事故管段进行闭管，管网泄漏污水 引至进水泵站集水池，并及时报告当地有关职能部门。</w:t>
      </w:r>
    </w:p>
    <w:p>
      <w:pPr>
        <w:pStyle w:val="18"/>
        <w:keepNext w:val="0"/>
        <w:keepLines w:val="0"/>
        <w:pageBreakBefore w:val="0"/>
        <w:widowControl w:val="0"/>
        <w:numPr>
          <w:ilvl w:val="0"/>
          <w:numId w:val="29"/>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hint="eastAsia"/>
          <w:lang w:val="en-US" w:eastAsia="zh-CN"/>
        </w:rPr>
        <w:t>设置应急事故池（50m</w:t>
      </w:r>
      <w:r>
        <w:rPr>
          <w:rFonts w:hint="eastAsia"/>
          <w:vertAlign w:val="superscript"/>
          <w:lang w:val="en-US" w:eastAsia="zh-CN"/>
        </w:rPr>
        <w:t>3</w:t>
      </w:r>
      <w:r>
        <w:rPr>
          <w:rFonts w:hint="eastAsia"/>
          <w:lang w:val="en-US" w:eastAsia="zh-CN"/>
        </w:rPr>
        <w:t>），在发生事故、检修等特殊情况下，暂时贮存排出的废水，避免污水未经处理外排造成严重的污染事件。应急事故池容积应包括可能流出厂界的全部流体体积之和，通常包括事故延续时间内消防用水量、事故装置可能溢流出液体、输送流体管道与设施残留液体、事故时雨水量。</w:t>
      </w:r>
    </w:p>
    <w:p>
      <w:pPr>
        <w:keepNext w:val="0"/>
        <w:keepLines w:val="0"/>
        <w:pageBreakBefore w:val="0"/>
        <w:widowControl w:val="0"/>
        <w:numPr>
          <w:ilvl w:val="0"/>
          <w:numId w:val="29"/>
        </w:numPr>
        <w:kinsoku/>
        <w:wordWrap/>
        <w:overflowPunct/>
        <w:topLinePunct w:val="0"/>
        <w:autoSpaceDE/>
        <w:autoSpaceDN/>
        <w:bidi w:val="0"/>
        <w:adjustRightInd/>
        <w:snapToGrid/>
        <w:ind w:left="0" w:leftChars="0" w:firstLine="480" w:firstLineChars="200"/>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在废水处理站尾水排入尾水池前，设置阀门，并定时查看尾水</w:t>
      </w:r>
      <w:r>
        <w:rPr>
          <w:rFonts w:hint="eastAsia" w:ascii="宋体" w:hAnsi="宋体" w:eastAsia="宋体" w:cs="宋体"/>
          <w:b w:val="0"/>
          <w:bCs w:val="0"/>
          <w:color w:val="000000"/>
          <w:sz w:val="24"/>
          <w:szCs w:val="24"/>
          <w:lang w:val="en-US" w:eastAsia="zh-CN"/>
        </w:rPr>
        <w:t>手工监测情况</w:t>
      </w:r>
      <w:r>
        <w:rPr>
          <w:rFonts w:ascii="宋体" w:hAnsi="宋体" w:eastAsia="宋体" w:cs="宋体"/>
          <w:b w:val="0"/>
          <w:bCs w:val="0"/>
          <w:color w:val="000000"/>
          <w:sz w:val="24"/>
          <w:szCs w:val="24"/>
        </w:rPr>
        <w:t>，记录相关数值。</w:t>
      </w:r>
    </w:p>
    <w:p>
      <w:pPr>
        <w:pStyle w:val="18"/>
        <w:keepNext w:val="0"/>
        <w:keepLines w:val="0"/>
        <w:pageBreakBefore w:val="0"/>
        <w:widowControl w:val="0"/>
        <w:numPr>
          <w:ilvl w:val="0"/>
          <w:numId w:val="29"/>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ascii="宋体" w:hAnsi="宋体" w:eastAsia="宋体" w:cs="宋体"/>
          <w:b w:val="0"/>
          <w:bCs w:val="0"/>
          <w:color w:val="000000"/>
          <w:sz w:val="24"/>
          <w:szCs w:val="24"/>
        </w:rPr>
        <w:t>一旦发现进水水质异常，应及时查明原因，采取有效处理措施，必要时停止进水，打开超越闸门，避免管道水位过高，最大限度降低对周围环境及财产造成的危害。</w:t>
      </w:r>
    </w:p>
    <w:p>
      <w:pPr>
        <w:keepNext w:val="0"/>
        <w:keepLines w:val="0"/>
        <w:pageBreakBefore w:val="0"/>
        <w:widowControl w:val="0"/>
        <w:numPr>
          <w:ilvl w:val="0"/>
          <w:numId w:val="29"/>
        </w:numPr>
        <w:kinsoku/>
        <w:wordWrap/>
        <w:overflowPunct/>
        <w:topLinePunct w:val="0"/>
        <w:autoSpaceDE/>
        <w:autoSpaceDN/>
        <w:bidi w:val="0"/>
        <w:adjustRightInd/>
        <w:snapToGrid/>
        <w:ind w:left="0" w:leftChars="0" w:firstLine="480" w:firstLineChars="200"/>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完善厂区标识标牌，设立明显的管道标志，防止意外破坏，绿化地段，管道上方不宜栽植高大乔木或深根性的植物。</w:t>
      </w:r>
    </w:p>
    <w:p>
      <w:pPr>
        <w:pStyle w:val="18"/>
        <w:keepNext w:val="0"/>
        <w:keepLines w:val="0"/>
        <w:pageBreakBefore w:val="0"/>
        <w:widowControl w:val="0"/>
        <w:numPr>
          <w:ilvl w:val="0"/>
          <w:numId w:val="29"/>
        </w:numPr>
        <w:kinsoku/>
        <w:wordWrap/>
        <w:overflowPunct/>
        <w:topLinePunct w:val="0"/>
        <w:autoSpaceDE/>
        <w:autoSpaceDN/>
        <w:bidi w:val="0"/>
        <w:adjustRightInd/>
        <w:snapToGrid/>
        <w:spacing w:after="0"/>
        <w:ind w:left="0" w:leftChars="0" w:firstLine="480" w:firstLineChars="200"/>
        <w:textAlignment w:val="auto"/>
        <w:rPr>
          <w:rFonts w:hint="eastAsia"/>
          <w:lang w:val="en-US" w:eastAsia="zh-CN"/>
        </w:rPr>
      </w:pPr>
      <w:r>
        <w:rPr>
          <w:rFonts w:ascii="宋体" w:hAnsi="宋体" w:eastAsia="宋体" w:cs="宋体"/>
          <w:b w:val="0"/>
          <w:bCs w:val="0"/>
          <w:color w:val="000000"/>
          <w:sz w:val="24"/>
          <w:szCs w:val="24"/>
        </w:rPr>
        <w:t>建立信息互通，共同处置机制。废水处理站应与地方人民政府、生态环境、水利等相关部门建立信息互通机制，当发生故障时，应在</w:t>
      </w:r>
      <w:r>
        <w:rPr>
          <w:rFonts w:ascii="TimesNewRomanPSMT" w:hAnsi="TimesNewRomanPSMT" w:eastAsia="TimesNewRomanPSMT" w:cs="TimesNewRomanPSMT"/>
          <w:b w:val="0"/>
          <w:bCs w:val="0"/>
          <w:color w:val="000000"/>
          <w:sz w:val="24"/>
          <w:szCs w:val="24"/>
        </w:rPr>
        <w:t>1</w:t>
      </w:r>
      <w:r>
        <w:rPr>
          <w:rFonts w:ascii="宋体" w:hAnsi="宋体" w:eastAsia="宋体" w:cs="宋体"/>
          <w:b w:val="0"/>
          <w:bCs w:val="0"/>
          <w:color w:val="000000"/>
          <w:sz w:val="24"/>
          <w:szCs w:val="24"/>
        </w:rPr>
        <w:t>小时内通报相关部门，会同相关部门成立应急处理小组，协同处置污染事故。</w:t>
      </w:r>
    </w:p>
    <w:p>
      <w:pPr>
        <w:pStyle w:val="61"/>
        <w:bidi w:val="0"/>
        <w:rPr>
          <w:rFonts w:hint="eastAsia"/>
          <w:lang w:val="en-US" w:eastAsia="zh-CN"/>
        </w:rPr>
      </w:pPr>
      <w:r>
        <w:rPr>
          <w:rFonts w:hint="eastAsia"/>
          <w:lang w:val="en-US" w:eastAsia="zh-CN"/>
        </w:rPr>
        <w:t>事故应急预案</w:t>
      </w:r>
    </w:p>
    <w:p>
      <w:pPr>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 xml:space="preserve">建议建设单位修订突发环境时间应急预案，按要求成立应急救援领导小组，组建应急救援专业队伍，定期组织训练及演练，以便及时有效应对厂区各类突发环境事件，将对环境的风险降至最低。 </w:t>
      </w:r>
    </w:p>
    <w:p>
      <w:pPr>
        <w:keepNext w:val="0"/>
        <w:keepLines w:val="0"/>
        <w:pageBreakBefore w:val="0"/>
        <w:widowControl w:val="0"/>
        <w:numPr>
          <w:ilvl w:val="0"/>
          <w:numId w:val="3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尾水超标排放风险措施</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 xml:space="preserve"> ①一旦出现进水水质严重超标、超出本厂污水处理能力时，厂区应急人员应及时向应急指挥部请求支援，进行污染源排查，查明进水超标原因。应急人员根据需要调整污水处理工艺参数（如水力停留时间、药剂投加量等），尽可能保证不影响下一级处理设备的处理效果； </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②一旦废水处理站出现长时间停电的情况，关闭废水总排口阀门，生产废水排入应急池，立即与电力部门取得联系，待电力维护好后，确保环境与设备全部安全方可恢复设备运行；</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 xml:space="preserve"> ③密切注意废水处理站出水水质情况，监测人员对尾水总排口水质进行监测，统计监测数据，如实汇报水质情况及事故发展态势。</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 xml:space="preserve"> </w:t>
      </w:r>
    </w:p>
    <w:p>
      <w:pPr>
        <w:keepNext w:val="0"/>
        <w:keepLines w:val="0"/>
        <w:pageBreakBefore w:val="0"/>
        <w:widowControl w:val="0"/>
        <w:numPr>
          <w:ilvl w:val="0"/>
          <w:numId w:val="30"/>
        </w:numPr>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 xml:space="preserve">污水管网破损导致污水泄漏风险措施 </w:t>
      </w:r>
    </w:p>
    <w:p>
      <w:pPr>
        <w:keepNext w:val="0"/>
        <w:keepLines w:val="0"/>
        <w:pageBreakBefore w:val="0"/>
        <w:widowControl w:val="0"/>
        <w:numPr>
          <w:ilvl w:val="0"/>
          <w:numId w:val="0"/>
        </w:numPr>
        <w:kinsoku/>
        <w:wordWrap/>
        <w:overflowPunct/>
        <w:topLinePunct w:val="0"/>
        <w:autoSpaceDE/>
        <w:autoSpaceDN/>
        <w:bidi w:val="0"/>
        <w:adjustRightInd/>
        <w:snapToGrid/>
        <w:ind w:leftChars="0" w:firstLine="720" w:firstLineChars="3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①现场人员立即报告部门负责人和应急指挥部，及时启动应急预案；</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宋体" w:cs="Times New Roman"/>
          <w:b w:val="0"/>
          <w:bCs w:val="0"/>
          <w:color w:val="000000"/>
          <w:sz w:val="24"/>
          <w:szCs w:val="24"/>
        </w:rPr>
        <w:t xml:space="preserve"> </w:t>
      </w:r>
      <w:r>
        <w:rPr>
          <w:rFonts w:hint="eastAsia" w:cs="Times New Roman"/>
          <w:b w:val="0"/>
          <w:bCs w:val="0"/>
          <w:color w:val="000000"/>
          <w:sz w:val="24"/>
          <w:szCs w:val="24"/>
          <w:lang w:val="en-US" w:eastAsia="zh-CN"/>
        </w:rPr>
        <w:t xml:space="preserve"> </w:t>
      </w:r>
      <w:r>
        <w:rPr>
          <w:rFonts w:hint="default" w:ascii="Times New Roman" w:hAnsi="Times New Roman" w:eastAsia="宋体" w:cs="Times New Roman"/>
          <w:b w:val="0"/>
          <w:bCs w:val="0"/>
          <w:color w:val="000000"/>
          <w:sz w:val="24"/>
          <w:szCs w:val="24"/>
        </w:rPr>
        <w:t>②对污水管道破裂处设置围挡，疏散周边人群；</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 xml:space="preserve"> </w:t>
      </w:r>
      <w:r>
        <w:rPr>
          <w:rFonts w:hint="eastAsia" w:cs="Times New Roman"/>
          <w:b w:val="0"/>
          <w:bCs w:val="0"/>
          <w:color w:val="000000"/>
          <w:sz w:val="24"/>
          <w:szCs w:val="24"/>
          <w:lang w:val="en-US" w:eastAsia="zh-CN"/>
        </w:rPr>
        <w:t xml:space="preserve"> </w:t>
      </w:r>
      <w:r>
        <w:rPr>
          <w:rFonts w:hint="default" w:ascii="Times New Roman" w:hAnsi="Times New Roman" w:eastAsia="宋体" w:cs="Times New Roman"/>
          <w:b w:val="0"/>
          <w:bCs w:val="0"/>
          <w:color w:val="000000"/>
          <w:sz w:val="24"/>
          <w:szCs w:val="24"/>
        </w:rPr>
        <w:t>③安排抢修队伍、机械设备，及时对污水收集管网破裂处采用修复措施，将污水影响范围控制在一定区域内，减少污水对外环境影响。</w:t>
      </w:r>
    </w:p>
    <w:p>
      <w:pPr>
        <w:pStyle w:val="60"/>
        <w:bidi w:val="0"/>
        <w:rPr>
          <w:rFonts w:hint="eastAsia"/>
          <w:lang w:val="en-US" w:eastAsia="zh-CN"/>
        </w:rPr>
      </w:pPr>
      <w:bookmarkStart w:id="89" w:name="_Toc2645"/>
      <w:r>
        <w:rPr>
          <w:rFonts w:hint="eastAsia"/>
          <w:lang w:val="en-US" w:eastAsia="zh-CN"/>
        </w:rPr>
        <w:t>水资源保护措施</w:t>
      </w:r>
      <w:bookmarkEnd w:id="89"/>
    </w:p>
    <w:p>
      <w:pPr>
        <w:keepNext w:val="0"/>
        <w:keepLines w:val="0"/>
        <w:pageBreakBefore w:val="0"/>
        <w:widowControl w:val="0"/>
        <w:numPr>
          <w:ilvl w:val="0"/>
          <w:numId w:val="31"/>
        </w:numPr>
        <w:kinsoku/>
        <w:wordWrap/>
        <w:overflowPunct/>
        <w:topLinePunct w:val="0"/>
        <w:autoSpaceDE/>
        <w:autoSpaceDN/>
        <w:bidi w:val="0"/>
        <w:adjustRightInd/>
        <w:snapToGrid/>
        <w:textAlignment w:val="auto"/>
        <w:rPr>
          <w:rFonts w:ascii="宋体" w:hAnsi="宋体" w:eastAsia="宋体" w:cs="宋体"/>
          <w:b w:val="0"/>
          <w:bCs w:val="0"/>
          <w:color w:val="000000"/>
          <w:sz w:val="24"/>
          <w:szCs w:val="24"/>
        </w:rPr>
      </w:pPr>
      <w:r>
        <w:rPr>
          <w:rFonts w:hint="eastAsia"/>
          <w:lang w:val="en-US" w:eastAsia="zh-CN"/>
        </w:rPr>
        <w:t>强化保护水资源意识。强化保护水资源、节约用水的法制建设和宣传工作，增强全厂的节水意识，使人们自觉认识到水是珍贵的资源，</w:t>
      </w:r>
      <w:r>
        <w:rPr>
          <w:rFonts w:ascii="宋体" w:hAnsi="宋体" w:eastAsia="宋体" w:cs="宋体"/>
          <w:b w:val="0"/>
          <w:bCs w:val="0"/>
          <w:color w:val="000000"/>
          <w:sz w:val="24"/>
          <w:szCs w:val="24"/>
        </w:rPr>
        <w:t>摈弃</w:t>
      </w:r>
      <w:r>
        <w:rPr>
          <w:rFonts w:ascii="TimesNewRomanPSMT" w:hAnsi="TimesNewRomanPSMT" w:eastAsia="TimesNewRomanPSMT" w:cs="TimesNewRomanPSMT"/>
          <w:b w:val="0"/>
          <w:bCs w:val="0"/>
          <w:color w:val="000000"/>
          <w:sz w:val="24"/>
          <w:szCs w:val="24"/>
        </w:rPr>
        <w:t>“</w:t>
      </w:r>
      <w:r>
        <w:rPr>
          <w:rFonts w:ascii="宋体" w:hAnsi="宋体" w:eastAsia="宋体" w:cs="宋体"/>
          <w:b w:val="0"/>
          <w:bCs w:val="0"/>
          <w:color w:val="000000"/>
          <w:sz w:val="24"/>
          <w:szCs w:val="24"/>
        </w:rPr>
        <w:t>取之不尽，用之不竭</w:t>
      </w:r>
      <w:r>
        <w:rPr>
          <w:rFonts w:hint="default" w:ascii="TimesNewRomanPSMT" w:hAnsi="TimesNewRomanPSMT" w:eastAsia="TimesNewRomanPSMT" w:cs="TimesNewRomanPSMT"/>
          <w:b w:val="0"/>
          <w:bCs w:val="0"/>
          <w:color w:val="000000"/>
          <w:sz w:val="24"/>
          <w:szCs w:val="24"/>
        </w:rPr>
        <w:t>”</w:t>
      </w:r>
      <w:r>
        <w:rPr>
          <w:rFonts w:ascii="宋体" w:hAnsi="宋体" w:eastAsia="宋体" w:cs="宋体"/>
          <w:b w:val="0"/>
          <w:bCs w:val="0"/>
          <w:color w:val="000000"/>
          <w:sz w:val="24"/>
          <w:szCs w:val="24"/>
        </w:rPr>
        <w:t>的陈腐观念，形成珍惜水资源、节约水资源和保护水资源的良好企业风尚。</w:t>
      </w:r>
    </w:p>
    <w:p>
      <w:pPr>
        <w:pStyle w:val="18"/>
        <w:keepNext w:val="0"/>
        <w:keepLines w:val="0"/>
        <w:pageBreakBefore w:val="0"/>
        <w:widowControl w:val="0"/>
        <w:numPr>
          <w:ilvl w:val="0"/>
          <w:numId w:val="31"/>
        </w:numPr>
        <w:kinsoku/>
        <w:wordWrap/>
        <w:overflowPunct/>
        <w:topLinePunct w:val="0"/>
        <w:autoSpaceDE/>
        <w:autoSpaceDN/>
        <w:bidi w:val="0"/>
        <w:adjustRightInd/>
        <w:snapToGrid/>
        <w:spacing w:after="0"/>
        <w:textAlignment w:val="auto"/>
        <w:rPr>
          <w:rFonts w:hint="default"/>
          <w:lang w:val="en-US" w:eastAsia="zh-CN"/>
        </w:rPr>
      </w:pPr>
      <w:r>
        <w:rPr>
          <w:rFonts w:ascii="宋体" w:hAnsi="宋体" w:eastAsia="宋体" w:cs="宋体"/>
          <w:b w:val="0"/>
          <w:bCs w:val="0"/>
          <w:color w:val="000000"/>
          <w:sz w:val="24"/>
          <w:szCs w:val="24"/>
        </w:rPr>
        <w:t>加强水环境监测，取水许可，排污控制。强化污染负荷控制，建立和完</w:t>
      </w:r>
      <w:r>
        <w:rPr>
          <w:rFonts w:hint="eastAsia" w:ascii="宋体" w:hAnsi="宋体" w:eastAsia="宋体" w:cs="宋体"/>
          <w:b w:val="0"/>
          <w:bCs w:val="0"/>
          <w:color w:val="000000"/>
          <w:sz w:val="24"/>
          <w:szCs w:val="24"/>
          <w:lang w:eastAsia="zh-CN"/>
        </w:rPr>
        <w:t>、</w:t>
      </w:r>
      <w:r>
        <w:rPr>
          <w:rFonts w:ascii="宋体" w:hAnsi="宋体" w:eastAsia="宋体" w:cs="宋体"/>
          <w:b w:val="0"/>
          <w:bCs w:val="0"/>
          <w:color w:val="000000"/>
          <w:sz w:val="24"/>
          <w:szCs w:val="24"/>
        </w:rPr>
        <w:t>善水资源保护标准体系；建立健全水量水质监测系统，实现对项目尾水水质的实</w:t>
      </w:r>
      <w:r>
        <w:rPr>
          <w:rFonts w:hint="eastAsia" w:ascii="宋体" w:hAnsi="宋体" w:eastAsia="宋体" w:cs="宋体"/>
          <w:b w:val="0"/>
          <w:bCs w:val="0"/>
          <w:color w:val="000000"/>
          <w:sz w:val="24"/>
          <w:szCs w:val="24"/>
          <w:lang w:eastAsia="zh-CN"/>
        </w:rPr>
        <w:t>、</w:t>
      </w:r>
      <w:r>
        <w:rPr>
          <w:rFonts w:ascii="宋体" w:hAnsi="宋体" w:eastAsia="宋体" w:cs="宋体"/>
          <w:b w:val="0"/>
          <w:bCs w:val="0"/>
          <w:color w:val="000000"/>
          <w:sz w:val="24"/>
          <w:szCs w:val="24"/>
        </w:rPr>
        <w:t>时监测和监督；实施污染物排放总量控制，加强入河排污口的管理，保护水源生</w:t>
      </w:r>
      <w:r>
        <w:rPr>
          <w:rFonts w:hint="eastAsia" w:ascii="宋体" w:hAnsi="宋体" w:eastAsia="宋体" w:cs="宋体"/>
          <w:b w:val="0"/>
          <w:bCs w:val="0"/>
          <w:color w:val="000000"/>
          <w:sz w:val="24"/>
          <w:szCs w:val="24"/>
          <w:lang w:eastAsia="zh-CN"/>
        </w:rPr>
        <w:t>、</w:t>
      </w:r>
      <w:r>
        <w:rPr>
          <w:rFonts w:ascii="宋体" w:hAnsi="宋体" w:eastAsia="宋体" w:cs="宋体"/>
          <w:b w:val="0"/>
          <w:bCs w:val="0"/>
          <w:color w:val="000000"/>
          <w:sz w:val="24"/>
          <w:szCs w:val="24"/>
        </w:rPr>
        <w:t>态环境不遭到破坏。</w:t>
      </w:r>
    </w:p>
    <w:p>
      <w:pPr>
        <w:keepNext w:val="0"/>
        <w:keepLines w:val="0"/>
        <w:pageBreakBefore w:val="0"/>
        <w:widowControl w:val="0"/>
        <w:numPr>
          <w:ilvl w:val="0"/>
          <w:numId w:val="31"/>
        </w:numPr>
        <w:kinsoku/>
        <w:wordWrap/>
        <w:overflowPunct/>
        <w:topLinePunct w:val="0"/>
        <w:autoSpaceDE/>
        <w:autoSpaceDN/>
        <w:bidi w:val="0"/>
        <w:adjustRightInd/>
        <w:snapToGrid/>
        <w:ind w:left="0" w:leftChars="0" w:firstLine="480" w:firstLineChars="200"/>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保障出水水质。通过技术改造、产业升级，落实污水、污泥工艺改造。通过升级改造，优化废水处理工艺，进一步提高处理效率，优化尾水出水水质。</w:t>
      </w:r>
    </w:p>
    <w:p>
      <w:pPr>
        <w:pStyle w:val="60"/>
        <w:bidi w:val="0"/>
        <w:rPr>
          <w:rFonts w:hint="eastAsia"/>
          <w:lang w:val="en-US" w:eastAsia="zh-CN"/>
        </w:rPr>
      </w:pPr>
      <w:bookmarkStart w:id="90" w:name="_Toc17096"/>
      <w:r>
        <w:rPr>
          <w:rFonts w:hint="eastAsia"/>
          <w:lang w:val="en-US" w:eastAsia="zh-CN"/>
        </w:rPr>
        <w:t>监督管理措施</w:t>
      </w:r>
      <w:bookmarkEnd w:id="90"/>
    </w:p>
    <w:p>
      <w:pPr>
        <w:keepNext w:val="0"/>
        <w:keepLines w:val="0"/>
        <w:pageBreakBefore w:val="0"/>
        <w:widowControl w:val="0"/>
        <w:numPr>
          <w:ilvl w:val="0"/>
          <w:numId w:val="32"/>
        </w:numPr>
        <w:kinsoku/>
        <w:wordWrap/>
        <w:overflowPunct/>
        <w:topLinePunct w:val="0"/>
        <w:autoSpaceDE/>
        <w:autoSpaceDN/>
        <w:bidi w:val="0"/>
        <w:adjustRightInd/>
        <w:snapToGrid/>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宣传、组织、贯彻国家有关环境保护的方针、政策、法令和条例，搞好各项环境保护工作；</w:t>
      </w:r>
    </w:p>
    <w:p>
      <w:pPr>
        <w:pStyle w:val="18"/>
        <w:keepNext w:val="0"/>
        <w:keepLines w:val="0"/>
        <w:pageBreakBefore w:val="0"/>
        <w:widowControl w:val="0"/>
        <w:numPr>
          <w:ilvl w:val="0"/>
          <w:numId w:val="32"/>
        </w:numPr>
        <w:kinsoku/>
        <w:wordWrap/>
        <w:overflowPunct/>
        <w:topLinePunct w:val="0"/>
        <w:autoSpaceDE/>
        <w:autoSpaceDN/>
        <w:bidi w:val="0"/>
        <w:adjustRightInd/>
        <w:snapToGrid/>
        <w:spacing w:after="0"/>
        <w:textAlignment w:val="auto"/>
        <w:rPr>
          <w:rFonts w:hint="default" w:ascii="Times New Roman" w:hAnsi="Times New Roman" w:cs="Times New Roman"/>
          <w:lang w:val="en-US" w:eastAsia="zh-CN"/>
        </w:rPr>
      </w:pPr>
      <w:r>
        <w:rPr>
          <w:rFonts w:hint="default" w:ascii="Times New Roman" w:hAnsi="Times New Roman" w:eastAsia="宋体" w:cs="Times New Roman"/>
          <w:b w:val="0"/>
          <w:bCs w:val="0"/>
          <w:color w:val="000000"/>
          <w:sz w:val="24"/>
          <w:szCs w:val="24"/>
        </w:rPr>
        <w:t>监督本工程环保设施和设备的安装、调试和运行，保证</w:t>
      </w:r>
      <w:r>
        <w:rPr>
          <w:rFonts w:hint="default" w:ascii="Times New Roman" w:hAnsi="Times New Roman" w:eastAsia="TimesNewRomanPSMT" w:cs="Times New Roman"/>
          <w:b w:val="0"/>
          <w:bCs w:val="0"/>
          <w:color w:val="000000"/>
          <w:sz w:val="24"/>
          <w:szCs w:val="24"/>
        </w:rPr>
        <w:t>“</w:t>
      </w:r>
      <w:r>
        <w:rPr>
          <w:rFonts w:hint="default" w:ascii="Times New Roman" w:hAnsi="Times New Roman" w:eastAsia="宋体" w:cs="Times New Roman"/>
          <w:b w:val="0"/>
          <w:bCs w:val="0"/>
          <w:color w:val="000000"/>
          <w:sz w:val="24"/>
          <w:szCs w:val="24"/>
        </w:rPr>
        <w:t>三同时</w:t>
      </w:r>
      <w:r>
        <w:rPr>
          <w:rFonts w:hint="default" w:ascii="Times New Roman" w:hAnsi="Times New Roman" w:eastAsia="TimesNewRomanPSMT" w:cs="Times New Roman"/>
          <w:b w:val="0"/>
          <w:bCs w:val="0"/>
          <w:color w:val="000000"/>
          <w:sz w:val="24"/>
          <w:szCs w:val="24"/>
        </w:rPr>
        <w:t>”</w:t>
      </w:r>
      <w:r>
        <w:rPr>
          <w:rFonts w:hint="default" w:ascii="Times New Roman" w:hAnsi="Times New Roman" w:eastAsia="宋体" w:cs="Times New Roman"/>
          <w:b w:val="0"/>
          <w:bCs w:val="0"/>
          <w:color w:val="000000"/>
          <w:sz w:val="24"/>
          <w:szCs w:val="24"/>
        </w:rPr>
        <w:t>验收合格。</w:t>
      </w:r>
    </w:p>
    <w:p>
      <w:pPr>
        <w:keepNext w:val="0"/>
        <w:keepLines w:val="0"/>
        <w:pageBreakBefore w:val="0"/>
        <w:widowControl w:val="0"/>
        <w:numPr>
          <w:ilvl w:val="0"/>
          <w:numId w:val="32"/>
        </w:numPr>
        <w:kinsoku/>
        <w:wordWrap/>
        <w:overflowPunct/>
        <w:topLinePunct w:val="0"/>
        <w:autoSpaceDE/>
        <w:autoSpaceDN/>
        <w:bidi w:val="0"/>
        <w:adjustRightInd/>
        <w:snapToGrid/>
        <w:ind w:left="0" w:leftChars="0" w:firstLine="480" w:firstLineChars="200"/>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对项目涉及水域要进行水质监测，并协助当地生态环境部门做好水污染防治工作。</w:t>
      </w:r>
    </w:p>
    <w:p>
      <w:pPr>
        <w:pStyle w:val="18"/>
        <w:rPr>
          <w:rFonts w:hint="default"/>
          <w:lang w:val="en-US" w:eastAsia="zh-CN"/>
        </w:rPr>
        <w:sectPr>
          <w:pgSz w:w="11906" w:h="16838"/>
          <w:pgMar w:top="1440" w:right="1440" w:bottom="1440" w:left="1440" w:header="850" w:footer="680" w:gutter="0"/>
          <w:pgBorders>
            <w:top w:val="none" w:sz="0" w:space="0"/>
            <w:left w:val="none" w:sz="0" w:space="0"/>
            <w:bottom w:val="none" w:sz="0" w:space="0"/>
            <w:right w:val="none" w:sz="0" w:space="0"/>
          </w:pgBorders>
          <w:pgNumType w:fmt="decimal"/>
          <w:cols w:space="0" w:num="1"/>
          <w:rtlGutter w:val="0"/>
          <w:docGrid w:linePitch="335" w:charSpace="0"/>
        </w:sectPr>
      </w:pPr>
    </w:p>
    <w:p>
      <w:pPr>
        <w:pStyle w:val="59"/>
        <w:keepNext/>
        <w:keepLines w:val="0"/>
        <w:widowControl/>
        <w:kinsoku/>
        <w:wordWrap/>
        <w:overflowPunct/>
        <w:topLinePunct w:val="0"/>
        <w:autoSpaceDE/>
        <w:autoSpaceDN/>
        <w:bidi w:val="0"/>
        <w:adjustRightInd w:val="0"/>
        <w:snapToGrid w:val="0"/>
        <w:spacing w:line="360" w:lineRule="auto"/>
        <w:ind w:left="0"/>
        <w:textAlignment w:val="auto"/>
        <w:rPr>
          <w:rFonts w:hint="default"/>
          <w:lang w:val="en-US" w:eastAsia="zh-CN"/>
        </w:rPr>
      </w:pPr>
      <w:bookmarkStart w:id="91" w:name="_Toc28744"/>
      <w:r>
        <w:rPr>
          <w:rFonts w:hint="eastAsia"/>
          <w:lang w:val="en-US" w:eastAsia="zh-CN"/>
        </w:rPr>
        <w:t>论证结论与建议</w:t>
      </w:r>
      <w:bookmarkEnd w:id="91"/>
    </w:p>
    <w:p>
      <w:pPr>
        <w:pStyle w:val="60"/>
        <w:keepNext/>
        <w:keepLines w:val="0"/>
        <w:widowControl/>
        <w:kinsoku/>
        <w:wordWrap/>
        <w:overflowPunct/>
        <w:topLinePunct w:val="0"/>
        <w:autoSpaceDE/>
        <w:autoSpaceDN/>
        <w:bidi w:val="0"/>
        <w:adjustRightInd w:val="0"/>
        <w:snapToGrid w:val="0"/>
        <w:spacing w:line="360" w:lineRule="auto"/>
        <w:ind w:left="0"/>
        <w:textAlignment w:val="auto"/>
        <w:rPr>
          <w:rFonts w:hint="default"/>
          <w:lang w:val="en-US" w:eastAsia="zh-CN"/>
        </w:rPr>
      </w:pPr>
      <w:bookmarkStart w:id="92" w:name="_Toc4524"/>
      <w:r>
        <w:rPr>
          <w:rFonts w:hint="eastAsia"/>
          <w:lang w:val="en-US" w:eastAsia="zh-CN"/>
        </w:rPr>
        <w:t>论证结论</w:t>
      </w:r>
      <w:bookmarkEnd w:id="92"/>
    </w:p>
    <w:p>
      <w:pPr>
        <w:pStyle w:val="61"/>
        <w:keepNext/>
        <w:keepLines w:val="0"/>
        <w:widowControl/>
        <w:kinsoku/>
        <w:wordWrap/>
        <w:overflowPunct/>
        <w:topLinePunct w:val="0"/>
        <w:autoSpaceDE/>
        <w:autoSpaceDN/>
        <w:bidi w:val="0"/>
        <w:adjustRightInd w:val="0"/>
        <w:snapToGrid w:val="0"/>
        <w:spacing w:line="360" w:lineRule="auto"/>
        <w:ind w:left="0"/>
        <w:textAlignment w:val="auto"/>
        <w:rPr>
          <w:rFonts w:hint="default"/>
          <w:lang w:val="en-US" w:eastAsia="zh-CN"/>
        </w:rPr>
      </w:pPr>
      <w:r>
        <w:rPr>
          <w:rFonts w:hint="eastAsia"/>
          <w:lang w:val="en-US" w:eastAsia="zh-CN"/>
        </w:rPr>
        <w:t>入河排污口基本情况</w:t>
      </w:r>
    </w:p>
    <w:p>
      <w:pPr>
        <w:pStyle w:val="56"/>
        <w:bidi w:val="0"/>
        <w:ind w:left="960" w:leftChars="0" w:firstLineChars="0"/>
        <w:rPr>
          <w:rFonts w:hint="default"/>
          <w:b/>
          <w:bCs w:val="0"/>
          <w:lang w:val="en-US" w:eastAsia="zh-CN"/>
        </w:rPr>
      </w:pPr>
      <w:r>
        <w:rPr>
          <w:rFonts w:hint="eastAsia"/>
          <w:b/>
          <w:bCs w:val="0"/>
          <w:lang w:val="en-US" w:eastAsia="zh-CN"/>
        </w:rPr>
        <w:t>入河排污口基本情况</w:t>
      </w:r>
    </w:p>
    <w:tbl>
      <w:tblPr>
        <w:tblStyle w:val="4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3"/>
        <w:gridCol w:w="62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top w:val="single" w:color="auto" w:sz="12" w:space="0"/>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排污口名称</w:t>
            </w:r>
          </w:p>
        </w:tc>
        <w:tc>
          <w:tcPr>
            <w:tcW w:w="3688" w:type="pct"/>
            <w:tcBorders>
              <w:top w:val="single" w:color="auto" w:sz="12" w:space="0"/>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湖南润景水业（桃江）有限公司入河排污口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入河排污口位置</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湖南润景水业（桃江）有限公司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所在水功能区概况</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执行水功能区Ⅲ类标准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排污口坐标</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color w:val="000000" w:themeColor="text1"/>
                <w:kern w:val="2"/>
                <w:sz w:val="21"/>
                <w:szCs w:val="21"/>
                <w14:textFill>
                  <w14:solidFill>
                    <w14:schemeClr w14:val="tx1"/>
                  </w14:solidFill>
                </w14:textFill>
              </w:rPr>
              <w:t>东经：112°</w:t>
            </w:r>
            <w:r>
              <w:rPr>
                <w:rFonts w:hint="default" w:ascii="Times New Roman" w:hAnsi="Times New Roman" w:cs="Times New Roman"/>
                <w:color w:val="000000" w:themeColor="text1"/>
                <w:kern w:val="2"/>
                <w:sz w:val="21"/>
                <w:szCs w:val="21"/>
                <w:lang w:val="en-US" w:eastAsia="zh-CN"/>
                <w14:textFill>
                  <w14:solidFill>
                    <w14:schemeClr w14:val="tx1"/>
                  </w14:solidFill>
                </w14:textFill>
              </w:rPr>
              <w:t>39</w:t>
            </w:r>
            <w:r>
              <w:rPr>
                <w:rFonts w:hint="default" w:ascii="Times New Roman" w:hAnsi="Times New Roman" w:cs="Times New Roman"/>
                <w:color w:val="000000" w:themeColor="text1"/>
                <w:kern w:val="2"/>
                <w:sz w:val="21"/>
                <w:szCs w:val="21"/>
                <w14:textFill>
                  <w14:solidFill>
                    <w14:schemeClr w14:val="tx1"/>
                  </w14:solidFill>
                </w14:textFill>
              </w:rPr>
              <w:t>'</w:t>
            </w:r>
            <w:r>
              <w:rPr>
                <w:rFonts w:hint="default" w:ascii="Times New Roman" w:hAnsi="Times New Roman" w:cs="Times New Roman"/>
                <w:color w:val="000000" w:themeColor="text1"/>
                <w:kern w:val="2"/>
                <w:sz w:val="21"/>
                <w:szCs w:val="21"/>
                <w:lang w:val="en-US" w:eastAsia="zh-CN"/>
                <w14:textFill>
                  <w14:solidFill>
                    <w14:schemeClr w14:val="tx1"/>
                  </w14:solidFill>
                </w14:textFill>
              </w:rPr>
              <w:t>46.345</w:t>
            </w:r>
            <w:r>
              <w:rPr>
                <w:rFonts w:hint="default" w:ascii="Times New Roman" w:hAnsi="Times New Roman" w:cs="Times New Roman"/>
                <w:color w:val="000000" w:themeColor="text1"/>
                <w:kern w:val="2"/>
                <w:sz w:val="21"/>
                <w:szCs w:val="21"/>
                <w14:textFill>
                  <w14:solidFill>
                    <w14:schemeClr w14:val="tx1"/>
                  </w14:solidFill>
                </w14:textFill>
              </w:rPr>
              <w:t>"，北纬：28°</w:t>
            </w:r>
            <w:r>
              <w:rPr>
                <w:rFonts w:hint="default" w:ascii="Times New Roman" w:hAnsi="Times New Roman" w:cs="Times New Roman"/>
                <w:color w:val="000000" w:themeColor="text1"/>
                <w:kern w:val="2"/>
                <w:sz w:val="21"/>
                <w:szCs w:val="21"/>
                <w:lang w:val="en-US" w:eastAsia="zh-CN"/>
                <w14:textFill>
                  <w14:solidFill>
                    <w14:schemeClr w14:val="tx1"/>
                  </w14:solidFill>
                </w14:textFill>
              </w:rPr>
              <w:t>26</w:t>
            </w:r>
            <w:r>
              <w:rPr>
                <w:rFonts w:hint="default" w:ascii="Times New Roman" w:hAnsi="Times New Roman" w:cs="Times New Roman"/>
                <w:color w:val="000000" w:themeColor="text1"/>
                <w:kern w:val="2"/>
                <w:sz w:val="21"/>
                <w:szCs w:val="21"/>
                <w14:textFill>
                  <w14:solidFill>
                    <w14:schemeClr w14:val="tx1"/>
                  </w14:solidFill>
                </w14:textFill>
              </w:rPr>
              <w:t>'</w:t>
            </w:r>
            <w:r>
              <w:rPr>
                <w:rFonts w:hint="default" w:ascii="Times New Roman" w:hAnsi="Times New Roman" w:cs="Times New Roman"/>
                <w:color w:val="000000" w:themeColor="text1"/>
                <w:kern w:val="2"/>
                <w:sz w:val="21"/>
                <w:szCs w:val="21"/>
                <w:lang w:val="en-US" w:eastAsia="zh-CN"/>
                <w14:textFill>
                  <w14:solidFill>
                    <w14:schemeClr w14:val="tx1"/>
                  </w14:solidFill>
                </w14:textFill>
              </w:rPr>
              <w:t>7.141</w:t>
            </w:r>
            <w:r>
              <w:rPr>
                <w:rFonts w:hint="default" w:ascii="Times New Roman" w:hAnsi="Times New Roman" w:cs="Times New Roman"/>
                <w:color w:val="000000" w:themeColor="text1"/>
                <w:kern w:val="2"/>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排污口性质</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eastAsia="宋体" w:cs="Times New Roman"/>
                <w:b w:val="0"/>
                <w:bCs w:val="0"/>
                <w:color w:val="000000"/>
                <w:kern w:val="2"/>
                <w:sz w:val="21"/>
                <w:szCs w:val="21"/>
              </w:rPr>
              <w:t>新建（√）改建（）扩大（）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排污口类型</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eastAsia="宋体" w:cs="Times New Roman"/>
                <w:b w:val="0"/>
                <w:bCs w:val="0"/>
                <w:color w:val="000000"/>
                <w:kern w:val="2"/>
                <w:sz w:val="21"/>
                <w:szCs w:val="21"/>
              </w:rPr>
              <w:t>生活（）工业（√）混合（）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排放方式</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入河方式</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入河方式为项目区域铺设150米管道直接排放至西北侧无名小溪，入河排污口大小为H=0.5m、R=0.5m、L=150m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纳污水体</w:t>
            </w:r>
          </w:p>
        </w:tc>
        <w:tc>
          <w:tcPr>
            <w:tcW w:w="3688" w:type="pct"/>
            <w:tcBorders>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西北侧无名小溪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pct"/>
            <w:tcBorders>
              <w:left w:val="single" w:color="auto" w:sz="12" w:space="0"/>
              <w:bottom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污水年排放量</w:t>
            </w:r>
          </w:p>
        </w:tc>
        <w:tc>
          <w:tcPr>
            <w:tcW w:w="3688" w:type="pct"/>
            <w:tcBorders>
              <w:bottom w:val="single" w:color="auto" w:sz="12" w:space="0"/>
              <w:right w:val="single" w:color="auto" w:sz="12" w:space="0"/>
            </w:tcBorders>
          </w:tcPr>
          <w:p>
            <w:pPr>
              <w:pStyle w:val="57"/>
              <w:pBdr>
                <w:top w:val="none" w:color="auto" w:sz="0" w:space="0"/>
                <w:left w:val="none" w:color="auto" w:sz="0" w:space="0"/>
                <w:bottom w:val="none" w:color="auto" w:sz="0" w:space="0"/>
                <w:right w:val="none" w:color="auto" w:sz="0" w:space="0"/>
              </w:pBdr>
              <w:rPr>
                <w:rFonts w:hint="default" w:ascii="Times New Roman" w:hAnsi="Times New Roman" w:cs="Times New Roman"/>
                <w:kern w:val="2"/>
                <w:sz w:val="21"/>
                <w:szCs w:val="21"/>
                <w:vertAlign w:val="baseline"/>
                <w:lang w:val="en-US" w:eastAsia="zh-CN"/>
              </w:rPr>
            </w:pPr>
            <w:r>
              <w:rPr>
                <w:rFonts w:hint="default" w:ascii="Times New Roman" w:hAnsi="Times New Roman" w:cs="Times New Roman"/>
                <w:kern w:val="2"/>
                <w:sz w:val="21"/>
                <w:szCs w:val="21"/>
                <w:vertAlign w:val="baseline"/>
                <w:lang w:val="en-US" w:eastAsia="zh-CN"/>
              </w:rPr>
              <w:t>876m</w:t>
            </w:r>
            <w:r>
              <w:rPr>
                <w:rFonts w:hint="default" w:ascii="Times New Roman" w:hAnsi="Times New Roman" w:cs="Times New Roman"/>
                <w:kern w:val="2"/>
                <w:sz w:val="21"/>
                <w:szCs w:val="21"/>
                <w:vertAlign w:val="superscript"/>
                <w:lang w:val="en-US" w:eastAsia="zh-CN"/>
              </w:rPr>
              <w:t>3</w:t>
            </w:r>
            <w:r>
              <w:rPr>
                <w:rFonts w:hint="default" w:ascii="Times New Roman" w:hAnsi="Times New Roman" w:cs="Times New Roman"/>
                <w:kern w:val="2"/>
                <w:sz w:val="21"/>
                <w:szCs w:val="21"/>
                <w:vertAlign w:val="baseline"/>
                <w:lang w:val="en-US" w:eastAsia="zh-CN"/>
              </w:rPr>
              <w:t>/d</w:t>
            </w:r>
          </w:p>
        </w:tc>
      </w:tr>
    </w:tbl>
    <w:p>
      <w:pPr>
        <w:pStyle w:val="61"/>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对水功能区（水域）水质和生态的影响</w:t>
      </w:r>
    </w:p>
    <w:p>
      <w:pPr>
        <w:rPr>
          <w:rFonts w:hint="eastAsia"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根据设计要求，项目废水经废水处理站达到</w:t>
      </w:r>
      <w:r>
        <w:rPr>
          <w:rFonts w:hint="default" w:ascii="Times New Roman" w:hAnsi="Times New Roman" w:eastAsia="宋体" w:cs="Times New Roman"/>
          <w:b w:val="0"/>
          <w:bCs w:val="0"/>
          <w:color w:val="000000" w:themeColor="text1"/>
          <w:sz w:val="24"/>
          <w:szCs w:val="24"/>
          <w14:textFill>
            <w14:solidFill>
              <w14:schemeClr w14:val="tx1"/>
            </w14:solidFill>
          </w14:textFill>
        </w:rPr>
        <w:t>《污水综合排放标准》（</w:t>
      </w:r>
      <w:r>
        <w:rPr>
          <w:rFonts w:hint="default" w:ascii="Times New Roman" w:hAnsi="Times New Roman" w:eastAsia="TimesNewRomanPSMT" w:cs="Times New Roman"/>
          <w:b w:val="0"/>
          <w:bCs w:val="0"/>
          <w:color w:val="000000" w:themeColor="text1"/>
          <w:sz w:val="24"/>
          <w:szCs w:val="24"/>
          <w14:textFill>
            <w14:solidFill>
              <w14:schemeClr w14:val="tx1"/>
            </w14:solidFill>
          </w14:textFill>
        </w:rPr>
        <w:t>GB8978-1996</w:t>
      </w:r>
      <w:r>
        <w:rPr>
          <w:rFonts w:hint="default" w:ascii="Times New Roman" w:hAnsi="Times New Roman" w:eastAsia="宋体" w:cs="Times New Roman"/>
          <w:b w:val="0"/>
          <w:bCs w:val="0"/>
          <w:color w:val="000000" w:themeColor="text1"/>
          <w:sz w:val="24"/>
          <w:szCs w:val="24"/>
          <w14:textFill>
            <w14:solidFill>
              <w14:schemeClr w14:val="tx1"/>
            </w14:solidFill>
          </w14:textFill>
        </w:rPr>
        <w:t>）</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相应的标准要求后排放到项目</w:t>
      </w:r>
      <w:r>
        <w:rPr>
          <w:rFonts w:hint="eastAsia" w:cs="Times New Roman"/>
          <w:b w:val="0"/>
          <w:bCs w:val="0"/>
          <w:color w:val="000000" w:themeColor="text1"/>
          <w:sz w:val="24"/>
          <w:szCs w:val="24"/>
          <w:lang w:val="en-US" w:eastAsia="zh-CN"/>
          <w14:textFill>
            <w14:solidFill>
              <w14:schemeClr w14:val="tx1"/>
            </w14:solidFill>
          </w14:textFill>
        </w:rPr>
        <w:t>西北侧无名小溪</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。正常排放情况下，西北侧无名小溪枯水期COD、氨氮</w:t>
      </w:r>
      <w:r>
        <w:rPr>
          <w:rFonts w:hint="eastAsia" w:cs="Times New Roman"/>
          <w:b w:val="0"/>
          <w:bCs w:val="0"/>
          <w:color w:val="000000" w:themeColor="text1"/>
          <w:sz w:val="24"/>
          <w:szCs w:val="24"/>
          <w:lang w:val="en-US" w:eastAsia="zh-CN"/>
          <w14:textFill>
            <w14:solidFill>
              <w14:schemeClr w14:val="tx1"/>
            </w14:solidFill>
          </w14:textFill>
        </w:rPr>
        <w:t>、TP、TN</w:t>
      </w:r>
      <w:r>
        <w:rPr>
          <w:rFonts w:hint="default" w:ascii="Times New Roman" w:hAnsi="Times New Roman" w:cs="Times New Roman"/>
          <w:b w:val="0"/>
          <w:bCs w:val="0"/>
          <w:color w:val="000000" w:themeColor="text1"/>
          <w:sz w:val="24"/>
          <w:szCs w:val="24"/>
          <w:lang w:val="en-US" w:eastAsia="zh-CN"/>
          <w14:textFill>
            <w14:solidFill>
              <w14:schemeClr w14:val="tx1"/>
            </w14:solidFill>
          </w14:textFill>
        </w:rPr>
        <w:t>预测浓度均可达到《地表水环境质量标准》（GB3838-2002）</w:t>
      </w:r>
      <w:r>
        <w:rPr>
          <w:rFonts w:hint="default" w:ascii="Times New Roman" w:hAnsi="Times New Roman" w:cs="Times New Roman"/>
          <w:color w:val="000000" w:themeColor="text1"/>
          <w:lang w:val="en-US" w:eastAsia="zh-CN"/>
          <w14:textFill>
            <w14:solidFill>
              <w14:schemeClr w14:val="tx1"/>
            </w14:solidFill>
          </w14:textFill>
        </w:rPr>
        <w:t>Ⅲ类标准</w:t>
      </w:r>
      <w:r>
        <w:rPr>
          <w:rFonts w:hint="eastAsia" w:ascii="Times New Roman" w:hAnsi="Times New Roman" w:cs="Times New Roman"/>
          <w:color w:val="000000" w:themeColor="text1"/>
          <w:lang w:val="en-US" w:eastAsia="zh-CN"/>
          <w14:textFill>
            <w14:solidFill>
              <w14:schemeClr w14:val="tx1"/>
            </w14:solidFill>
          </w14:textFill>
        </w:rPr>
        <w:t>。本排污口的设置不改变排污口所处水功能区及下游水功能的使用功能，也不会影响相邻水功能区的使用。</w:t>
      </w:r>
      <w:r>
        <w:rPr>
          <w:rFonts w:hint="eastAsia" w:cs="Times New Roman"/>
          <w:color w:val="000000" w:themeColor="text1"/>
          <w:u w:val="none"/>
          <w14:textFill>
            <w14:solidFill>
              <w14:schemeClr w14:val="tx1"/>
            </w14:solidFill>
          </w14:textFill>
        </w:rPr>
        <w:t>污水处理站</w:t>
      </w:r>
      <w:r>
        <w:rPr>
          <w:rFonts w:cs="Times New Roman"/>
          <w:color w:val="000000" w:themeColor="text1"/>
          <w:u w:val="none"/>
          <w14:textFill>
            <w14:solidFill>
              <w14:schemeClr w14:val="tx1"/>
            </w14:solidFill>
          </w14:textFill>
        </w:rPr>
        <w:t>在事故排污时，COD</w:t>
      </w:r>
      <w:r>
        <w:rPr>
          <w:rFonts w:cs="Times New Roman"/>
          <w:color w:val="000000" w:themeColor="text1"/>
          <w:u w:val="none"/>
          <w:vertAlign w:val="subscript"/>
          <w14:textFill>
            <w14:solidFill>
              <w14:schemeClr w14:val="tx1"/>
            </w14:solidFill>
          </w14:textFill>
        </w:rPr>
        <w:t>cr</w:t>
      </w:r>
      <w:r>
        <w:rPr>
          <w:rFonts w:cs="Times New Roman"/>
          <w:color w:val="000000" w:themeColor="text1"/>
          <w:u w:val="none"/>
          <w14:textFill>
            <w14:solidFill>
              <w14:schemeClr w14:val="tx1"/>
            </w14:solidFill>
          </w14:textFill>
        </w:rPr>
        <w:t>、NH</w:t>
      </w:r>
      <w:r>
        <w:rPr>
          <w:rFonts w:cs="Times New Roman"/>
          <w:color w:val="000000" w:themeColor="text1"/>
          <w:u w:val="none"/>
          <w:vertAlign w:val="subscript"/>
          <w14:textFill>
            <w14:solidFill>
              <w14:schemeClr w14:val="tx1"/>
            </w14:solidFill>
          </w14:textFill>
        </w:rPr>
        <w:t>3</w:t>
      </w:r>
      <w:r>
        <w:rPr>
          <w:rFonts w:cs="Times New Roman"/>
          <w:color w:val="000000" w:themeColor="text1"/>
          <w:u w:val="none"/>
          <w14:textFill>
            <w14:solidFill>
              <w14:schemeClr w14:val="tx1"/>
            </w14:solidFill>
          </w14:textFill>
        </w:rPr>
        <w:t>-N等对水质有一定影响，会出现超标。项目应采取相应防范措施，禁止事故废水排放的发生。因此，污水处理厂制定严密安全措施，如在线监控系统等。确保项目正常运行，坚决杜绝事故排放的发生，以免对当地水环境造成污染。</w:t>
      </w:r>
    </w:p>
    <w:p>
      <w:pPr>
        <w:rPr>
          <w:rFonts w:hint="eastAsia"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企业应采取相应防范措施，建设事故应急池，制定规范管理制度。确保工程正常运行，严防事故排污现象的发生，防止对当地的水环境造成污染。</w:t>
      </w:r>
    </w:p>
    <w:p>
      <w:pPr>
        <w:rPr>
          <w:rFonts w:ascii="宋体" w:hAnsi="宋体" w:eastAsia="宋体" w:cs="宋体"/>
          <w:b w:val="0"/>
          <w:bCs w:val="0"/>
          <w:color w:val="000000" w:themeColor="text1"/>
          <w:sz w:val="24"/>
          <w:szCs w:val="24"/>
          <w14:textFill>
            <w14:solidFill>
              <w14:schemeClr w14:val="tx1"/>
            </w14:solidFill>
          </w14:textFill>
        </w:rPr>
      </w:pPr>
      <w:r>
        <w:rPr>
          <w:rFonts w:hint="eastAsia"/>
          <w:color w:val="000000" w:themeColor="text1"/>
          <w:lang w:val="en-US" w:eastAsia="zh-CN"/>
          <w14:textFill>
            <w14:solidFill>
              <w14:schemeClr w14:val="tx1"/>
            </w14:solidFill>
          </w14:textFill>
        </w:rPr>
        <w:t>本工程入河排污口位于</w:t>
      </w:r>
      <w:r>
        <w:rPr>
          <w:rFonts w:hint="eastAsia" w:cs="Times New Roman"/>
          <w:b w:val="0"/>
          <w:bCs w:val="0"/>
          <w:color w:val="000000" w:themeColor="text1"/>
          <w:sz w:val="24"/>
          <w:szCs w:val="24"/>
          <w:lang w:val="en-US" w:eastAsia="zh-CN"/>
          <w14:textFill>
            <w14:solidFill>
              <w14:schemeClr w14:val="tx1"/>
            </w14:solidFill>
          </w14:textFill>
        </w:rPr>
        <w:t>西北侧无名小溪</w:t>
      </w:r>
      <w:r>
        <w:rPr>
          <w:rFonts w:hint="eastAsia"/>
          <w:color w:val="000000" w:themeColor="text1"/>
          <w:lang w:val="en-US" w:eastAsia="zh-CN"/>
          <w14:textFill>
            <w14:solidFill>
              <w14:schemeClr w14:val="tx1"/>
            </w14:solidFill>
          </w14:textFill>
        </w:rPr>
        <w:t>右岸，入河排污口未设置在自然保护区、风景名胜区、重要湿地以及鱼类“三场”和</w:t>
      </w:r>
      <w:r>
        <w:rPr>
          <w:rFonts w:ascii="宋体" w:hAnsi="宋体" w:eastAsia="宋体" w:cs="宋体"/>
          <w:b w:val="0"/>
          <w:bCs w:val="0"/>
          <w:color w:val="000000" w:themeColor="text1"/>
          <w:sz w:val="24"/>
          <w:szCs w:val="24"/>
          <w14:textFill>
            <w14:solidFill>
              <w14:schemeClr w14:val="tx1"/>
            </w14:solidFill>
          </w14:textFill>
        </w:rPr>
        <w:t>洄游通道，设置入河排污口不存在生态制约因素，符合水生态保护要求。</w:t>
      </w:r>
    </w:p>
    <w:p>
      <w:pPr>
        <w:pStyle w:val="61"/>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对第三者权益的影响</w:t>
      </w:r>
    </w:p>
    <w:p>
      <w:pPr>
        <w:rPr>
          <w:rFonts w:hint="eastAsia" w:cs="Times New Roman"/>
          <w:color w:val="000000" w:themeColor="text1"/>
          <w:u w:val="none"/>
          <w:lang w:val="en-US" w:eastAsia="zh-CN"/>
          <w14:textFill>
            <w14:solidFill>
              <w14:schemeClr w14:val="tx1"/>
            </w14:solidFill>
          </w14:textFill>
        </w:rPr>
      </w:pPr>
      <w:r>
        <w:rPr>
          <w:rFonts w:hint="eastAsia"/>
          <w:lang w:val="en-US" w:eastAsia="zh-CN"/>
        </w:rPr>
        <w:t>论证区域水体的主要用途为农业灌溉用水，根据地表水现状监测，项目所在区水域均可满足</w:t>
      </w:r>
      <w:r>
        <w:rPr>
          <w:rFonts w:hint="eastAsia" w:cs="Times New Roman"/>
          <w:color w:val="000000" w:themeColor="text1"/>
          <w:u w:val="none"/>
          <w:lang w:val="en-US" w:eastAsia="zh-CN"/>
          <w14:textFill>
            <w14:solidFill>
              <w14:schemeClr w14:val="tx1"/>
            </w14:solidFill>
          </w14:textFill>
        </w:rPr>
        <w:t>《</w:t>
      </w:r>
      <w:r>
        <w:rPr>
          <w:rFonts w:hint="eastAsia" w:cs="Times New Roman"/>
          <w:color w:val="000000" w:themeColor="text1"/>
          <w:u w:val="none"/>
          <w14:textFill>
            <w14:solidFill>
              <w14:schemeClr w14:val="tx1"/>
            </w14:solidFill>
          </w14:textFill>
        </w:rPr>
        <w:t>地表水环境质量标准》（GB3838-2002）Ⅲ类</w:t>
      </w:r>
      <w:r>
        <w:rPr>
          <w:rFonts w:hint="eastAsia" w:cs="Times New Roman"/>
          <w:color w:val="000000" w:themeColor="text1"/>
          <w:u w:val="none"/>
          <w:lang w:val="en-US" w:eastAsia="zh-CN"/>
          <w14:textFill>
            <w14:solidFill>
              <w14:schemeClr w14:val="tx1"/>
            </w14:solidFill>
          </w14:textFill>
        </w:rPr>
        <w:t>标准要求，经调查</w:t>
      </w:r>
      <w:r>
        <w:rPr>
          <w:rFonts w:cs="Times New Roman"/>
          <w:color w:val="000000" w:themeColor="text1"/>
          <w:u w:val="none"/>
          <w14:textFill>
            <w14:solidFill>
              <w14:schemeClr w14:val="tx1"/>
            </w14:solidFill>
          </w14:textFill>
        </w:rPr>
        <w:t>围内无集中饮用水取水口</w:t>
      </w:r>
      <w:r>
        <w:rPr>
          <w:rFonts w:hint="eastAsia" w:cs="Times New Roman"/>
          <w:color w:val="000000" w:themeColor="text1"/>
          <w:u w:val="none"/>
          <w:lang w:val="en-US" w:eastAsia="zh-CN"/>
          <w14:textFill>
            <w14:solidFill>
              <w14:schemeClr w14:val="tx1"/>
            </w14:solidFill>
          </w14:textFill>
        </w:rPr>
        <w:t>和工业取水口，亦无现状养殖或规划养殖区。因此，本项目废水经排污口后正常排放情况下，区域水质能满足用水要求，对水功能区水质、生态以及第三者权益三方面产生的影响极小。建设单位需要对入河污水进行妥善处理与监控，严格控制污水水质达标排放，将基本不会对江河水功能区水质、生态产生不良影响。</w:t>
      </w:r>
    </w:p>
    <w:p>
      <w:pPr>
        <w:pStyle w:val="2"/>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eastAsia="宋体" w:cs="Times New Roman"/>
          <w:snapToGrid w:val="0"/>
          <w:color w:val="000000" w:themeColor="text1"/>
          <w:sz w:val="24"/>
          <w:szCs w:val="21"/>
          <w:u w:val="none"/>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z w:val="24"/>
          <w:szCs w:val="21"/>
          <w:u w:val="none"/>
          <w:lang w:val="en-US" w:eastAsia="zh-CN" w:bidi="ar-SA"/>
          <w14:textFill>
            <w14:solidFill>
              <w14:schemeClr w14:val="tx1"/>
            </w14:solidFill>
          </w14:textFill>
        </w:rPr>
        <w:t>本项目区域内居民较少，分散居住</w:t>
      </w:r>
      <w:r>
        <w:rPr>
          <w:rFonts w:hint="eastAsia" w:eastAsia="宋体" w:cs="Times New Roman"/>
          <w:snapToGrid w:val="0"/>
          <w:color w:val="000000" w:themeColor="text1"/>
          <w:sz w:val="24"/>
          <w:szCs w:val="21"/>
          <w:u w:val="none"/>
          <w:lang w:val="en-US" w:eastAsia="zh-CN" w:bidi="ar-SA"/>
          <w14:textFill>
            <w14:solidFill>
              <w14:schemeClr w14:val="tx1"/>
            </w14:solidFill>
          </w14:textFill>
        </w:rPr>
        <w:t>，目前湖南润景水业（桃江）有限公司生产活动未影响到厂区及周边的生产生活用水，居民一般取用自来水做生活饮用水，本项目排水不会对居民饮用水造成影响。</w:t>
      </w:r>
    </w:p>
    <w:p>
      <w:pPr>
        <w:rPr>
          <w:rFonts w:hint="eastAsia"/>
          <w:lang w:val="en-US" w:eastAsia="zh-CN"/>
        </w:rPr>
      </w:pPr>
      <w:r>
        <w:rPr>
          <w:rFonts w:hint="eastAsia"/>
          <w:lang w:val="en-US" w:eastAsia="zh-CN"/>
        </w:rPr>
        <w:t>预测结果表明排污口下游基本未形成明显的污染带，对西北侧无名小溪水质基本无影响。因此本项目入河排污口的设置不会对功能区内取水户权益产生明显的影响。</w:t>
      </w:r>
    </w:p>
    <w:p>
      <w:pPr>
        <w:rPr>
          <w:rFonts w:hint="eastAsia"/>
          <w:lang w:val="en-US" w:eastAsia="zh-CN"/>
        </w:rPr>
      </w:pPr>
      <w:r>
        <w:rPr>
          <w:rFonts w:hint="eastAsia"/>
          <w:lang w:val="en-US" w:eastAsia="zh-CN"/>
        </w:rPr>
        <w:t>本项目建设会在一定程度上提高居民生活水平、促进当地的经济发展，增加就业机会。项目落实防治措施，保证污染防治装置稳定运行，污染物都能达标排放，项目的建设是可行的。</w:t>
      </w:r>
    </w:p>
    <w:p>
      <w:pPr>
        <w:rPr>
          <w:rFonts w:hint="default"/>
          <w:lang w:val="en-US" w:eastAsia="zh-CN"/>
        </w:rPr>
      </w:pPr>
      <w:r>
        <w:rPr>
          <w:rFonts w:hint="eastAsia"/>
          <w:lang w:val="en-US" w:eastAsia="zh-CN"/>
        </w:rPr>
        <w:t>综上分析，本项目入河排污口的设置对第三者影响较小，但是要采取适当措施，避免水环境污染浓度超标。加强管理，避免发生非正常排放事故。</w:t>
      </w:r>
    </w:p>
    <w:p>
      <w:pPr>
        <w:pStyle w:val="61"/>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入河排污口设置合理、可行性</w:t>
      </w:r>
    </w:p>
    <w:p>
      <w:pPr>
        <w:rPr>
          <w:rFonts w:hint="eastAsia"/>
          <w:vertAlign w:val="baseline"/>
          <w:lang w:val="en-US" w:eastAsia="zh-CN"/>
        </w:rPr>
      </w:pPr>
      <w:r>
        <w:rPr>
          <w:rFonts w:hint="default"/>
          <w:vertAlign w:val="baseline"/>
          <w:lang w:val="en-US" w:eastAsia="zh-CN"/>
        </w:rPr>
        <w:t>湖南润景水业（桃江）有限公司入河排污口</w:t>
      </w:r>
      <w:r>
        <w:rPr>
          <w:rFonts w:hint="eastAsia"/>
          <w:vertAlign w:val="baseline"/>
          <w:lang w:val="en-US" w:eastAsia="zh-CN"/>
        </w:rPr>
        <w:t>设置符合归家法律法规和相关产业政策，符合城市发展规划，入河排污口及其影响范围不涉及饮用水水源保护区，不位于省级以上人民政府要求削减排污总量的水域，入河排污口设置后，污染物排放总量小于西北侧无名小溪纳污能力，对下游水环境及水生生态影响较小，不会对第三者合法用水产生不利影响，本工程排污口设置及排放方式合理、可行。</w:t>
      </w:r>
    </w:p>
    <w:p>
      <w:pPr>
        <w:pStyle w:val="61"/>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排放位置、排放方式的建议及其合理性</w:t>
      </w:r>
    </w:p>
    <w:p>
      <w:pPr>
        <w:rPr>
          <w:rFonts w:hint="eastAsia"/>
          <w:vertAlign w:val="baseline"/>
          <w:lang w:val="en-US" w:eastAsia="zh-CN"/>
        </w:rPr>
      </w:pPr>
      <w:r>
        <w:rPr>
          <w:rFonts w:hint="eastAsia"/>
          <w:vertAlign w:val="baseline"/>
          <w:lang w:val="en-US" w:eastAsia="zh-CN"/>
        </w:rPr>
        <w:t>“</w:t>
      </w:r>
      <w:r>
        <w:rPr>
          <w:rFonts w:hint="default"/>
          <w:vertAlign w:val="baseline"/>
          <w:lang w:val="en-US" w:eastAsia="zh-CN"/>
        </w:rPr>
        <w:t>湖南润景水业（桃江）有限公司</w:t>
      </w:r>
      <w:r>
        <w:rPr>
          <w:rFonts w:hint="eastAsia"/>
          <w:vertAlign w:val="baseline"/>
          <w:lang w:val="en-US" w:eastAsia="zh-CN"/>
        </w:rPr>
        <w:t>”其建设符合国家相关产业政策，排污口位置能满足水功能区水质管理相关要求，不影响第三方权益，不会对水生生物造成明显不利影响。项目排污口排放位置、排放方式合理。</w:t>
      </w:r>
    </w:p>
    <w:p>
      <w:pPr>
        <w:pStyle w:val="61"/>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入河排污口排污前污水处理措施及其效果</w:t>
      </w:r>
    </w:p>
    <w:p>
      <w:pPr>
        <w:rPr>
          <w:rFonts w:hint="eastAsia" w:cs="Times New Roman"/>
          <w:b w:val="0"/>
          <w:bCs w:val="0"/>
          <w:color w:val="000000"/>
          <w:sz w:val="24"/>
          <w:szCs w:val="24"/>
          <w:lang w:val="en-US" w:eastAsia="zh-CN"/>
        </w:rPr>
      </w:pPr>
      <w:r>
        <w:rPr>
          <w:rFonts w:hint="eastAsia"/>
          <w:sz w:val="24"/>
          <w:szCs w:val="24"/>
          <w:lang w:val="en-US" w:eastAsia="zh-CN"/>
        </w:rPr>
        <w:t>根据建设方提供的资料及现场踏勘，湖南润景水业（桃江）有限公司的水处理措施为</w:t>
      </w:r>
      <w:r>
        <w:rPr>
          <w:rFonts w:hint="default"/>
          <w:sz w:val="24"/>
          <w:szCs w:val="24"/>
          <w:lang w:val="en-US" w:eastAsia="zh-CN"/>
        </w:rPr>
        <w:t>（格栅→调节池→初沉池→A级生物滤池→O级生物滤池→二沉池→</w:t>
      </w:r>
      <w:r>
        <w:rPr>
          <w:rFonts w:hint="eastAsia"/>
          <w:sz w:val="24"/>
          <w:szCs w:val="24"/>
          <w:lang w:val="en-US" w:eastAsia="zh-CN"/>
        </w:rPr>
        <w:t>出水</w:t>
      </w:r>
      <w:r>
        <w:rPr>
          <w:rFonts w:hint="default"/>
          <w:sz w:val="24"/>
          <w:szCs w:val="24"/>
          <w:lang w:val="en-US" w:eastAsia="zh-CN"/>
        </w:rPr>
        <w:t>）</w:t>
      </w:r>
      <w:r>
        <w:rPr>
          <w:rFonts w:hint="eastAsia"/>
          <w:sz w:val="24"/>
          <w:szCs w:val="24"/>
          <w:lang w:val="en-US" w:eastAsia="zh-CN"/>
        </w:rPr>
        <w:t>，</w:t>
      </w:r>
      <w:r>
        <w:rPr>
          <w:rFonts w:cs="Times New Roman"/>
          <w:color w:val="auto"/>
          <w:sz w:val="24"/>
          <w:szCs w:val="24"/>
        </w:rPr>
        <w:t>是目前较为成熟的污水处理工艺，能有效地确保污水合格达标排放</w:t>
      </w:r>
      <w:r>
        <w:rPr>
          <w:rFonts w:cs="Times New Roman"/>
          <w:color w:val="000000" w:themeColor="text1"/>
          <w:sz w:val="24"/>
          <w:szCs w:val="24"/>
          <w14:textFill>
            <w14:solidFill>
              <w14:schemeClr w14:val="tx1"/>
            </w14:solidFill>
          </w14:textFill>
        </w:rPr>
        <w:t>，废水经处理后，废污水总排口出水水质可达</w:t>
      </w:r>
      <w:r>
        <w:rPr>
          <w:rFonts w:hint="default" w:ascii="Times New Roman" w:hAnsi="Times New Roman" w:eastAsia="宋体" w:cs="Times New Roman"/>
          <w:b w:val="0"/>
          <w:bCs w:val="0"/>
          <w:color w:val="000000"/>
          <w:sz w:val="24"/>
          <w:szCs w:val="24"/>
        </w:rPr>
        <w:t>《污水综合排放标准》（</w:t>
      </w:r>
      <w:r>
        <w:rPr>
          <w:rFonts w:hint="default" w:ascii="Times New Roman" w:hAnsi="Times New Roman" w:eastAsia="TimesNewRomanPSMT" w:cs="Times New Roman"/>
          <w:b w:val="0"/>
          <w:bCs w:val="0"/>
          <w:color w:val="000000"/>
          <w:sz w:val="24"/>
          <w:szCs w:val="24"/>
        </w:rPr>
        <w:t>GB8978-1996</w:t>
      </w:r>
      <w:r>
        <w:rPr>
          <w:rFonts w:hint="default" w:ascii="Times New Roman" w:hAnsi="Times New Roman" w:eastAsia="宋体" w:cs="Times New Roman"/>
          <w:b w:val="0"/>
          <w:bCs w:val="0"/>
          <w:color w:val="000000"/>
          <w:sz w:val="24"/>
          <w:szCs w:val="24"/>
        </w:rPr>
        <w:t>）</w:t>
      </w:r>
      <w:r>
        <w:rPr>
          <w:rFonts w:hint="eastAsia" w:cs="Times New Roman"/>
          <w:b w:val="0"/>
          <w:bCs w:val="0"/>
          <w:color w:val="000000"/>
          <w:sz w:val="24"/>
          <w:szCs w:val="24"/>
          <w:lang w:val="en-US" w:eastAsia="zh-CN"/>
        </w:rPr>
        <w:t>一级标准要求。</w:t>
      </w:r>
    </w:p>
    <w:p>
      <w:pPr>
        <w:pStyle w:val="61"/>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r>
        <w:rPr>
          <w:rFonts w:hint="eastAsia"/>
          <w:lang w:val="en-US" w:eastAsia="zh-CN"/>
        </w:rPr>
        <w:t>综合结论</w:t>
      </w:r>
    </w:p>
    <w:p>
      <w:pPr>
        <w:rPr>
          <w:rFonts w:hint="default" w:ascii="Times New Roman" w:hAnsi="Times New Roman" w:cs="Times New Roman"/>
          <w:lang w:val="en-US" w:eastAsia="zh-CN"/>
        </w:rPr>
      </w:pPr>
      <w:r>
        <w:rPr>
          <w:rFonts w:hint="default" w:ascii="Times New Roman" w:hAnsi="Times New Roman" w:cs="Times New Roman"/>
          <w:lang w:val="en-US" w:eastAsia="zh-CN"/>
        </w:rPr>
        <w:t>排污口设置符合国家法律法规和相关产业政策，符合城市发展规划，无《入河排污口监督管理办法》（2015年修正本）和《湖南省入河排污口监督管理办法》（</w:t>
      </w:r>
      <w:r>
        <w:rPr>
          <w:rFonts w:hint="default" w:ascii="Times New Roman" w:hAnsi="Times New Roman" w:eastAsia="宋体" w:cs="Times New Roman"/>
          <w:b w:val="0"/>
          <w:bCs w:val="0"/>
          <w:color w:val="000000"/>
          <w:sz w:val="24"/>
          <w:szCs w:val="24"/>
        </w:rPr>
        <w:t>湘政办﹝</w:t>
      </w:r>
      <w:r>
        <w:rPr>
          <w:rFonts w:hint="default" w:ascii="Times New Roman" w:hAnsi="Times New Roman" w:eastAsia="TimesNewRomanPSMT" w:cs="Times New Roman"/>
          <w:b w:val="0"/>
          <w:bCs w:val="0"/>
          <w:color w:val="000000"/>
          <w:sz w:val="24"/>
          <w:szCs w:val="24"/>
        </w:rPr>
        <w:t>2018</w:t>
      </w:r>
      <w:r>
        <w:rPr>
          <w:rFonts w:hint="default" w:ascii="Times New Roman" w:hAnsi="Times New Roman" w:eastAsia="宋体" w:cs="Times New Roman"/>
          <w:b w:val="0"/>
          <w:bCs w:val="0"/>
          <w:color w:val="000000"/>
          <w:sz w:val="24"/>
          <w:szCs w:val="24"/>
        </w:rPr>
        <w:t>﹞</w:t>
      </w:r>
      <w:r>
        <w:rPr>
          <w:rFonts w:hint="default" w:ascii="Times New Roman" w:hAnsi="Times New Roman" w:eastAsia="TimesNewRomanPSMT" w:cs="Times New Roman"/>
          <w:b w:val="0"/>
          <w:bCs w:val="0"/>
          <w:color w:val="000000"/>
          <w:sz w:val="24"/>
          <w:szCs w:val="24"/>
        </w:rPr>
        <w:t>44</w:t>
      </w:r>
      <w:r>
        <w:rPr>
          <w:rFonts w:hint="default" w:ascii="Times New Roman" w:hAnsi="Times New Roman" w:eastAsia="宋体" w:cs="Times New Roman"/>
          <w:b w:val="0"/>
          <w:bCs w:val="0"/>
          <w:color w:val="000000"/>
          <w:sz w:val="24"/>
          <w:szCs w:val="24"/>
        </w:rPr>
        <w:t>号</w:t>
      </w:r>
      <w:r>
        <w:rPr>
          <w:rFonts w:hint="default" w:ascii="Times New Roman" w:hAnsi="Times New Roman" w:cs="Times New Roman"/>
          <w:lang w:val="en-US" w:eastAsia="zh-CN"/>
        </w:rPr>
        <w:t>）提出</w:t>
      </w:r>
      <w:r>
        <w:rPr>
          <w:rFonts w:hint="default" w:ascii="Times New Roman" w:hAnsi="Times New Roman" w:eastAsia="宋体" w:cs="Times New Roman"/>
          <w:b w:val="0"/>
          <w:bCs w:val="0"/>
          <w:color w:val="000000"/>
          <w:sz w:val="24"/>
          <w:szCs w:val="24"/>
        </w:rPr>
        <w:t>的不予同意设置入河排污口的情形，符合设置的基本要求。通过对项目排污口设置论证分析，正常排放情况下，本工程污水排放不会改变</w:t>
      </w:r>
      <w:r>
        <w:rPr>
          <w:rFonts w:hint="eastAsia" w:cs="Times New Roman"/>
          <w:b w:val="0"/>
          <w:bCs w:val="0"/>
          <w:color w:val="000000"/>
          <w:sz w:val="24"/>
          <w:szCs w:val="24"/>
          <w:lang w:val="en-US" w:eastAsia="zh-CN"/>
        </w:rPr>
        <w:t>西北侧无名小溪</w:t>
      </w:r>
      <w:r>
        <w:rPr>
          <w:rFonts w:hint="default" w:ascii="Times New Roman" w:hAnsi="Times New Roman" w:eastAsia="宋体" w:cs="Times New Roman"/>
          <w:b w:val="0"/>
          <w:bCs w:val="0"/>
          <w:color w:val="000000"/>
          <w:sz w:val="24"/>
          <w:szCs w:val="24"/>
        </w:rPr>
        <w:t>现状达标水质，排污口设置不会</w:t>
      </w:r>
      <w:r>
        <w:rPr>
          <w:rFonts w:hint="eastAsia" w:cs="Times New Roman"/>
          <w:b w:val="0"/>
          <w:bCs w:val="0"/>
          <w:color w:val="000000"/>
          <w:sz w:val="24"/>
          <w:szCs w:val="24"/>
          <w:lang w:val="en-US" w:eastAsia="zh-CN"/>
        </w:rPr>
        <w:t>对西北侧无名小溪</w:t>
      </w:r>
      <w:r>
        <w:rPr>
          <w:rFonts w:hint="default" w:ascii="Times New Roman" w:hAnsi="Times New Roman" w:eastAsia="宋体" w:cs="Times New Roman"/>
          <w:b w:val="0"/>
          <w:bCs w:val="0"/>
          <w:color w:val="000000"/>
          <w:sz w:val="24"/>
          <w:szCs w:val="24"/>
        </w:rPr>
        <w:t>水质类别，对水质目标不会造成明显的影响。因此，该项目入河排污口设置基本合理。</w:t>
      </w:r>
    </w:p>
    <w:p>
      <w:pPr>
        <w:pStyle w:val="60"/>
        <w:keepNext/>
        <w:keepLines w:val="0"/>
        <w:widowControl/>
        <w:kinsoku/>
        <w:wordWrap/>
        <w:overflowPunct/>
        <w:topLinePunct w:val="0"/>
        <w:autoSpaceDE/>
        <w:autoSpaceDN/>
        <w:bidi w:val="0"/>
        <w:adjustRightInd w:val="0"/>
        <w:snapToGrid w:val="0"/>
        <w:spacing w:line="360" w:lineRule="auto"/>
        <w:textAlignment w:val="auto"/>
        <w:rPr>
          <w:rFonts w:hint="default"/>
          <w:lang w:val="en-US" w:eastAsia="zh-CN"/>
        </w:rPr>
      </w:pPr>
      <w:bookmarkStart w:id="93" w:name="_Toc25728"/>
      <w:r>
        <w:rPr>
          <w:rFonts w:hint="eastAsia"/>
          <w:lang w:val="en-US" w:eastAsia="zh-CN"/>
        </w:rPr>
        <w:t>建议</w:t>
      </w:r>
      <w:bookmarkEnd w:id="93"/>
    </w:p>
    <w:p>
      <w:pPr>
        <w:keepNext w:val="0"/>
        <w:keepLines w:val="0"/>
        <w:pageBreakBefore w:val="0"/>
        <w:widowControl w:val="0"/>
        <w:numPr>
          <w:ilvl w:val="0"/>
          <w:numId w:val="33"/>
        </w:numPr>
        <w:kinsoku/>
        <w:wordWrap/>
        <w:overflowPunct/>
        <w:topLinePunct w:val="0"/>
        <w:autoSpaceDE/>
        <w:autoSpaceDN/>
        <w:bidi w:val="0"/>
        <w:adjustRightInd w:val="0"/>
        <w:snapToGrid/>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排污口设置规范化，符合河道管理部门要求。入河排污口规范化建设应包括统一规范入河排污口设置、实行排污口的立标管理、标明水污染物限制排放总量及浓度情况、明确责任主体及监督单位等内容，并装置排放计量仪，控制排污总量。</w:t>
      </w:r>
    </w:p>
    <w:p>
      <w:pPr>
        <w:pStyle w:val="18"/>
        <w:keepNext w:val="0"/>
        <w:keepLines w:val="0"/>
        <w:pageBreakBefore w:val="0"/>
        <w:widowControl w:val="0"/>
        <w:numPr>
          <w:ilvl w:val="0"/>
          <w:numId w:val="33"/>
        </w:numPr>
        <w:kinsoku/>
        <w:wordWrap/>
        <w:overflowPunct/>
        <w:topLinePunct w:val="0"/>
        <w:autoSpaceDE/>
        <w:autoSpaceDN/>
        <w:bidi w:val="0"/>
        <w:adjustRightInd w:val="0"/>
        <w:snapToGrid/>
        <w:spacing w:after="0"/>
        <w:textAlignment w:val="auto"/>
        <w:rPr>
          <w:rFonts w:hint="default"/>
          <w:lang w:val="en-US" w:eastAsia="zh-CN"/>
        </w:rPr>
      </w:pPr>
      <w:r>
        <w:rPr>
          <w:rFonts w:ascii="宋体" w:hAnsi="宋体" w:eastAsia="宋体" w:cs="宋体"/>
          <w:b w:val="0"/>
          <w:bCs w:val="0"/>
          <w:color w:val="000000"/>
          <w:sz w:val="24"/>
          <w:szCs w:val="24"/>
        </w:rPr>
        <w:t>加强对建设项目排放的污水进行长期监测，动态掌握排放污水水质，以便针对污水中的其他污染物及时采取处理措施。建立废水处理站出水水质水量在线监测系统。</w:t>
      </w:r>
    </w:p>
    <w:p>
      <w:pPr>
        <w:keepNext w:val="0"/>
        <w:keepLines w:val="0"/>
        <w:pageBreakBefore w:val="0"/>
        <w:widowControl w:val="0"/>
        <w:numPr>
          <w:ilvl w:val="0"/>
          <w:numId w:val="33"/>
        </w:numPr>
        <w:kinsoku/>
        <w:wordWrap/>
        <w:overflowPunct/>
        <w:topLinePunct w:val="0"/>
        <w:autoSpaceDE/>
        <w:autoSpaceDN/>
        <w:bidi w:val="0"/>
        <w:adjustRightInd w:val="0"/>
        <w:snapToGrid/>
        <w:ind w:left="0" w:leftChars="0" w:firstLine="480" w:firstLineChars="200"/>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设置单位对入河排污口处及下游实行定期与不定期水质监测措施，送具有相应资质部门分析检测，并将检测结果及时报送水行政或水环境主管部门。</w:t>
      </w:r>
    </w:p>
    <w:p>
      <w:pPr>
        <w:pStyle w:val="18"/>
        <w:keepNext w:val="0"/>
        <w:keepLines w:val="0"/>
        <w:pageBreakBefore w:val="0"/>
        <w:widowControl w:val="0"/>
        <w:numPr>
          <w:ilvl w:val="0"/>
          <w:numId w:val="33"/>
        </w:numPr>
        <w:kinsoku/>
        <w:wordWrap/>
        <w:overflowPunct/>
        <w:topLinePunct w:val="0"/>
        <w:autoSpaceDE/>
        <w:autoSpaceDN/>
        <w:bidi w:val="0"/>
        <w:adjustRightInd w:val="0"/>
        <w:snapToGrid/>
        <w:spacing w:after="0"/>
        <w:ind w:left="0" w:leftChars="0" w:firstLine="480" w:firstLineChars="200"/>
        <w:textAlignment w:val="auto"/>
        <w:rPr>
          <w:rFonts w:hint="eastAsia"/>
          <w:lang w:val="en-US" w:eastAsia="zh-CN"/>
        </w:rPr>
      </w:pPr>
      <w:r>
        <w:rPr>
          <w:rFonts w:ascii="宋体" w:hAnsi="宋体" w:eastAsia="宋体" w:cs="宋体"/>
          <w:b w:val="0"/>
          <w:bCs w:val="0"/>
          <w:color w:val="000000"/>
          <w:sz w:val="24"/>
          <w:szCs w:val="24"/>
        </w:rPr>
        <w:t>落实风险管理措施，制定切实可行的事故应急预案。一旦发生非正常污水排放事故，立即启动应急方案，严防污水外排，同时及时向有关部门反映，采取有效处理措施，最大限度降低对周围环境和人民生命及财产造成的危害。</w:t>
      </w:r>
    </w:p>
    <w:p>
      <w:pPr>
        <w:keepNext w:val="0"/>
        <w:keepLines w:val="0"/>
        <w:pageBreakBefore w:val="0"/>
        <w:widowControl w:val="0"/>
        <w:numPr>
          <w:ilvl w:val="0"/>
          <w:numId w:val="33"/>
        </w:numPr>
        <w:kinsoku/>
        <w:wordWrap/>
        <w:overflowPunct/>
        <w:topLinePunct w:val="0"/>
        <w:autoSpaceDE/>
        <w:autoSpaceDN/>
        <w:bidi w:val="0"/>
        <w:adjustRightInd w:val="0"/>
        <w:snapToGrid/>
        <w:ind w:left="0" w:leftChars="0" w:firstLine="480" w:firstLineChars="200"/>
        <w:textAlignment w:val="auto"/>
        <w:rPr>
          <w:rFonts w:ascii="宋体" w:hAnsi="宋体" w:eastAsia="宋体" w:cs="宋体"/>
          <w:b w:val="0"/>
          <w:bCs w:val="0"/>
          <w:color w:val="000000"/>
          <w:sz w:val="24"/>
          <w:szCs w:val="24"/>
        </w:rPr>
      </w:pPr>
      <w:r>
        <w:rPr>
          <w:rFonts w:ascii="宋体" w:hAnsi="宋体" w:eastAsia="宋体" w:cs="宋体"/>
          <w:b w:val="0"/>
          <w:bCs w:val="0"/>
          <w:color w:val="000000"/>
          <w:sz w:val="24"/>
          <w:szCs w:val="24"/>
        </w:rPr>
        <w:t>加强污水管道和处理设备的维护和保养，避免发生事故性环境危害。</w:t>
      </w:r>
    </w:p>
    <w:p>
      <w:pPr>
        <w:pStyle w:val="18"/>
        <w:keepNext w:val="0"/>
        <w:keepLines w:val="0"/>
        <w:pageBreakBefore w:val="0"/>
        <w:widowControl w:val="0"/>
        <w:numPr>
          <w:ilvl w:val="0"/>
          <w:numId w:val="33"/>
        </w:numPr>
        <w:kinsoku/>
        <w:wordWrap/>
        <w:overflowPunct/>
        <w:topLinePunct w:val="0"/>
        <w:autoSpaceDE/>
        <w:autoSpaceDN/>
        <w:bidi w:val="0"/>
        <w:adjustRightInd w:val="0"/>
        <w:snapToGrid/>
        <w:spacing w:after="0"/>
        <w:ind w:left="0" w:leftChars="0" w:firstLine="480" w:firstLineChars="200"/>
        <w:textAlignment w:val="auto"/>
        <w:rPr>
          <w:rFonts w:hint="eastAsia"/>
          <w:lang w:val="en-US" w:eastAsia="zh-CN"/>
        </w:rPr>
      </w:pPr>
      <w:r>
        <w:rPr>
          <w:rFonts w:ascii="宋体" w:hAnsi="宋体" w:eastAsia="宋体" w:cs="宋体"/>
          <w:b w:val="0"/>
          <w:bCs w:val="0"/>
          <w:color w:val="000000"/>
          <w:sz w:val="24"/>
          <w:szCs w:val="24"/>
        </w:rPr>
        <w:t>推行中水回用。建议厂区锅炉用水、绿化用水、生活用水等进行中水回用，尽量减少污水外排量。</w:t>
      </w:r>
    </w:p>
    <w:p>
      <w:pPr>
        <w:pStyle w:val="18"/>
        <w:rPr>
          <w:rFonts w:hint="default"/>
          <w:lang w:val="en-US" w:eastAsia="zh-CN"/>
        </w:rPr>
      </w:pPr>
    </w:p>
    <w:p>
      <w:pPr>
        <w:pStyle w:val="18"/>
        <w:rPr>
          <w:rFonts w:hint="default"/>
          <w:lang w:val="en-US" w:eastAsia="zh-CN"/>
        </w:rPr>
      </w:pPr>
    </w:p>
    <w:p>
      <w:pPr>
        <w:pStyle w:val="18"/>
        <w:ind w:left="0" w:leftChars="0" w:firstLine="0" w:firstLineChars="0"/>
        <w:rPr>
          <w:rFonts w:hint="default"/>
          <w:lang w:val="en-US" w:eastAsia="zh-CN"/>
        </w:rPr>
        <w:sectPr>
          <w:headerReference r:id="rId12" w:type="default"/>
          <w:footerReference r:id="rId13" w:type="default"/>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default"/>
          <w:lang w:val="en-US" w:eastAsia="zh-CN"/>
        </w:rPr>
        <w:drawing>
          <wp:anchor distT="0" distB="0" distL="114300" distR="114300" simplePos="0" relativeHeight="251663360" behindDoc="1" locked="0" layoutInCell="1" allowOverlap="1">
            <wp:simplePos x="0" y="0"/>
            <wp:positionH relativeFrom="column">
              <wp:posOffset>-611505</wp:posOffset>
            </wp:positionH>
            <wp:positionV relativeFrom="paragraph">
              <wp:posOffset>-9372600</wp:posOffset>
            </wp:positionV>
            <wp:extent cx="6471285" cy="9154160"/>
            <wp:effectExtent l="0" t="0" r="0" b="0"/>
            <wp:wrapThrough wrapText="bothSides">
              <wp:wrapPolygon>
                <wp:start x="0" y="0"/>
                <wp:lineTo x="0" y="21576"/>
                <wp:lineTo x="21555" y="21576"/>
                <wp:lineTo x="21555" y="0"/>
                <wp:lineTo x="0" y="0"/>
              </wp:wrapPolygon>
            </wp:wrapThrough>
            <wp:docPr id="23" name="图片 23" descr="排污口论证意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排污口论证意见_页面_3"/>
                    <pic:cNvPicPr>
                      <a:picLocks noChangeAspect="1"/>
                    </pic:cNvPicPr>
                  </pic:nvPicPr>
                  <pic:blipFill>
                    <a:blip r:embed="rId49"/>
                    <a:stretch>
                      <a:fillRect/>
                    </a:stretch>
                  </pic:blipFill>
                  <pic:spPr>
                    <a:xfrm>
                      <a:off x="0" y="0"/>
                      <a:ext cx="6471285" cy="9154160"/>
                    </a:xfrm>
                    <a:prstGeom prst="rect">
                      <a:avLst/>
                    </a:prstGeom>
                  </pic:spPr>
                </pic:pic>
              </a:graphicData>
            </a:graphic>
          </wp:anchor>
        </w:drawing>
      </w:r>
    </w:p>
    <w:p>
      <w:pPr>
        <w:pStyle w:val="60"/>
        <w:numPr>
          <w:ilvl w:val="1"/>
          <w:numId w:val="0"/>
        </w:numPr>
        <w:bidi w:val="0"/>
        <w:ind w:left="-168" w:leftChars="0"/>
        <w:rPr>
          <w:rFonts w:hint="default"/>
          <w:lang w:val="en-US"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lang w:val="en-US" w:eastAsia="zh-CN"/>
        </w:rPr>
        <w:t xml:space="preserve">  </w:t>
      </w:r>
      <w:r>
        <w:rPr>
          <w:rFonts w:hint="default"/>
          <w:lang w:val="en-US" w:eastAsia="zh-CN"/>
        </w:rPr>
        <w:drawing>
          <wp:inline distT="0" distB="0" distL="114300" distR="114300">
            <wp:extent cx="5263515" cy="7442835"/>
            <wp:effectExtent l="0" t="0" r="13335" b="5715"/>
            <wp:docPr id="22" name="图片 22" descr="修改的会议纪要第一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修改的会议纪要第一页"/>
                    <pic:cNvPicPr>
                      <a:picLocks noChangeAspect="1"/>
                    </pic:cNvPicPr>
                  </pic:nvPicPr>
                  <pic:blipFill>
                    <a:blip r:embed="rId50"/>
                    <a:stretch>
                      <a:fillRect/>
                    </a:stretch>
                  </pic:blipFill>
                  <pic:spPr>
                    <a:xfrm>
                      <a:off x="0" y="0"/>
                      <a:ext cx="5263515" cy="7442835"/>
                    </a:xfrm>
                    <a:prstGeom prst="rect">
                      <a:avLst/>
                    </a:prstGeom>
                  </pic:spPr>
                </pic:pic>
              </a:graphicData>
            </a:graphic>
          </wp:inline>
        </w:drawing>
      </w:r>
    </w:p>
    <w:p>
      <w:pPr>
        <w:ind w:left="0" w:leftChars="0" w:firstLine="0" w:firstLineChars="0"/>
        <w:rPr>
          <w:rFonts w:hint="default"/>
          <w:lang w:val="en-US"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default"/>
          <w:lang w:val="en-US" w:eastAsia="zh-CN"/>
        </w:rPr>
        <w:drawing>
          <wp:inline distT="0" distB="0" distL="114300" distR="114300">
            <wp:extent cx="5257800" cy="7711440"/>
            <wp:effectExtent l="0" t="0" r="0" b="3810"/>
            <wp:docPr id="89" name="图片 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
                    <pic:cNvPicPr>
                      <a:picLocks noChangeAspect="1"/>
                    </pic:cNvPicPr>
                  </pic:nvPicPr>
                  <pic:blipFill>
                    <a:blip r:embed="rId51"/>
                    <a:stretch>
                      <a:fillRect/>
                    </a:stretch>
                  </pic:blipFill>
                  <pic:spPr>
                    <a:xfrm>
                      <a:off x="0" y="0"/>
                      <a:ext cx="5257800" cy="7711440"/>
                    </a:xfrm>
                    <a:prstGeom prst="rect">
                      <a:avLst/>
                    </a:prstGeom>
                  </pic:spPr>
                </pic:pic>
              </a:graphicData>
            </a:graphic>
          </wp:inline>
        </w:drawing>
      </w:r>
    </w:p>
    <w:p>
      <w:pPr>
        <w:pStyle w:val="59"/>
        <w:numPr>
          <w:ilvl w:val="0"/>
          <w:numId w:val="0"/>
        </w:numPr>
        <w:spacing w:line="360" w:lineRule="auto"/>
        <w:rPr>
          <w:rFonts w:hint="eastAsia"/>
          <w:lang w:val="en-US" w:eastAsia="zh-CN"/>
        </w:rPr>
      </w:pPr>
      <w:bookmarkStart w:id="94" w:name="_Toc16117"/>
      <w:bookmarkStart w:id="95" w:name="_Toc8788"/>
      <w:bookmarkStart w:id="96" w:name="_Toc17785"/>
      <w:bookmarkStart w:id="97" w:name="_Toc16952"/>
      <w:r>
        <w:rPr>
          <w:rFonts w:hint="eastAsia"/>
        </w:rPr>
        <w:t>附件</w:t>
      </w:r>
      <w:r>
        <w:rPr>
          <w:rFonts w:hint="eastAsia"/>
          <w:lang w:val="en-US" w:eastAsia="zh-CN"/>
        </w:rPr>
        <w:t>1</w:t>
      </w:r>
      <w:r>
        <w:rPr>
          <w:rFonts w:hint="eastAsia"/>
        </w:rPr>
        <w:t xml:space="preserve"> </w:t>
      </w:r>
      <w:r>
        <w:rPr>
          <w:rFonts w:hint="eastAsia"/>
          <w:lang w:val="en-US" w:eastAsia="zh-CN"/>
        </w:rPr>
        <w:t>入河排污口论证报告委托书</w:t>
      </w:r>
      <w:bookmarkEnd w:id="94"/>
      <w:bookmarkEnd w:id="95"/>
    </w:p>
    <w:p>
      <w:pPr>
        <w:ind w:left="0" w:leftChars="0" w:firstLine="0" w:firstLineChars="0"/>
        <w:rPr>
          <w:rFonts w:hint="default"/>
          <w:lang w:val="en-US"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default"/>
          <w:lang w:val="en-US" w:eastAsia="zh-CN"/>
        </w:rPr>
        <w:drawing>
          <wp:inline distT="0" distB="0" distL="114300" distR="114300">
            <wp:extent cx="5261610" cy="7439025"/>
            <wp:effectExtent l="0" t="0" r="15240" b="9525"/>
            <wp:docPr id="93" name="图片 93" descr="入河口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入河口委托书"/>
                    <pic:cNvPicPr>
                      <a:picLocks noChangeAspect="1"/>
                    </pic:cNvPicPr>
                  </pic:nvPicPr>
                  <pic:blipFill>
                    <a:blip r:embed="rId52"/>
                    <a:stretch>
                      <a:fillRect/>
                    </a:stretch>
                  </pic:blipFill>
                  <pic:spPr>
                    <a:xfrm>
                      <a:off x="0" y="0"/>
                      <a:ext cx="5261610" cy="7439025"/>
                    </a:xfrm>
                    <a:prstGeom prst="rect">
                      <a:avLst/>
                    </a:prstGeom>
                  </pic:spPr>
                </pic:pic>
              </a:graphicData>
            </a:graphic>
          </wp:inline>
        </w:drawing>
      </w:r>
    </w:p>
    <w:p>
      <w:pPr>
        <w:pStyle w:val="59"/>
        <w:numPr>
          <w:ilvl w:val="0"/>
          <w:numId w:val="0"/>
        </w:numPr>
        <w:spacing w:line="360" w:lineRule="auto"/>
      </w:pPr>
      <w:bookmarkStart w:id="98" w:name="_Toc15156"/>
      <w:bookmarkStart w:id="99" w:name="_Toc17485"/>
      <w:r>
        <w:rPr>
          <w:rFonts w:hint="eastAsia"/>
        </w:rPr>
        <w:t>附件</w:t>
      </w:r>
      <w:r>
        <w:rPr>
          <w:rFonts w:hint="eastAsia"/>
          <w:lang w:val="en-US" w:eastAsia="zh-CN"/>
        </w:rPr>
        <w:t xml:space="preserve">2 </w:t>
      </w:r>
      <w:r>
        <w:rPr>
          <w:rFonts w:hint="eastAsia"/>
        </w:rPr>
        <w:t>营业执照</w:t>
      </w:r>
      <w:bookmarkEnd w:id="96"/>
      <w:bookmarkEnd w:id="97"/>
      <w:bookmarkEnd w:id="98"/>
      <w:bookmarkEnd w:id="99"/>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7863205" cy="5560060"/>
            <wp:effectExtent l="9525" t="9525" r="12065" b="13970"/>
            <wp:docPr id="14" name="图片 14" descr="润景桃江营业执照正本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润景桃江营业执照正本_00"/>
                    <pic:cNvPicPr>
                      <a:picLocks noChangeAspect="1"/>
                    </pic:cNvPicPr>
                  </pic:nvPicPr>
                  <pic:blipFill>
                    <a:blip r:embed="rId53"/>
                    <a:stretch>
                      <a:fillRect/>
                    </a:stretch>
                  </pic:blipFill>
                  <pic:spPr>
                    <a:xfrm rot="5400000">
                      <a:off x="0" y="0"/>
                      <a:ext cx="7863205" cy="5560060"/>
                    </a:xfrm>
                    <a:prstGeom prst="rect">
                      <a:avLst/>
                    </a:prstGeom>
                    <a:ln>
                      <a:solidFill>
                        <a:schemeClr val="tx1"/>
                      </a:solidFill>
                    </a:ln>
                  </pic:spPr>
                </pic:pic>
              </a:graphicData>
            </a:graphic>
          </wp:inline>
        </w:drawing>
      </w:r>
    </w:p>
    <w:p>
      <w:pPr>
        <w:pStyle w:val="59"/>
        <w:numPr>
          <w:ilvl w:val="0"/>
          <w:numId w:val="0"/>
        </w:numPr>
        <w:spacing w:line="240" w:lineRule="auto"/>
      </w:pPr>
      <w:bookmarkStart w:id="100" w:name="_Toc22971"/>
      <w:bookmarkStart w:id="101" w:name="_Toc18058"/>
      <w:bookmarkStart w:id="102" w:name="_Toc18927"/>
      <w:bookmarkStart w:id="103" w:name="_Toc3914"/>
      <w:r>
        <w:rPr>
          <w:rFonts w:hint="eastAsia"/>
        </w:rPr>
        <w:t>附件</w:t>
      </w:r>
      <w:r>
        <w:rPr>
          <w:rFonts w:hint="eastAsia"/>
          <w:lang w:val="en-US" w:eastAsia="zh-CN"/>
        </w:rPr>
        <w:t xml:space="preserve">3 </w:t>
      </w:r>
      <w:r>
        <w:rPr>
          <w:rFonts w:hint="eastAsia"/>
        </w:rPr>
        <w:t>国有建设用地使用权出让合同</w:t>
      </w:r>
      <w:bookmarkEnd w:id="100"/>
      <w:bookmarkEnd w:id="101"/>
      <w:bookmarkEnd w:id="102"/>
      <w:bookmarkEnd w:id="103"/>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16" name="图片 16" descr="润景水业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润景水业合同_00"/>
                    <pic:cNvPicPr>
                      <a:picLocks noChangeAspect="1"/>
                    </pic:cNvPicPr>
                  </pic:nvPicPr>
                  <pic:blipFill>
                    <a:blip r:embed="rId54"/>
                    <a:stretch>
                      <a:fillRect/>
                    </a:stretch>
                  </pic:blipFill>
                  <pic:spPr>
                    <a:xfrm>
                      <a:off x="0" y="0"/>
                      <a:ext cx="5263515" cy="7444105"/>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20" name="图片 20" descr="润景水业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润景水业合同_01"/>
                    <pic:cNvPicPr>
                      <a:picLocks noChangeAspect="1"/>
                    </pic:cNvPicPr>
                  </pic:nvPicPr>
                  <pic:blipFill>
                    <a:blip r:embed="rId55"/>
                    <a:stretch>
                      <a:fillRect/>
                    </a:stretch>
                  </pic:blipFill>
                  <pic:spPr>
                    <a:xfrm>
                      <a:off x="0" y="0"/>
                      <a:ext cx="526351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21" name="图片 21" descr="润景水业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润景水业合同_02"/>
                    <pic:cNvPicPr>
                      <a:picLocks noChangeAspect="1"/>
                    </pic:cNvPicPr>
                  </pic:nvPicPr>
                  <pic:blipFill>
                    <a:blip r:embed="rId56"/>
                    <a:stretch>
                      <a:fillRect/>
                    </a:stretch>
                  </pic:blipFill>
                  <pic:spPr>
                    <a:xfrm>
                      <a:off x="0" y="0"/>
                      <a:ext cx="5263515" cy="7444105"/>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26" name="图片 26" descr="润景水业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润景水业合同_03"/>
                    <pic:cNvPicPr>
                      <a:picLocks noChangeAspect="1"/>
                    </pic:cNvPicPr>
                  </pic:nvPicPr>
                  <pic:blipFill>
                    <a:blip r:embed="rId57"/>
                    <a:stretch>
                      <a:fillRect/>
                    </a:stretch>
                  </pic:blipFill>
                  <pic:spPr>
                    <a:xfrm>
                      <a:off x="0" y="0"/>
                      <a:ext cx="526351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27" name="图片 27" descr="润景水业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润景水业合同_04"/>
                    <pic:cNvPicPr>
                      <a:picLocks noChangeAspect="1"/>
                    </pic:cNvPicPr>
                  </pic:nvPicPr>
                  <pic:blipFill>
                    <a:blip r:embed="rId58"/>
                    <a:stretch>
                      <a:fillRect/>
                    </a:stretch>
                  </pic:blipFill>
                  <pic:spPr>
                    <a:xfrm>
                      <a:off x="0" y="0"/>
                      <a:ext cx="5263515" cy="7444105"/>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28" name="图片 28" descr="润景水业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润景水业合同_05"/>
                    <pic:cNvPicPr>
                      <a:picLocks noChangeAspect="1"/>
                    </pic:cNvPicPr>
                  </pic:nvPicPr>
                  <pic:blipFill>
                    <a:blip r:embed="rId59"/>
                    <a:stretch>
                      <a:fillRect/>
                    </a:stretch>
                  </pic:blipFill>
                  <pic:spPr>
                    <a:xfrm>
                      <a:off x="0" y="0"/>
                      <a:ext cx="526351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29" name="图片 29" descr="润景水业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润景水业合同_06"/>
                    <pic:cNvPicPr>
                      <a:picLocks noChangeAspect="1"/>
                    </pic:cNvPicPr>
                  </pic:nvPicPr>
                  <pic:blipFill>
                    <a:blip r:embed="rId60"/>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30" name="图片 30" descr="润景水业合同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润景水业合同_07"/>
                    <pic:cNvPicPr>
                      <a:picLocks noChangeAspect="1"/>
                    </pic:cNvPicPr>
                  </pic:nvPicPr>
                  <pic:blipFill>
                    <a:blip r:embed="rId61"/>
                    <a:stretch>
                      <a:fillRect/>
                    </a:stretch>
                  </pic:blipFill>
                  <pic:spPr>
                    <a:xfrm>
                      <a:off x="0" y="0"/>
                      <a:ext cx="5268595" cy="7454900"/>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31" name="图片 31" descr="润景水业合同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润景水业合同_08"/>
                    <pic:cNvPicPr>
                      <a:picLocks noChangeAspect="1"/>
                    </pic:cNvPicPr>
                  </pic:nvPicPr>
                  <pic:blipFill>
                    <a:blip r:embed="rId62"/>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32" name="图片 32" descr="润景水业合同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润景水业合同_09"/>
                    <pic:cNvPicPr>
                      <a:picLocks noChangeAspect="1"/>
                    </pic:cNvPicPr>
                  </pic:nvPicPr>
                  <pic:blipFill>
                    <a:blip r:embed="rId63"/>
                    <a:stretch>
                      <a:fillRect/>
                    </a:stretch>
                  </pic:blipFill>
                  <pic:spPr>
                    <a:xfrm>
                      <a:off x="0" y="0"/>
                      <a:ext cx="5268595" cy="7454900"/>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33" name="图片 33" descr="润景水业合同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润景水业合同_10"/>
                    <pic:cNvPicPr>
                      <a:picLocks noChangeAspect="1"/>
                    </pic:cNvPicPr>
                  </pic:nvPicPr>
                  <pic:blipFill>
                    <a:blip r:embed="rId64"/>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34" name="图片 34" descr="润景水业合同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润景水业合同_11"/>
                    <pic:cNvPicPr>
                      <a:picLocks noChangeAspect="1"/>
                    </pic:cNvPicPr>
                  </pic:nvPicPr>
                  <pic:blipFill>
                    <a:blip r:embed="rId65"/>
                    <a:stretch>
                      <a:fillRect/>
                    </a:stretch>
                  </pic:blipFill>
                  <pic:spPr>
                    <a:xfrm>
                      <a:off x="0" y="0"/>
                      <a:ext cx="5268595" cy="7454900"/>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35" name="图片 35" descr="润景水业合同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润景水业合同_12"/>
                    <pic:cNvPicPr>
                      <a:picLocks noChangeAspect="1"/>
                    </pic:cNvPicPr>
                  </pic:nvPicPr>
                  <pic:blipFill>
                    <a:blip r:embed="rId66"/>
                    <a:stretch>
                      <a:fillRect/>
                    </a:stretch>
                  </pic:blipFill>
                  <pic:spPr>
                    <a:xfrm>
                      <a:off x="0" y="0"/>
                      <a:ext cx="5263515" cy="7444105"/>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36" name="图片 36" descr="润景水业合同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润景水业合同_13"/>
                    <pic:cNvPicPr>
                      <a:picLocks noChangeAspect="1"/>
                    </pic:cNvPicPr>
                  </pic:nvPicPr>
                  <pic:blipFill>
                    <a:blip r:embed="rId67"/>
                    <a:stretch>
                      <a:fillRect/>
                    </a:stretch>
                  </pic:blipFill>
                  <pic:spPr>
                    <a:xfrm>
                      <a:off x="0" y="0"/>
                      <a:ext cx="5263515" cy="7444105"/>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37" name="图片 37" descr="润景水业合同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润景水业合同_14"/>
                    <pic:cNvPicPr>
                      <a:picLocks noChangeAspect="1"/>
                    </pic:cNvPicPr>
                  </pic:nvPicPr>
                  <pic:blipFill>
                    <a:blip r:embed="rId68"/>
                    <a:stretch>
                      <a:fillRect/>
                    </a:stretch>
                  </pic:blipFill>
                  <pic:spPr>
                    <a:xfrm>
                      <a:off x="0" y="0"/>
                      <a:ext cx="526351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38" name="图片 38" descr="润景水业合同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润景水业合同_15"/>
                    <pic:cNvPicPr>
                      <a:picLocks noChangeAspect="1"/>
                    </pic:cNvPicPr>
                  </pic:nvPicPr>
                  <pic:blipFill>
                    <a:blip r:embed="rId69"/>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3515" cy="7444105"/>
            <wp:effectExtent l="9525" t="9525" r="22860" b="13970"/>
            <wp:docPr id="40" name="图片 40" descr="润景水业合同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润景水业合同_16"/>
                    <pic:cNvPicPr>
                      <a:picLocks noChangeAspect="1"/>
                    </pic:cNvPicPr>
                  </pic:nvPicPr>
                  <pic:blipFill>
                    <a:blip r:embed="rId70"/>
                    <a:stretch>
                      <a:fillRect/>
                    </a:stretch>
                  </pic:blipFill>
                  <pic:spPr>
                    <a:xfrm>
                      <a:off x="0" y="0"/>
                      <a:ext cx="526351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41" name="图片 41" descr="润景水业合同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润景水业合同_17"/>
                    <pic:cNvPicPr>
                      <a:picLocks noChangeAspect="1"/>
                    </pic:cNvPicPr>
                  </pic:nvPicPr>
                  <pic:blipFill>
                    <a:blip r:embed="rId71"/>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42" name="图片 42" descr="润景水业合同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润景水业合同_18"/>
                    <pic:cNvPicPr>
                      <a:picLocks noChangeAspect="1"/>
                    </pic:cNvPicPr>
                  </pic:nvPicPr>
                  <pic:blipFill>
                    <a:blip r:embed="rId72"/>
                    <a:stretch>
                      <a:fillRect/>
                    </a:stretch>
                  </pic:blipFill>
                  <pic:spPr>
                    <a:xfrm>
                      <a:off x="0" y="0"/>
                      <a:ext cx="5268595" cy="7454900"/>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43" name="图片 43" descr="润景水业合同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润景水业合同_19"/>
                    <pic:cNvPicPr>
                      <a:picLocks noChangeAspect="1"/>
                    </pic:cNvPicPr>
                  </pic:nvPicPr>
                  <pic:blipFill>
                    <a:blip r:embed="rId73"/>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5420" cy="7449820"/>
            <wp:effectExtent l="9525" t="9525" r="20955" b="27305"/>
            <wp:docPr id="44" name="图片 44" descr="润景水业合同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润景水业合同_20"/>
                    <pic:cNvPicPr>
                      <a:picLocks noChangeAspect="1"/>
                    </pic:cNvPicPr>
                  </pic:nvPicPr>
                  <pic:blipFill>
                    <a:blip r:embed="rId74"/>
                    <a:stretch>
                      <a:fillRect/>
                    </a:stretch>
                  </pic:blipFill>
                  <pic:spPr>
                    <a:xfrm>
                      <a:off x="0" y="0"/>
                      <a:ext cx="5265420" cy="7449820"/>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45" name="图片 45" descr="润景水业合同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润景水业合同_21"/>
                    <pic:cNvPicPr>
                      <a:picLocks noChangeAspect="1"/>
                    </pic:cNvPicPr>
                  </pic:nvPicPr>
                  <pic:blipFill>
                    <a:blip r:embed="rId75"/>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44105"/>
            <wp:effectExtent l="9525" t="9525" r="17780" b="13970"/>
            <wp:docPr id="46" name="图片 46" descr="润景水业合同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润景水业合同_22"/>
                    <pic:cNvPicPr>
                      <a:picLocks noChangeAspect="1"/>
                    </pic:cNvPicPr>
                  </pic:nvPicPr>
                  <pic:blipFill>
                    <a:blip r:embed="rId76"/>
                    <a:stretch>
                      <a:fillRect/>
                    </a:stretch>
                  </pic:blipFill>
                  <pic:spPr>
                    <a:xfrm>
                      <a:off x="0" y="0"/>
                      <a:ext cx="526859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44105"/>
            <wp:effectExtent l="9525" t="9525" r="17780" b="13970"/>
            <wp:docPr id="47" name="图片 47" descr="润景水业合同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润景水业合同_23"/>
                    <pic:cNvPicPr>
                      <a:picLocks noChangeAspect="1"/>
                    </pic:cNvPicPr>
                  </pic:nvPicPr>
                  <pic:blipFill>
                    <a:blip r:embed="rId77"/>
                    <a:stretch>
                      <a:fillRect/>
                    </a:stretch>
                  </pic:blipFill>
                  <pic:spPr>
                    <a:xfrm>
                      <a:off x="0" y="0"/>
                      <a:ext cx="5268595" cy="7444105"/>
                    </a:xfrm>
                    <a:prstGeom prst="rect">
                      <a:avLst/>
                    </a:prstGeom>
                    <a:ln>
                      <a:solidFill>
                        <a:schemeClr val="tx1"/>
                      </a:solidFill>
                    </a:ln>
                  </pic:spPr>
                </pic:pic>
              </a:graphicData>
            </a:graphic>
          </wp:inline>
        </w:drawing>
      </w:r>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8595" cy="7454900"/>
            <wp:effectExtent l="9525" t="9525" r="17780" b="22225"/>
            <wp:docPr id="48" name="图片 48" descr="润景水业合同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润景水业合同_24"/>
                    <pic:cNvPicPr>
                      <a:picLocks noChangeAspect="1"/>
                    </pic:cNvPicPr>
                  </pic:nvPicPr>
                  <pic:blipFill>
                    <a:blip r:embed="rId78"/>
                    <a:stretch>
                      <a:fillRect/>
                    </a:stretch>
                  </pic:blipFill>
                  <pic:spPr>
                    <a:xfrm>
                      <a:off x="0" y="0"/>
                      <a:ext cx="5268595" cy="745490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59070" cy="3716655"/>
            <wp:effectExtent l="9525" t="9525" r="27305" b="26670"/>
            <wp:docPr id="49" name="图片 49" descr="润景水业合同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润景水业合同_25"/>
                    <pic:cNvPicPr>
                      <a:picLocks noChangeAspect="1"/>
                    </pic:cNvPicPr>
                  </pic:nvPicPr>
                  <pic:blipFill>
                    <a:blip r:embed="rId79"/>
                    <a:stretch>
                      <a:fillRect/>
                    </a:stretch>
                  </pic:blipFill>
                  <pic:spPr>
                    <a:xfrm>
                      <a:off x="0" y="0"/>
                      <a:ext cx="5259070" cy="3716655"/>
                    </a:xfrm>
                    <a:prstGeom prst="rect">
                      <a:avLst/>
                    </a:prstGeom>
                    <a:ln>
                      <a:solidFill>
                        <a:schemeClr val="tx1"/>
                      </a:solidFill>
                    </a:ln>
                  </pic:spPr>
                </pic:pic>
              </a:graphicData>
            </a:graphic>
          </wp:inline>
        </w:drawing>
      </w:r>
    </w:p>
    <w:p>
      <w:pPr>
        <w:pStyle w:val="59"/>
        <w:numPr>
          <w:ilvl w:val="0"/>
          <w:numId w:val="0"/>
        </w:numPr>
        <w:spacing w:line="240" w:lineRule="auto"/>
      </w:pPr>
      <w:bookmarkStart w:id="104" w:name="_Toc30685"/>
      <w:bookmarkStart w:id="105" w:name="_Toc13561"/>
      <w:bookmarkStart w:id="106" w:name="_Toc19995"/>
      <w:bookmarkStart w:id="107" w:name="_Toc17115"/>
      <w:r>
        <w:rPr>
          <w:rFonts w:hint="eastAsia"/>
        </w:rPr>
        <w:t>附件</w:t>
      </w:r>
      <w:r>
        <w:rPr>
          <w:rFonts w:hint="eastAsia"/>
          <w:lang w:val="en-US" w:eastAsia="zh-CN"/>
        </w:rPr>
        <w:t>4</w:t>
      </w:r>
      <w:r>
        <w:rPr>
          <w:rFonts w:hint="eastAsia"/>
        </w:rPr>
        <w:t xml:space="preserve"> 企业投资项目备案证明</w:t>
      </w:r>
      <w:bookmarkEnd w:id="104"/>
      <w:bookmarkEnd w:id="105"/>
      <w:bookmarkEnd w:id="106"/>
      <w:bookmarkEnd w:id="107"/>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6690" cy="7444105"/>
            <wp:effectExtent l="9525" t="9525" r="19685" b="13970"/>
            <wp:docPr id="50" name="图片 50" descr="企业投资项目备案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企业投资项目备案证明_00"/>
                    <pic:cNvPicPr>
                      <a:picLocks noChangeAspect="1"/>
                    </pic:cNvPicPr>
                  </pic:nvPicPr>
                  <pic:blipFill>
                    <a:blip r:embed="rId80"/>
                    <a:stretch>
                      <a:fillRect/>
                    </a:stretch>
                  </pic:blipFill>
                  <pic:spPr>
                    <a:xfrm>
                      <a:off x="0" y="0"/>
                      <a:ext cx="5266690" cy="7444105"/>
                    </a:xfrm>
                    <a:prstGeom prst="rect">
                      <a:avLst/>
                    </a:prstGeom>
                    <a:ln>
                      <a:solidFill>
                        <a:schemeClr val="tx1"/>
                      </a:solidFill>
                    </a:ln>
                  </pic:spPr>
                </pic:pic>
              </a:graphicData>
            </a:graphic>
          </wp:inline>
        </w:drawing>
      </w:r>
    </w:p>
    <w:p>
      <w:pPr>
        <w:pStyle w:val="3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266690" cy="7444105"/>
            <wp:effectExtent l="9525" t="9525" r="19685" b="13970"/>
            <wp:docPr id="51" name="图片 51" descr="企业投资项目备案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企业投资项目备案证明_01"/>
                    <pic:cNvPicPr>
                      <a:picLocks noChangeAspect="1"/>
                    </pic:cNvPicPr>
                  </pic:nvPicPr>
                  <pic:blipFill>
                    <a:blip r:embed="rId81"/>
                    <a:stretch>
                      <a:fillRect/>
                    </a:stretch>
                  </pic:blipFill>
                  <pic:spPr>
                    <a:xfrm>
                      <a:off x="0" y="0"/>
                      <a:ext cx="5266690" cy="7444105"/>
                    </a:xfrm>
                    <a:prstGeom prst="rect">
                      <a:avLst/>
                    </a:prstGeom>
                    <a:ln>
                      <a:solidFill>
                        <a:schemeClr val="tx1"/>
                      </a:solidFill>
                    </a:ln>
                  </pic:spPr>
                </pic:pic>
              </a:graphicData>
            </a:graphic>
          </wp:inline>
        </w:drawing>
      </w:r>
    </w:p>
    <w:p>
      <w:pPr>
        <w:pStyle w:val="59"/>
        <w:numPr>
          <w:ilvl w:val="0"/>
          <w:numId w:val="0"/>
        </w:numPr>
        <w:spacing w:line="240" w:lineRule="auto"/>
      </w:pPr>
      <w:bookmarkStart w:id="108" w:name="_Toc32507"/>
      <w:bookmarkStart w:id="109" w:name="_Toc23023"/>
      <w:bookmarkStart w:id="110" w:name="_Toc30812"/>
      <w:bookmarkStart w:id="111" w:name="_Toc2362"/>
      <w:r>
        <w:rPr>
          <w:rFonts w:hint="eastAsia"/>
        </w:rPr>
        <w:t>附件</w:t>
      </w:r>
      <w:r>
        <w:rPr>
          <w:rFonts w:hint="eastAsia"/>
          <w:lang w:val="en-US" w:eastAsia="zh-CN"/>
        </w:rPr>
        <w:t>5</w:t>
      </w:r>
      <w:r>
        <w:rPr>
          <w:rFonts w:hint="eastAsia"/>
        </w:rPr>
        <w:t xml:space="preserve"> 建设用地规划许可证</w:t>
      </w:r>
      <w:bookmarkEnd w:id="108"/>
      <w:bookmarkEnd w:id="109"/>
      <w:bookmarkEnd w:id="110"/>
      <w:bookmarkEnd w:id="111"/>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7654290" cy="5348605"/>
            <wp:effectExtent l="9525" t="9525" r="13970" b="13335"/>
            <wp:docPr id="52" name="图片 52" descr="建设用地规划许可 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建设用地规划许可 证_00"/>
                    <pic:cNvPicPr>
                      <a:picLocks noChangeAspect="1"/>
                    </pic:cNvPicPr>
                  </pic:nvPicPr>
                  <pic:blipFill>
                    <a:blip r:embed="rId82"/>
                    <a:stretch>
                      <a:fillRect/>
                    </a:stretch>
                  </pic:blipFill>
                  <pic:spPr>
                    <a:xfrm rot="5400000">
                      <a:off x="0" y="0"/>
                      <a:ext cx="7654290" cy="5348605"/>
                    </a:xfrm>
                    <a:prstGeom prst="rect">
                      <a:avLst/>
                    </a:prstGeom>
                    <a:ln>
                      <a:solidFill>
                        <a:schemeClr val="tx1"/>
                      </a:solidFill>
                    </a:ln>
                  </pic:spPr>
                </pic:pic>
              </a:graphicData>
            </a:graphic>
          </wp:inline>
        </w:drawing>
      </w:r>
    </w:p>
    <w:p>
      <w:pPr>
        <w:pStyle w:val="59"/>
        <w:numPr>
          <w:ilvl w:val="0"/>
          <w:numId w:val="0"/>
        </w:numPr>
        <w:spacing w:line="240" w:lineRule="auto"/>
      </w:pPr>
      <w:bookmarkStart w:id="112" w:name="_Toc14602"/>
      <w:bookmarkStart w:id="113" w:name="_Toc15787"/>
      <w:bookmarkStart w:id="114" w:name="_Toc11849"/>
      <w:bookmarkStart w:id="115" w:name="_Toc28875"/>
      <w:r>
        <w:rPr>
          <w:rFonts w:hint="eastAsia"/>
        </w:rPr>
        <w:t>附件</w:t>
      </w:r>
      <w:r>
        <w:rPr>
          <w:rFonts w:hint="eastAsia"/>
          <w:lang w:val="en-US" w:eastAsia="zh-CN"/>
        </w:rPr>
        <w:t>6</w:t>
      </w:r>
      <w:r>
        <w:rPr>
          <w:rFonts w:hint="eastAsia"/>
        </w:rPr>
        <w:t xml:space="preserve">  关于对《湖南润景景田饮用水生产建设项目水土保持方案报告书》的批复</w:t>
      </w:r>
      <w:bookmarkEnd w:id="112"/>
      <w:bookmarkEnd w:id="113"/>
      <w:bookmarkEnd w:id="114"/>
      <w:bookmarkEnd w:id="115"/>
    </w:p>
    <w:p>
      <w:pPr>
        <w:pStyle w:val="1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4949825" cy="7178040"/>
            <wp:effectExtent l="9525" t="9525" r="12700" b="13335"/>
            <wp:docPr id="53" name="图片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
                    <pic:cNvPicPr>
                      <a:picLocks noChangeAspect="1"/>
                    </pic:cNvPicPr>
                  </pic:nvPicPr>
                  <pic:blipFill>
                    <a:blip r:embed="rId83"/>
                    <a:srcRect t="7023" b="11389"/>
                    <a:stretch>
                      <a:fillRect/>
                    </a:stretch>
                  </pic:blipFill>
                  <pic:spPr>
                    <a:xfrm>
                      <a:off x="0" y="0"/>
                      <a:ext cx="4949825" cy="7178040"/>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170170" cy="8007985"/>
            <wp:effectExtent l="9525" t="9525" r="20955" b="21590"/>
            <wp:docPr id="54" name="图片 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
                    <pic:cNvPicPr>
                      <a:picLocks noChangeAspect="1"/>
                    </pic:cNvPicPr>
                  </pic:nvPicPr>
                  <pic:blipFill>
                    <a:blip r:embed="rId84"/>
                    <a:srcRect t="6406" b="6442"/>
                    <a:stretch>
                      <a:fillRect/>
                    </a:stretch>
                  </pic:blipFill>
                  <pic:spPr>
                    <a:xfrm>
                      <a:off x="0" y="0"/>
                      <a:ext cx="5170170" cy="8007985"/>
                    </a:xfrm>
                    <a:prstGeom prst="rect">
                      <a:avLst/>
                    </a:prstGeom>
                    <a:ln>
                      <a:solidFill>
                        <a:schemeClr val="tx1"/>
                      </a:solidFill>
                    </a:ln>
                  </pic:spPr>
                </pic:pic>
              </a:graphicData>
            </a:graphic>
          </wp:inline>
        </w:drawing>
      </w:r>
    </w:p>
    <w:p>
      <w:pPr>
        <w:pStyle w:val="38"/>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105400" cy="7808595"/>
            <wp:effectExtent l="9525" t="9525" r="9525" b="11430"/>
            <wp:docPr id="55" name="图片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3"/>
                    <pic:cNvPicPr>
                      <a:picLocks noChangeAspect="1"/>
                    </pic:cNvPicPr>
                  </pic:nvPicPr>
                  <pic:blipFill>
                    <a:blip r:embed="rId85"/>
                    <a:srcRect t="7097" b="6953"/>
                    <a:stretch>
                      <a:fillRect/>
                    </a:stretch>
                  </pic:blipFill>
                  <pic:spPr>
                    <a:xfrm>
                      <a:off x="0" y="0"/>
                      <a:ext cx="5105400" cy="7808595"/>
                    </a:xfrm>
                    <a:prstGeom prst="rect">
                      <a:avLst/>
                    </a:prstGeom>
                    <a:ln>
                      <a:solidFill>
                        <a:schemeClr val="tx1"/>
                      </a:solidFill>
                    </a:ln>
                  </pic:spPr>
                </pic:pic>
              </a:graphicData>
            </a:graphic>
          </wp:inline>
        </w:drawing>
      </w:r>
    </w:p>
    <w:p>
      <w:pPr>
        <w:ind w:left="0" w:leftChars="0" w:firstLine="0" w:firstLineChars="0"/>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drawing>
          <wp:inline distT="0" distB="0" distL="114300" distR="114300">
            <wp:extent cx="5399405" cy="7889240"/>
            <wp:effectExtent l="9525" t="9525" r="20320" b="26035"/>
            <wp:docPr id="56" name="图片 5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4"/>
                    <pic:cNvPicPr>
                      <a:picLocks noChangeAspect="1"/>
                    </pic:cNvPicPr>
                  </pic:nvPicPr>
                  <pic:blipFill>
                    <a:blip r:embed="rId86"/>
                    <a:srcRect t="7478" b="10340"/>
                    <a:stretch>
                      <a:fillRect/>
                    </a:stretch>
                  </pic:blipFill>
                  <pic:spPr>
                    <a:xfrm>
                      <a:off x="0" y="0"/>
                      <a:ext cx="5399405" cy="7889240"/>
                    </a:xfrm>
                    <a:prstGeom prst="rect">
                      <a:avLst/>
                    </a:prstGeom>
                    <a:ln>
                      <a:solidFill>
                        <a:schemeClr val="tx1"/>
                      </a:solidFill>
                    </a:ln>
                  </pic:spPr>
                </pic:pic>
              </a:graphicData>
            </a:graphic>
          </wp:inline>
        </w:drawing>
      </w:r>
    </w:p>
    <w:p>
      <w:pPr>
        <w:pStyle w:val="59"/>
        <w:numPr>
          <w:ilvl w:val="0"/>
          <w:numId w:val="0"/>
        </w:numPr>
        <w:spacing w:line="360" w:lineRule="auto"/>
        <w:rPr>
          <w:rFonts w:hint="eastAsia"/>
          <w:lang w:val="en-US" w:eastAsia="zh-CN"/>
        </w:rPr>
      </w:pPr>
      <w:bookmarkStart w:id="116" w:name="_Toc24522"/>
      <w:bookmarkStart w:id="117" w:name="_Toc19644"/>
      <w:bookmarkStart w:id="118" w:name="_Toc7077"/>
      <w:bookmarkStart w:id="119" w:name="_Toc31960"/>
      <w:r>
        <w:rPr>
          <w:rFonts w:hint="eastAsia"/>
        </w:rPr>
        <w:t>附件</w:t>
      </w:r>
      <w:r>
        <w:rPr>
          <w:rFonts w:hint="eastAsia"/>
          <w:lang w:val="en-US" w:eastAsia="zh-CN"/>
        </w:rPr>
        <w:t>7</w:t>
      </w:r>
      <w:r>
        <w:rPr>
          <w:rFonts w:hint="eastAsia"/>
        </w:rPr>
        <w:t xml:space="preserve">  </w:t>
      </w:r>
      <w:r>
        <w:rPr>
          <w:rFonts w:hint="eastAsia"/>
          <w:lang w:val="en-US" w:eastAsia="zh-CN"/>
        </w:rPr>
        <w:t>桃江县水利局关于湖南润景水业（桃江）有限公司取水申请的批复</w:t>
      </w:r>
      <w:bookmarkEnd w:id="116"/>
      <w:bookmarkEnd w:id="117"/>
      <w:bookmarkEnd w:id="118"/>
      <w:bookmarkEnd w:id="119"/>
    </w:p>
    <w:p>
      <w:pPr>
        <w:pStyle w:val="18"/>
        <w:ind w:left="0" w:leftChars="0" w:firstLine="0" w:firstLineChars="0"/>
        <w:rPr>
          <w:rFonts w:hint="default"/>
          <w:lang w:val="en-US"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default"/>
          <w:lang w:val="en-US" w:eastAsia="zh-CN"/>
        </w:rPr>
        <w:drawing>
          <wp:inline distT="0" distB="0" distL="114300" distR="114300">
            <wp:extent cx="5265420" cy="7446010"/>
            <wp:effectExtent l="9525" t="9525" r="20955" b="12065"/>
            <wp:docPr id="67" name="图片 67" descr="取水申请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取水申请的批复_00"/>
                    <pic:cNvPicPr>
                      <a:picLocks noChangeAspect="1"/>
                    </pic:cNvPicPr>
                  </pic:nvPicPr>
                  <pic:blipFill>
                    <a:blip r:embed="rId87"/>
                    <a:stretch>
                      <a:fillRect/>
                    </a:stretch>
                  </pic:blipFill>
                  <pic:spPr>
                    <a:xfrm>
                      <a:off x="0" y="0"/>
                      <a:ext cx="5265420" cy="7446010"/>
                    </a:xfrm>
                    <a:prstGeom prst="rect">
                      <a:avLst/>
                    </a:prstGeom>
                    <a:ln>
                      <a:solidFill>
                        <a:schemeClr val="tx1"/>
                      </a:solidFill>
                    </a:ln>
                  </pic:spPr>
                </pic:pic>
              </a:graphicData>
            </a:graphic>
          </wp:inline>
        </w:drawing>
      </w:r>
    </w:p>
    <w:p>
      <w:pPr>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265420" cy="7446010"/>
            <wp:effectExtent l="9525" t="9525" r="20955" b="12065"/>
            <wp:docPr id="68" name="图片 68" descr="取水申请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取水申请的批复_01"/>
                    <pic:cNvPicPr>
                      <a:picLocks noChangeAspect="1"/>
                    </pic:cNvPicPr>
                  </pic:nvPicPr>
                  <pic:blipFill>
                    <a:blip r:embed="rId88"/>
                    <a:stretch>
                      <a:fillRect/>
                    </a:stretch>
                  </pic:blipFill>
                  <pic:spPr>
                    <a:xfrm>
                      <a:off x="0" y="0"/>
                      <a:ext cx="5265420" cy="7446010"/>
                    </a:xfrm>
                    <a:prstGeom prst="rect">
                      <a:avLst/>
                    </a:prstGeom>
                    <a:ln>
                      <a:solidFill>
                        <a:schemeClr val="tx1"/>
                      </a:solidFill>
                    </a:ln>
                  </pic:spPr>
                </pic:pic>
              </a:graphicData>
            </a:graphic>
          </wp:inline>
        </w:drawing>
      </w:r>
    </w:p>
    <w:p>
      <w:pPr>
        <w:pStyle w:val="59"/>
        <w:numPr>
          <w:ilvl w:val="0"/>
          <w:numId w:val="0"/>
        </w:numPr>
        <w:spacing w:line="360" w:lineRule="auto"/>
      </w:pPr>
      <w:bookmarkStart w:id="120" w:name="_Toc15476"/>
      <w:bookmarkStart w:id="121" w:name="_Toc27966"/>
      <w:bookmarkStart w:id="122" w:name="_Toc16641"/>
      <w:bookmarkStart w:id="123" w:name="_Toc27050"/>
      <w:r>
        <w:rPr>
          <w:rFonts w:hint="eastAsia"/>
        </w:rPr>
        <w:t>附件</w:t>
      </w:r>
      <w:r>
        <w:rPr>
          <w:rFonts w:hint="eastAsia"/>
          <w:lang w:val="en-US" w:eastAsia="zh-CN"/>
        </w:rPr>
        <w:t>8</w:t>
      </w:r>
      <w:r>
        <w:rPr>
          <w:rFonts w:hint="eastAsia"/>
        </w:rPr>
        <w:t xml:space="preserve">  环境质量检测报告</w:t>
      </w:r>
      <w:bookmarkEnd w:id="120"/>
      <w:bookmarkEnd w:id="121"/>
      <w:bookmarkEnd w:id="122"/>
      <w:bookmarkEnd w:id="123"/>
    </w:p>
    <w:p>
      <w:pPr>
        <w:pStyle w:val="18"/>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549265" cy="7844155"/>
            <wp:effectExtent l="9525" t="9525" r="22860" b="13970"/>
            <wp:docPr id="95" name="图片 95" descr="B03135 湖南润景水业（桃江）有限公司入河排污口设置论证报告 (2)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B03135 湖南润景水业（桃江）有限公司入河排污口设置论证报告 (2)_页面_1"/>
                    <pic:cNvPicPr>
                      <a:picLocks noChangeAspect="1"/>
                    </pic:cNvPicPr>
                  </pic:nvPicPr>
                  <pic:blipFill>
                    <a:blip r:embed="rId89"/>
                    <a:stretch>
                      <a:fillRect/>
                    </a:stretch>
                  </pic:blipFill>
                  <pic:spPr>
                    <a:xfrm>
                      <a:off x="0" y="0"/>
                      <a:ext cx="5549265" cy="7844155"/>
                    </a:xfrm>
                    <a:prstGeom prst="rect">
                      <a:avLst/>
                    </a:prstGeom>
                    <a:ln>
                      <a:solidFill>
                        <a:schemeClr val="tx1"/>
                      </a:solidFill>
                    </a:ln>
                  </pic:spPr>
                </pic:pic>
              </a:graphicData>
            </a:graphic>
          </wp:inline>
        </w:drawing>
      </w:r>
    </w:p>
    <w:p>
      <w:pPr>
        <w:pStyle w:val="38"/>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436870" cy="7684770"/>
            <wp:effectExtent l="9525" t="9525" r="20955" b="20955"/>
            <wp:docPr id="96" name="图片 96" descr="B03135 湖南润景水业（桃江）有限公司入河排污口设置论证报告 (2)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B03135 湖南润景水业（桃江）有限公司入河排污口设置论证报告 (2)_页面_2"/>
                    <pic:cNvPicPr>
                      <a:picLocks noChangeAspect="1"/>
                    </pic:cNvPicPr>
                  </pic:nvPicPr>
                  <pic:blipFill>
                    <a:blip r:embed="rId90"/>
                    <a:stretch>
                      <a:fillRect/>
                    </a:stretch>
                  </pic:blipFill>
                  <pic:spPr>
                    <a:xfrm>
                      <a:off x="0" y="0"/>
                      <a:ext cx="5436870" cy="7684770"/>
                    </a:xfrm>
                    <a:prstGeom prst="rect">
                      <a:avLst/>
                    </a:prstGeom>
                    <a:ln>
                      <a:solidFill>
                        <a:schemeClr val="tx1"/>
                      </a:solidFill>
                    </a:ln>
                  </pic:spPr>
                </pic:pic>
              </a:graphicData>
            </a:graphic>
          </wp:inline>
        </w:drawing>
      </w:r>
    </w:p>
    <w:p>
      <w:pPr>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263515" cy="7439660"/>
            <wp:effectExtent l="9525" t="9525" r="22860" b="18415"/>
            <wp:docPr id="97" name="图片 97" descr="B03135 湖南润景水业（桃江）有限公司入河排污口设置论证报告 (2)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B03135 湖南润景水业（桃江）有限公司入河排污口设置论证报告 (2)_页面_3"/>
                    <pic:cNvPicPr>
                      <a:picLocks noChangeAspect="1"/>
                    </pic:cNvPicPr>
                  </pic:nvPicPr>
                  <pic:blipFill>
                    <a:blip r:embed="rId91"/>
                    <a:stretch>
                      <a:fillRect/>
                    </a:stretch>
                  </pic:blipFill>
                  <pic:spPr>
                    <a:xfrm>
                      <a:off x="0" y="0"/>
                      <a:ext cx="5263515" cy="7439660"/>
                    </a:xfrm>
                    <a:prstGeom prst="rect">
                      <a:avLst/>
                    </a:prstGeom>
                    <a:ln>
                      <a:solidFill>
                        <a:schemeClr val="tx1"/>
                      </a:solidFill>
                    </a:ln>
                  </pic:spPr>
                </pic:pic>
              </a:graphicData>
            </a:graphic>
          </wp:inline>
        </w:drawing>
      </w:r>
    </w:p>
    <w:p>
      <w:pPr>
        <w:pStyle w:val="38"/>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263515" cy="7439660"/>
            <wp:effectExtent l="9525" t="9525" r="22860" b="18415"/>
            <wp:docPr id="98" name="图片 98" descr="B03135 湖南润景水业（桃江）有限公司入河排污口设置论证报告 (2)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B03135 湖南润景水业（桃江）有限公司入河排污口设置论证报告 (2)_页面_4"/>
                    <pic:cNvPicPr>
                      <a:picLocks noChangeAspect="1"/>
                    </pic:cNvPicPr>
                  </pic:nvPicPr>
                  <pic:blipFill>
                    <a:blip r:embed="rId92"/>
                    <a:stretch>
                      <a:fillRect/>
                    </a:stretch>
                  </pic:blipFill>
                  <pic:spPr>
                    <a:xfrm>
                      <a:off x="0" y="0"/>
                      <a:ext cx="5263515" cy="7439660"/>
                    </a:xfrm>
                    <a:prstGeom prst="rect">
                      <a:avLst/>
                    </a:prstGeom>
                    <a:ln>
                      <a:solidFill>
                        <a:schemeClr val="tx1"/>
                      </a:solidFill>
                    </a:ln>
                  </pic:spPr>
                </pic:pic>
              </a:graphicData>
            </a:graphic>
          </wp:inline>
        </w:drawing>
      </w:r>
    </w:p>
    <w:p>
      <w:pPr>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263515" cy="7439660"/>
            <wp:effectExtent l="9525" t="9525" r="22860" b="18415"/>
            <wp:docPr id="99" name="图片 99" descr="B03135 湖南润景水业（桃江）有限公司入河排污口设置论证报告 (2)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B03135 湖南润景水业（桃江）有限公司入河排污口设置论证报告 (2)_页面_5"/>
                    <pic:cNvPicPr>
                      <a:picLocks noChangeAspect="1"/>
                    </pic:cNvPicPr>
                  </pic:nvPicPr>
                  <pic:blipFill>
                    <a:blip r:embed="rId93"/>
                    <a:stretch>
                      <a:fillRect/>
                    </a:stretch>
                  </pic:blipFill>
                  <pic:spPr>
                    <a:xfrm>
                      <a:off x="0" y="0"/>
                      <a:ext cx="5263515" cy="7439660"/>
                    </a:xfrm>
                    <a:prstGeom prst="rect">
                      <a:avLst/>
                    </a:prstGeom>
                    <a:ln>
                      <a:solidFill>
                        <a:schemeClr val="tx1"/>
                      </a:solidFill>
                    </a:ln>
                  </pic:spPr>
                </pic:pic>
              </a:graphicData>
            </a:graphic>
          </wp:inline>
        </w:drawing>
      </w:r>
    </w:p>
    <w:p>
      <w:pPr>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263515" cy="7439660"/>
            <wp:effectExtent l="9525" t="9525" r="22860" b="18415"/>
            <wp:docPr id="100" name="图片 100" descr="B03135 湖南润景水业（桃江）有限公司入河排污口设置论证报告 (2)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B03135 湖南润景水业（桃江）有限公司入河排污口设置论证报告 (2)_页面_6"/>
                    <pic:cNvPicPr>
                      <a:picLocks noChangeAspect="1"/>
                    </pic:cNvPicPr>
                  </pic:nvPicPr>
                  <pic:blipFill>
                    <a:blip r:embed="rId94"/>
                    <a:stretch>
                      <a:fillRect/>
                    </a:stretch>
                  </pic:blipFill>
                  <pic:spPr>
                    <a:xfrm>
                      <a:off x="0" y="0"/>
                      <a:ext cx="5263515" cy="7439660"/>
                    </a:xfrm>
                    <a:prstGeom prst="rect">
                      <a:avLst/>
                    </a:prstGeom>
                    <a:ln>
                      <a:solidFill>
                        <a:schemeClr val="tx1"/>
                      </a:solidFill>
                    </a:ln>
                  </pic:spPr>
                </pic:pic>
              </a:graphicData>
            </a:graphic>
          </wp:inline>
        </w:drawing>
      </w:r>
    </w:p>
    <w:p>
      <w:pPr>
        <w:pStyle w:val="38"/>
        <w:ind w:left="0" w:leftChars="0" w:firstLine="0" w:firstLineChars="0"/>
        <w:rPr>
          <w:rFonts w:hint="eastAsia" w:eastAsia="宋体"/>
          <w:lang w:eastAsia="zh-CN"/>
        </w:rPr>
        <w:sectPr>
          <w:pgSz w:w="11905" w:h="16838"/>
          <w:pgMar w:top="1440" w:right="1803" w:bottom="1440" w:left="1803" w:header="850" w:footer="1077" w:gutter="0"/>
          <w:pgBorders>
            <w:top w:val="none" w:sz="0" w:space="0"/>
            <w:left w:val="none" w:sz="0" w:space="0"/>
            <w:bottom w:val="none" w:sz="0" w:space="0"/>
            <w:right w:val="none" w:sz="0" w:space="0"/>
          </w:pgBorders>
          <w:cols w:space="0" w:num="1"/>
          <w:docGrid w:linePitch="335" w:charSpace="0"/>
        </w:sectPr>
      </w:pPr>
      <w:r>
        <w:rPr>
          <w:rFonts w:hint="eastAsia" w:eastAsia="宋体"/>
          <w:lang w:eastAsia="zh-CN"/>
        </w:rPr>
        <w:drawing>
          <wp:inline distT="0" distB="0" distL="114300" distR="114300">
            <wp:extent cx="5263515" cy="7439660"/>
            <wp:effectExtent l="9525" t="9525" r="22860" b="18415"/>
            <wp:docPr id="101" name="图片 101" descr="B03135 湖南润景水业（桃江）有限公司入河排污口设置论证报告 (2)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B03135 湖南润景水业（桃江）有限公司入河排污口设置论证报告 (2)_页面_7"/>
                    <pic:cNvPicPr>
                      <a:picLocks noChangeAspect="1"/>
                    </pic:cNvPicPr>
                  </pic:nvPicPr>
                  <pic:blipFill>
                    <a:blip r:embed="rId95"/>
                    <a:stretch>
                      <a:fillRect/>
                    </a:stretch>
                  </pic:blipFill>
                  <pic:spPr>
                    <a:xfrm>
                      <a:off x="0" y="0"/>
                      <a:ext cx="5263515" cy="7439660"/>
                    </a:xfrm>
                    <a:prstGeom prst="rect">
                      <a:avLst/>
                    </a:prstGeom>
                    <a:ln>
                      <a:solidFill>
                        <a:schemeClr val="tx1"/>
                      </a:solidFill>
                    </a:ln>
                  </pic:spPr>
                </pic:pic>
              </a:graphicData>
            </a:graphic>
          </wp:inline>
        </w:drawing>
      </w:r>
    </w:p>
    <w:p>
      <w:pPr>
        <w:pStyle w:val="18"/>
        <w:sectPr>
          <w:pgSz w:w="16838" w:h="11905" w:orient="landscape"/>
          <w:pgMar w:top="1803" w:right="1440" w:bottom="1803" w:left="1440" w:header="850" w:footer="1077" w:gutter="0"/>
          <w:pgBorders>
            <w:top w:val="none" w:sz="0" w:space="0"/>
            <w:left w:val="none" w:sz="0" w:space="0"/>
            <w:bottom w:val="none" w:sz="0" w:space="0"/>
            <w:right w:val="none" w:sz="0" w:space="0"/>
          </w:pgBorders>
          <w:cols w:space="0" w:num="1"/>
          <w:rtlGutter w:val="0"/>
          <w:docGrid w:linePitch="335" w:charSpace="0"/>
        </w:sectPr>
      </w:pPr>
      <w:r>
        <w:drawing>
          <wp:anchor distT="0" distB="0" distL="114300" distR="114300" simplePos="0" relativeHeight="251661312" behindDoc="1" locked="0" layoutInCell="1" allowOverlap="1">
            <wp:simplePos x="0" y="0"/>
            <wp:positionH relativeFrom="column">
              <wp:posOffset>-356235</wp:posOffset>
            </wp:positionH>
            <wp:positionV relativeFrom="paragraph">
              <wp:posOffset>-863600</wp:posOffset>
            </wp:positionV>
            <wp:extent cx="9682480" cy="6849110"/>
            <wp:effectExtent l="0" t="0" r="13970" b="8890"/>
            <wp:wrapThrough wrapText="bothSides">
              <wp:wrapPolygon>
                <wp:start x="0" y="0"/>
                <wp:lineTo x="0" y="21568"/>
                <wp:lineTo x="21546" y="21568"/>
                <wp:lineTo x="21546" y="0"/>
                <wp:lineTo x="0" y="0"/>
              </wp:wrapPolygon>
            </wp:wrapThrough>
            <wp:docPr id="73" name="图片 73" descr="附图1 项目地理位置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附图1 项目地理位置图副本"/>
                    <pic:cNvPicPr>
                      <a:picLocks noChangeAspect="1"/>
                    </pic:cNvPicPr>
                  </pic:nvPicPr>
                  <pic:blipFill>
                    <a:blip r:embed="rId96"/>
                    <a:stretch>
                      <a:fillRect/>
                    </a:stretch>
                  </pic:blipFill>
                  <pic:spPr>
                    <a:xfrm>
                      <a:off x="0" y="0"/>
                      <a:ext cx="9682480" cy="6849110"/>
                    </a:xfrm>
                    <a:prstGeom prst="rect">
                      <a:avLst/>
                    </a:prstGeom>
                  </pic:spPr>
                </pic:pic>
              </a:graphicData>
            </a:graphic>
          </wp:anchor>
        </w:drawing>
      </w:r>
    </w:p>
    <w:p>
      <w:pPr>
        <w:pStyle w:val="18"/>
        <w:ind w:left="0" w:leftChars="0" w:firstLine="0" w:firstLineChars="0"/>
        <w:rPr>
          <w:rFonts w:hint="default"/>
          <w:lang w:val="en-US" w:eastAsia="zh-CN"/>
        </w:rPr>
        <w:sectPr>
          <w:pgSz w:w="16838" w:h="11905" w:orient="landscape"/>
          <w:pgMar w:top="1803" w:right="1440" w:bottom="1803" w:left="1440" w:header="850" w:footer="1077"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lang w:val="en-US" w:eastAsia="zh-CN"/>
        </w:rPr>
        <w:drawing>
          <wp:anchor distT="0" distB="0" distL="114300" distR="114300" simplePos="0" relativeHeight="251664384" behindDoc="1" locked="0" layoutInCell="1" allowOverlap="1">
            <wp:simplePos x="0" y="0"/>
            <wp:positionH relativeFrom="column">
              <wp:posOffset>-74295</wp:posOffset>
            </wp:positionH>
            <wp:positionV relativeFrom="paragraph">
              <wp:posOffset>-825500</wp:posOffset>
            </wp:positionV>
            <wp:extent cx="9284970" cy="6567805"/>
            <wp:effectExtent l="0" t="0" r="0" b="0"/>
            <wp:wrapThrough wrapText="bothSides">
              <wp:wrapPolygon>
                <wp:start x="0" y="0"/>
                <wp:lineTo x="0" y="21552"/>
                <wp:lineTo x="21538" y="21552"/>
                <wp:lineTo x="21538" y="0"/>
                <wp:lineTo x="0" y="0"/>
              </wp:wrapPolygon>
            </wp:wrapThrough>
            <wp:docPr id="74" name="图片 74" descr="附图2  项目平面布置图（修改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附图2  项目平面布置图（修改后）"/>
                    <pic:cNvPicPr>
                      <a:picLocks noChangeAspect="1"/>
                    </pic:cNvPicPr>
                  </pic:nvPicPr>
                  <pic:blipFill>
                    <a:blip r:embed="rId97"/>
                    <a:stretch>
                      <a:fillRect/>
                    </a:stretch>
                  </pic:blipFill>
                  <pic:spPr>
                    <a:xfrm>
                      <a:off x="0" y="0"/>
                      <a:ext cx="9284970" cy="6567805"/>
                    </a:xfrm>
                    <a:prstGeom prst="rect">
                      <a:avLst/>
                    </a:prstGeom>
                  </pic:spPr>
                </pic:pic>
              </a:graphicData>
            </a:graphic>
          </wp:anchor>
        </w:drawing>
      </w:r>
    </w:p>
    <w:p>
      <w:pPr>
        <w:pStyle w:val="18"/>
        <w:ind w:left="0" w:leftChars="0" w:firstLine="0" w:firstLineChars="0"/>
        <w:rPr>
          <w:rFonts w:hint="default"/>
          <w:lang w:val="en-US" w:eastAsia="zh-CN"/>
        </w:rPr>
        <w:sectPr>
          <w:pgSz w:w="16838" w:h="11905" w:orient="landscape"/>
          <w:pgMar w:top="1803" w:right="1440" w:bottom="1803" w:left="1440" w:header="850" w:footer="1077"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lang w:val="en-US" w:eastAsia="zh-CN"/>
        </w:rPr>
        <w:drawing>
          <wp:anchor distT="0" distB="0" distL="114300" distR="114300" simplePos="0" relativeHeight="251665408" behindDoc="1" locked="0" layoutInCell="1" allowOverlap="1">
            <wp:simplePos x="0" y="0"/>
            <wp:positionH relativeFrom="column">
              <wp:posOffset>-232410</wp:posOffset>
            </wp:positionH>
            <wp:positionV relativeFrom="paragraph">
              <wp:posOffset>-705485</wp:posOffset>
            </wp:positionV>
            <wp:extent cx="9248775" cy="6541770"/>
            <wp:effectExtent l="0" t="0" r="0" b="0"/>
            <wp:wrapThrough wrapText="bothSides">
              <wp:wrapPolygon>
                <wp:start x="0" y="0"/>
                <wp:lineTo x="0" y="21512"/>
                <wp:lineTo x="21578" y="21512"/>
                <wp:lineTo x="21578" y="0"/>
                <wp:lineTo x="0" y="0"/>
              </wp:wrapPolygon>
            </wp:wrapThrough>
            <wp:docPr id="75" name="图片 75" descr="附图3  项目纳污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附图3  项目纳污范围图"/>
                    <pic:cNvPicPr>
                      <a:picLocks noChangeAspect="1"/>
                    </pic:cNvPicPr>
                  </pic:nvPicPr>
                  <pic:blipFill>
                    <a:blip r:embed="rId98"/>
                    <a:stretch>
                      <a:fillRect/>
                    </a:stretch>
                  </pic:blipFill>
                  <pic:spPr>
                    <a:xfrm>
                      <a:off x="0" y="0"/>
                      <a:ext cx="9248775" cy="6541770"/>
                    </a:xfrm>
                    <a:prstGeom prst="rect">
                      <a:avLst/>
                    </a:prstGeom>
                  </pic:spPr>
                </pic:pic>
              </a:graphicData>
            </a:graphic>
          </wp:anchor>
        </w:drawing>
      </w:r>
    </w:p>
    <w:p>
      <w:pPr>
        <w:pStyle w:val="18"/>
        <w:rPr>
          <w:rFonts w:hint="default"/>
          <w:lang w:val="en-US" w:eastAsia="zh-CN"/>
        </w:rPr>
        <w:sectPr>
          <w:pgSz w:w="16838" w:h="11905" w:orient="landscape"/>
          <w:pgMar w:top="1803" w:right="1440" w:bottom="1803" w:left="1440" w:header="850" w:footer="1077"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lang w:val="en-US" w:eastAsia="zh-CN"/>
        </w:rPr>
        <w:drawing>
          <wp:anchor distT="0" distB="0" distL="114300" distR="114300" simplePos="0" relativeHeight="251666432" behindDoc="1" locked="0" layoutInCell="1" allowOverlap="1">
            <wp:simplePos x="0" y="0"/>
            <wp:positionH relativeFrom="column">
              <wp:posOffset>-83820</wp:posOffset>
            </wp:positionH>
            <wp:positionV relativeFrom="paragraph">
              <wp:posOffset>-752475</wp:posOffset>
            </wp:positionV>
            <wp:extent cx="9291320" cy="6571615"/>
            <wp:effectExtent l="0" t="0" r="0" b="0"/>
            <wp:wrapThrough wrapText="bothSides">
              <wp:wrapPolygon>
                <wp:start x="0" y="0"/>
                <wp:lineTo x="0" y="21539"/>
                <wp:lineTo x="21568" y="21539"/>
                <wp:lineTo x="21568" y="0"/>
                <wp:lineTo x="0" y="0"/>
              </wp:wrapPolygon>
            </wp:wrapThrough>
            <wp:docPr id="76" name="图片 76" descr="附图4  项目周边水系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附图4  项目周边水系功能区划图"/>
                    <pic:cNvPicPr>
                      <a:picLocks noChangeAspect="1"/>
                    </pic:cNvPicPr>
                  </pic:nvPicPr>
                  <pic:blipFill>
                    <a:blip r:embed="rId99"/>
                    <a:stretch>
                      <a:fillRect/>
                    </a:stretch>
                  </pic:blipFill>
                  <pic:spPr>
                    <a:xfrm>
                      <a:off x="0" y="0"/>
                      <a:ext cx="9291320" cy="6571615"/>
                    </a:xfrm>
                    <a:prstGeom prst="rect">
                      <a:avLst/>
                    </a:prstGeom>
                  </pic:spPr>
                </pic:pic>
              </a:graphicData>
            </a:graphic>
          </wp:anchor>
        </w:drawing>
      </w:r>
    </w:p>
    <w:p>
      <w:pPr>
        <w:pStyle w:val="18"/>
        <w:ind w:left="0" w:leftChars="0" w:firstLine="0" w:firstLineChars="0"/>
        <w:rPr>
          <w:rFonts w:hint="default"/>
          <w:lang w:val="en-US" w:eastAsia="zh-CN"/>
        </w:rPr>
        <w:sectPr>
          <w:pgSz w:w="16838" w:h="11905" w:orient="landscape"/>
          <w:pgMar w:top="1803" w:right="1440" w:bottom="1803" w:left="1440" w:header="850" w:footer="1077"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lang w:val="en-US" w:eastAsia="zh-CN"/>
        </w:rPr>
        <w:drawing>
          <wp:anchor distT="0" distB="0" distL="114300" distR="114300" simplePos="0" relativeHeight="251669504" behindDoc="1" locked="0" layoutInCell="1" allowOverlap="1">
            <wp:simplePos x="0" y="0"/>
            <wp:positionH relativeFrom="column">
              <wp:posOffset>180340</wp:posOffset>
            </wp:positionH>
            <wp:positionV relativeFrom="paragraph">
              <wp:posOffset>-824230</wp:posOffset>
            </wp:positionV>
            <wp:extent cx="8567420" cy="6059805"/>
            <wp:effectExtent l="0" t="0" r="0" b="0"/>
            <wp:wrapThrough wrapText="bothSides">
              <wp:wrapPolygon>
                <wp:start x="0" y="0"/>
                <wp:lineTo x="0" y="21525"/>
                <wp:lineTo x="21565" y="21525"/>
                <wp:lineTo x="21565" y="0"/>
                <wp:lineTo x="0" y="0"/>
              </wp:wrapPolygon>
            </wp:wrapThrough>
            <wp:docPr id="94" name="图片 94" descr="附图5   项目排污口设置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附图5   项目排污口设置位置"/>
                    <pic:cNvPicPr>
                      <a:picLocks noChangeAspect="1"/>
                    </pic:cNvPicPr>
                  </pic:nvPicPr>
                  <pic:blipFill>
                    <a:blip r:embed="rId100"/>
                    <a:stretch>
                      <a:fillRect/>
                    </a:stretch>
                  </pic:blipFill>
                  <pic:spPr>
                    <a:xfrm>
                      <a:off x="0" y="0"/>
                      <a:ext cx="8567420" cy="6059805"/>
                    </a:xfrm>
                    <a:prstGeom prst="rect">
                      <a:avLst/>
                    </a:prstGeom>
                  </pic:spPr>
                </pic:pic>
              </a:graphicData>
            </a:graphic>
          </wp:anchor>
        </w:drawing>
      </w:r>
    </w:p>
    <w:p>
      <w:pPr>
        <w:pStyle w:val="18"/>
        <w:rPr>
          <w:rFonts w:hint="default"/>
          <w:lang w:val="en-US" w:eastAsia="zh-CN"/>
        </w:rPr>
        <w:sectPr>
          <w:pgSz w:w="16838" w:h="11905" w:orient="landscape"/>
          <w:pgMar w:top="1803" w:right="1440" w:bottom="1803" w:left="1440" w:header="850" w:footer="1077"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lang w:val="en-US" w:eastAsia="zh-CN"/>
        </w:rPr>
        <w:drawing>
          <wp:anchor distT="0" distB="0" distL="114300" distR="114300" simplePos="0" relativeHeight="251667456" behindDoc="1" locked="0" layoutInCell="1" allowOverlap="1">
            <wp:simplePos x="0" y="0"/>
            <wp:positionH relativeFrom="column">
              <wp:posOffset>-28575</wp:posOffset>
            </wp:positionH>
            <wp:positionV relativeFrom="paragraph">
              <wp:posOffset>-900430</wp:posOffset>
            </wp:positionV>
            <wp:extent cx="8813800" cy="6233795"/>
            <wp:effectExtent l="0" t="0" r="0" b="0"/>
            <wp:wrapThrough wrapText="bothSides">
              <wp:wrapPolygon>
                <wp:start x="0" y="0"/>
                <wp:lineTo x="0" y="21519"/>
                <wp:lineTo x="21569" y="21519"/>
                <wp:lineTo x="21569" y="0"/>
                <wp:lineTo x="0" y="0"/>
              </wp:wrapPolygon>
            </wp:wrapThrough>
            <wp:docPr id="83" name="图片 83" descr="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监测布点图"/>
                    <pic:cNvPicPr>
                      <a:picLocks noChangeAspect="1"/>
                    </pic:cNvPicPr>
                  </pic:nvPicPr>
                  <pic:blipFill>
                    <a:blip r:embed="rId101"/>
                    <a:stretch>
                      <a:fillRect/>
                    </a:stretch>
                  </pic:blipFill>
                  <pic:spPr>
                    <a:xfrm>
                      <a:off x="0" y="0"/>
                      <a:ext cx="8813800" cy="6233795"/>
                    </a:xfrm>
                    <a:prstGeom prst="rect">
                      <a:avLst/>
                    </a:prstGeom>
                  </pic:spPr>
                </pic:pic>
              </a:graphicData>
            </a:graphic>
          </wp:anchor>
        </w:drawing>
      </w:r>
    </w:p>
    <w:p>
      <w:pPr>
        <w:pStyle w:val="18"/>
        <w:rPr>
          <w:rFonts w:hint="default"/>
          <w:lang w:val="en-US" w:eastAsia="zh-CN"/>
        </w:rPr>
        <w:sectPr>
          <w:pgSz w:w="16838" w:h="11905" w:orient="landscape"/>
          <w:pgMar w:top="1803" w:right="1440" w:bottom="1803" w:left="1440" w:header="850" w:footer="1077" w:gutter="0"/>
          <w:pgBorders>
            <w:top w:val="none" w:sz="0" w:space="0"/>
            <w:left w:val="none" w:sz="0" w:space="0"/>
            <w:bottom w:val="none" w:sz="0" w:space="0"/>
            <w:right w:val="none" w:sz="0" w:space="0"/>
          </w:pgBorders>
          <w:pgNumType w:fmt="decimal"/>
          <w:cols w:space="0" w:num="1"/>
          <w:rtlGutter w:val="0"/>
          <w:docGrid w:linePitch="335" w:charSpace="0"/>
        </w:sectPr>
      </w:pPr>
      <w:r>
        <w:rPr>
          <w:rFonts w:hint="default"/>
          <w:lang w:val="en-US" w:eastAsia="zh-CN"/>
        </w:rPr>
        <w:drawing>
          <wp:anchor distT="0" distB="0" distL="114300" distR="114300" simplePos="0" relativeHeight="251668480" behindDoc="1" locked="0" layoutInCell="1" allowOverlap="1">
            <wp:simplePos x="0" y="0"/>
            <wp:positionH relativeFrom="column">
              <wp:posOffset>-58420</wp:posOffset>
            </wp:positionH>
            <wp:positionV relativeFrom="paragraph">
              <wp:posOffset>-615315</wp:posOffset>
            </wp:positionV>
            <wp:extent cx="8884920" cy="6284595"/>
            <wp:effectExtent l="0" t="0" r="0" b="0"/>
            <wp:wrapThrough wrapText="bothSides">
              <wp:wrapPolygon>
                <wp:start x="0" y="0"/>
                <wp:lineTo x="0" y="21541"/>
                <wp:lineTo x="21535" y="21541"/>
                <wp:lineTo x="21535" y="0"/>
                <wp:lineTo x="0" y="0"/>
              </wp:wrapPolygon>
            </wp:wrapThrough>
            <wp:docPr id="88" name="图片 88" descr="附图7  项目排水路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附图7  项目排水路径图"/>
                    <pic:cNvPicPr>
                      <a:picLocks noChangeAspect="1"/>
                    </pic:cNvPicPr>
                  </pic:nvPicPr>
                  <pic:blipFill>
                    <a:blip r:embed="rId102"/>
                    <a:stretch>
                      <a:fillRect/>
                    </a:stretch>
                  </pic:blipFill>
                  <pic:spPr>
                    <a:xfrm>
                      <a:off x="0" y="0"/>
                      <a:ext cx="8884920" cy="6284595"/>
                    </a:xfrm>
                    <a:prstGeom prst="rect">
                      <a:avLst/>
                    </a:prstGeom>
                  </pic:spPr>
                </pic:pic>
              </a:graphicData>
            </a:graphic>
          </wp:anchor>
        </w:drawing>
      </w:r>
    </w:p>
    <w:tbl>
      <w:tblPr>
        <w:tblStyle w:val="4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2"/>
        <w:gridCol w:w="3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560320" cy="1920240"/>
                  <wp:effectExtent l="0" t="0" r="11430" b="3810"/>
                  <wp:docPr id="77" name="图片 77" descr="IMG_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7872"/>
                          <pic:cNvPicPr>
                            <a:picLocks noChangeAspect="1"/>
                          </pic:cNvPicPr>
                        </pic:nvPicPr>
                        <pic:blipFill>
                          <a:blip r:embed="rId103"/>
                          <a:stretch>
                            <a:fillRect/>
                          </a:stretch>
                        </pic:blipFill>
                        <pic:spPr>
                          <a:xfrm>
                            <a:off x="0" y="0"/>
                            <a:ext cx="2560320" cy="1920240"/>
                          </a:xfrm>
                          <a:prstGeom prst="rect">
                            <a:avLst/>
                          </a:prstGeom>
                        </pic:spPr>
                      </pic:pic>
                    </a:graphicData>
                  </a:graphic>
                </wp:inline>
              </w:drawing>
            </w:r>
          </w:p>
        </w:tc>
        <w:tc>
          <w:tcPr>
            <w:tcW w:w="2500"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508885" cy="1882140"/>
                  <wp:effectExtent l="0" t="0" r="5715" b="3810"/>
                  <wp:docPr id="78" name="图片 78" descr="IMG_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7873"/>
                          <pic:cNvPicPr>
                            <a:picLocks noChangeAspect="1"/>
                          </pic:cNvPicPr>
                        </pic:nvPicPr>
                        <pic:blipFill>
                          <a:blip r:embed="rId104"/>
                          <a:stretch>
                            <a:fillRect/>
                          </a:stretch>
                        </pic:blipFill>
                        <pic:spPr>
                          <a:xfrm>
                            <a:off x="0" y="0"/>
                            <a:ext cx="2508885" cy="18821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18"/>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kern w:val="2"/>
                <w:vertAlign w:val="baseline"/>
                <w:lang w:val="en-US" w:eastAsia="zh-CN"/>
              </w:rPr>
            </w:pPr>
            <w:r>
              <w:rPr>
                <w:rFonts w:hint="eastAsia"/>
                <w:kern w:val="2"/>
                <w:vertAlign w:val="baseline"/>
                <w:lang w:val="en-US" w:eastAsia="zh-CN"/>
              </w:rPr>
              <w:t>项目西侧</w:t>
            </w:r>
          </w:p>
        </w:tc>
        <w:tc>
          <w:tcPr>
            <w:tcW w:w="2500" w:type="pct"/>
            <w:vAlign w:val="center"/>
          </w:tcPr>
          <w:p>
            <w:pPr>
              <w:pStyle w:val="18"/>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kern w:val="2"/>
                <w:vertAlign w:val="baseline"/>
                <w:lang w:val="en-US" w:eastAsia="zh-CN"/>
              </w:rPr>
            </w:pPr>
            <w:r>
              <w:rPr>
                <w:rFonts w:hint="eastAsia"/>
                <w:kern w:val="2"/>
                <w:vertAlign w:val="baseline"/>
                <w:lang w:val="en-US" w:eastAsia="zh-CN"/>
              </w:rPr>
              <w:t>项目北侧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560320" cy="1920240"/>
                  <wp:effectExtent l="0" t="0" r="11430" b="3810"/>
                  <wp:docPr id="79" name="图片 79" descr="IMG_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7878"/>
                          <pic:cNvPicPr>
                            <a:picLocks noChangeAspect="1"/>
                          </pic:cNvPicPr>
                        </pic:nvPicPr>
                        <pic:blipFill>
                          <a:blip r:embed="rId105"/>
                          <a:stretch>
                            <a:fillRect/>
                          </a:stretch>
                        </pic:blipFill>
                        <pic:spPr>
                          <a:xfrm>
                            <a:off x="0" y="0"/>
                            <a:ext cx="2560320" cy="1920240"/>
                          </a:xfrm>
                          <a:prstGeom prst="rect">
                            <a:avLst/>
                          </a:prstGeom>
                        </pic:spPr>
                      </pic:pic>
                    </a:graphicData>
                  </a:graphic>
                </wp:inline>
              </w:drawing>
            </w:r>
          </w:p>
        </w:tc>
        <w:tc>
          <w:tcPr>
            <w:tcW w:w="2500"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508885" cy="1882140"/>
                  <wp:effectExtent l="0" t="0" r="5715" b="3810"/>
                  <wp:docPr id="80" name="图片 80" descr="IMG_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7888"/>
                          <pic:cNvPicPr>
                            <a:picLocks noChangeAspect="1"/>
                          </pic:cNvPicPr>
                        </pic:nvPicPr>
                        <pic:blipFill>
                          <a:blip r:embed="rId106"/>
                          <a:stretch>
                            <a:fillRect/>
                          </a:stretch>
                        </pic:blipFill>
                        <pic:spPr>
                          <a:xfrm>
                            <a:off x="0" y="0"/>
                            <a:ext cx="2508885" cy="18821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2499" w:type="pct"/>
            <w:vAlign w:val="center"/>
          </w:tcPr>
          <w:p>
            <w:pPr>
              <w:pStyle w:val="18"/>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kern w:val="2"/>
                <w:vertAlign w:val="baseline"/>
                <w:lang w:val="en-US" w:eastAsia="zh-CN"/>
              </w:rPr>
            </w:pPr>
            <w:r>
              <w:rPr>
                <w:rFonts w:hint="eastAsia"/>
                <w:kern w:val="2"/>
                <w:vertAlign w:val="baseline"/>
                <w:lang w:val="en-US" w:eastAsia="zh-CN"/>
              </w:rPr>
              <w:t>项目南侧</w:t>
            </w:r>
          </w:p>
        </w:tc>
        <w:tc>
          <w:tcPr>
            <w:tcW w:w="2500" w:type="pct"/>
            <w:vAlign w:val="center"/>
          </w:tcPr>
          <w:p>
            <w:pPr>
              <w:pStyle w:val="18"/>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kern w:val="2"/>
                <w:vertAlign w:val="baseline"/>
                <w:lang w:val="en-US" w:eastAsia="zh-CN"/>
              </w:rPr>
            </w:pPr>
            <w:r>
              <w:rPr>
                <w:rFonts w:hint="eastAsia"/>
                <w:kern w:val="2"/>
                <w:vertAlign w:val="baseline"/>
                <w:lang w:val="en-US" w:eastAsia="zh-CN"/>
              </w:rPr>
              <w:t>项目东侧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894965" cy="2557145"/>
                  <wp:effectExtent l="0" t="0" r="635" b="14605"/>
                  <wp:docPr id="82" name="图片 82" descr="IMG_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7908"/>
                          <pic:cNvPicPr>
                            <a:picLocks noChangeAspect="1"/>
                          </pic:cNvPicPr>
                        </pic:nvPicPr>
                        <pic:blipFill>
                          <a:blip r:embed="rId107"/>
                          <a:srcRect b="16761"/>
                          <a:stretch>
                            <a:fillRect/>
                          </a:stretch>
                        </pic:blipFill>
                        <pic:spPr>
                          <a:xfrm>
                            <a:off x="0" y="0"/>
                            <a:ext cx="2894965" cy="2557145"/>
                          </a:xfrm>
                          <a:prstGeom prst="rect">
                            <a:avLst/>
                          </a:prstGeom>
                        </pic:spPr>
                      </pic:pic>
                    </a:graphicData>
                  </a:graphic>
                </wp:inline>
              </w:drawing>
            </w:r>
          </w:p>
        </w:tc>
        <w:tc>
          <w:tcPr>
            <w:tcW w:w="2500"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468245" cy="2558415"/>
                  <wp:effectExtent l="0" t="0" r="8255" b="13335"/>
                  <wp:docPr id="84" name="图片 84" descr="IMG_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7909"/>
                          <pic:cNvPicPr>
                            <a:picLocks noChangeAspect="1"/>
                          </pic:cNvPicPr>
                        </pic:nvPicPr>
                        <pic:blipFill>
                          <a:blip r:embed="rId108"/>
                          <a:stretch>
                            <a:fillRect/>
                          </a:stretch>
                        </pic:blipFill>
                        <pic:spPr>
                          <a:xfrm>
                            <a:off x="0" y="0"/>
                            <a:ext cx="2468245" cy="25584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18"/>
              <w:ind w:left="0" w:leftChars="0" w:firstLine="0" w:firstLineChars="0"/>
              <w:jc w:val="center"/>
              <w:rPr>
                <w:rFonts w:hint="default"/>
                <w:kern w:val="2"/>
                <w:vertAlign w:val="baseline"/>
                <w:lang w:val="en-US" w:eastAsia="zh-CN"/>
              </w:rPr>
            </w:pPr>
            <w:r>
              <w:rPr>
                <w:rFonts w:hint="eastAsia"/>
                <w:kern w:val="2"/>
                <w:vertAlign w:val="baseline"/>
                <w:lang w:val="en-US" w:eastAsia="zh-CN"/>
              </w:rPr>
              <w:t>项目西北侧无名小溪</w:t>
            </w:r>
          </w:p>
        </w:tc>
        <w:tc>
          <w:tcPr>
            <w:tcW w:w="2500" w:type="pct"/>
            <w:vAlign w:val="center"/>
          </w:tcPr>
          <w:p>
            <w:pPr>
              <w:pStyle w:val="18"/>
              <w:ind w:left="0" w:leftChars="0" w:firstLine="0" w:firstLineChars="0"/>
              <w:jc w:val="center"/>
              <w:rPr>
                <w:rFonts w:hint="default"/>
                <w:kern w:val="2"/>
                <w:vertAlign w:val="baseline"/>
                <w:lang w:val="en-US" w:eastAsia="zh-CN"/>
              </w:rPr>
            </w:pPr>
            <w:r>
              <w:rPr>
                <w:rFonts w:hint="eastAsia"/>
                <w:kern w:val="2"/>
                <w:vertAlign w:val="baseline"/>
                <w:lang w:val="en-US" w:eastAsia="zh-CN"/>
              </w:rPr>
              <w:t>项目西北侧无名小溪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616200" cy="3379470"/>
                  <wp:effectExtent l="0" t="0" r="12700" b="11430"/>
                  <wp:docPr id="85" name="图片 85" descr="IMG_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7911"/>
                          <pic:cNvPicPr>
                            <a:picLocks noChangeAspect="1"/>
                          </pic:cNvPicPr>
                        </pic:nvPicPr>
                        <pic:blipFill>
                          <a:blip r:embed="rId109"/>
                          <a:stretch>
                            <a:fillRect/>
                          </a:stretch>
                        </pic:blipFill>
                        <pic:spPr>
                          <a:xfrm>
                            <a:off x="0" y="0"/>
                            <a:ext cx="2616200" cy="3379470"/>
                          </a:xfrm>
                          <a:prstGeom prst="rect">
                            <a:avLst/>
                          </a:prstGeom>
                        </pic:spPr>
                      </pic:pic>
                    </a:graphicData>
                  </a:graphic>
                </wp:inline>
              </w:drawing>
            </w:r>
          </w:p>
        </w:tc>
        <w:tc>
          <w:tcPr>
            <w:tcW w:w="2500" w:type="pct"/>
          </w:tcPr>
          <w:p>
            <w:pPr>
              <w:pStyle w:val="18"/>
              <w:ind w:left="0" w:leftChars="0" w:firstLine="0" w:firstLineChars="0"/>
              <w:rPr>
                <w:rFonts w:hint="default"/>
                <w:kern w:val="2"/>
                <w:vertAlign w:val="baseline"/>
                <w:lang w:val="en-US" w:eastAsia="zh-CN"/>
              </w:rPr>
            </w:pPr>
            <w:r>
              <w:rPr>
                <w:rFonts w:hint="default"/>
                <w:kern w:val="2"/>
                <w:vertAlign w:val="baseline"/>
                <w:lang w:val="en-US" w:eastAsia="zh-CN"/>
              </w:rPr>
              <w:drawing>
                <wp:inline distT="0" distB="0" distL="114300" distR="114300">
                  <wp:extent cx="2381250" cy="3338830"/>
                  <wp:effectExtent l="0" t="0" r="0" b="13970"/>
                  <wp:docPr id="87" name="图片 87" descr="IMG_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7910"/>
                          <pic:cNvPicPr>
                            <a:picLocks noChangeAspect="1"/>
                          </pic:cNvPicPr>
                        </pic:nvPicPr>
                        <pic:blipFill>
                          <a:blip r:embed="rId110"/>
                          <a:stretch>
                            <a:fillRect/>
                          </a:stretch>
                        </pic:blipFill>
                        <pic:spPr>
                          <a:xfrm>
                            <a:off x="0" y="0"/>
                            <a:ext cx="2381250" cy="33388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2499" w:type="pct"/>
            <w:vAlign w:val="center"/>
          </w:tcPr>
          <w:p>
            <w:pPr>
              <w:pStyle w:val="18"/>
              <w:ind w:left="0" w:leftChars="0" w:firstLine="0" w:firstLineChars="0"/>
              <w:jc w:val="center"/>
              <w:rPr>
                <w:rFonts w:hint="default"/>
                <w:kern w:val="2"/>
                <w:vertAlign w:val="baseline"/>
                <w:lang w:val="en-US" w:eastAsia="zh-CN"/>
              </w:rPr>
            </w:pPr>
            <w:r>
              <w:rPr>
                <w:rFonts w:hint="eastAsia"/>
                <w:kern w:val="2"/>
                <w:vertAlign w:val="baseline"/>
                <w:lang w:val="en-US" w:eastAsia="zh-CN"/>
              </w:rPr>
              <w:t>桃花江西干渠</w:t>
            </w:r>
          </w:p>
        </w:tc>
        <w:tc>
          <w:tcPr>
            <w:tcW w:w="2500" w:type="pct"/>
            <w:vAlign w:val="center"/>
          </w:tcPr>
          <w:p>
            <w:pPr>
              <w:pStyle w:val="18"/>
              <w:ind w:left="0" w:leftChars="0" w:firstLine="0" w:firstLineChars="0"/>
              <w:jc w:val="center"/>
              <w:rPr>
                <w:rFonts w:hint="default"/>
                <w:kern w:val="2"/>
                <w:vertAlign w:val="baseline"/>
                <w:lang w:val="en-US" w:eastAsia="zh-CN"/>
              </w:rPr>
            </w:pPr>
            <w:r>
              <w:rPr>
                <w:rFonts w:hint="eastAsia"/>
                <w:kern w:val="2"/>
                <w:vertAlign w:val="baseline"/>
                <w:lang w:val="en-US" w:eastAsia="zh-CN"/>
              </w:rPr>
              <w:t>桃花江西干渠</w:t>
            </w:r>
          </w:p>
        </w:tc>
      </w:tr>
    </w:tbl>
    <w:p>
      <w:pPr>
        <w:pStyle w:val="18"/>
        <w:ind w:left="0" w:leftChars="0" w:firstLine="0" w:firstLineChars="0"/>
        <w:jc w:val="center"/>
        <w:rPr>
          <w:rFonts w:hint="default"/>
          <w:b/>
          <w:bCs/>
          <w:lang w:val="en-US" w:eastAsia="zh-CN"/>
        </w:rPr>
      </w:pPr>
      <w:r>
        <w:rPr>
          <w:rFonts w:hint="eastAsia"/>
          <w:b/>
          <w:bCs/>
          <w:lang w:val="en-US" w:eastAsia="zh-CN"/>
        </w:rPr>
        <w:t>附图8  项目所在地现状照片</w:t>
      </w:r>
    </w:p>
    <w:sectPr>
      <w:pgSz w:w="11905" w:h="16838"/>
      <w:pgMar w:top="1440" w:right="1803" w:bottom="1440" w:left="1803" w:header="850" w:footer="1077" w:gutter="0"/>
      <w:pgBorders>
        <w:top w:val="none" w:sz="0" w:space="0"/>
        <w:left w:val="none" w:sz="0" w:space="0"/>
        <w:bottom w:val="none" w:sz="0" w:space="0"/>
        <w:right w:val="none" w:sz="0" w:space="0"/>
      </w:pgBorders>
      <w:pgNumType w:fmt="decimal"/>
      <w:cols w:space="0" w:num="1"/>
      <w:rtlGutter w:val="0"/>
      <w:docGrid w:linePitch="3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华文宋体">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幼圆">
    <w:panose1 w:val="0201050906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昆仑仿宋">
    <w:altName w:val="黑体"/>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Helvetica">
    <w:altName w:val="Arial"/>
    <w:panose1 w:val="020B0604020202020204"/>
    <w:charset w:val="00"/>
    <w:family w:val="swiss"/>
    <w:pitch w:val="default"/>
    <w:sig w:usb0="00000000" w:usb1="00000000" w:usb2="00000009" w:usb3="00000000" w:csb0="000001FF" w:csb1="0000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auto"/>
    <w:pitch w:val="default"/>
    <w:sig w:usb0="00000000" w:usb1="00000000" w:usb2="00000000" w:usb3="00000000" w:csb0="00000000" w:csb1="00000000"/>
  </w:font>
  <w:font w:name="新宋体">
    <w:panose1 w:val="02010609030101010101"/>
    <w:charset w:val="86"/>
    <w:family w:val="modern"/>
    <w:pitch w:val="default"/>
    <w:sig w:usb0="0000028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p>
  <w:p>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p>
  <w:p>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25"/>
                    </w:pPr>
                    <w:r>
                      <w:fldChar w:fldCharType="begin"/>
                    </w:r>
                    <w:r>
                      <w:instrText xml:space="preserve"> PAGE  \* MERGEFORMAT </w:instrText>
                    </w:r>
                    <w:r>
                      <w:fldChar w:fldCharType="separate"/>
                    </w:r>
                    <w:r>
                      <w:t>1</w:t>
                    </w:r>
                    <w:r>
                      <w:fldChar w:fldCharType="end"/>
                    </w:r>
                  </w:p>
                </w:txbxContent>
              </v:textbox>
            </v:shape>
          </w:pict>
        </mc:Fallback>
      </mc:AlternateContent>
    </w:r>
  </w:p>
  <w:p>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p>
  <w:p>
    <w:pPr>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Oos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OoszAgAAYwQAAA4AAAAAAAAAAQAgAAAAHwEAAGRycy9lMm9Eb2MueG1sUEsF&#10;BgAAAAAGAAYAWQEAAMQFAAAAAA==&#10;">
              <v:fill on="f" focussize="0,0"/>
              <v:stroke on="f" weight="0.5pt"/>
              <v:imagedata o:title=""/>
              <o:lock v:ext="edit" aspectratio="f"/>
              <v:textbox inset="0mm,0mm,0mm,0mm" style="mso-fit-shape-to-text:t;">
                <w:txbxContent>
                  <w:p>
                    <w:pPr>
                      <w:pStyle w:val="25"/>
                    </w:pPr>
                    <w:r>
                      <w:fldChar w:fldCharType="begin"/>
                    </w:r>
                    <w:r>
                      <w:instrText xml:space="preserve"> PAGE  \* MERGEFORMAT </w:instrText>
                    </w:r>
                    <w:r>
                      <w:fldChar w:fldCharType="separate"/>
                    </w:r>
                    <w:r>
                      <w:t>1</w:t>
                    </w:r>
                    <w:r>
                      <w:fldChar w:fldCharType="end"/>
                    </w:r>
                  </w:p>
                </w:txbxContent>
              </v:textbox>
            </v:shape>
          </w:pict>
        </mc:Fallback>
      </mc:AlternateContent>
    </w:r>
  </w:p>
  <w:p>
    <w:pPr>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25"/>
                    </w:pPr>
                    <w:r>
                      <w:fldChar w:fldCharType="begin"/>
                    </w:r>
                    <w:r>
                      <w:instrText xml:space="preserve"> PAGE  \* MERGEFORMAT </w:instrText>
                    </w:r>
                    <w:r>
                      <w:fldChar w:fldCharType="separate"/>
                    </w:r>
                    <w:r>
                      <w:t>1</w:t>
                    </w:r>
                    <w:r>
                      <w:fldChar w:fldCharType="end"/>
                    </w:r>
                  </w:p>
                </w:txbxContent>
              </v:textbox>
            </v:shape>
          </w:pict>
        </mc:Fallback>
      </mc:AlternateContent>
    </w:r>
  </w:p>
  <w:p>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5"/>
                            <w:ind w:firstLine="360"/>
                            <w:jc w:val="center"/>
                          </w:pPr>
                          <w:r>
                            <w:fldChar w:fldCharType="begin"/>
                          </w:r>
                          <w:r>
                            <w:instrText xml:space="preserve">PAGE   \* MERGEFORMAT</w:instrText>
                          </w:r>
                          <w:r>
                            <w:fldChar w:fldCharType="separate"/>
                          </w:r>
                          <w:r>
                            <w:rPr>
                              <w:lang w:val="zh-CN"/>
                            </w:rPr>
                            <w:t>85</w:t>
                          </w:r>
                          <w:r>
                            <w:fldChar w:fldCharType="end"/>
                          </w:r>
                        </w:p>
                        <w:p>
                          <w:pPr>
                            <w:pStyle w:val="18"/>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Xd6XYxAgAAZ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13el2MQIAAGUEAAAOAAAAAAAAAAEAIAAAAB8BAABkcnMvZTJvRG9jLnhtbFBLBQYA&#10;AAAABgAGAFkBAADCBQAAAAA=&#10;">
              <v:fill on="f" focussize="0,0"/>
              <v:stroke on="f" weight="0.5pt"/>
              <v:imagedata o:title=""/>
              <o:lock v:ext="edit" aspectratio="f"/>
              <v:textbox inset="0mm,0mm,0mm,0mm" style="mso-fit-shape-to-text:t;">
                <w:txbxContent>
                  <w:p>
                    <w:pPr>
                      <w:pStyle w:val="25"/>
                      <w:ind w:firstLine="360"/>
                      <w:jc w:val="center"/>
                    </w:pPr>
                    <w:r>
                      <w:fldChar w:fldCharType="begin"/>
                    </w:r>
                    <w:r>
                      <w:instrText xml:space="preserve">PAGE   \* MERGEFORMAT</w:instrText>
                    </w:r>
                    <w:r>
                      <w:fldChar w:fldCharType="separate"/>
                    </w:r>
                    <w:r>
                      <w:rPr>
                        <w:lang w:val="zh-CN"/>
                      </w:rPr>
                      <w:t>85</w:t>
                    </w:r>
                    <w:r>
                      <w:fldChar w:fldCharType="end"/>
                    </w:r>
                  </w:p>
                  <w:p>
                    <w:pPr>
                      <w:pStyle w:val="18"/>
                      <w:ind w:firstLine="480"/>
                    </w:pPr>
                  </w:p>
                </w:txbxContent>
              </v:textbox>
            </v:shape>
          </w:pict>
        </mc:Fallback>
      </mc:AlternateContent>
    </w:r>
  </w:p>
  <w:p>
    <w:pPr>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keepNext w:val="0"/>
      <w:keepLines w:val="0"/>
      <w:pageBreakBefore w:val="0"/>
      <w:widowControl w:val="0"/>
      <w:pBdr>
        <w:bottom w:val="none" w:color="auto" w:sz="0" w:space="1"/>
      </w:pBdr>
      <w:kinsoku/>
      <w:wordWrap/>
      <w:overflowPunct/>
      <w:topLinePunct w:val="0"/>
      <w:autoSpaceDE/>
      <w:autoSpaceDN/>
      <w:bidi w:val="0"/>
      <w:adjustRightInd/>
      <w:snapToGrid w:val="0"/>
      <w:spacing w:line="240" w:lineRule="auto"/>
      <w:textAlignment w:val="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1"/>
      </w:pBdr>
      <w:ind w:firstLine="36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D58908"/>
    <w:multiLevelType w:val="singleLevel"/>
    <w:tmpl w:val="81D58908"/>
    <w:lvl w:ilvl="0" w:tentative="0">
      <w:start w:val="1"/>
      <w:numFmt w:val="decimal"/>
      <w:suff w:val="nothing"/>
      <w:lvlText w:val="（%1）"/>
      <w:lvlJc w:val="left"/>
    </w:lvl>
  </w:abstractNum>
  <w:abstractNum w:abstractNumId="1">
    <w:nsid w:val="82EE17B2"/>
    <w:multiLevelType w:val="singleLevel"/>
    <w:tmpl w:val="82EE17B2"/>
    <w:lvl w:ilvl="0" w:tentative="0">
      <w:start w:val="1"/>
      <w:numFmt w:val="decimal"/>
      <w:suff w:val="nothing"/>
      <w:lvlText w:val="（%1）"/>
      <w:lvlJc w:val="left"/>
      <w:rPr>
        <w:rFonts w:hint="default" w:ascii="Times New Roman" w:hAnsi="Times New Roman" w:cs="Times New Roman"/>
        <w:sz w:val="24"/>
        <w:szCs w:val="24"/>
      </w:rPr>
    </w:lvl>
  </w:abstractNum>
  <w:abstractNum w:abstractNumId="2">
    <w:nsid w:val="84365363"/>
    <w:multiLevelType w:val="singleLevel"/>
    <w:tmpl w:val="84365363"/>
    <w:lvl w:ilvl="0" w:tentative="0">
      <w:start w:val="1"/>
      <w:numFmt w:val="decimal"/>
      <w:suff w:val="nothing"/>
      <w:lvlText w:val="（%1）"/>
      <w:lvlJc w:val="left"/>
    </w:lvl>
  </w:abstractNum>
  <w:abstractNum w:abstractNumId="3">
    <w:nsid w:val="89CBAC97"/>
    <w:multiLevelType w:val="multilevel"/>
    <w:tmpl w:val="89CBAC97"/>
    <w:lvl w:ilvl="0" w:tentative="0">
      <w:start w:val="1"/>
      <w:numFmt w:val="decimal"/>
      <w:pStyle w:val="203"/>
      <w:lvlText w:val="%1"/>
      <w:lvlJc w:val="left"/>
      <w:pPr>
        <w:ind w:left="709" w:firstLine="0"/>
      </w:pPr>
      <w:rPr>
        <w:rFonts w:hint="eastAsia"/>
      </w:rPr>
    </w:lvl>
    <w:lvl w:ilvl="1" w:tentative="0">
      <w:start w:val="1"/>
      <w:numFmt w:val="decimal"/>
      <w:lvlText w:val="%1.%2"/>
      <w:lvlJc w:val="left"/>
      <w:pPr>
        <w:ind w:left="709" w:firstLine="0"/>
      </w:pPr>
      <w:rPr>
        <w:rFonts w:hint="eastAsia"/>
      </w:rPr>
    </w:lvl>
    <w:lvl w:ilvl="2" w:tentative="0">
      <w:start w:val="1"/>
      <w:numFmt w:val="decimal"/>
      <w:lvlText w:val="%1.%2.%3"/>
      <w:lvlJc w:val="left"/>
      <w:pPr>
        <w:ind w:left="709" w:firstLine="0"/>
      </w:pPr>
      <w:rPr>
        <w:rFonts w:hint="eastAsia"/>
      </w:rPr>
    </w:lvl>
    <w:lvl w:ilvl="3" w:tentative="0">
      <w:start w:val="1"/>
      <w:numFmt w:val="decimal"/>
      <w:lvlText w:val="%1.%2.%3.%4"/>
      <w:lvlJc w:val="left"/>
      <w:pPr>
        <w:ind w:left="2693" w:hanging="708"/>
      </w:pPr>
      <w:rPr>
        <w:rFonts w:hint="eastAsia"/>
      </w:rPr>
    </w:lvl>
    <w:lvl w:ilvl="4" w:tentative="0">
      <w:start w:val="1"/>
      <w:numFmt w:val="decimal"/>
      <w:lvlText w:val="%1.%2.%3.%4.%5"/>
      <w:lvlJc w:val="left"/>
      <w:pPr>
        <w:ind w:left="3260" w:hanging="850"/>
      </w:pPr>
      <w:rPr>
        <w:rFonts w:hint="eastAsia"/>
      </w:rPr>
    </w:lvl>
    <w:lvl w:ilvl="5" w:tentative="0">
      <w:start w:val="1"/>
      <w:numFmt w:val="decimal"/>
      <w:lvlText w:val="%1.%2.%3.%4.%5.%6"/>
      <w:lvlJc w:val="left"/>
      <w:pPr>
        <w:ind w:left="3969" w:hanging="1134"/>
      </w:pPr>
      <w:rPr>
        <w:rFonts w:hint="eastAsia"/>
      </w:rPr>
    </w:lvl>
    <w:lvl w:ilvl="6" w:tentative="0">
      <w:start w:val="1"/>
      <w:numFmt w:val="decimal"/>
      <w:lvlText w:val="%1.%2.%3.%4.%5.%6.%7"/>
      <w:lvlJc w:val="left"/>
      <w:pPr>
        <w:ind w:left="4536" w:hanging="1276"/>
      </w:pPr>
      <w:rPr>
        <w:rFonts w:hint="eastAsia"/>
      </w:rPr>
    </w:lvl>
    <w:lvl w:ilvl="7" w:tentative="0">
      <w:start w:val="1"/>
      <w:numFmt w:val="decimal"/>
      <w:lvlText w:val="%1.%2.%3.%4.%5.%6.%7.%8"/>
      <w:lvlJc w:val="left"/>
      <w:pPr>
        <w:ind w:left="5103" w:hanging="1418"/>
      </w:pPr>
      <w:rPr>
        <w:rFonts w:hint="eastAsia"/>
      </w:rPr>
    </w:lvl>
    <w:lvl w:ilvl="8" w:tentative="0">
      <w:start w:val="1"/>
      <w:numFmt w:val="decimal"/>
      <w:lvlText w:val="%1.%2.%3.%4.%5.%6.%7.%8.%9"/>
      <w:lvlJc w:val="left"/>
      <w:pPr>
        <w:ind w:left="5811" w:hanging="1700"/>
      </w:pPr>
      <w:rPr>
        <w:rFonts w:hint="eastAsia"/>
      </w:rPr>
    </w:lvl>
  </w:abstractNum>
  <w:abstractNum w:abstractNumId="4">
    <w:nsid w:val="922B9248"/>
    <w:multiLevelType w:val="singleLevel"/>
    <w:tmpl w:val="922B9248"/>
    <w:lvl w:ilvl="0" w:tentative="0">
      <w:start w:val="1"/>
      <w:numFmt w:val="upperLetter"/>
      <w:suff w:val="nothing"/>
      <w:lvlText w:val="%1、"/>
      <w:lvlJc w:val="left"/>
    </w:lvl>
  </w:abstractNum>
  <w:abstractNum w:abstractNumId="5">
    <w:nsid w:val="A6C93AF9"/>
    <w:multiLevelType w:val="singleLevel"/>
    <w:tmpl w:val="A6C93AF9"/>
    <w:lvl w:ilvl="0" w:tentative="0">
      <w:start w:val="1"/>
      <w:numFmt w:val="decimal"/>
      <w:suff w:val="nothing"/>
      <w:lvlText w:val="（%1）"/>
      <w:lvlJc w:val="left"/>
      <w:rPr>
        <w:rFonts w:hint="default" w:ascii="Times New Roman" w:hAnsi="Times New Roman" w:cs="Times New Roman"/>
        <w:sz w:val="24"/>
        <w:szCs w:val="24"/>
      </w:rPr>
    </w:lvl>
  </w:abstractNum>
  <w:abstractNum w:abstractNumId="6">
    <w:nsid w:val="C93C51D5"/>
    <w:multiLevelType w:val="singleLevel"/>
    <w:tmpl w:val="C93C51D5"/>
    <w:lvl w:ilvl="0" w:tentative="0">
      <w:start w:val="3"/>
      <w:numFmt w:val="upperLetter"/>
      <w:lvlText w:val="%1."/>
      <w:lvlJc w:val="left"/>
      <w:pPr>
        <w:tabs>
          <w:tab w:val="left" w:pos="312"/>
        </w:tabs>
      </w:pPr>
    </w:lvl>
  </w:abstractNum>
  <w:abstractNum w:abstractNumId="7">
    <w:nsid w:val="CDB923BA"/>
    <w:multiLevelType w:val="singleLevel"/>
    <w:tmpl w:val="CDB923BA"/>
    <w:lvl w:ilvl="0" w:tentative="0">
      <w:start w:val="1"/>
      <w:numFmt w:val="decimal"/>
      <w:suff w:val="nothing"/>
      <w:lvlText w:val="%1、"/>
      <w:lvlJc w:val="left"/>
    </w:lvl>
  </w:abstractNum>
  <w:abstractNum w:abstractNumId="8">
    <w:nsid w:val="DA5AE9DA"/>
    <w:multiLevelType w:val="singleLevel"/>
    <w:tmpl w:val="DA5AE9DA"/>
    <w:lvl w:ilvl="0" w:tentative="0">
      <w:start w:val="1"/>
      <w:numFmt w:val="decimal"/>
      <w:suff w:val="nothing"/>
      <w:lvlText w:val="（%1）"/>
      <w:lvlJc w:val="left"/>
    </w:lvl>
  </w:abstractNum>
  <w:abstractNum w:abstractNumId="9">
    <w:nsid w:val="E8CD883D"/>
    <w:multiLevelType w:val="singleLevel"/>
    <w:tmpl w:val="E8CD883D"/>
    <w:lvl w:ilvl="0" w:tentative="0">
      <w:start w:val="1"/>
      <w:numFmt w:val="decimal"/>
      <w:suff w:val="nothing"/>
      <w:lvlText w:val="（%1）"/>
      <w:lvlJc w:val="left"/>
      <w:rPr>
        <w:rFonts w:hint="default" w:ascii="Times New Roman" w:hAnsi="Times New Roman" w:cs="Times New Roman"/>
        <w:sz w:val="24"/>
        <w:szCs w:val="24"/>
      </w:rPr>
    </w:lvl>
  </w:abstractNum>
  <w:abstractNum w:abstractNumId="10">
    <w:nsid w:val="F15DE0A8"/>
    <w:multiLevelType w:val="singleLevel"/>
    <w:tmpl w:val="F15DE0A8"/>
    <w:lvl w:ilvl="0" w:tentative="0">
      <w:start w:val="1"/>
      <w:numFmt w:val="decimal"/>
      <w:suff w:val="nothing"/>
      <w:lvlText w:val="（%1）"/>
      <w:lvlJc w:val="left"/>
    </w:lvl>
  </w:abstractNum>
  <w:abstractNum w:abstractNumId="11">
    <w:nsid w:val="FEF05524"/>
    <w:multiLevelType w:val="singleLevel"/>
    <w:tmpl w:val="FEF05524"/>
    <w:lvl w:ilvl="0" w:tentative="0">
      <w:start w:val="1"/>
      <w:numFmt w:val="decimal"/>
      <w:suff w:val="nothing"/>
      <w:lvlText w:val="（%1）"/>
      <w:lvlJc w:val="left"/>
      <w:rPr>
        <w:rFonts w:hint="default" w:ascii="Times New Roman" w:hAnsi="Times New Roman" w:cs="Times New Roman"/>
        <w:sz w:val="24"/>
        <w:szCs w:val="24"/>
      </w:rPr>
    </w:lvl>
  </w:abstractNum>
  <w:abstractNum w:abstractNumId="12">
    <w:nsid w:val="01D44E17"/>
    <w:multiLevelType w:val="multilevel"/>
    <w:tmpl w:val="01D44E17"/>
    <w:lvl w:ilvl="0" w:tentative="0">
      <w:start w:val="1"/>
      <w:numFmt w:val="none"/>
      <w:pStyle w:val="162"/>
      <w:lvlText w:val="第一章 总论"/>
      <w:lvlJc w:val="left"/>
      <w:pPr>
        <w:ind w:left="425" w:hanging="425"/>
      </w:pPr>
      <w:rPr>
        <w:rFonts w:hint="eastAsia" w:eastAsia="宋体"/>
        <w:b/>
        <w:i w:val="0"/>
        <w:sz w:val="44"/>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3">
    <w:nsid w:val="06ACCE7B"/>
    <w:multiLevelType w:val="multilevel"/>
    <w:tmpl w:val="06ACCE7B"/>
    <w:lvl w:ilvl="0" w:tentative="0">
      <w:start w:val="0"/>
      <w:numFmt w:val="decimal"/>
      <w:pStyle w:val="77"/>
      <w:suff w:val="space"/>
      <w:lvlText w:val="%1. "/>
      <w:lvlJc w:val="left"/>
      <w:pPr>
        <w:tabs>
          <w:tab w:val="left" w:pos="0"/>
        </w:tabs>
        <w:ind w:left="0" w:firstLine="0"/>
      </w:pPr>
      <w:rPr>
        <w:rFonts w:hint="default"/>
      </w:rPr>
    </w:lvl>
    <w:lvl w:ilvl="1" w:tentative="0">
      <w:start w:val="1"/>
      <w:numFmt w:val="decimal"/>
      <w:pStyle w:val="79"/>
      <w:suff w:val="space"/>
      <w:lvlText w:val="%1.%2"/>
      <w:lvlJc w:val="left"/>
      <w:pPr>
        <w:ind w:left="0" w:firstLine="0"/>
      </w:pPr>
      <w:rPr>
        <w:rFonts w:hint="eastAsia"/>
      </w:rPr>
    </w:lvl>
    <w:lvl w:ilvl="2" w:tentative="0">
      <w:start w:val="1"/>
      <w:numFmt w:val="lowerRoman"/>
      <w:lvlText w:val="%3."/>
      <w:lvlJc w:val="right"/>
      <w:pPr>
        <w:ind w:left="0" w:firstLine="0"/>
      </w:pPr>
      <w:rPr>
        <w:rFonts w:hint="eastAsia"/>
      </w:rPr>
    </w:lvl>
    <w:lvl w:ilvl="3" w:tentative="0">
      <w:start w:val="1"/>
      <w:numFmt w:val="decimal"/>
      <w:lvlText w:val="%4."/>
      <w:lvlJc w:val="left"/>
      <w:pPr>
        <w:ind w:left="0" w:firstLine="0"/>
      </w:pPr>
      <w:rPr>
        <w:rFonts w:hint="eastAsia"/>
      </w:rPr>
    </w:lvl>
    <w:lvl w:ilvl="4" w:tentative="0">
      <w:start w:val="1"/>
      <w:numFmt w:val="lowerLetter"/>
      <w:lvlText w:val="%5)"/>
      <w:lvlJc w:val="left"/>
      <w:pPr>
        <w:tabs>
          <w:tab w:val="left" w:pos="420"/>
        </w:tabs>
        <w:ind w:left="0" w:firstLine="0"/>
      </w:pPr>
      <w:rPr>
        <w:rFonts w:hint="default" w:ascii="宋体" w:hAnsi="宋体" w:eastAsia="宋体" w:cs="宋体"/>
      </w:rPr>
    </w:lvl>
    <w:lvl w:ilvl="5" w:tentative="0">
      <w:start w:val="1"/>
      <w:numFmt w:val="lowerRoman"/>
      <w:lvlText w:val="%6."/>
      <w:lvlJc w:val="right"/>
      <w:pPr>
        <w:ind w:left="0" w:firstLine="0"/>
      </w:pPr>
      <w:rPr>
        <w:rFonts w:hint="eastAsia"/>
      </w:rPr>
    </w:lvl>
    <w:lvl w:ilvl="6" w:tentative="0">
      <w:start w:val="1"/>
      <w:numFmt w:val="decimal"/>
      <w:lvlText w:val="%7."/>
      <w:lvlJc w:val="left"/>
      <w:pPr>
        <w:ind w:left="0" w:firstLine="0"/>
      </w:pPr>
      <w:rPr>
        <w:rFonts w:hint="eastAsia"/>
      </w:rPr>
    </w:lvl>
    <w:lvl w:ilvl="7" w:tentative="0">
      <w:start w:val="1"/>
      <w:numFmt w:val="lowerLetter"/>
      <w:lvlText w:val="%8)"/>
      <w:lvlJc w:val="left"/>
      <w:pPr>
        <w:ind w:left="0" w:firstLine="0"/>
      </w:pPr>
      <w:rPr>
        <w:rFonts w:hint="eastAsia"/>
      </w:rPr>
    </w:lvl>
    <w:lvl w:ilvl="8" w:tentative="0">
      <w:start w:val="1"/>
      <w:numFmt w:val="lowerRoman"/>
      <w:lvlText w:val="%9."/>
      <w:lvlJc w:val="right"/>
      <w:pPr>
        <w:ind w:left="0" w:firstLine="0"/>
      </w:pPr>
      <w:rPr>
        <w:rFonts w:hint="eastAsia"/>
      </w:rPr>
    </w:lvl>
  </w:abstractNum>
  <w:abstractNum w:abstractNumId="14">
    <w:nsid w:val="2C421783"/>
    <w:multiLevelType w:val="singleLevel"/>
    <w:tmpl w:val="2C421783"/>
    <w:lvl w:ilvl="0" w:tentative="0">
      <w:start w:val="1"/>
      <w:numFmt w:val="decimal"/>
      <w:suff w:val="nothing"/>
      <w:lvlText w:val="%1）"/>
      <w:lvlJc w:val="left"/>
    </w:lvl>
  </w:abstractNum>
  <w:abstractNum w:abstractNumId="15">
    <w:nsid w:val="2EBC50FB"/>
    <w:multiLevelType w:val="singleLevel"/>
    <w:tmpl w:val="2EBC50FB"/>
    <w:lvl w:ilvl="0" w:tentative="0">
      <w:start w:val="1"/>
      <w:numFmt w:val="decimal"/>
      <w:suff w:val="nothing"/>
      <w:lvlText w:val="（%1）"/>
      <w:lvlJc w:val="left"/>
    </w:lvl>
  </w:abstractNum>
  <w:abstractNum w:abstractNumId="16">
    <w:nsid w:val="30DC4B84"/>
    <w:multiLevelType w:val="singleLevel"/>
    <w:tmpl w:val="30DC4B84"/>
    <w:lvl w:ilvl="0" w:tentative="0">
      <w:start w:val="1"/>
      <w:numFmt w:val="decimal"/>
      <w:suff w:val="nothing"/>
      <w:lvlText w:val="（%1）"/>
      <w:lvlJc w:val="left"/>
      <w:rPr>
        <w:rFonts w:hint="default" w:ascii="Times New Roman" w:hAnsi="Times New Roman" w:cs="Times New Roman"/>
      </w:rPr>
    </w:lvl>
  </w:abstractNum>
  <w:abstractNum w:abstractNumId="17">
    <w:nsid w:val="33EF1FC1"/>
    <w:multiLevelType w:val="multilevel"/>
    <w:tmpl w:val="33EF1FC1"/>
    <w:lvl w:ilvl="0" w:tentative="0">
      <w:start w:val="1"/>
      <w:numFmt w:val="decimal"/>
      <w:lvlText w:val="%1"/>
      <w:lvlJc w:val="left"/>
      <w:pPr>
        <w:ind w:left="0" w:firstLine="0"/>
      </w:pPr>
      <w:rPr>
        <w:rFonts w:hint="eastAsia"/>
      </w:rPr>
    </w:lvl>
    <w:lvl w:ilvl="1" w:tentative="0">
      <w:start w:val="1"/>
      <w:numFmt w:val="decimal"/>
      <w:pStyle w:val="197"/>
      <w:lvlText w:val="%1.%2"/>
      <w:lvlJc w:val="left"/>
      <w:pPr>
        <w:ind w:left="0" w:firstLine="0"/>
      </w:pPr>
      <w:rPr>
        <w:rFonts w:hint="eastAsia"/>
      </w:rPr>
    </w:lvl>
    <w:lvl w:ilvl="2" w:tentative="0">
      <w:start w:val="1"/>
      <w:numFmt w:val="decimal"/>
      <w:lvlText w:val="%1.%2.%3"/>
      <w:lvlJc w:val="left"/>
      <w:pPr>
        <w:ind w:left="0" w:firstLine="0"/>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8">
    <w:nsid w:val="3D4ED80D"/>
    <w:multiLevelType w:val="singleLevel"/>
    <w:tmpl w:val="3D4ED80D"/>
    <w:lvl w:ilvl="0" w:tentative="0">
      <w:start w:val="1"/>
      <w:numFmt w:val="decimal"/>
      <w:suff w:val="nothing"/>
      <w:lvlText w:val="（%1）"/>
      <w:lvlJc w:val="left"/>
      <w:rPr>
        <w:rFonts w:hint="default" w:ascii="Times New Roman" w:hAnsi="Times New Roman" w:cs="Times New Roman"/>
        <w:sz w:val="24"/>
        <w:szCs w:val="24"/>
      </w:rPr>
    </w:lvl>
  </w:abstractNum>
  <w:abstractNum w:abstractNumId="19">
    <w:nsid w:val="3E6AA1D8"/>
    <w:multiLevelType w:val="singleLevel"/>
    <w:tmpl w:val="3E6AA1D8"/>
    <w:lvl w:ilvl="0" w:tentative="0">
      <w:start w:val="1"/>
      <w:numFmt w:val="decimal"/>
      <w:suff w:val="nothing"/>
      <w:lvlText w:val="（%1）"/>
      <w:lvlJc w:val="left"/>
    </w:lvl>
  </w:abstractNum>
  <w:abstractNum w:abstractNumId="20">
    <w:nsid w:val="3EF45AEB"/>
    <w:multiLevelType w:val="singleLevel"/>
    <w:tmpl w:val="3EF45AEB"/>
    <w:lvl w:ilvl="0" w:tentative="0">
      <w:start w:val="1"/>
      <w:numFmt w:val="decimal"/>
      <w:suff w:val="nothing"/>
      <w:lvlText w:val="（%1）"/>
      <w:lvlJc w:val="left"/>
    </w:lvl>
  </w:abstractNum>
  <w:abstractNum w:abstractNumId="21">
    <w:nsid w:val="4134B459"/>
    <w:multiLevelType w:val="singleLevel"/>
    <w:tmpl w:val="4134B459"/>
    <w:lvl w:ilvl="0" w:tentative="0">
      <w:start w:val="1"/>
      <w:numFmt w:val="decimal"/>
      <w:suff w:val="nothing"/>
      <w:lvlText w:val="（%1）"/>
      <w:lvlJc w:val="left"/>
    </w:lvl>
  </w:abstractNum>
  <w:abstractNum w:abstractNumId="22">
    <w:nsid w:val="4EF60C64"/>
    <w:multiLevelType w:val="singleLevel"/>
    <w:tmpl w:val="4EF60C64"/>
    <w:lvl w:ilvl="0" w:tentative="0">
      <w:start w:val="1"/>
      <w:numFmt w:val="decimal"/>
      <w:suff w:val="nothing"/>
      <w:lvlText w:val="（%1）"/>
      <w:lvlJc w:val="left"/>
    </w:lvl>
  </w:abstractNum>
  <w:abstractNum w:abstractNumId="23">
    <w:nsid w:val="519E2589"/>
    <w:multiLevelType w:val="singleLevel"/>
    <w:tmpl w:val="519E2589"/>
    <w:lvl w:ilvl="0" w:tentative="0">
      <w:start w:val="1"/>
      <w:numFmt w:val="decimal"/>
      <w:suff w:val="nothing"/>
      <w:lvlText w:val="（%1）"/>
      <w:lvlJc w:val="left"/>
      <w:rPr>
        <w:rFonts w:hint="default" w:ascii="Times New Roman" w:hAnsi="Times New Roman" w:cs="Times New Roman"/>
        <w:sz w:val="24"/>
        <w:szCs w:val="24"/>
      </w:rPr>
    </w:lvl>
  </w:abstractNum>
  <w:abstractNum w:abstractNumId="24">
    <w:nsid w:val="51D9B7A5"/>
    <w:multiLevelType w:val="singleLevel"/>
    <w:tmpl w:val="51D9B7A5"/>
    <w:lvl w:ilvl="0" w:tentative="0">
      <w:start w:val="1"/>
      <w:numFmt w:val="decimal"/>
      <w:suff w:val="nothing"/>
      <w:lvlText w:val="（%1）"/>
      <w:lvlJc w:val="left"/>
    </w:lvl>
  </w:abstractNum>
  <w:abstractNum w:abstractNumId="25">
    <w:nsid w:val="5716C36E"/>
    <w:multiLevelType w:val="singleLevel"/>
    <w:tmpl w:val="5716C36E"/>
    <w:lvl w:ilvl="0" w:tentative="0">
      <w:start w:val="1"/>
      <w:numFmt w:val="lowerLetter"/>
      <w:lvlText w:val="%1."/>
      <w:lvlJc w:val="left"/>
      <w:pPr>
        <w:tabs>
          <w:tab w:val="left" w:pos="312"/>
        </w:tabs>
      </w:pPr>
      <w:rPr>
        <w:rFonts w:hint="default"/>
        <w:sz w:val="24"/>
        <w:szCs w:val="24"/>
      </w:rPr>
    </w:lvl>
  </w:abstractNum>
  <w:abstractNum w:abstractNumId="26">
    <w:nsid w:val="575F3222"/>
    <w:multiLevelType w:val="singleLevel"/>
    <w:tmpl w:val="575F3222"/>
    <w:lvl w:ilvl="0" w:tentative="0">
      <w:start w:val="1"/>
      <w:numFmt w:val="decimal"/>
      <w:suff w:val="nothing"/>
      <w:lvlText w:val="（%1）"/>
      <w:lvlJc w:val="left"/>
    </w:lvl>
  </w:abstractNum>
  <w:abstractNum w:abstractNumId="27">
    <w:nsid w:val="625FD0EE"/>
    <w:multiLevelType w:val="singleLevel"/>
    <w:tmpl w:val="625FD0EE"/>
    <w:lvl w:ilvl="0" w:tentative="0">
      <w:start w:val="1"/>
      <w:numFmt w:val="decimal"/>
      <w:suff w:val="nothing"/>
      <w:lvlText w:val="（%1）"/>
      <w:lvlJc w:val="left"/>
    </w:lvl>
  </w:abstractNum>
  <w:abstractNum w:abstractNumId="28">
    <w:nsid w:val="6D7B60E5"/>
    <w:multiLevelType w:val="singleLevel"/>
    <w:tmpl w:val="6D7B60E5"/>
    <w:lvl w:ilvl="0" w:tentative="0">
      <w:start w:val="1"/>
      <w:numFmt w:val="decimal"/>
      <w:suff w:val="nothing"/>
      <w:lvlText w:val="（%1）"/>
      <w:lvlJc w:val="left"/>
    </w:lvl>
  </w:abstractNum>
  <w:abstractNum w:abstractNumId="29">
    <w:nsid w:val="6DBF04F4"/>
    <w:multiLevelType w:val="multilevel"/>
    <w:tmpl w:val="6DBF04F4"/>
    <w:lvl w:ilvl="0" w:tentative="0">
      <w:start w:val="1"/>
      <w:numFmt w:val="none"/>
      <w:pStyle w:val="139"/>
      <w:suff w:val="nothing"/>
      <w:lvlText w:val="%1注："/>
      <w:lvlJc w:val="left"/>
      <w:pPr>
        <w:ind w:left="726" w:hanging="363"/>
      </w:pPr>
      <w:rPr>
        <w:rFonts w:hint="eastAsia" w:ascii="黑体" w:hAnsi="Times New Roman"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30">
    <w:nsid w:val="6E4ECF5F"/>
    <w:multiLevelType w:val="singleLevel"/>
    <w:tmpl w:val="6E4ECF5F"/>
    <w:lvl w:ilvl="0" w:tentative="0">
      <w:start w:val="1"/>
      <w:numFmt w:val="decimal"/>
      <w:suff w:val="nothing"/>
      <w:lvlText w:val="（%1）"/>
      <w:lvlJc w:val="left"/>
    </w:lvl>
  </w:abstractNum>
  <w:abstractNum w:abstractNumId="31">
    <w:nsid w:val="70791EA5"/>
    <w:multiLevelType w:val="multilevel"/>
    <w:tmpl w:val="70791EA5"/>
    <w:lvl w:ilvl="0" w:tentative="0">
      <w:start w:val="1"/>
      <w:numFmt w:val="decimal"/>
      <w:pStyle w:val="59"/>
      <w:suff w:val="space"/>
      <w:lvlText w:val="%1."/>
      <w:lvlJc w:val="left"/>
      <w:pPr>
        <w:ind w:left="0" w:firstLine="0"/>
      </w:pPr>
      <w:rPr>
        <w:rFonts w:hint="eastAsia"/>
      </w:rPr>
    </w:lvl>
    <w:lvl w:ilvl="1" w:tentative="0">
      <w:start w:val="1"/>
      <w:numFmt w:val="decimal"/>
      <w:pStyle w:val="60"/>
      <w:suff w:val="space"/>
      <w:lvlText w:val="%1.%2"/>
      <w:lvlJc w:val="left"/>
      <w:pPr>
        <w:ind w:left="-168" w:firstLine="0"/>
      </w:pPr>
      <w:rPr>
        <w:rFonts w:hint="eastAsia"/>
      </w:rPr>
    </w:lvl>
    <w:lvl w:ilvl="2" w:tentative="0">
      <w:start w:val="1"/>
      <w:numFmt w:val="decimal"/>
      <w:pStyle w:val="61"/>
      <w:suff w:val="space"/>
      <w:lvlText w:val="%1.%2.%3"/>
      <w:lvlJc w:val="left"/>
      <w:pPr>
        <w:ind w:left="0" w:firstLine="0"/>
      </w:pPr>
      <w:rPr>
        <w:rFonts w:hint="eastAsia"/>
      </w:rPr>
    </w:lvl>
    <w:lvl w:ilvl="3" w:tentative="0">
      <w:start w:val="1"/>
      <w:numFmt w:val="decimal"/>
      <w:lvlRestart w:val="2"/>
      <w:pStyle w:val="56"/>
      <w:suff w:val="space"/>
      <w:lvlText w:val="表%1.%2-%4    "/>
      <w:lvlJc w:val="left"/>
      <w:pPr>
        <w:ind w:left="4560" w:firstLine="0"/>
      </w:pPr>
      <w:rPr>
        <w:rFonts w:hint="default"/>
        <w:b/>
        <w:bCs/>
        <w:color w:val="auto"/>
        <w:sz w:val="21"/>
        <w:szCs w:val="21"/>
      </w:rPr>
    </w:lvl>
    <w:lvl w:ilvl="4" w:tentative="0">
      <w:start w:val="1"/>
      <w:numFmt w:val="decimal"/>
      <w:lvlRestart w:val="3"/>
      <w:pStyle w:val="62"/>
      <w:suff w:val="space"/>
      <w:lvlText w:val="%1.%2.%3.%5"/>
      <w:lvlJc w:val="left"/>
      <w:pPr>
        <w:ind w:left="0" w:firstLine="0"/>
      </w:pPr>
      <w:rPr>
        <w:rFonts w:hint="eastAsia"/>
      </w:rPr>
    </w:lvl>
    <w:lvl w:ilvl="5" w:tentative="0">
      <w:start w:val="1"/>
      <w:numFmt w:val="decimal"/>
      <w:lvlRestart w:val="2"/>
      <w:pStyle w:val="64"/>
      <w:suff w:val="space"/>
      <w:lvlText w:val="图%1.%2-%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32">
    <w:nsid w:val="72218D24"/>
    <w:multiLevelType w:val="singleLevel"/>
    <w:tmpl w:val="72218D24"/>
    <w:lvl w:ilvl="0" w:tentative="0">
      <w:start w:val="1"/>
      <w:numFmt w:val="decimal"/>
      <w:suff w:val="nothing"/>
      <w:lvlText w:val="%1、"/>
      <w:lvlJc w:val="left"/>
    </w:lvl>
  </w:abstractNum>
  <w:num w:numId="1">
    <w:abstractNumId w:val="31"/>
  </w:num>
  <w:num w:numId="2">
    <w:abstractNumId w:val="13"/>
  </w:num>
  <w:num w:numId="3">
    <w:abstractNumId w:val="29"/>
  </w:num>
  <w:num w:numId="4">
    <w:abstractNumId w:val="12"/>
  </w:num>
  <w:num w:numId="5">
    <w:abstractNumId w:val="17"/>
  </w:num>
  <w:num w:numId="6">
    <w:abstractNumId w:val="3"/>
  </w:num>
  <w:num w:numId="7">
    <w:abstractNumId w:val="8"/>
  </w:num>
  <w:num w:numId="8">
    <w:abstractNumId w:val="1"/>
  </w:num>
  <w:num w:numId="9">
    <w:abstractNumId w:val="20"/>
  </w:num>
  <w:num w:numId="10">
    <w:abstractNumId w:val="30"/>
  </w:num>
  <w:num w:numId="11">
    <w:abstractNumId w:val="4"/>
  </w:num>
  <w:num w:numId="12">
    <w:abstractNumId w:val="22"/>
  </w:num>
  <w:num w:numId="13">
    <w:abstractNumId w:val="21"/>
  </w:num>
  <w:num w:numId="14">
    <w:abstractNumId w:val="6"/>
  </w:num>
  <w:num w:numId="15">
    <w:abstractNumId w:val="15"/>
  </w:num>
  <w:num w:numId="16">
    <w:abstractNumId w:val="25"/>
  </w:num>
  <w:num w:numId="17">
    <w:abstractNumId w:val="10"/>
  </w:num>
  <w:num w:numId="18">
    <w:abstractNumId w:val="7"/>
  </w:num>
  <w:num w:numId="19">
    <w:abstractNumId w:val="14"/>
  </w:num>
  <w:num w:numId="20">
    <w:abstractNumId w:val="2"/>
  </w:num>
  <w:num w:numId="21">
    <w:abstractNumId w:val="24"/>
  </w:num>
  <w:num w:numId="22">
    <w:abstractNumId w:val="0"/>
  </w:num>
  <w:num w:numId="23">
    <w:abstractNumId w:val="32"/>
  </w:num>
  <w:num w:numId="24">
    <w:abstractNumId w:val="27"/>
  </w:num>
  <w:num w:numId="25">
    <w:abstractNumId w:val="28"/>
  </w:num>
  <w:num w:numId="26">
    <w:abstractNumId w:val="26"/>
  </w:num>
  <w:num w:numId="27">
    <w:abstractNumId w:val="23"/>
  </w:num>
  <w:num w:numId="28">
    <w:abstractNumId w:val="9"/>
  </w:num>
  <w:num w:numId="29">
    <w:abstractNumId w:val="5"/>
  </w:num>
  <w:num w:numId="30">
    <w:abstractNumId w:val="19"/>
  </w:num>
  <w:num w:numId="31">
    <w:abstractNumId w:val="18"/>
  </w:num>
  <w:num w:numId="32">
    <w:abstractNumId w:val="16"/>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displayBackgroundShape w:val="1"/>
  <w:bordersDoNotSurroundHeader w:val="0"/>
  <w:bordersDoNotSurroundFooter w:val="0"/>
  <w:documentProtection w:enforcement="0"/>
  <w:defaultTabStop w:val="420"/>
  <w:drawingGridHorizontalSpacing w:val="240"/>
  <w:drawingGridVerticalSpacing w:val="99999990"/>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M0NzVhNjFmMzk2ZGQ0MjVlNDM5ZTgyMGNjY2Y2NjgifQ=="/>
  </w:docVars>
  <w:rsids>
    <w:rsidRoot w:val="00172A27"/>
    <w:rsid w:val="0000012F"/>
    <w:rsid w:val="00001493"/>
    <w:rsid w:val="00001770"/>
    <w:rsid w:val="00001870"/>
    <w:rsid w:val="000019EA"/>
    <w:rsid w:val="00001A02"/>
    <w:rsid w:val="00001BE6"/>
    <w:rsid w:val="00002122"/>
    <w:rsid w:val="00002369"/>
    <w:rsid w:val="00002C28"/>
    <w:rsid w:val="00003260"/>
    <w:rsid w:val="000034C6"/>
    <w:rsid w:val="00003741"/>
    <w:rsid w:val="00004080"/>
    <w:rsid w:val="00004146"/>
    <w:rsid w:val="000042AD"/>
    <w:rsid w:val="0000488D"/>
    <w:rsid w:val="000049AB"/>
    <w:rsid w:val="00004F30"/>
    <w:rsid w:val="0000509D"/>
    <w:rsid w:val="00005176"/>
    <w:rsid w:val="00005580"/>
    <w:rsid w:val="0000585B"/>
    <w:rsid w:val="00005C2C"/>
    <w:rsid w:val="000066B2"/>
    <w:rsid w:val="00006F10"/>
    <w:rsid w:val="0000756E"/>
    <w:rsid w:val="000077EB"/>
    <w:rsid w:val="00007927"/>
    <w:rsid w:val="00007B3F"/>
    <w:rsid w:val="00007DE5"/>
    <w:rsid w:val="000105A3"/>
    <w:rsid w:val="000109A6"/>
    <w:rsid w:val="000117E1"/>
    <w:rsid w:val="0001192D"/>
    <w:rsid w:val="00011C01"/>
    <w:rsid w:val="00013121"/>
    <w:rsid w:val="00013468"/>
    <w:rsid w:val="000135C8"/>
    <w:rsid w:val="000136FF"/>
    <w:rsid w:val="00013987"/>
    <w:rsid w:val="00013A93"/>
    <w:rsid w:val="000140E8"/>
    <w:rsid w:val="0001440E"/>
    <w:rsid w:val="00014891"/>
    <w:rsid w:val="00014A4F"/>
    <w:rsid w:val="00014BB8"/>
    <w:rsid w:val="00014F94"/>
    <w:rsid w:val="00015DFD"/>
    <w:rsid w:val="00016185"/>
    <w:rsid w:val="000162F9"/>
    <w:rsid w:val="000167BC"/>
    <w:rsid w:val="00016FBB"/>
    <w:rsid w:val="00016FF9"/>
    <w:rsid w:val="00017097"/>
    <w:rsid w:val="00017926"/>
    <w:rsid w:val="00017FD2"/>
    <w:rsid w:val="0002004E"/>
    <w:rsid w:val="000202F8"/>
    <w:rsid w:val="00020C13"/>
    <w:rsid w:val="00021606"/>
    <w:rsid w:val="000218B5"/>
    <w:rsid w:val="00022102"/>
    <w:rsid w:val="00022BA5"/>
    <w:rsid w:val="000234EA"/>
    <w:rsid w:val="000234FC"/>
    <w:rsid w:val="00023FAC"/>
    <w:rsid w:val="00024F53"/>
    <w:rsid w:val="000253BF"/>
    <w:rsid w:val="000254E7"/>
    <w:rsid w:val="000257B9"/>
    <w:rsid w:val="0002597E"/>
    <w:rsid w:val="00025BBD"/>
    <w:rsid w:val="000260F8"/>
    <w:rsid w:val="00026262"/>
    <w:rsid w:val="00026277"/>
    <w:rsid w:val="00026446"/>
    <w:rsid w:val="00026554"/>
    <w:rsid w:val="00026714"/>
    <w:rsid w:val="000267A1"/>
    <w:rsid w:val="00026C5F"/>
    <w:rsid w:val="00026CBA"/>
    <w:rsid w:val="00027431"/>
    <w:rsid w:val="00027C9D"/>
    <w:rsid w:val="000305FA"/>
    <w:rsid w:val="00030E26"/>
    <w:rsid w:val="0003161C"/>
    <w:rsid w:val="000318F1"/>
    <w:rsid w:val="00031AA4"/>
    <w:rsid w:val="00032072"/>
    <w:rsid w:val="0003272A"/>
    <w:rsid w:val="00032CF4"/>
    <w:rsid w:val="00032DF3"/>
    <w:rsid w:val="00032E7A"/>
    <w:rsid w:val="00033758"/>
    <w:rsid w:val="00033858"/>
    <w:rsid w:val="00034483"/>
    <w:rsid w:val="000348E2"/>
    <w:rsid w:val="00034B70"/>
    <w:rsid w:val="00034D74"/>
    <w:rsid w:val="00034E20"/>
    <w:rsid w:val="000350BF"/>
    <w:rsid w:val="0003542C"/>
    <w:rsid w:val="000358A3"/>
    <w:rsid w:val="000366BE"/>
    <w:rsid w:val="000367A6"/>
    <w:rsid w:val="00036880"/>
    <w:rsid w:val="00036CC2"/>
    <w:rsid w:val="00036F37"/>
    <w:rsid w:val="00036F51"/>
    <w:rsid w:val="000373BC"/>
    <w:rsid w:val="00037D14"/>
    <w:rsid w:val="00040CA3"/>
    <w:rsid w:val="000415CA"/>
    <w:rsid w:val="00042949"/>
    <w:rsid w:val="00043A5F"/>
    <w:rsid w:val="000447A6"/>
    <w:rsid w:val="00044B45"/>
    <w:rsid w:val="0004587E"/>
    <w:rsid w:val="0004619A"/>
    <w:rsid w:val="00046742"/>
    <w:rsid w:val="00046854"/>
    <w:rsid w:val="00046865"/>
    <w:rsid w:val="00046998"/>
    <w:rsid w:val="00046A38"/>
    <w:rsid w:val="00046CC4"/>
    <w:rsid w:val="00046FAF"/>
    <w:rsid w:val="00046FFB"/>
    <w:rsid w:val="00047A38"/>
    <w:rsid w:val="00047C0D"/>
    <w:rsid w:val="00047E44"/>
    <w:rsid w:val="0005012C"/>
    <w:rsid w:val="00050777"/>
    <w:rsid w:val="000510A1"/>
    <w:rsid w:val="00051F4B"/>
    <w:rsid w:val="00052CC1"/>
    <w:rsid w:val="000531DB"/>
    <w:rsid w:val="000533E3"/>
    <w:rsid w:val="00053C6F"/>
    <w:rsid w:val="00053D20"/>
    <w:rsid w:val="00053DC8"/>
    <w:rsid w:val="00054069"/>
    <w:rsid w:val="000543BE"/>
    <w:rsid w:val="00054551"/>
    <w:rsid w:val="0005535E"/>
    <w:rsid w:val="0005625D"/>
    <w:rsid w:val="000562D2"/>
    <w:rsid w:val="000564E7"/>
    <w:rsid w:val="0005712B"/>
    <w:rsid w:val="000575F5"/>
    <w:rsid w:val="00057DD9"/>
    <w:rsid w:val="000605F9"/>
    <w:rsid w:val="0006090E"/>
    <w:rsid w:val="00060AD3"/>
    <w:rsid w:val="00061708"/>
    <w:rsid w:val="00061B5A"/>
    <w:rsid w:val="000621B8"/>
    <w:rsid w:val="00062734"/>
    <w:rsid w:val="0006321E"/>
    <w:rsid w:val="0006335B"/>
    <w:rsid w:val="000637A6"/>
    <w:rsid w:val="00063E69"/>
    <w:rsid w:val="00063EFD"/>
    <w:rsid w:val="0006415C"/>
    <w:rsid w:val="00065E41"/>
    <w:rsid w:val="000660A6"/>
    <w:rsid w:val="00066156"/>
    <w:rsid w:val="00066197"/>
    <w:rsid w:val="00066287"/>
    <w:rsid w:val="00066E2F"/>
    <w:rsid w:val="00070179"/>
    <w:rsid w:val="000701C0"/>
    <w:rsid w:val="0007074E"/>
    <w:rsid w:val="000708A9"/>
    <w:rsid w:val="0007099A"/>
    <w:rsid w:val="000712E4"/>
    <w:rsid w:val="000717D3"/>
    <w:rsid w:val="00071C85"/>
    <w:rsid w:val="00071D3D"/>
    <w:rsid w:val="000730BF"/>
    <w:rsid w:val="00073C49"/>
    <w:rsid w:val="00073C92"/>
    <w:rsid w:val="0007441F"/>
    <w:rsid w:val="000745A6"/>
    <w:rsid w:val="00074B96"/>
    <w:rsid w:val="00074E72"/>
    <w:rsid w:val="0007564C"/>
    <w:rsid w:val="0007566D"/>
    <w:rsid w:val="00075820"/>
    <w:rsid w:val="00075ABF"/>
    <w:rsid w:val="00075AD6"/>
    <w:rsid w:val="0007605D"/>
    <w:rsid w:val="000762E6"/>
    <w:rsid w:val="00076798"/>
    <w:rsid w:val="00076E4D"/>
    <w:rsid w:val="00077934"/>
    <w:rsid w:val="00080008"/>
    <w:rsid w:val="0008109D"/>
    <w:rsid w:val="00081B22"/>
    <w:rsid w:val="00081CAD"/>
    <w:rsid w:val="00081F96"/>
    <w:rsid w:val="000825C4"/>
    <w:rsid w:val="00082D08"/>
    <w:rsid w:val="0008396B"/>
    <w:rsid w:val="00083A14"/>
    <w:rsid w:val="00083EC4"/>
    <w:rsid w:val="00085AA3"/>
    <w:rsid w:val="00086248"/>
    <w:rsid w:val="0008629E"/>
    <w:rsid w:val="000862FF"/>
    <w:rsid w:val="0008687D"/>
    <w:rsid w:val="000868C3"/>
    <w:rsid w:val="0008695C"/>
    <w:rsid w:val="00087E22"/>
    <w:rsid w:val="00087E88"/>
    <w:rsid w:val="00090FDA"/>
    <w:rsid w:val="00091002"/>
    <w:rsid w:val="0009131C"/>
    <w:rsid w:val="000916F9"/>
    <w:rsid w:val="00091B16"/>
    <w:rsid w:val="00091E96"/>
    <w:rsid w:val="00092076"/>
    <w:rsid w:val="00092509"/>
    <w:rsid w:val="00092E80"/>
    <w:rsid w:val="00092F2B"/>
    <w:rsid w:val="000934A5"/>
    <w:rsid w:val="000940BF"/>
    <w:rsid w:val="000943C9"/>
    <w:rsid w:val="000946EA"/>
    <w:rsid w:val="00094F4F"/>
    <w:rsid w:val="00097818"/>
    <w:rsid w:val="00097C96"/>
    <w:rsid w:val="00097E93"/>
    <w:rsid w:val="00097F98"/>
    <w:rsid w:val="000A0343"/>
    <w:rsid w:val="000A0BAA"/>
    <w:rsid w:val="000A12BA"/>
    <w:rsid w:val="000A1491"/>
    <w:rsid w:val="000A16AD"/>
    <w:rsid w:val="000A1CE9"/>
    <w:rsid w:val="000A1DEC"/>
    <w:rsid w:val="000A2137"/>
    <w:rsid w:val="000A3DB8"/>
    <w:rsid w:val="000A3FB7"/>
    <w:rsid w:val="000A4136"/>
    <w:rsid w:val="000A446C"/>
    <w:rsid w:val="000A4F34"/>
    <w:rsid w:val="000A5610"/>
    <w:rsid w:val="000A5717"/>
    <w:rsid w:val="000A5752"/>
    <w:rsid w:val="000A6077"/>
    <w:rsid w:val="000B02EA"/>
    <w:rsid w:val="000B0A42"/>
    <w:rsid w:val="000B1708"/>
    <w:rsid w:val="000B1F54"/>
    <w:rsid w:val="000B21E7"/>
    <w:rsid w:val="000B24A9"/>
    <w:rsid w:val="000B2A9E"/>
    <w:rsid w:val="000B3231"/>
    <w:rsid w:val="000B35E5"/>
    <w:rsid w:val="000B3CF2"/>
    <w:rsid w:val="000B3E44"/>
    <w:rsid w:val="000B40D1"/>
    <w:rsid w:val="000B4685"/>
    <w:rsid w:val="000B4E29"/>
    <w:rsid w:val="000B54D2"/>
    <w:rsid w:val="000B58CF"/>
    <w:rsid w:val="000B5D06"/>
    <w:rsid w:val="000B5F73"/>
    <w:rsid w:val="000B70DC"/>
    <w:rsid w:val="000B7141"/>
    <w:rsid w:val="000B7166"/>
    <w:rsid w:val="000B716D"/>
    <w:rsid w:val="000B76C0"/>
    <w:rsid w:val="000B7950"/>
    <w:rsid w:val="000B7A50"/>
    <w:rsid w:val="000B7F54"/>
    <w:rsid w:val="000C014A"/>
    <w:rsid w:val="000C0D6B"/>
    <w:rsid w:val="000C143E"/>
    <w:rsid w:val="000C1519"/>
    <w:rsid w:val="000C2911"/>
    <w:rsid w:val="000C296B"/>
    <w:rsid w:val="000C33EE"/>
    <w:rsid w:val="000C3AC6"/>
    <w:rsid w:val="000C3D8E"/>
    <w:rsid w:val="000C43F5"/>
    <w:rsid w:val="000C45F7"/>
    <w:rsid w:val="000C4D2B"/>
    <w:rsid w:val="000C4E3E"/>
    <w:rsid w:val="000C5248"/>
    <w:rsid w:val="000C52A7"/>
    <w:rsid w:val="000C5949"/>
    <w:rsid w:val="000C5E79"/>
    <w:rsid w:val="000C63BA"/>
    <w:rsid w:val="000C787D"/>
    <w:rsid w:val="000D01BC"/>
    <w:rsid w:val="000D01BF"/>
    <w:rsid w:val="000D0757"/>
    <w:rsid w:val="000D0ABC"/>
    <w:rsid w:val="000D0AC7"/>
    <w:rsid w:val="000D0FDA"/>
    <w:rsid w:val="000D1331"/>
    <w:rsid w:val="000D1A6E"/>
    <w:rsid w:val="000D216A"/>
    <w:rsid w:val="000D218D"/>
    <w:rsid w:val="000D21E4"/>
    <w:rsid w:val="000D221D"/>
    <w:rsid w:val="000D2236"/>
    <w:rsid w:val="000D2B62"/>
    <w:rsid w:val="000D2BDC"/>
    <w:rsid w:val="000D2CD2"/>
    <w:rsid w:val="000D320D"/>
    <w:rsid w:val="000D3540"/>
    <w:rsid w:val="000D3E8A"/>
    <w:rsid w:val="000D3FD5"/>
    <w:rsid w:val="000D41B7"/>
    <w:rsid w:val="000D449F"/>
    <w:rsid w:val="000D488C"/>
    <w:rsid w:val="000D49DE"/>
    <w:rsid w:val="000D4D6C"/>
    <w:rsid w:val="000D5011"/>
    <w:rsid w:val="000D51AA"/>
    <w:rsid w:val="000D57EB"/>
    <w:rsid w:val="000D5B58"/>
    <w:rsid w:val="000D5BA9"/>
    <w:rsid w:val="000D5E06"/>
    <w:rsid w:val="000D631C"/>
    <w:rsid w:val="000D6A86"/>
    <w:rsid w:val="000D7609"/>
    <w:rsid w:val="000D775C"/>
    <w:rsid w:val="000D7F7F"/>
    <w:rsid w:val="000E0214"/>
    <w:rsid w:val="000E0269"/>
    <w:rsid w:val="000E03E6"/>
    <w:rsid w:val="000E04BC"/>
    <w:rsid w:val="000E0E86"/>
    <w:rsid w:val="000E110A"/>
    <w:rsid w:val="000E1ABD"/>
    <w:rsid w:val="000E1AE0"/>
    <w:rsid w:val="000E2804"/>
    <w:rsid w:val="000E284D"/>
    <w:rsid w:val="000E2E88"/>
    <w:rsid w:val="000E31B7"/>
    <w:rsid w:val="000E44CD"/>
    <w:rsid w:val="000E4A24"/>
    <w:rsid w:val="000E5192"/>
    <w:rsid w:val="000E6692"/>
    <w:rsid w:val="000E6EE2"/>
    <w:rsid w:val="000E7ABA"/>
    <w:rsid w:val="000E7B55"/>
    <w:rsid w:val="000F0327"/>
    <w:rsid w:val="000F03DB"/>
    <w:rsid w:val="000F06DD"/>
    <w:rsid w:val="000F12FB"/>
    <w:rsid w:val="000F139F"/>
    <w:rsid w:val="000F19F7"/>
    <w:rsid w:val="000F1A71"/>
    <w:rsid w:val="000F1CB0"/>
    <w:rsid w:val="000F1CB1"/>
    <w:rsid w:val="000F2986"/>
    <w:rsid w:val="000F30CA"/>
    <w:rsid w:val="000F325A"/>
    <w:rsid w:val="000F3378"/>
    <w:rsid w:val="000F3A41"/>
    <w:rsid w:val="000F3BB8"/>
    <w:rsid w:val="000F45CA"/>
    <w:rsid w:val="000F494F"/>
    <w:rsid w:val="000F5004"/>
    <w:rsid w:val="000F592A"/>
    <w:rsid w:val="000F5DFE"/>
    <w:rsid w:val="000F611F"/>
    <w:rsid w:val="000F620E"/>
    <w:rsid w:val="000F684C"/>
    <w:rsid w:val="000F6FFA"/>
    <w:rsid w:val="000F7767"/>
    <w:rsid w:val="000F7F55"/>
    <w:rsid w:val="00100008"/>
    <w:rsid w:val="001007B0"/>
    <w:rsid w:val="00100BE7"/>
    <w:rsid w:val="00100D5F"/>
    <w:rsid w:val="00100FD1"/>
    <w:rsid w:val="00101217"/>
    <w:rsid w:val="00101765"/>
    <w:rsid w:val="0010207E"/>
    <w:rsid w:val="00102355"/>
    <w:rsid w:val="00102639"/>
    <w:rsid w:val="00102B96"/>
    <w:rsid w:val="00102E65"/>
    <w:rsid w:val="0010323C"/>
    <w:rsid w:val="0010387C"/>
    <w:rsid w:val="001038B4"/>
    <w:rsid w:val="001038C8"/>
    <w:rsid w:val="001044A3"/>
    <w:rsid w:val="001048FC"/>
    <w:rsid w:val="001050C8"/>
    <w:rsid w:val="00106277"/>
    <w:rsid w:val="001062F1"/>
    <w:rsid w:val="00106530"/>
    <w:rsid w:val="00106ADF"/>
    <w:rsid w:val="00106B11"/>
    <w:rsid w:val="00106B71"/>
    <w:rsid w:val="00106E4F"/>
    <w:rsid w:val="00107116"/>
    <w:rsid w:val="0011006B"/>
    <w:rsid w:val="0011094C"/>
    <w:rsid w:val="001112FF"/>
    <w:rsid w:val="001113EF"/>
    <w:rsid w:val="00111E1D"/>
    <w:rsid w:val="00111EC9"/>
    <w:rsid w:val="00112918"/>
    <w:rsid w:val="0011318E"/>
    <w:rsid w:val="001135FD"/>
    <w:rsid w:val="0011462C"/>
    <w:rsid w:val="0011549A"/>
    <w:rsid w:val="00115FE1"/>
    <w:rsid w:val="001171BA"/>
    <w:rsid w:val="00117408"/>
    <w:rsid w:val="001174CB"/>
    <w:rsid w:val="00117578"/>
    <w:rsid w:val="00117FD9"/>
    <w:rsid w:val="0012079B"/>
    <w:rsid w:val="00120974"/>
    <w:rsid w:val="001212B8"/>
    <w:rsid w:val="001214B4"/>
    <w:rsid w:val="00121B2D"/>
    <w:rsid w:val="00121D4F"/>
    <w:rsid w:val="00121D5A"/>
    <w:rsid w:val="001224AB"/>
    <w:rsid w:val="00122BB6"/>
    <w:rsid w:val="00123652"/>
    <w:rsid w:val="00124034"/>
    <w:rsid w:val="00124042"/>
    <w:rsid w:val="001242C8"/>
    <w:rsid w:val="001245DD"/>
    <w:rsid w:val="00124847"/>
    <w:rsid w:val="00124A87"/>
    <w:rsid w:val="00124B1D"/>
    <w:rsid w:val="00124B36"/>
    <w:rsid w:val="00124D12"/>
    <w:rsid w:val="00125126"/>
    <w:rsid w:val="001258EA"/>
    <w:rsid w:val="001259CF"/>
    <w:rsid w:val="00125DDC"/>
    <w:rsid w:val="00125DDF"/>
    <w:rsid w:val="00126738"/>
    <w:rsid w:val="0012689C"/>
    <w:rsid w:val="00126E24"/>
    <w:rsid w:val="0012735E"/>
    <w:rsid w:val="00127407"/>
    <w:rsid w:val="001275E0"/>
    <w:rsid w:val="001278AC"/>
    <w:rsid w:val="00127A17"/>
    <w:rsid w:val="00127A44"/>
    <w:rsid w:val="00127B41"/>
    <w:rsid w:val="001304F1"/>
    <w:rsid w:val="00130C38"/>
    <w:rsid w:val="00131326"/>
    <w:rsid w:val="001316AD"/>
    <w:rsid w:val="001320D1"/>
    <w:rsid w:val="00132A59"/>
    <w:rsid w:val="00133048"/>
    <w:rsid w:val="00133446"/>
    <w:rsid w:val="001342BA"/>
    <w:rsid w:val="00134596"/>
    <w:rsid w:val="001347B4"/>
    <w:rsid w:val="0013485D"/>
    <w:rsid w:val="001349B9"/>
    <w:rsid w:val="00135181"/>
    <w:rsid w:val="00135291"/>
    <w:rsid w:val="00135977"/>
    <w:rsid w:val="0013603F"/>
    <w:rsid w:val="001365E2"/>
    <w:rsid w:val="001365FC"/>
    <w:rsid w:val="00136DC6"/>
    <w:rsid w:val="00136DED"/>
    <w:rsid w:val="00137E64"/>
    <w:rsid w:val="00137FDC"/>
    <w:rsid w:val="00140CFA"/>
    <w:rsid w:val="00140E05"/>
    <w:rsid w:val="00140F07"/>
    <w:rsid w:val="0014157E"/>
    <w:rsid w:val="0014195C"/>
    <w:rsid w:val="00141A0A"/>
    <w:rsid w:val="00141CAC"/>
    <w:rsid w:val="00141E03"/>
    <w:rsid w:val="00142998"/>
    <w:rsid w:val="00143625"/>
    <w:rsid w:val="001437E5"/>
    <w:rsid w:val="001439D4"/>
    <w:rsid w:val="001442AE"/>
    <w:rsid w:val="00144887"/>
    <w:rsid w:val="00144C4C"/>
    <w:rsid w:val="0014516A"/>
    <w:rsid w:val="00145213"/>
    <w:rsid w:val="001456EC"/>
    <w:rsid w:val="00145BD5"/>
    <w:rsid w:val="001464F1"/>
    <w:rsid w:val="00146C0B"/>
    <w:rsid w:val="0014787B"/>
    <w:rsid w:val="001478E3"/>
    <w:rsid w:val="00147BF7"/>
    <w:rsid w:val="00150777"/>
    <w:rsid w:val="00151378"/>
    <w:rsid w:val="00151559"/>
    <w:rsid w:val="00151811"/>
    <w:rsid w:val="001519D2"/>
    <w:rsid w:val="001532AC"/>
    <w:rsid w:val="001539BB"/>
    <w:rsid w:val="00153BA8"/>
    <w:rsid w:val="00153CD0"/>
    <w:rsid w:val="00153EF7"/>
    <w:rsid w:val="0015402C"/>
    <w:rsid w:val="001540DD"/>
    <w:rsid w:val="001549CD"/>
    <w:rsid w:val="0015534E"/>
    <w:rsid w:val="00155810"/>
    <w:rsid w:val="00155AFC"/>
    <w:rsid w:val="00155EDF"/>
    <w:rsid w:val="0015650E"/>
    <w:rsid w:val="001568B8"/>
    <w:rsid w:val="00156D68"/>
    <w:rsid w:val="00157959"/>
    <w:rsid w:val="001601B4"/>
    <w:rsid w:val="00160394"/>
    <w:rsid w:val="001604D1"/>
    <w:rsid w:val="001604F4"/>
    <w:rsid w:val="00160913"/>
    <w:rsid w:val="001613F4"/>
    <w:rsid w:val="001615F2"/>
    <w:rsid w:val="00161FB8"/>
    <w:rsid w:val="00162240"/>
    <w:rsid w:val="001629AE"/>
    <w:rsid w:val="00162E94"/>
    <w:rsid w:val="001630B1"/>
    <w:rsid w:val="00163B1E"/>
    <w:rsid w:val="00164413"/>
    <w:rsid w:val="00164555"/>
    <w:rsid w:val="00164D7B"/>
    <w:rsid w:val="0016603B"/>
    <w:rsid w:val="001661D6"/>
    <w:rsid w:val="00166AFE"/>
    <w:rsid w:val="00166E8E"/>
    <w:rsid w:val="00166F52"/>
    <w:rsid w:val="001674C3"/>
    <w:rsid w:val="00167B19"/>
    <w:rsid w:val="00167F4B"/>
    <w:rsid w:val="0017011E"/>
    <w:rsid w:val="00170122"/>
    <w:rsid w:val="00171473"/>
    <w:rsid w:val="001716F2"/>
    <w:rsid w:val="00171880"/>
    <w:rsid w:val="00171A12"/>
    <w:rsid w:val="00172661"/>
    <w:rsid w:val="00172A27"/>
    <w:rsid w:val="00172D28"/>
    <w:rsid w:val="001733B4"/>
    <w:rsid w:val="00173807"/>
    <w:rsid w:val="001738FA"/>
    <w:rsid w:val="00173D2D"/>
    <w:rsid w:val="00174070"/>
    <w:rsid w:val="001745EB"/>
    <w:rsid w:val="00174FD5"/>
    <w:rsid w:val="00175135"/>
    <w:rsid w:val="001751F4"/>
    <w:rsid w:val="001754CF"/>
    <w:rsid w:val="001754F6"/>
    <w:rsid w:val="001755AC"/>
    <w:rsid w:val="00175688"/>
    <w:rsid w:val="001760B5"/>
    <w:rsid w:val="0017686C"/>
    <w:rsid w:val="00176C5F"/>
    <w:rsid w:val="00176F42"/>
    <w:rsid w:val="00177223"/>
    <w:rsid w:val="0017745B"/>
    <w:rsid w:val="00177EBB"/>
    <w:rsid w:val="0018062D"/>
    <w:rsid w:val="00181048"/>
    <w:rsid w:val="00181C9F"/>
    <w:rsid w:val="00181DD4"/>
    <w:rsid w:val="00182567"/>
    <w:rsid w:val="00182D97"/>
    <w:rsid w:val="001843EF"/>
    <w:rsid w:val="001847DB"/>
    <w:rsid w:val="00185A47"/>
    <w:rsid w:val="00185EDE"/>
    <w:rsid w:val="00186136"/>
    <w:rsid w:val="0018631A"/>
    <w:rsid w:val="001865A7"/>
    <w:rsid w:val="00186758"/>
    <w:rsid w:val="00187007"/>
    <w:rsid w:val="0018704D"/>
    <w:rsid w:val="0018746F"/>
    <w:rsid w:val="0018786D"/>
    <w:rsid w:val="00187E45"/>
    <w:rsid w:val="001904CC"/>
    <w:rsid w:val="00190CFE"/>
    <w:rsid w:val="00190F41"/>
    <w:rsid w:val="001913AB"/>
    <w:rsid w:val="001914A3"/>
    <w:rsid w:val="00191947"/>
    <w:rsid w:val="00192D25"/>
    <w:rsid w:val="00193C6C"/>
    <w:rsid w:val="00193FC2"/>
    <w:rsid w:val="00194523"/>
    <w:rsid w:val="00194ACA"/>
    <w:rsid w:val="0019529B"/>
    <w:rsid w:val="00195D80"/>
    <w:rsid w:val="00195F63"/>
    <w:rsid w:val="0019600B"/>
    <w:rsid w:val="00196171"/>
    <w:rsid w:val="00197049"/>
    <w:rsid w:val="00197865"/>
    <w:rsid w:val="001979C5"/>
    <w:rsid w:val="00197C6A"/>
    <w:rsid w:val="00197F31"/>
    <w:rsid w:val="001A03C7"/>
    <w:rsid w:val="001A03D3"/>
    <w:rsid w:val="001A0493"/>
    <w:rsid w:val="001A0879"/>
    <w:rsid w:val="001A0C26"/>
    <w:rsid w:val="001A1287"/>
    <w:rsid w:val="001A1EC1"/>
    <w:rsid w:val="001A22A7"/>
    <w:rsid w:val="001A24C1"/>
    <w:rsid w:val="001A2937"/>
    <w:rsid w:val="001A31F6"/>
    <w:rsid w:val="001A3D7C"/>
    <w:rsid w:val="001A3D89"/>
    <w:rsid w:val="001A3E7E"/>
    <w:rsid w:val="001A3F45"/>
    <w:rsid w:val="001A47DD"/>
    <w:rsid w:val="001A50DC"/>
    <w:rsid w:val="001A56A6"/>
    <w:rsid w:val="001A5BB2"/>
    <w:rsid w:val="001A5ECD"/>
    <w:rsid w:val="001A647A"/>
    <w:rsid w:val="001A7473"/>
    <w:rsid w:val="001A75D8"/>
    <w:rsid w:val="001B008B"/>
    <w:rsid w:val="001B06AE"/>
    <w:rsid w:val="001B212A"/>
    <w:rsid w:val="001B229B"/>
    <w:rsid w:val="001B24A2"/>
    <w:rsid w:val="001B2966"/>
    <w:rsid w:val="001B2C48"/>
    <w:rsid w:val="001B2E4E"/>
    <w:rsid w:val="001B39DD"/>
    <w:rsid w:val="001B3EED"/>
    <w:rsid w:val="001B4911"/>
    <w:rsid w:val="001B4BA7"/>
    <w:rsid w:val="001B50FF"/>
    <w:rsid w:val="001B5D15"/>
    <w:rsid w:val="001B5E34"/>
    <w:rsid w:val="001B5E3B"/>
    <w:rsid w:val="001B62C6"/>
    <w:rsid w:val="001B62D5"/>
    <w:rsid w:val="001B6504"/>
    <w:rsid w:val="001B66E0"/>
    <w:rsid w:val="001B6C38"/>
    <w:rsid w:val="001B6E58"/>
    <w:rsid w:val="001B75C5"/>
    <w:rsid w:val="001C0036"/>
    <w:rsid w:val="001C021D"/>
    <w:rsid w:val="001C08B6"/>
    <w:rsid w:val="001C0C5D"/>
    <w:rsid w:val="001C1183"/>
    <w:rsid w:val="001C11F1"/>
    <w:rsid w:val="001C131F"/>
    <w:rsid w:val="001C181E"/>
    <w:rsid w:val="001C1BD9"/>
    <w:rsid w:val="001C20C9"/>
    <w:rsid w:val="001C210E"/>
    <w:rsid w:val="001C2557"/>
    <w:rsid w:val="001C3994"/>
    <w:rsid w:val="001C3DD9"/>
    <w:rsid w:val="001C3F35"/>
    <w:rsid w:val="001C4222"/>
    <w:rsid w:val="001C451E"/>
    <w:rsid w:val="001C4E6F"/>
    <w:rsid w:val="001C5118"/>
    <w:rsid w:val="001C559D"/>
    <w:rsid w:val="001C5BE5"/>
    <w:rsid w:val="001C5EE7"/>
    <w:rsid w:val="001C667E"/>
    <w:rsid w:val="001C6F2F"/>
    <w:rsid w:val="001C7270"/>
    <w:rsid w:val="001C79C3"/>
    <w:rsid w:val="001D06B3"/>
    <w:rsid w:val="001D0DD8"/>
    <w:rsid w:val="001D0F1A"/>
    <w:rsid w:val="001D0F2A"/>
    <w:rsid w:val="001D1086"/>
    <w:rsid w:val="001D2237"/>
    <w:rsid w:val="001D238E"/>
    <w:rsid w:val="001D271C"/>
    <w:rsid w:val="001D29A5"/>
    <w:rsid w:val="001D3281"/>
    <w:rsid w:val="001D384D"/>
    <w:rsid w:val="001D38A2"/>
    <w:rsid w:val="001D38FF"/>
    <w:rsid w:val="001D3A93"/>
    <w:rsid w:val="001D3C6E"/>
    <w:rsid w:val="001D43EC"/>
    <w:rsid w:val="001D4BD9"/>
    <w:rsid w:val="001D56BB"/>
    <w:rsid w:val="001D5F5C"/>
    <w:rsid w:val="001D6507"/>
    <w:rsid w:val="001D6D5E"/>
    <w:rsid w:val="001D6DEF"/>
    <w:rsid w:val="001D7092"/>
    <w:rsid w:val="001D7516"/>
    <w:rsid w:val="001D7C63"/>
    <w:rsid w:val="001E018C"/>
    <w:rsid w:val="001E0591"/>
    <w:rsid w:val="001E06A1"/>
    <w:rsid w:val="001E07C4"/>
    <w:rsid w:val="001E0BF2"/>
    <w:rsid w:val="001E0DAB"/>
    <w:rsid w:val="001E14A4"/>
    <w:rsid w:val="001E155D"/>
    <w:rsid w:val="001E17BE"/>
    <w:rsid w:val="001E269B"/>
    <w:rsid w:val="001E2AF4"/>
    <w:rsid w:val="001E2C54"/>
    <w:rsid w:val="001E37A0"/>
    <w:rsid w:val="001E38DE"/>
    <w:rsid w:val="001E3C47"/>
    <w:rsid w:val="001E3E40"/>
    <w:rsid w:val="001E4842"/>
    <w:rsid w:val="001E4889"/>
    <w:rsid w:val="001E4BD3"/>
    <w:rsid w:val="001E5B6B"/>
    <w:rsid w:val="001E5E09"/>
    <w:rsid w:val="001E5E33"/>
    <w:rsid w:val="001E60C1"/>
    <w:rsid w:val="001E6676"/>
    <w:rsid w:val="001E6B3C"/>
    <w:rsid w:val="001F08FF"/>
    <w:rsid w:val="001F0BC5"/>
    <w:rsid w:val="001F10FA"/>
    <w:rsid w:val="001F1917"/>
    <w:rsid w:val="001F265F"/>
    <w:rsid w:val="001F279B"/>
    <w:rsid w:val="001F2951"/>
    <w:rsid w:val="001F2BE7"/>
    <w:rsid w:val="001F2FFE"/>
    <w:rsid w:val="001F31FB"/>
    <w:rsid w:val="001F34D3"/>
    <w:rsid w:val="001F3722"/>
    <w:rsid w:val="001F3779"/>
    <w:rsid w:val="001F37C3"/>
    <w:rsid w:val="001F388D"/>
    <w:rsid w:val="001F3BBB"/>
    <w:rsid w:val="001F3DF4"/>
    <w:rsid w:val="001F481B"/>
    <w:rsid w:val="001F481F"/>
    <w:rsid w:val="001F4CA4"/>
    <w:rsid w:val="001F531C"/>
    <w:rsid w:val="001F53F7"/>
    <w:rsid w:val="001F55BD"/>
    <w:rsid w:val="001F66C0"/>
    <w:rsid w:val="001F684F"/>
    <w:rsid w:val="001F705B"/>
    <w:rsid w:val="001F729E"/>
    <w:rsid w:val="001F75F4"/>
    <w:rsid w:val="001F781B"/>
    <w:rsid w:val="001F7951"/>
    <w:rsid w:val="00200C2B"/>
    <w:rsid w:val="00201451"/>
    <w:rsid w:val="00201662"/>
    <w:rsid w:val="00201676"/>
    <w:rsid w:val="002016AD"/>
    <w:rsid w:val="00202B6B"/>
    <w:rsid w:val="00203193"/>
    <w:rsid w:val="00204B0F"/>
    <w:rsid w:val="00204B3B"/>
    <w:rsid w:val="00205163"/>
    <w:rsid w:val="00205200"/>
    <w:rsid w:val="0020555B"/>
    <w:rsid w:val="00205926"/>
    <w:rsid w:val="00205F9C"/>
    <w:rsid w:val="0020657B"/>
    <w:rsid w:val="002068EA"/>
    <w:rsid w:val="00206977"/>
    <w:rsid w:val="00206B14"/>
    <w:rsid w:val="00206C08"/>
    <w:rsid w:val="00206DF8"/>
    <w:rsid w:val="0020725F"/>
    <w:rsid w:val="00207296"/>
    <w:rsid w:val="0021002B"/>
    <w:rsid w:val="002100DD"/>
    <w:rsid w:val="00210364"/>
    <w:rsid w:val="00210615"/>
    <w:rsid w:val="00210A79"/>
    <w:rsid w:val="00211373"/>
    <w:rsid w:val="00211477"/>
    <w:rsid w:val="00211839"/>
    <w:rsid w:val="00213886"/>
    <w:rsid w:val="0021401F"/>
    <w:rsid w:val="0021405F"/>
    <w:rsid w:val="0021531D"/>
    <w:rsid w:val="00215821"/>
    <w:rsid w:val="00216102"/>
    <w:rsid w:val="0021621E"/>
    <w:rsid w:val="00216427"/>
    <w:rsid w:val="0021659E"/>
    <w:rsid w:val="00216CAA"/>
    <w:rsid w:val="00216D08"/>
    <w:rsid w:val="00216F47"/>
    <w:rsid w:val="0021729A"/>
    <w:rsid w:val="00217E0B"/>
    <w:rsid w:val="00220510"/>
    <w:rsid w:val="00220C4E"/>
    <w:rsid w:val="0022123D"/>
    <w:rsid w:val="00222635"/>
    <w:rsid w:val="00222B8C"/>
    <w:rsid w:val="00223196"/>
    <w:rsid w:val="002233B8"/>
    <w:rsid w:val="00223620"/>
    <w:rsid w:val="0022366D"/>
    <w:rsid w:val="00223682"/>
    <w:rsid w:val="002236E3"/>
    <w:rsid w:val="00223E8B"/>
    <w:rsid w:val="00223F89"/>
    <w:rsid w:val="002243AE"/>
    <w:rsid w:val="00224979"/>
    <w:rsid w:val="00224B03"/>
    <w:rsid w:val="002260A1"/>
    <w:rsid w:val="002263AD"/>
    <w:rsid w:val="002265CB"/>
    <w:rsid w:val="00227080"/>
    <w:rsid w:val="00227463"/>
    <w:rsid w:val="0023046D"/>
    <w:rsid w:val="0023072B"/>
    <w:rsid w:val="002307A0"/>
    <w:rsid w:val="002307E3"/>
    <w:rsid w:val="00230EAE"/>
    <w:rsid w:val="00231064"/>
    <w:rsid w:val="0023191C"/>
    <w:rsid w:val="00232421"/>
    <w:rsid w:val="00232577"/>
    <w:rsid w:val="00232E5C"/>
    <w:rsid w:val="002331A3"/>
    <w:rsid w:val="00233260"/>
    <w:rsid w:val="002336DB"/>
    <w:rsid w:val="002339D4"/>
    <w:rsid w:val="002340DD"/>
    <w:rsid w:val="002342C5"/>
    <w:rsid w:val="00234A79"/>
    <w:rsid w:val="00234BB6"/>
    <w:rsid w:val="002354F9"/>
    <w:rsid w:val="002357C9"/>
    <w:rsid w:val="00235926"/>
    <w:rsid w:val="00235F96"/>
    <w:rsid w:val="00236583"/>
    <w:rsid w:val="00236B0B"/>
    <w:rsid w:val="00237570"/>
    <w:rsid w:val="00237858"/>
    <w:rsid w:val="00237AFE"/>
    <w:rsid w:val="002400D4"/>
    <w:rsid w:val="002407D1"/>
    <w:rsid w:val="00240CD6"/>
    <w:rsid w:val="002410D5"/>
    <w:rsid w:val="00241447"/>
    <w:rsid w:val="00241B41"/>
    <w:rsid w:val="00241DCC"/>
    <w:rsid w:val="00242AD4"/>
    <w:rsid w:val="00242AF7"/>
    <w:rsid w:val="00242E18"/>
    <w:rsid w:val="0024367C"/>
    <w:rsid w:val="00243A26"/>
    <w:rsid w:val="00243FBE"/>
    <w:rsid w:val="002442C6"/>
    <w:rsid w:val="00244C9C"/>
    <w:rsid w:val="0024554B"/>
    <w:rsid w:val="002463F3"/>
    <w:rsid w:val="0024654F"/>
    <w:rsid w:val="002465B0"/>
    <w:rsid w:val="0024697D"/>
    <w:rsid w:val="00247086"/>
    <w:rsid w:val="00247E4D"/>
    <w:rsid w:val="00250C71"/>
    <w:rsid w:val="002511DD"/>
    <w:rsid w:val="0025197F"/>
    <w:rsid w:val="00251F84"/>
    <w:rsid w:val="00252278"/>
    <w:rsid w:val="0025282E"/>
    <w:rsid w:val="00252938"/>
    <w:rsid w:val="00252C4C"/>
    <w:rsid w:val="00253503"/>
    <w:rsid w:val="002539B6"/>
    <w:rsid w:val="00253A4C"/>
    <w:rsid w:val="00253F84"/>
    <w:rsid w:val="00254097"/>
    <w:rsid w:val="002542B1"/>
    <w:rsid w:val="00255673"/>
    <w:rsid w:val="00255D24"/>
    <w:rsid w:val="0025628A"/>
    <w:rsid w:val="00256B42"/>
    <w:rsid w:val="002571DE"/>
    <w:rsid w:val="002572CA"/>
    <w:rsid w:val="00257543"/>
    <w:rsid w:val="00257634"/>
    <w:rsid w:val="00257B6B"/>
    <w:rsid w:val="00257BAA"/>
    <w:rsid w:val="002609C2"/>
    <w:rsid w:val="00261154"/>
    <w:rsid w:val="00261BEC"/>
    <w:rsid w:val="00261C26"/>
    <w:rsid w:val="0026277F"/>
    <w:rsid w:val="00262F8E"/>
    <w:rsid w:val="0026379A"/>
    <w:rsid w:val="00263B14"/>
    <w:rsid w:val="0026471C"/>
    <w:rsid w:val="002649C8"/>
    <w:rsid w:val="002654AE"/>
    <w:rsid w:val="002654BB"/>
    <w:rsid w:val="00266277"/>
    <w:rsid w:val="00266487"/>
    <w:rsid w:val="0026690B"/>
    <w:rsid w:val="00266A50"/>
    <w:rsid w:val="00266B39"/>
    <w:rsid w:val="00266C27"/>
    <w:rsid w:val="00266D92"/>
    <w:rsid w:val="00266F58"/>
    <w:rsid w:val="00267494"/>
    <w:rsid w:val="0026755B"/>
    <w:rsid w:val="00267840"/>
    <w:rsid w:val="00267BDD"/>
    <w:rsid w:val="00267F72"/>
    <w:rsid w:val="00270096"/>
    <w:rsid w:val="00270115"/>
    <w:rsid w:val="00270945"/>
    <w:rsid w:val="00270D54"/>
    <w:rsid w:val="00270E07"/>
    <w:rsid w:val="00271833"/>
    <w:rsid w:val="00271A3A"/>
    <w:rsid w:val="00271E94"/>
    <w:rsid w:val="00272161"/>
    <w:rsid w:val="002723BB"/>
    <w:rsid w:val="00272A09"/>
    <w:rsid w:val="00272D3F"/>
    <w:rsid w:val="00272DEF"/>
    <w:rsid w:val="00272DF1"/>
    <w:rsid w:val="0027354F"/>
    <w:rsid w:val="002739FF"/>
    <w:rsid w:val="00274684"/>
    <w:rsid w:val="002746FE"/>
    <w:rsid w:val="002750A1"/>
    <w:rsid w:val="00275750"/>
    <w:rsid w:val="002765CD"/>
    <w:rsid w:val="00276DD8"/>
    <w:rsid w:val="002773A7"/>
    <w:rsid w:val="002777C2"/>
    <w:rsid w:val="0028053D"/>
    <w:rsid w:val="00280668"/>
    <w:rsid w:val="00281002"/>
    <w:rsid w:val="002817E2"/>
    <w:rsid w:val="002821E9"/>
    <w:rsid w:val="00282B6C"/>
    <w:rsid w:val="002832B1"/>
    <w:rsid w:val="00283F86"/>
    <w:rsid w:val="00284143"/>
    <w:rsid w:val="00284650"/>
    <w:rsid w:val="00284F51"/>
    <w:rsid w:val="0028505F"/>
    <w:rsid w:val="00285554"/>
    <w:rsid w:val="00285C1F"/>
    <w:rsid w:val="00285D57"/>
    <w:rsid w:val="0028659E"/>
    <w:rsid w:val="002866B0"/>
    <w:rsid w:val="00286CE8"/>
    <w:rsid w:val="00286D47"/>
    <w:rsid w:val="00287203"/>
    <w:rsid w:val="002873A7"/>
    <w:rsid w:val="002875D8"/>
    <w:rsid w:val="00287C6E"/>
    <w:rsid w:val="00287DFD"/>
    <w:rsid w:val="00287F7F"/>
    <w:rsid w:val="002903E3"/>
    <w:rsid w:val="002908BF"/>
    <w:rsid w:val="00290D15"/>
    <w:rsid w:val="00290D48"/>
    <w:rsid w:val="0029124D"/>
    <w:rsid w:val="00291656"/>
    <w:rsid w:val="00291CB0"/>
    <w:rsid w:val="00292039"/>
    <w:rsid w:val="002929C7"/>
    <w:rsid w:val="00293897"/>
    <w:rsid w:val="0029401B"/>
    <w:rsid w:val="0029480A"/>
    <w:rsid w:val="00294A15"/>
    <w:rsid w:val="00294BF4"/>
    <w:rsid w:val="00294C1B"/>
    <w:rsid w:val="00295839"/>
    <w:rsid w:val="00296172"/>
    <w:rsid w:val="0029618C"/>
    <w:rsid w:val="002961AE"/>
    <w:rsid w:val="00296571"/>
    <w:rsid w:val="00296EBB"/>
    <w:rsid w:val="002974A8"/>
    <w:rsid w:val="002A012F"/>
    <w:rsid w:val="002A0820"/>
    <w:rsid w:val="002A160B"/>
    <w:rsid w:val="002A17FC"/>
    <w:rsid w:val="002A200B"/>
    <w:rsid w:val="002A21C8"/>
    <w:rsid w:val="002A222C"/>
    <w:rsid w:val="002A2309"/>
    <w:rsid w:val="002A25E7"/>
    <w:rsid w:val="002A27FF"/>
    <w:rsid w:val="002A2919"/>
    <w:rsid w:val="002A36CE"/>
    <w:rsid w:val="002A456D"/>
    <w:rsid w:val="002A5F46"/>
    <w:rsid w:val="002A61A3"/>
    <w:rsid w:val="002A675C"/>
    <w:rsid w:val="002A6FB4"/>
    <w:rsid w:val="002A7066"/>
    <w:rsid w:val="002A7247"/>
    <w:rsid w:val="002A7C09"/>
    <w:rsid w:val="002A7FAB"/>
    <w:rsid w:val="002B0678"/>
    <w:rsid w:val="002B07C8"/>
    <w:rsid w:val="002B0CD4"/>
    <w:rsid w:val="002B0D12"/>
    <w:rsid w:val="002B11C2"/>
    <w:rsid w:val="002B1233"/>
    <w:rsid w:val="002B1C6F"/>
    <w:rsid w:val="002B22C1"/>
    <w:rsid w:val="002B2433"/>
    <w:rsid w:val="002B25E7"/>
    <w:rsid w:val="002B2968"/>
    <w:rsid w:val="002B327E"/>
    <w:rsid w:val="002B3C97"/>
    <w:rsid w:val="002B4410"/>
    <w:rsid w:val="002B4EBF"/>
    <w:rsid w:val="002B5A5E"/>
    <w:rsid w:val="002B5F66"/>
    <w:rsid w:val="002B61E0"/>
    <w:rsid w:val="002B638F"/>
    <w:rsid w:val="002B6ADA"/>
    <w:rsid w:val="002B772D"/>
    <w:rsid w:val="002B7785"/>
    <w:rsid w:val="002B7ACF"/>
    <w:rsid w:val="002C0B25"/>
    <w:rsid w:val="002C127B"/>
    <w:rsid w:val="002C195E"/>
    <w:rsid w:val="002C1A3C"/>
    <w:rsid w:val="002C2365"/>
    <w:rsid w:val="002C250B"/>
    <w:rsid w:val="002C2773"/>
    <w:rsid w:val="002C33B7"/>
    <w:rsid w:val="002C3551"/>
    <w:rsid w:val="002C3691"/>
    <w:rsid w:val="002C3CFD"/>
    <w:rsid w:val="002C4449"/>
    <w:rsid w:val="002C4BAE"/>
    <w:rsid w:val="002C5C47"/>
    <w:rsid w:val="002C62D8"/>
    <w:rsid w:val="002C6459"/>
    <w:rsid w:val="002C65A2"/>
    <w:rsid w:val="002C6A8A"/>
    <w:rsid w:val="002C6BB6"/>
    <w:rsid w:val="002C74D3"/>
    <w:rsid w:val="002C7AC4"/>
    <w:rsid w:val="002C7F36"/>
    <w:rsid w:val="002D0079"/>
    <w:rsid w:val="002D0100"/>
    <w:rsid w:val="002D0642"/>
    <w:rsid w:val="002D0B4F"/>
    <w:rsid w:val="002D0C1B"/>
    <w:rsid w:val="002D11F7"/>
    <w:rsid w:val="002D1396"/>
    <w:rsid w:val="002D288A"/>
    <w:rsid w:val="002D28D7"/>
    <w:rsid w:val="002D2E06"/>
    <w:rsid w:val="002D372C"/>
    <w:rsid w:val="002D397C"/>
    <w:rsid w:val="002D3CD8"/>
    <w:rsid w:val="002D3E50"/>
    <w:rsid w:val="002D3F4A"/>
    <w:rsid w:val="002D494F"/>
    <w:rsid w:val="002D4B20"/>
    <w:rsid w:val="002D5589"/>
    <w:rsid w:val="002D574A"/>
    <w:rsid w:val="002D6313"/>
    <w:rsid w:val="002D6AB6"/>
    <w:rsid w:val="002D7132"/>
    <w:rsid w:val="002D758A"/>
    <w:rsid w:val="002D7B52"/>
    <w:rsid w:val="002D7EC5"/>
    <w:rsid w:val="002E0238"/>
    <w:rsid w:val="002E046D"/>
    <w:rsid w:val="002E0A7A"/>
    <w:rsid w:val="002E1314"/>
    <w:rsid w:val="002E1BC8"/>
    <w:rsid w:val="002E1C1A"/>
    <w:rsid w:val="002E29AC"/>
    <w:rsid w:val="002E31AD"/>
    <w:rsid w:val="002E324B"/>
    <w:rsid w:val="002E339D"/>
    <w:rsid w:val="002E39BB"/>
    <w:rsid w:val="002E3DDA"/>
    <w:rsid w:val="002E4561"/>
    <w:rsid w:val="002E4CE3"/>
    <w:rsid w:val="002E4E55"/>
    <w:rsid w:val="002E5607"/>
    <w:rsid w:val="002E57C7"/>
    <w:rsid w:val="002E599D"/>
    <w:rsid w:val="002E5BA0"/>
    <w:rsid w:val="002E5E2A"/>
    <w:rsid w:val="002E677D"/>
    <w:rsid w:val="002E67AD"/>
    <w:rsid w:val="002E6981"/>
    <w:rsid w:val="002E6E57"/>
    <w:rsid w:val="002E74E2"/>
    <w:rsid w:val="002E7ADB"/>
    <w:rsid w:val="002F05ED"/>
    <w:rsid w:val="002F0A00"/>
    <w:rsid w:val="002F19F8"/>
    <w:rsid w:val="002F1A90"/>
    <w:rsid w:val="002F1D2C"/>
    <w:rsid w:val="002F28EC"/>
    <w:rsid w:val="002F3307"/>
    <w:rsid w:val="002F369C"/>
    <w:rsid w:val="002F4401"/>
    <w:rsid w:val="002F5218"/>
    <w:rsid w:val="002F5F31"/>
    <w:rsid w:val="002F6033"/>
    <w:rsid w:val="002F74F6"/>
    <w:rsid w:val="002F7DE5"/>
    <w:rsid w:val="002F7EED"/>
    <w:rsid w:val="002F7FCF"/>
    <w:rsid w:val="002F7FDA"/>
    <w:rsid w:val="003000BA"/>
    <w:rsid w:val="00301327"/>
    <w:rsid w:val="00301BD9"/>
    <w:rsid w:val="0030219C"/>
    <w:rsid w:val="003030EB"/>
    <w:rsid w:val="00303116"/>
    <w:rsid w:val="00303E9D"/>
    <w:rsid w:val="003040AA"/>
    <w:rsid w:val="003042E8"/>
    <w:rsid w:val="00304F3E"/>
    <w:rsid w:val="003050DE"/>
    <w:rsid w:val="00305406"/>
    <w:rsid w:val="003061DA"/>
    <w:rsid w:val="0030665B"/>
    <w:rsid w:val="00306794"/>
    <w:rsid w:val="003067B5"/>
    <w:rsid w:val="00306F6F"/>
    <w:rsid w:val="00307846"/>
    <w:rsid w:val="00307C7E"/>
    <w:rsid w:val="00310394"/>
    <w:rsid w:val="00311297"/>
    <w:rsid w:val="00311643"/>
    <w:rsid w:val="003116D7"/>
    <w:rsid w:val="003122D0"/>
    <w:rsid w:val="00312617"/>
    <w:rsid w:val="0031271B"/>
    <w:rsid w:val="00312BC4"/>
    <w:rsid w:val="00313127"/>
    <w:rsid w:val="00313BED"/>
    <w:rsid w:val="00314C31"/>
    <w:rsid w:val="003150ED"/>
    <w:rsid w:val="003156E6"/>
    <w:rsid w:val="00315856"/>
    <w:rsid w:val="00315D67"/>
    <w:rsid w:val="00317147"/>
    <w:rsid w:val="00317BDE"/>
    <w:rsid w:val="00317C62"/>
    <w:rsid w:val="00317E08"/>
    <w:rsid w:val="0032031C"/>
    <w:rsid w:val="00321083"/>
    <w:rsid w:val="00321714"/>
    <w:rsid w:val="0032205B"/>
    <w:rsid w:val="0032242E"/>
    <w:rsid w:val="003224C2"/>
    <w:rsid w:val="00323301"/>
    <w:rsid w:val="00323AB6"/>
    <w:rsid w:val="00324F9D"/>
    <w:rsid w:val="00324FDE"/>
    <w:rsid w:val="003256B3"/>
    <w:rsid w:val="00326688"/>
    <w:rsid w:val="00326D9A"/>
    <w:rsid w:val="00326FE0"/>
    <w:rsid w:val="003274D7"/>
    <w:rsid w:val="00330105"/>
    <w:rsid w:val="003309C0"/>
    <w:rsid w:val="0033142C"/>
    <w:rsid w:val="00331763"/>
    <w:rsid w:val="00331D94"/>
    <w:rsid w:val="0033355E"/>
    <w:rsid w:val="00333D91"/>
    <w:rsid w:val="00333F85"/>
    <w:rsid w:val="00334923"/>
    <w:rsid w:val="00334B2B"/>
    <w:rsid w:val="00335356"/>
    <w:rsid w:val="003356F5"/>
    <w:rsid w:val="003358F1"/>
    <w:rsid w:val="00335E44"/>
    <w:rsid w:val="00336724"/>
    <w:rsid w:val="00336FCB"/>
    <w:rsid w:val="003370F1"/>
    <w:rsid w:val="0033763D"/>
    <w:rsid w:val="00337BC9"/>
    <w:rsid w:val="00337FFD"/>
    <w:rsid w:val="00340278"/>
    <w:rsid w:val="00340749"/>
    <w:rsid w:val="00341570"/>
    <w:rsid w:val="003417AB"/>
    <w:rsid w:val="00342441"/>
    <w:rsid w:val="00342641"/>
    <w:rsid w:val="003427FC"/>
    <w:rsid w:val="00343D29"/>
    <w:rsid w:val="00343FBE"/>
    <w:rsid w:val="00344417"/>
    <w:rsid w:val="003459AF"/>
    <w:rsid w:val="00345A0C"/>
    <w:rsid w:val="00346434"/>
    <w:rsid w:val="00346BD3"/>
    <w:rsid w:val="00346C83"/>
    <w:rsid w:val="003472AE"/>
    <w:rsid w:val="0034737F"/>
    <w:rsid w:val="00347519"/>
    <w:rsid w:val="003475B0"/>
    <w:rsid w:val="003478C2"/>
    <w:rsid w:val="00347C5E"/>
    <w:rsid w:val="003506F8"/>
    <w:rsid w:val="00350706"/>
    <w:rsid w:val="00350880"/>
    <w:rsid w:val="003516BB"/>
    <w:rsid w:val="0035180E"/>
    <w:rsid w:val="00351BA5"/>
    <w:rsid w:val="00351EA2"/>
    <w:rsid w:val="0035253E"/>
    <w:rsid w:val="00352EB5"/>
    <w:rsid w:val="003536CA"/>
    <w:rsid w:val="00353DB3"/>
    <w:rsid w:val="00353EC6"/>
    <w:rsid w:val="00353ED8"/>
    <w:rsid w:val="00354208"/>
    <w:rsid w:val="00354918"/>
    <w:rsid w:val="00354C4C"/>
    <w:rsid w:val="003552EA"/>
    <w:rsid w:val="00355695"/>
    <w:rsid w:val="003559F5"/>
    <w:rsid w:val="00356718"/>
    <w:rsid w:val="00356E7C"/>
    <w:rsid w:val="003573C9"/>
    <w:rsid w:val="003577CF"/>
    <w:rsid w:val="00357A4B"/>
    <w:rsid w:val="0036099C"/>
    <w:rsid w:val="00361FE6"/>
    <w:rsid w:val="003624F3"/>
    <w:rsid w:val="00362643"/>
    <w:rsid w:val="00362EF1"/>
    <w:rsid w:val="003635CE"/>
    <w:rsid w:val="00363F25"/>
    <w:rsid w:val="003641E8"/>
    <w:rsid w:val="003643E3"/>
    <w:rsid w:val="0036464B"/>
    <w:rsid w:val="003647E4"/>
    <w:rsid w:val="00365291"/>
    <w:rsid w:val="003655AF"/>
    <w:rsid w:val="0036571F"/>
    <w:rsid w:val="00365A0B"/>
    <w:rsid w:val="00365AD4"/>
    <w:rsid w:val="00365E75"/>
    <w:rsid w:val="0036634A"/>
    <w:rsid w:val="0036658A"/>
    <w:rsid w:val="003669A8"/>
    <w:rsid w:val="00366E46"/>
    <w:rsid w:val="00366F4B"/>
    <w:rsid w:val="0036705A"/>
    <w:rsid w:val="00367657"/>
    <w:rsid w:val="003700DA"/>
    <w:rsid w:val="0037048E"/>
    <w:rsid w:val="003708FF"/>
    <w:rsid w:val="00370D3D"/>
    <w:rsid w:val="003718DD"/>
    <w:rsid w:val="003718F5"/>
    <w:rsid w:val="00371EF9"/>
    <w:rsid w:val="003723AA"/>
    <w:rsid w:val="00372B24"/>
    <w:rsid w:val="003739A0"/>
    <w:rsid w:val="00374D40"/>
    <w:rsid w:val="00375007"/>
    <w:rsid w:val="0037557F"/>
    <w:rsid w:val="00376698"/>
    <w:rsid w:val="00376B8C"/>
    <w:rsid w:val="00377565"/>
    <w:rsid w:val="003801B7"/>
    <w:rsid w:val="0038069D"/>
    <w:rsid w:val="00380ACD"/>
    <w:rsid w:val="003814BF"/>
    <w:rsid w:val="00381938"/>
    <w:rsid w:val="00381C1B"/>
    <w:rsid w:val="00381CC8"/>
    <w:rsid w:val="00381EDF"/>
    <w:rsid w:val="00382A9D"/>
    <w:rsid w:val="00382EA4"/>
    <w:rsid w:val="00383267"/>
    <w:rsid w:val="0038328C"/>
    <w:rsid w:val="0038331C"/>
    <w:rsid w:val="003834F8"/>
    <w:rsid w:val="00383DB0"/>
    <w:rsid w:val="003843DE"/>
    <w:rsid w:val="003844F3"/>
    <w:rsid w:val="003848A5"/>
    <w:rsid w:val="0038594E"/>
    <w:rsid w:val="00385DA8"/>
    <w:rsid w:val="00386311"/>
    <w:rsid w:val="003864DB"/>
    <w:rsid w:val="00386839"/>
    <w:rsid w:val="0038698F"/>
    <w:rsid w:val="00386AE9"/>
    <w:rsid w:val="00386DA5"/>
    <w:rsid w:val="003870AE"/>
    <w:rsid w:val="00387518"/>
    <w:rsid w:val="003876C0"/>
    <w:rsid w:val="00387CAC"/>
    <w:rsid w:val="00387FB3"/>
    <w:rsid w:val="003901E3"/>
    <w:rsid w:val="003904FC"/>
    <w:rsid w:val="0039055D"/>
    <w:rsid w:val="0039081D"/>
    <w:rsid w:val="003909E6"/>
    <w:rsid w:val="00391A53"/>
    <w:rsid w:val="003922E7"/>
    <w:rsid w:val="003923F2"/>
    <w:rsid w:val="00392452"/>
    <w:rsid w:val="003925B8"/>
    <w:rsid w:val="00392C63"/>
    <w:rsid w:val="00392E4A"/>
    <w:rsid w:val="00393A1E"/>
    <w:rsid w:val="00393E26"/>
    <w:rsid w:val="00393FC6"/>
    <w:rsid w:val="00393FD5"/>
    <w:rsid w:val="00394FB9"/>
    <w:rsid w:val="00395945"/>
    <w:rsid w:val="003964B2"/>
    <w:rsid w:val="003966E9"/>
    <w:rsid w:val="003977FF"/>
    <w:rsid w:val="00397AD4"/>
    <w:rsid w:val="00397C83"/>
    <w:rsid w:val="00397F44"/>
    <w:rsid w:val="003A0BDA"/>
    <w:rsid w:val="003A11EA"/>
    <w:rsid w:val="003A120D"/>
    <w:rsid w:val="003A1673"/>
    <w:rsid w:val="003A217C"/>
    <w:rsid w:val="003A24BC"/>
    <w:rsid w:val="003A26A1"/>
    <w:rsid w:val="003A2C00"/>
    <w:rsid w:val="003A3060"/>
    <w:rsid w:val="003A312E"/>
    <w:rsid w:val="003A3479"/>
    <w:rsid w:val="003A3D97"/>
    <w:rsid w:val="003A4532"/>
    <w:rsid w:val="003A46FB"/>
    <w:rsid w:val="003A4DFE"/>
    <w:rsid w:val="003A527B"/>
    <w:rsid w:val="003A60AE"/>
    <w:rsid w:val="003A6B4C"/>
    <w:rsid w:val="003A7AD9"/>
    <w:rsid w:val="003A7B01"/>
    <w:rsid w:val="003B08B3"/>
    <w:rsid w:val="003B0973"/>
    <w:rsid w:val="003B0D57"/>
    <w:rsid w:val="003B1984"/>
    <w:rsid w:val="003B1B2D"/>
    <w:rsid w:val="003B1D19"/>
    <w:rsid w:val="003B1DA7"/>
    <w:rsid w:val="003B213D"/>
    <w:rsid w:val="003B257B"/>
    <w:rsid w:val="003B26FA"/>
    <w:rsid w:val="003B2A82"/>
    <w:rsid w:val="003B2B3C"/>
    <w:rsid w:val="003B31E0"/>
    <w:rsid w:val="003B376C"/>
    <w:rsid w:val="003B3E7C"/>
    <w:rsid w:val="003B4755"/>
    <w:rsid w:val="003B487C"/>
    <w:rsid w:val="003B4942"/>
    <w:rsid w:val="003B4A7C"/>
    <w:rsid w:val="003B4B88"/>
    <w:rsid w:val="003B4DF2"/>
    <w:rsid w:val="003B527D"/>
    <w:rsid w:val="003B5A10"/>
    <w:rsid w:val="003B5DC1"/>
    <w:rsid w:val="003B5F1F"/>
    <w:rsid w:val="003B7617"/>
    <w:rsid w:val="003B772F"/>
    <w:rsid w:val="003B77F7"/>
    <w:rsid w:val="003B7846"/>
    <w:rsid w:val="003B788A"/>
    <w:rsid w:val="003B7A14"/>
    <w:rsid w:val="003B7C52"/>
    <w:rsid w:val="003B7CA1"/>
    <w:rsid w:val="003C05FE"/>
    <w:rsid w:val="003C0624"/>
    <w:rsid w:val="003C0892"/>
    <w:rsid w:val="003C0C6A"/>
    <w:rsid w:val="003C0CA8"/>
    <w:rsid w:val="003C1C8D"/>
    <w:rsid w:val="003C2A65"/>
    <w:rsid w:val="003C31B4"/>
    <w:rsid w:val="003C3C8B"/>
    <w:rsid w:val="003C3F1C"/>
    <w:rsid w:val="003C4B19"/>
    <w:rsid w:val="003C4FD0"/>
    <w:rsid w:val="003C5806"/>
    <w:rsid w:val="003C5BC4"/>
    <w:rsid w:val="003C5FA4"/>
    <w:rsid w:val="003C64EA"/>
    <w:rsid w:val="003C6E8C"/>
    <w:rsid w:val="003C6EA5"/>
    <w:rsid w:val="003C72A0"/>
    <w:rsid w:val="003D0197"/>
    <w:rsid w:val="003D0278"/>
    <w:rsid w:val="003D1459"/>
    <w:rsid w:val="003D17AE"/>
    <w:rsid w:val="003D17F6"/>
    <w:rsid w:val="003D2567"/>
    <w:rsid w:val="003D2577"/>
    <w:rsid w:val="003D2E1A"/>
    <w:rsid w:val="003D37FD"/>
    <w:rsid w:val="003D4163"/>
    <w:rsid w:val="003D44A9"/>
    <w:rsid w:val="003D4F97"/>
    <w:rsid w:val="003D5101"/>
    <w:rsid w:val="003D5983"/>
    <w:rsid w:val="003D5D5F"/>
    <w:rsid w:val="003D62C8"/>
    <w:rsid w:val="003D6A61"/>
    <w:rsid w:val="003D6B58"/>
    <w:rsid w:val="003D6B5F"/>
    <w:rsid w:val="003D74CA"/>
    <w:rsid w:val="003D7F28"/>
    <w:rsid w:val="003E0522"/>
    <w:rsid w:val="003E0634"/>
    <w:rsid w:val="003E07ED"/>
    <w:rsid w:val="003E0D1B"/>
    <w:rsid w:val="003E1E8F"/>
    <w:rsid w:val="003E2118"/>
    <w:rsid w:val="003E28AB"/>
    <w:rsid w:val="003E2E80"/>
    <w:rsid w:val="003E4C06"/>
    <w:rsid w:val="003E5934"/>
    <w:rsid w:val="003E5A11"/>
    <w:rsid w:val="003E5AB2"/>
    <w:rsid w:val="003E611D"/>
    <w:rsid w:val="003E62DD"/>
    <w:rsid w:val="003E686E"/>
    <w:rsid w:val="003E727B"/>
    <w:rsid w:val="003E7A73"/>
    <w:rsid w:val="003E7E8F"/>
    <w:rsid w:val="003E7EAD"/>
    <w:rsid w:val="003F03C1"/>
    <w:rsid w:val="003F0598"/>
    <w:rsid w:val="003F13FD"/>
    <w:rsid w:val="003F142C"/>
    <w:rsid w:val="003F20E8"/>
    <w:rsid w:val="003F2135"/>
    <w:rsid w:val="003F238B"/>
    <w:rsid w:val="003F2841"/>
    <w:rsid w:val="003F2F7D"/>
    <w:rsid w:val="003F30CB"/>
    <w:rsid w:val="003F31CD"/>
    <w:rsid w:val="003F3810"/>
    <w:rsid w:val="003F3F15"/>
    <w:rsid w:val="003F3F7A"/>
    <w:rsid w:val="003F4FC4"/>
    <w:rsid w:val="003F5721"/>
    <w:rsid w:val="003F574C"/>
    <w:rsid w:val="003F5F77"/>
    <w:rsid w:val="003F6E3D"/>
    <w:rsid w:val="003F723C"/>
    <w:rsid w:val="003F7E57"/>
    <w:rsid w:val="004001AA"/>
    <w:rsid w:val="004009C5"/>
    <w:rsid w:val="00400C35"/>
    <w:rsid w:val="00400F15"/>
    <w:rsid w:val="00400F36"/>
    <w:rsid w:val="0040124F"/>
    <w:rsid w:val="004012B9"/>
    <w:rsid w:val="00401C69"/>
    <w:rsid w:val="00403363"/>
    <w:rsid w:val="00403730"/>
    <w:rsid w:val="0040381B"/>
    <w:rsid w:val="004038C1"/>
    <w:rsid w:val="00403E93"/>
    <w:rsid w:val="00404C3D"/>
    <w:rsid w:val="00404CDF"/>
    <w:rsid w:val="00404CEB"/>
    <w:rsid w:val="004055C7"/>
    <w:rsid w:val="004055D4"/>
    <w:rsid w:val="0040672E"/>
    <w:rsid w:val="004067C4"/>
    <w:rsid w:val="00406B11"/>
    <w:rsid w:val="00406FDA"/>
    <w:rsid w:val="00407091"/>
    <w:rsid w:val="004072A0"/>
    <w:rsid w:val="00407E02"/>
    <w:rsid w:val="0041024F"/>
    <w:rsid w:val="0041138D"/>
    <w:rsid w:val="004119E6"/>
    <w:rsid w:val="00411C65"/>
    <w:rsid w:val="00411C83"/>
    <w:rsid w:val="00412983"/>
    <w:rsid w:val="00412FEC"/>
    <w:rsid w:val="00413364"/>
    <w:rsid w:val="004137CF"/>
    <w:rsid w:val="00413C07"/>
    <w:rsid w:val="00413C7A"/>
    <w:rsid w:val="00413E1F"/>
    <w:rsid w:val="00413F95"/>
    <w:rsid w:val="00414A97"/>
    <w:rsid w:val="00414C2B"/>
    <w:rsid w:val="00414D94"/>
    <w:rsid w:val="00415861"/>
    <w:rsid w:val="00415BF6"/>
    <w:rsid w:val="00420416"/>
    <w:rsid w:val="004206D1"/>
    <w:rsid w:val="004207CE"/>
    <w:rsid w:val="0042119A"/>
    <w:rsid w:val="004212AA"/>
    <w:rsid w:val="0042133C"/>
    <w:rsid w:val="00421B97"/>
    <w:rsid w:val="00421F7C"/>
    <w:rsid w:val="00422E16"/>
    <w:rsid w:val="00424270"/>
    <w:rsid w:val="00424874"/>
    <w:rsid w:val="00424D91"/>
    <w:rsid w:val="004251AD"/>
    <w:rsid w:val="0042536A"/>
    <w:rsid w:val="0042540B"/>
    <w:rsid w:val="004257C0"/>
    <w:rsid w:val="00425C94"/>
    <w:rsid w:val="0042608E"/>
    <w:rsid w:val="004265A2"/>
    <w:rsid w:val="00426AAF"/>
    <w:rsid w:val="00427400"/>
    <w:rsid w:val="00427A5F"/>
    <w:rsid w:val="0043043B"/>
    <w:rsid w:val="0043046C"/>
    <w:rsid w:val="00431051"/>
    <w:rsid w:val="0043110A"/>
    <w:rsid w:val="00431587"/>
    <w:rsid w:val="004317B1"/>
    <w:rsid w:val="004317C3"/>
    <w:rsid w:val="00431DBB"/>
    <w:rsid w:val="00431F2B"/>
    <w:rsid w:val="00431F9B"/>
    <w:rsid w:val="00432632"/>
    <w:rsid w:val="00433090"/>
    <w:rsid w:val="00433B48"/>
    <w:rsid w:val="00434671"/>
    <w:rsid w:val="00434DE6"/>
    <w:rsid w:val="00434EFE"/>
    <w:rsid w:val="004352F0"/>
    <w:rsid w:val="00435701"/>
    <w:rsid w:val="00436212"/>
    <w:rsid w:val="004370B5"/>
    <w:rsid w:val="00437251"/>
    <w:rsid w:val="00440551"/>
    <w:rsid w:val="004405B0"/>
    <w:rsid w:val="00440A9E"/>
    <w:rsid w:val="00440DED"/>
    <w:rsid w:val="00442820"/>
    <w:rsid w:val="00442861"/>
    <w:rsid w:val="004428AF"/>
    <w:rsid w:val="004428D1"/>
    <w:rsid w:val="004430CD"/>
    <w:rsid w:val="00443BB4"/>
    <w:rsid w:val="00443F91"/>
    <w:rsid w:val="004441ED"/>
    <w:rsid w:val="004442CA"/>
    <w:rsid w:val="0044478D"/>
    <w:rsid w:val="004449D8"/>
    <w:rsid w:val="00444BB2"/>
    <w:rsid w:val="0044591B"/>
    <w:rsid w:val="00445E69"/>
    <w:rsid w:val="00445EBC"/>
    <w:rsid w:val="00446B11"/>
    <w:rsid w:val="00446F93"/>
    <w:rsid w:val="004470B6"/>
    <w:rsid w:val="0044740E"/>
    <w:rsid w:val="0044762E"/>
    <w:rsid w:val="004479F4"/>
    <w:rsid w:val="00450769"/>
    <w:rsid w:val="00450F17"/>
    <w:rsid w:val="00451206"/>
    <w:rsid w:val="00451218"/>
    <w:rsid w:val="004512A5"/>
    <w:rsid w:val="004514C3"/>
    <w:rsid w:val="00451F4B"/>
    <w:rsid w:val="004522DD"/>
    <w:rsid w:val="004528F3"/>
    <w:rsid w:val="00452FA1"/>
    <w:rsid w:val="0045312E"/>
    <w:rsid w:val="004539FB"/>
    <w:rsid w:val="004540CD"/>
    <w:rsid w:val="00455204"/>
    <w:rsid w:val="004559E2"/>
    <w:rsid w:val="00455D97"/>
    <w:rsid w:val="00455E9C"/>
    <w:rsid w:val="00456026"/>
    <w:rsid w:val="004560D3"/>
    <w:rsid w:val="004575B1"/>
    <w:rsid w:val="0046011B"/>
    <w:rsid w:val="00460340"/>
    <w:rsid w:val="00460372"/>
    <w:rsid w:val="00460677"/>
    <w:rsid w:val="00460ADC"/>
    <w:rsid w:val="00461061"/>
    <w:rsid w:val="004612FA"/>
    <w:rsid w:val="004621C9"/>
    <w:rsid w:val="00462507"/>
    <w:rsid w:val="00462B91"/>
    <w:rsid w:val="00463501"/>
    <w:rsid w:val="00463556"/>
    <w:rsid w:val="00463B25"/>
    <w:rsid w:val="00463B53"/>
    <w:rsid w:val="00463CA3"/>
    <w:rsid w:val="00464597"/>
    <w:rsid w:val="004649F4"/>
    <w:rsid w:val="00464CC3"/>
    <w:rsid w:val="004659FF"/>
    <w:rsid w:val="00465E79"/>
    <w:rsid w:val="00466978"/>
    <w:rsid w:val="00467430"/>
    <w:rsid w:val="0046771B"/>
    <w:rsid w:val="00467C9A"/>
    <w:rsid w:val="004706CA"/>
    <w:rsid w:val="004706FB"/>
    <w:rsid w:val="00470887"/>
    <w:rsid w:val="00470A9F"/>
    <w:rsid w:val="00470C17"/>
    <w:rsid w:val="00470E91"/>
    <w:rsid w:val="004712E2"/>
    <w:rsid w:val="0047192A"/>
    <w:rsid w:val="00471997"/>
    <w:rsid w:val="00471AAD"/>
    <w:rsid w:val="00471CB1"/>
    <w:rsid w:val="00471DC3"/>
    <w:rsid w:val="004724A8"/>
    <w:rsid w:val="00472EAD"/>
    <w:rsid w:val="0047305F"/>
    <w:rsid w:val="00473CB7"/>
    <w:rsid w:val="00473EE5"/>
    <w:rsid w:val="00474113"/>
    <w:rsid w:val="0047419C"/>
    <w:rsid w:val="00474D29"/>
    <w:rsid w:val="00474F72"/>
    <w:rsid w:val="0047502C"/>
    <w:rsid w:val="004751EF"/>
    <w:rsid w:val="004753F1"/>
    <w:rsid w:val="00476070"/>
    <w:rsid w:val="00476497"/>
    <w:rsid w:val="00476FE5"/>
    <w:rsid w:val="00477123"/>
    <w:rsid w:val="0047719B"/>
    <w:rsid w:val="004776F3"/>
    <w:rsid w:val="0047795A"/>
    <w:rsid w:val="00480758"/>
    <w:rsid w:val="00481455"/>
    <w:rsid w:val="00481A93"/>
    <w:rsid w:val="0048232C"/>
    <w:rsid w:val="00482AFC"/>
    <w:rsid w:val="00482B46"/>
    <w:rsid w:val="00482ED7"/>
    <w:rsid w:val="00483944"/>
    <w:rsid w:val="00483A3D"/>
    <w:rsid w:val="00483B24"/>
    <w:rsid w:val="0048426C"/>
    <w:rsid w:val="00484F42"/>
    <w:rsid w:val="0048599D"/>
    <w:rsid w:val="00485A73"/>
    <w:rsid w:val="0048639C"/>
    <w:rsid w:val="00486ABC"/>
    <w:rsid w:val="0048729E"/>
    <w:rsid w:val="004872FD"/>
    <w:rsid w:val="00487F84"/>
    <w:rsid w:val="0049020A"/>
    <w:rsid w:val="00490BCD"/>
    <w:rsid w:val="00490D02"/>
    <w:rsid w:val="00491304"/>
    <w:rsid w:val="00491BBB"/>
    <w:rsid w:val="00491E4A"/>
    <w:rsid w:val="00491E74"/>
    <w:rsid w:val="0049207C"/>
    <w:rsid w:val="0049219F"/>
    <w:rsid w:val="00492456"/>
    <w:rsid w:val="0049289C"/>
    <w:rsid w:val="0049397D"/>
    <w:rsid w:val="004939C8"/>
    <w:rsid w:val="00493AB6"/>
    <w:rsid w:val="004940B3"/>
    <w:rsid w:val="004952AC"/>
    <w:rsid w:val="00495560"/>
    <w:rsid w:val="0049576E"/>
    <w:rsid w:val="00495FDD"/>
    <w:rsid w:val="004961FF"/>
    <w:rsid w:val="004965EC"/>
    <w:rsid w:val="00496AC6"/>
    <w:rsid w:val="00496DA4"/>
    <w:rsid w:val="004A01FF"/>
    <w:rsid w:val="004A06A4"/>
    <w:rsid w:val="004A0AEF"/>
    <w:rsid w:val="004A0ED1"/>
    <w:rsid w:val="004A2309"/>
    <w:rsid w:val="004A2643"/>
    <w:rsid w:val="004A2AF6"/>
    <w:rsid w:val="004A2F26"/>
    <w:rsid w:val="004A319B"/>
    <w:rsid w:val="004A338D"/>
    <w:rsid w:val="004A3650"/>
    <w:rsid w:val="004A3890"/>
    <w:rsid w:val="004A3D11"/>
    <w:rsid w:val="004A423C"/>
    <w:rsid w:val="004A4258"/>
    <w:rsid w:val="004A453E"/>
    <w:rsid w:val="004A54EE"/>
    <w:rsid w:val="004A5F52"/>
    <w:rsid w:val="004A634D"/>
    <w:rsid w:val="004A63CF"/>
    <w:rsid w:val="004A6636"/>
    <w:rsid w:val="004A71AB"/>
    <w:rsid w:val="004A763E"/>
    <w:rsid w:val="004A775E"/>
    <w:rsid w:val="004A77DC"/>
    <w:rsid w:val="004B0062"/>
    <w:rsid w:val="004B035A"/>
    <w:rsid w:val="004B0776"/>
    <w:rsid w:val="004B1439"/>
    <w:rsid w:val="004B1BA6"/>
    <w:rsid w:val="004B1F41"/>
    <w:rsid w:val="004B21E6"/>
    <w:rsid w:val="004B27F2"/>
    <w:rsid w:val="004B3ADB"/>
    <w:rsid w:val="004B3DDA"/>
    <w:rsid w:val="004B47A2"/>
    <w:rsid w:val="004B4CF8"/>
    <w:rsid w:val="004B4D94"/>
    <w:rsid w:val="004B4E37"/>
    <w:rsid w:val="004B5D5E"/>
    <w:rsid w:val="004B68D3"/>
    <w:rsid w:val="004B7F74"/>
    <w:rsid w:val="004C10FA"/>
    <w:rsid w:val="004C133A"/>
    <w:rsid w:val="004C1703"/>
    <w:rsid w:val="004C1A5F"/>
    <w:rsid w:val="004C1B2D"/>
    <w:rsid w:val="004C228F"/>
    <w:rsid w:val="004C2D9B"/>
    <w:rsid w:val="004C2E49"/>
    <w:rsid w:val="004C33F2"/>
    <w:rsid w:val="004C341D"/>
    <w:rsid w:val="004C4338"/>
    <w:rsid w:val="004C46F8"/>
    <w:rsid w:val="004C48CB"/>
    <w:rsid w:val="004C49F4"/>
    <w:rsid w:val="004C4C09"/>
    <w:rsid w:val="004C4E81"/>
    <w:rsid w:val="004C4F97"/>
    <w:rsid w:val="004C50D3"/>
    <w:rsid w:val="004C50F1"/>
    <w:rsid w:val="004C58A2"/>
    <w:rsid w:val="004C603D"/>
    <w:rsid w:val="004C679D"/>
    <w:rsid w:val="004C75EF"/>
    <w:rsid w:val="004C7D00"/>
    <w:rsid w:val="004C7DE6"/>
    <w:rsid w:val="004D0713"/>
    <w:rsid w:val="004D08EC"/>
    <w:rsid w:val="004D18F4"/>
    <w:rsid w:val="004D1AB4"/>
    <w:rsid w:val="004D1B2D"/>
    <w:rsid w:val="004D2D86"/>
    <w:rsid w:val="004D2FE4"/>
    <w:rsid w:val="004D358C"/>
    <w:rsid w:val="004D37C4"/>
    <w:rsid w:val="004D3E82"/>
    <w:rsid w:val="004D46A6"/>
    <w:rsid w:val="004D4836"/>
    <w:rsid w:val="004D4CA1"/>
    <w:rsid w:val="004D5995"/>
    <w:rsid w:val="004D5A56"/>
    <w:rsid w:val="004D5D6B"/>
    <w:rsid w:val="004D63EC"/>
    <w:rsid w:val="004D64DF"/>
    <w:rsid w:val="004D6856"/>
    <w:rsid w:val="004D6B93"/>
    <w:rsid w:val="004D70F5"/>
    <w:rsid w:val="004D7456"/>
    <w:rsid w:val="004D782A"/>
    <w:rsid w:val="004D797E"/>
    <w:rsid w:val="004D7FA9"/>
    <w:rsid w:val="004E0916"/>
    <w:rsid w:val="004E10EA"/>
    <w:rsid w:val="004E17B0"/>
    <w:rsid w:val="004E19D7"/>
    <w:rsid w:val="004E227C"/>
    <w:rsid w:val="004E2432"/>
    <w:rsid w:val="004E2583"/>
    <w:rsid w:val="004E28BE"/>
    <w:rsid w:val="004E2D23"/>
    <w:rsid w:val="004E387E"/>
    <w:rsid w:val="004E3E92"/>
    <w:rsid w:val="004E42ED"/>
    <w:rsid w:val="004E432F"/>
    <w:rsid w:val="004E60E7"/>
    <w:rsid w:val="004E6588"/>
    <w:rsid w:val="004E68DE"/>
    <w:rsid w:val="004E6CC2"/>
    <w:rsid w:val="004E7330"/>
    <w:rsid w:val="004E7AD0"/>
    <w:rsid w:val="004E7D8A"/>
    <w:rsid w:val="004F0D6D"/>
    <w:rsid w:val="004F1456"/>
    <w:rsid w:val="004F148B"/>
    <w:rsid w:val="004F2111"/>
    <w:rsid w:val="004F30F7"/>
    <w:rsid w:val="004F4863"/>
    <w:rsid w:val="004F49DE"/>
    <w:rsid w:val="004F4A14"/>
    <w:rsid w:val="004F52CC"/>
    <w:rsid w:val="004F5595"/>
    <w:rsid w:val="004F56D8"/>
    <w:rsid w:val="004F5763"/>
    <w:rsid w:val="004F5B8E"/>
    <w:rsid w:val="004F6765"/>
    <w:rsid w:val="004F6C3A"/>
    <w:rsid w:val="004F6FA0"/>
    <w:rsid w:val="004F70CD"/>
    <w:rsid w:val="004F71CE"/>
    <w:rsid w:val="004F7402"/>
    <w:rsid w:val="004F7FAD"/>
    <w:rsid w:val="004F7FE3"/>
    <w:rsid w:val="00500012"/>
    <w:rsid w:val="005009B8"/>
    <w:rsid w:val="00500A34"/>
    <w:rsid w:val="00500A85"/>
    <w:rsid w:val="00500FEC"/>
    <w:rsid w:val="005015B4"/>
    <w:rsid w:val="00501956"/>
    <w:rsid w:val="00501BF6"/>
    <w:rsid w:val="00502E68"/>
    <w:rsid w:val="00503015"/>
    <w:rsid w:val="00503ECA"/>
    <w:rsid w:val="005044F9"/>
    <w:rsid w:val="0050450F"/>
    <w:rsid w:val="0050580C"/>
    <w:rsid w:val="00505918"/>
    <w:rsid w:val="00505DFF"/>
    <w:rsid w:val="005064CD"/>
    <w:rsid w:val="0050730C"/>
    <w:rsid w:val="00507C87"/>
    <w:rsid w:val="005101BC"/>
    <w:rsid w:val="005102FB"/>
    <w:rsid w:val="005108A1"/>
    <w:rsid w:val="00510D18"/>
    <w:rsid w:val="00511386"/>
    <w:rsid w:val="005113DF"/>
    <w:rsid w:val="00511643"/>
    <w:rsid w:val="0051189A"/>
    <w:rsid w:val="00511E5E"/>
    <w:rsid w:val="00511EB7"/>
    <w:rsid w:val="0051216F"/>
    <w:rsid w:val="00512890"/>
    <w:rsid w:val="00512B7C"/>
    <w:rsid w:val="00512BD4"/>
    <w:rsid w:val="005135B2"/>
    <w:rsid w:val="0051362E"/>
    <w:rsid w:val="00513BEF"/>
    <w:rsid w:val="00514106"/>
    <w:rsid w:val="00514776"/>
    <w:rsid w:val="00514ABA"/>
    <w:rsid w:val="0051585B"/>
    <w:rsid w:val="00516B31"/>
    <w:rsid w:val="00516D6A"/>
    <w:rsid w:val="005172E5"/>
    <w:rsid w:val="0051797B"/>
    <w:rsid w:val="00517B48"/>
    <w:rsid w:val="005205B6"/>
    <w:rsid w:val="0052060C"/>
    <w:rsid w:val="005212C0"/>
    <w:rsid w:val="00521D8D"/>
    <w:rsid w:val="0052222B"/>
    <w:rsid w:val="00522FD2"/>
    <w:rsid w:val="00523638"/>
    <w:rsid w:val="00524192"/>
    <w:rsid w:val="0052463F"/>
    <w:rsid w:val="00524CF3"/>
    <w:rsid w:val="00524D25"/>
    <w:rsid w:val="00524F19"/>
    <w:rsid w:val="00526459"/>
    <w:rsid w:val="00526515"/>
    <w:rsid w:val="005265C6"/>
    <w:rsid w:val="00526704"/>
    <w:rsid w:val="00526D3B"/>
    <w:rsid w:val="005272F7"/>
    <w:rsid w:val="005275A2"/>
    <w:rsid w:val="0052760F"/>
    <w:rsid w:val="005300F1"/>
    <w:rsid w:val="0053154D"/>
    <w:rsid w:val="005316CF"/>
    <w:rsid w:val="005318F4"/>
    <w:rsid w:val="005319BD"/>
    <w:rsid w:val="00531B5E"/>
    <w:rsid w:val="00532EEC"/>
    <w:rsid w:val="00533B65"/>
    <w:rsid w:val="00534206"/>
    <w:rsid w:val="0053436B"/>
    <w:rsid w:val="0053466E"/>
    <w:rsid w:val="005356EA"/>
    <w:rsid w:val="0053611E"/>
    <w:rsid w:val="00536B05"/>
    <w:rsid w:val="00537506"/>
    <w:rsid w:val="00537CF0"/>
    <w:rsid w:val="00540A6E"/>
    <w:rsid w:val="00540E5E"/>
    <w:rsid w:val="005410EE"/>
    <w:rsid w:val="005419E4"/>
    <w:rsid w:val="00541EF2"/>
    <w:rsid w:val="00541F35"/>
    <w:rsid w:val="00542184"/>
    <w:rsid w:val="0054286D"/>
    <w:rsid w:val="00542A22"/>
    <w:rsid w:val="00543241"/>
    <w:rsid w:val="00543401"/>
    <w:rsid w:val="00543A15"/>
    <w:rsid w:val="00544836"/>
    <w:rsid w:val="00544860"/>
    <w:rsid w:val="00544B41"/>
    <w:rsid w:val="00544D2C"/>
    <w:rsid w:val="00544E2E"/>
    <w:rsid w:val="00545264"/>
    <w:rsid w:val="00545DA2"/>
    <w:rsid w:val="00545E02"/>
    <w:rsid w:val="00545E34"/>
    <w:rsid w:val="005463AB"/>
    <w:rsid w:val="0054640F"/>
    <w:rsid w:val="00546D49"/>
    <w:rsid w:val="00547170"/>
    <w:rsid w:val="00547598"/>
    <w:rsid w:val="00547B9B"/>
    <w:rsid w:val="00547C51"/>
    <w:rsid w:val="00547C86"/>
    <w:rsid w:val="00550050"/>
    <w:rsid w:val="005506EF"/>
    <w:rsid w:val="00550BFE"/>
    <w:rsid w:val="00550FB3"/>
    <w:rsid w:val="0055117E"/>
    <w:rsid w:val="005511CC"/>
    <w:rsid w:val="0055180A"/>
    <w:rsid w:val="00551B8E"/>
    <w:rsid w:val="005523B2"/>
    <w:rsid w:val="00552E44"/>
    <w:rsid w:val="00552EF7"/>
    <w:rsid w:val="005536B2"/>
    <w:rsid w:val="00553F3F"/>
    <w:rsid w:val="0055406B"/>
    <w:rsid w:val="00554254"/>
    <w:rsid w:val="00554CE8"/>
    <w:rsid w:val="00554FE1"/>
    <w:rsid w:val="00555ADA"/>
    <w:rsid w:val="00556B3A"/>
    <w:rsid w:val="00556BAF"/>
    <w:rsid w:val="005570DA"/>
    <w:rsid w:val="00557317"/>
    <w:rsid w:val="00557B59"/>
    <w:rsid w:val="00557BCA"/>
    <w:rsid w:val="00557C4F"/>
    <w:rsid w:val="00560018"/>
    <w:rsid w:val="005604BB"/>
    <w:rsid w:val="0056201E"/>
    <w:rsid w:val="005634D6"/>
    <w:rsid w:val="0056398B"/>
    <w:rsid w:val="0056467A"/>
    <w:rsid w:val="00564C20"/>
    <w:rsid w:val="00564DE7"/>
    <w:rsid w:val="00564E21"/>
    <w:rsid w:val="005652F4"/>
    <w:rsid w:val="00565699"/>
    <w:rsid w:val="00565FCE"/>
    <w:rsid w:val="0056641D"/>
    <w:rsid w:val="005664CB"/>
    <w:rsid w:val="00566C04"/>
    <w:rsid w:val="0056728F"/>
    <w:rsid w:val="00567938"/>
    <w:rsid w:val="0056795F"/>
    <w:rsid w:val="00567BB0"/>
    <w:rsid w:val="00567E6E"/>
    <w:rsid w:val="00570FD5"/>
    <w:rsid w:val="00570FF4"/>
    <w:rsid w:val="00571770"/>
    <w:rsid w:val="00571979"/>
    <w:rsid w:val="005735DF"/>
    <w:rsid w:val="00573912"/>
    <w:rsid w:val="00573AD3"/>
    <w:rsid w:val="00573BCB"/>
    <w:rsid w:val="00573C50"/>
    <w:rsid w:val="00574372"/>
    <w:rsid w:val="00574658"/>
    <w:rsid w:val="00574798"/>
    <w:rsid w:val="005748C4"/>
    <w:rsid w:val="005751AA"/>
    <w:rsid w:val="0057578A"/>
    <w:rsid w:val="0057657A"/>
    <w:rsid w:val="005800EE"/>
    <w:rsid w:val="00580362"/>
    <w:rsid w:val="00580B6B"/>
    <w:rsid w:val="00580B75"/>
    <w:rsid w:val="00580CEF"/>
    <w:rsid w:val="0058185B"/>
    <w:rsid w:val="00581B4F"/>
    <w:rsid w:val="00581EA6"/>
    <w:rsid w:val="0058214D"/>
    <w:rsid w:val="0058299F"/>
    <w:rsid w:val="00582B38"/>
    <w:rsid w:val="00583DA7"/>
    <w:rsid w:val="0058413E"/>
    <w:rsid w:val="00584659"/>
    <w:rsid w:val="00584F45"/>
    <w:rsid w:val="00585FA9"/>
    <w:rsid w:val="00586A41"/>
    <w:rsid w:val="00587B72"/>
    <w:rsid w:val="00587E93"/>
    <w:rsid w:val="00590391"/>
    <w:rsid w:val="005905D4"/>
    <w:rsid w:val="00590696"/>
    <w:rsid w:val="005909DD"/>
    <w:rsid w:val="00590B71"/>
    <w:rsid w:val="00590D14"/>
    <w:rsid w:val="00591892"/>
    <w:rsid w:val="00591C1C"/>
    <w:rsid w:val="005923E1"/>
    <w:rsid w:val="00592A06"/>
    <w:rsid w:val="00592B74"/>
    <w:rsid w:val="00592D35"/>
    <w:rsid w:val="00593107"/>
    <w:rsid w:val="005933C7"/>
    <w:rsid w:val="00593A6B"/>
    <w:rsid w:val="0059464D"/>
    <w:rsid w:val="005951DA"/>
    <w:rsid w:val="005957B9"/>
    <w:rsid w:val="005958BB"/>
    <w:rsid w:val="00595E62"/>
    <w:rsid w:val="005963DF"/>
    <w:rsid w:val="005964E1"/>
    <w:rsid w:val="00596913"/>
    <w:rsid w:val="00597C73"/>
    <w:rsid w:val="005A0244"/>
    <w:rsid w:val="005A1506"/>
    <w:rsid w:val="005A16E9"/>
    <w:rsid w:val="005A1BE0"/>
    <w:rsid w:val="005A3082"/>
    <w:rsid w:val="005A3192"/>
    <w:rsid w:val="005A38EF"/>
    <w:rsid w:val="005A3A5A"/>
    <w:rsid w:val="005A3A7D"/>
    <w:rsid w:val="005A4425"/>
    <w:rsid w:val="005A49AD"/>
    <w:rsid w:val="005A5963"/>
    <w:rsid w:val="005A5D54"/>
    <w:rsid w:val="005A5D94"/>
    <w:rsid w:val="005A66B8"/>
    <w:rsid w:val="005A680C"/>
    <w:rsid w:val="005A7150"/>
    <w:rsid w:val="005A7C37"/>
    <w:rsid w:val="005B00B1"/>
    <w:rsid w:val="005B0457"/>
    <w:rsid w:val="005B0A98"/>
    <w:rsid w:val="005B0E22"/>
    <w:rsid w:val="005B10F3"/>
    <w:rsid w:val="005B148A"/>
    <w:rsid w:val="005B15E3"/>
    <w:rsid w:val="005B1883"/>
    <w:rsid w:val="005B2131"/>
    <w:rsid w:val="005B2691"/>
    <w:rsid w:val="005B3553"/>
    <w:rsid w:val="005B3937"/>
    <w:rsid w:val="005B3A8A"/>
    <w:rsid w:val="005B49EA"/>
    <w:rsid w:val="005B4CBC"/>
    <w:rsid w:val="005B5010"/>
    <w:rsid w:val="005B5207"/>
    <w:rsid w:val="005B550B"/>
    <w:rsid w:val="005B5C55"/>
    <w:rsid w:val="005B5DDC"/>
    <w:rsid w:val="005B633B"/>
    <w:rsid w:val="005B65E7"/>
    <w:rsid w:val="005B6D96"/>
    <w:rsid w:val="005B6E3B"/>
    <w:rsid w:val="005B7EB6"/>
    <w:rsid w:val="005C0E9B"/>
    <w:rsid w:val="005C16E9"/>
    <w:rsid w:val="005C1AD4"/>
    <w:rsid w:val="005C1D55"/>
    <w:rsid w:val="005C2056"/>
    <w:rsid w:val="005C3999"/>
    <w:rsid w:val="005C3ACB"/>
    <w:rsid w:val="005C4B32"/>
    <w:rsid w:val="005C4B9B"/>
    <w:rsid w:val="005C4BC4"/>
    <w:rsid w:val="005C4BD5"/>
    <w:rsid w:val="005C5042"/>
    <w:rsid w:val="005C50AC"/>
    <w:rsid w:val="005C5A4C"/>
    <w:rsid w:val="005C6078"/>
    <w:rsid w:val="005C6268"/>
    <w:rsid w:val="005C6748"/>
    <w:rsid w:val="005C69BA"/>
    <w:rsid w:val="005C6C5B"/>
    <w:rsid w:val="005C7C83"/>
    <w:rsid w:val="005D0BBF"/>
    <w:rsid w:val="005D0FDF"/>
    <w:rsid w:val="005D141B"/>
    <w:rsid w:val="005D1684"/>
    <w:rsid w:val="005D185C"/>
    <w:rsid w:val="005D1A0B"/>
    <w:rsid w:val="005D2A7C"/>
    <w:rsid w:val="005D3416"/>
    <w:rsid w:val="005D381C"/>
    <w:rsid w:val="005D5E26"/>
    <w:rsid w:val="005D6BBF"/>
    <w:rsid w:val="005D73F4"/>
    <w:rsid w:val="005D7445"/>
    <w:rsid w:val="005D7791"/>
    <w:rsid w:val="005D7841"/>
    <w:rsid w:val="005D7B00"/>
    <w:rsid w:val="005E06DF"/>
    <w:rsid w:val="005E1351"/>
    <w:rsid w:val="005E190C"/>
    <w:rsid w:val="005E229A"/>
    <w:rsid w:val="005E259A"/>
    <w:rsid w:val="005E286C"/>
    <w:rsid w:val="005E29E3"/>
    <w:rsid w:val="005E34D0"/>
    <w:rsid w:val="005E3F5C"/>
    <w:rsid w:val="005E41E7"/>
    <w:rsid w:val="005E4629"/>
    <w:rsid w:val="005E47B1"/>
    <w:rsid w:val="005E48D2"/>
    <w:rsid w:val="005E4B9E"/>
    <w:rsid w:val="005E504D"/>
    <w:rsid w:val="005E5467"/>
    <w:rsid w:val="005E66A7"/>
    <w:rsid w:val="005E68A1"/>
    <w:rsid w:val="005E6D17"/>
    <w:rsid w:val="005E72E0"/>
    <w:rsid w:val="005E7529"/>
    <w:rsid w:val="005E7FC3"/>
    <w:rsid w:val="005F0185"/>
    <w:rsid w:val="005F059C"/>
    <w:rsid w:val="005F0B10"/>
    <w:rsid w:val="005F0D58"/>
    <w:rsid w:val="005F14D3"/>
    <w:rsid w:val="005F1AA2"/>
    <w:rsid w:val="005F1F65"/>
    <w:rsid w:val="005F237B"/>
    <w:rsid w:val="005F2F2F"/>
    <w:rsid w:val="005F32C2"/>
    <w:rsid w:val="005F355A"/>
    <w:rsid w:val="005F401B"/>
    <w:rsid w:val="005F4372"/>
    <w:rsid w:val="005F4619"/>
    <w:rsid w:val="005F4648"/>
    <w:rsid w:val="005F4848"/>
    <w:rsid w:val="005F49D5"/>
    <w:rsid w:val="005F4A8A"/>
    <w:rsid w:val="005F575D"/>
    <w:rsid w:val="005F57C2"/>
    <w:rsid w:val="005F64F5"/>
    <w:rsid w:val="005F65C1"/>
    <w:rsid w:val="005F6741"/>
    <w:rsid w:val="005F6C54"/>
    <w:rsid w:val="005F6C58"/>
    <w:rsid w:val="005F6EB6"/>
    <w:rsid w:val="005F740D"/>
    <w:rsid w:val="006001AD"/>
    <w:rsid w:val="006002D6"/>
    <w:rsid w:val="0060033E"/>
    <w:rsid w:val="00601B19"/>
    <w:rsid w:val="00602410"/>
    <w:rsid w:val="00602425"/>
    <w:rsid w:val="00602EEE"/>
    <w:rsid w:val="006031BE"/>
    <w:rsid w:val="006034EC"/>
    <w:rsid w:val="00603977"/>
    <w:rsid w:val="00603D13"/>
    <w:rsid w:val="00604423"/>
    <w:rsid w:val="006050E2"/>
    <w:rsid w:val="00605D1D"/>
    <w:rsid w:val="00605E1C"/>
    <w:rsid w:val="00606058"/>
    <w:rsid w:val="006068A4"/>
    <w:rsid w:val="00610509"/>
    <w:rsid w:val="0061067F"/>
    <w:rsid w:val="00610A0A"/>
    <w:rsid w:val="006112E0"/>
    <w:rsid w:val="0061166D"/>
    <w:rsid w:val="00611801"/>
    <w:rsid w:val="00612525"/>
    <w:rsid w:val="0061307C"/>
    <w:rsid w:val="0061364E"/>
    <w:rsid w:val="0061399D"/>
    <w:rsid w:val="00614A0D"/>
    <w:rsid w:val="00614D6C"/>
    <w:rsid w:val="00614D8D"/>
    <w:rsid w:val="00615181"/>
    <w:rsid w:val="00615B31"/>
    <w:rsid w:val="0061616B"/>
    <w:rsid w:val="00620261"/>
    <w:rsid w:val="006204F7"/>
    <w:rsid w:val="00621D98"/>
    <w:rsid w:val="006220F9"/>
    <w:rsid w:val="00622488"/>
    <w:rsid w:val="00622E1A"/>
    <w:rsid w:val="00622F66"/>
    <w:rsid w:val="0062300A"/>
    <w:rsid w:val="0062308E"/>
    <w:rsid w:val="00623760"/>
    <w:rsid w:val="006245E8"/>
    <w:rsid w:val="00624AC3"/>
    <w:rsid w:val="00625200"/>
    <w:rsid w:val="00625CA9"/>
    <w:rsid w:val="0062606D"/>
    <w:rsid w:val="00626244"/>
    <w:rsid w:val="006262B0"/>
    <w:rsid w:val="0062651C"/>
    <w:rsid w:val="0062658E"/>
    <w:rsid w:val="00630378"/>
    <w:rsid w:val="006307CC"/>
    <w:rsid w:val="00630994"/>
    <w:rsid w:val="00630EE0"/>
    <w:rsid w:val="0063104F"/>
    <w:rsid w:val="00632A93"/>
    <w:rsid w:val="00633901"/>
    <w:rsid w:val="00633C2F"/>
    <w:rsid w:val="00633C46"/>
    <w:rsid w:val="00634295"/>
    <w:rsid w:val="00634B95"/>
    <w:rsid w:val="00635608"/>
    <w:rsid w:val="00635FC0"/>
    <w:rsid w:val="00636195"/>
    <w:rsid w:val="006366B1"/>
    <w:rsid w:val="00636D60"/>
    <w:rsid w:val="00636DE7"/>
    <w:rsid w:val="00636F8E"/>
    <w:rsid w:val="006375F3"/>
    <w:rsid w:val="00640020"/>
    <w:rsid w:val="00640243"/>
    <w:rsid w:val="006403E7"/>
    <w:rsid w:val="0064066D"/>
    <w:rsid w:val="00641030"/>
    <w:rsid w:val="00641999"/>
    <w:rsid w:val="00641A4D"/>
    <w:rsid w:val="00641D88"/>
    <w:rsid w:val="00641EBA"/>
    <w:rsid w:val="00642042"/>
    <w:rsid w:val="00642239"/>
    <w:rsid w:val="006422B5"/>
    <w:rsid w:val="0064278E"/>
    <w:rsid w:val="00642B9C"/>
    <w:rsid w:val="006433F8"/>
    <w:rsid w:val="006438EA"/>
    <w:rsid w:val="00644437"/>
    <w:rsid w:val="00644443"/>
    <w:rsid w:val="0064484E"/>
    <w:rsid w:val="00644D8C"/>
    <w:rsid w:val="0064514E"/>
    <w:rsid w:val="006452CD"/>
    <w:rsid w:val="00646634"/>
    <w:rsid w:val="00646A0A"/>
    <w:rsid w:val="00646BFD"/>
    <w:rsid w:val="006477A0"/>
    <w:rsid w:val="006478B0"/>
    <w:rsid w:val="00647CF7"/>
    <w:rsid w:val="00650E40"/>
    <w:rsid w:val="00650F47"/>
    <w:rsid w:val="0065104F"/>
    <w:rsid w:val="0065112C"/>
    <w:rsid w:val="006513E5"/>
    <w:rsid w:val="00651452"/>
    <w:rsid w:val="00651516"/>
    <w:rsid w:val="0065185D"/>
    <w:rsid w:val="00651BF9"/>
    <w:rsid w:val="00651D97"/>
    <w:rsid w:val="00651FB5"/>
    <w:rsid w:val="0065204C"/>
    <w:rsid w:val="006520AF"/>
    <w:rsid w:val="00652FF0"/>
    <w:rsid w:val="00653170"/>
    <w:rsid w:val="00653A0F"/>
    <w:rsid w:val="00653E83"/>
    <w:rsid w:val="00653EF2"/>
    <w:rsid w:val="00654266"/>
    <w:rsid w:val="006546DD"/>
    <w:rsid w:val="00654B9A"/>
    <w:rsid w:val="00654E94"/>
    <w:rsid w:val="006550AC"/>
    <w:rsid w:val="0065518D"/>
    <w:rsid w:val="0065551E"/>
    <w:rsid w:val="006556B2"/>
    <w:rsid w:val="006558F9"/>
    <w:rsid w:val="00655993"/>
    <w:rsid w:val="00656B96"/>
    <w:rsid w:val="006570A7"/>
    <w:rsid w:val="006572A5"/>
    <w:rsid w:val="006578EA"/>
    <w:rsid w:val="006579C6"/>
    <w:rsid w:val="00657A6F"/>
    <w:rsid w:val="00657B43"/>
    <w:rsid w:val="00657FA5"/>
    <w:rsid w:val="006601EA"/>
    <w:rsid w:val="0066071C"/>
    <w:rsid w:val="0066176A"/>
    <w:rsid w:val="00661836"/>
    <w:rsid w:val="00661CE7"/>
    <w:rsid w:val="00662FEC"/>
    <w:rsid w:val="006639C6"/>
    <w:rsid w:val="00663BC3"/>
    <w:rsid w:val="00664C3B"/>
    <w:rsid w:val="00664DB5"/>
    <w:rsid w:val="00665AFD"/>
    <w:rsid w:val="00665B4A"/>
    <w:rsid w:val="00667D14"/>
    <w:rsid w:val="00670565"/>
    <w:rsid w:val="00670C53"/>
    <w:rsid w:val="0067143E"/>
    <w:rsid w:val="0067166F"/>
    <w:rsid w:val="006717A4"/>
    <w:rsid w:val="00671A22"/>
    <w:rsid w:val="00672528"/>
    <w:rsid w:val="00672BB0"/>
    <w:rsid w:val="00673322"/>
    <w:rsid w:val="00673BE1"/>
    <w:rsid w:val="006740C3"/>
    <w:rsid w:val="006740C7"/>
    <w:rsid w:val="006746F2"/>
    <w:rsid w:val="00674885"/>
    <w:rsid w:val="00674E0E"/>
    <w:rsid w:val="0067597A"/>
    <w:rsid w:val="00676700"/>
    <w:rsid w:val="0067670E"/>
    <w:rsid w:val="006767BA"/>
    <w:rsid w:val="00676AEC"/>
    <w:rsid w:val="00676B1A"/>
    <w:rsid w:val="00676E9A"/>
    <w:rsid w:val="006773A8"/>
    <w:rsid w:val="00677929"/>
    <w:rsid w:val="00677E37"/>
    <w:rsid w:val="00677FC9"/>
    <w:rsid w:val="00680B7C"/>
    <w:rsid w:val="00680EF1"/>
    <w:rsid w:val="00680F4F"/>
    <w:rsid w:val="006816F3"/>
    <w:rsid w:val="00681A62"/>
    <w:rsid w:val="006822F0"/>
    <w:rsid w:val="00682634"/>
    <w:rsid w:val="0068331B"/>
    <w:rsid w:val="00684183"/>
    <w:rsid w:val="00684843"/>
    <w:rsid w:val="00684850"/>
    <w:rsid w:val="00684A22"/>
    <w:rsid w:val="00684A9D"/>
    <w:rsid w:val="0068502F"/>
    <w:rsid w:val="00685307"/>
    <w:rsid w:val="00685580"/>
    <w:rsid w:val="00686C14"/>
    <w:rsid w:val="00686E1C"/>
    <w:rsid w:val="00686EC1"/>
    <w:rsid w:val="00686ECF"/>
    <w:rsid w:val="00686EF9"/>
    <w:rsid w:val="00687384"/>
    <w:rsid w:val="006873B5"/>
    <w:rsid w:val="00690056"/>
    <w:rsid w:val="006903F1"/>
    <w:rsid w:val="00690539"/>
    <w:rsid w:val="00690984"/>
    <w:rsid w:val="0069194F"/>
    <w:rsid w:val="006919C7"/>
    <w:rsid w:val="00691A16"/>
    <w:rsid w:val="00691D05"/>
    <w:rsid w:val="00692BE8"/>
    <w:rsid w:val="00692DD7"/>
    <w:rsid w:val="0069416B"/>
    <w:rsid w:val="0069429C"/>
    <w:rsid w:val="006944D7"/>
    <w:rsid w:val="0069484B"/>
    <w:rsid w:val="00695142"/>
    <w:rsid w:val="006952CC"/>
    <w:rsid w:val="006953EC"/>
    <w:rsid w:val="00695449"/>
    <w:rsid w:val="00695670"/>
    <w:rsid w:val="0069569A"/>
    <w:rsid w:val="00695877"/>
    <w:rsid w:val="00696252"/>
    <w:rsid w:val="006962B3"/>
    <w:rsid w:val="006966F7"/>
    <w:rsid w:val="00696C40"/>
    <w:rsid w:val="006975E5"/>
    <w:rsid w:val="00697633"/>
    <w:rsid w:val="006979FF"/>
    <w:rsid w:val="00697B39"/>
    <w:rsid w:val="006A008B"/>
    <w:rsid w:val="006A10D2"/>
    <w:rsid w:val="006A16C7"/>
    <w:rsid w:val="006A22A7"/>
    <w:rsid w:val="006A2F22"/>
    <w:rsid w:val="006A32EC"/>
    <w:rsid w:val="006A4684"/>
    <w:rsid w:val="006A4CDC"/>
    <w:rsid w:val="006A6D52"/>
    <w:rsid w:val="006A6E53"/>
    <w:rsid w:val="006A75F3"/>
    <w:rsid w:val="006A7623"/>
    <w:rsid w:val="006A7918"/>
    <w:rsid w:val="006A7F6F"/>
    <w:rsid w:val="006B03A4"/>
    <w:rsid w:val="006B03F9"/>
    <w:rsid w:val="006B0516"/>
    <w:rsid w:val="006B0923"/>
    <w:rsid w:val="006B0DBF"/>
    <w:rsid w:val="006B258D"/>
    <w:rsid w:val="006B2949"/>
    <w:rsid w:val="006B2C1C"/>
    <w:rsid w:val="006B2D87"/>
    <w:rsid w:val="006B2DAD"/>
    <w:rsid w:val="006B3857"/>
    <w:rsid w:val="006B4507"/>
    <w:rsid w:val="006B46A3"/>
    <w:rsid w:val="006B5256"/>
    <w:rsid w:val="006B57DC"/>
    <w:rsid w:val="006B6DEF"/>
    <w:rsid w:val="006B6F56"/>
    <w:rsid w:val="006B744E"/>
    <w:rsid w:val="006B76B2"/>
    <w:rsid w:val="006C043E"/>
    <w:rsid w:val="006C04B0"/>
    <w:rsid w:val="006C07CA"/>
    <w:rsid w:val="006C0F4D"/>
    <w:rsid w:val="006C1564"/>
    <w:rsid w:val="006C1768"/>
    <w:rsid w:val="006C1A8C"/>
    <w:rsid w:val="006C202A"/>
    <w:rsid w:val="006C2081"/>
    <w:rsid w:val="006C250D"/>
    <w:rsid w:val="006C4E90"/>
    <w:rsid w:val="006C50E6"/>
    <w:rsid w:val="006C53C0"/>
    <w:rsid w:val="006C6057"/>
    <w:rsid w:val="006C650B"/>
    <w:rsid w:val="006C650C"/>
    <w:rsid w:val="006C660F"/>
    <w:rsid w:val="006C6780"/>
    <w:rsid w:val="006C692C"/>
    <w:rsid w:val="006C7A26"/>
    <w:rsid w:val="006D069C"/>
    <w:rsid w:val="006D08AD"/>
    <w:rsid w:val="006D0B6B"/>
    <w:rsid w:val="006D0C59"/>
    <w:rsid w:val="006D1A05"/>
    <w:rsid w:val="006D1E1B"/>
    <w:rsid w:val="006D2020"/>
    <w:rsid w:val="006D2503"/>
    <w:rsid w:val="006D260A"/>
    <w:rsid w:val="006D2900"/>
    <w:rsid w:val="006D2B35"/>
    <w:rsid w:val="006D306B"/>
    <w:rsid w:val="006D36F3"/>
    <w:rsid w:val="006D4065"/>
    <w:rsid w:val="006D424B"/>
    <w:rsid w:val="006D4446"/>
    <w:rsid w:val="006D44B9"/>
    <w:rsid w:val="006D4792"/>
    <w:rsid w:val="006D4A6C"/>
    <w:rsid w:val="006D566F"/>
    <w:rsid w:val="006D58D5"/>
    <w:rsid w:val="006D5DDA"/>
    <w:rsid w:val="006D5F28"/>
    <w:rsid w:val="006D6AD2"/>
    <w:rsid w:val="006D6CC0"/>
    <w:rsid w:val="006D6DAF"/>
    <w:rsid w:val="006D6F8B"/>
    <w:rsid w:val="006D777D"/>
    <w:rsid w:val="006E009C"/>
    <w:rsid w:val="006E02C0"/>
    <w:rsid w:val="006E13AA"/>
    <w:rsid w:val="006E17AA"/>
    <w:rsid w:val="006E19C0"/>
    <w:rsid w:val="006E1A5A"/>
    <w:rsid w:val="006E1FE1"/>
    <w:rsid w:val="006E2142"/>
    <w:rsid w:val="006E31B1"/>
    <w:rsid w:val="006E32DE"/>
    <w:rsid w:val="006E3706"/>
    <w:rsid w:val="006E3A50"/>
    <w:rsid w:val="006E4231"/>
    <w:rsid w:val="006E4397"/>
    <w:rsid w:val="006E46BD"/>
    <w:rsid w:val="006E4890"/>
    <w:rsid w:val="006E4E28"/>
    <w:rsid w:val="006E53B4"/>
    <w:rsid w:val="006E5554"/>
    <w:rsid w:val="006E5CDC"/>
    <w:rsid w:val="006E60AE"/>
    <w:rsid w:val="006E6160"/>
    <w:rsid w:val="006E6D8E"/>
    <w:rsid w:val="006E7254"/>
    <w:rsid w:val="006E7715"/>
    <w:rsid w:val="006E7AA2"/>
    <w:rsid w:val="006E7EFF"/>
    <w:rsid w:val="006F0F3F"/>
    <w:rsid w:val="006F1712"/>
    <w:rsid w:val="006F1D5C"/>
    <w:rsid w:val="006F1DF9"/>
    <w:rsid w:val="006F1FA8"/>
    <w:rsid w:val="006F222A"/>
    <w:rsid w:val="006F323D"/>
    <w:rsid w:val="006F43A4"/>
    <w:rsid w:val="006F4FEF"/>
    <w:rsid w:val="006F50AC"/>
    <w:rsid w:val="006F5334"/>
    <w:rsid w:val="006F589E"/>
    <w:rsid w:val="006F5A50"/>
    <w:rsid w:val="006F62E2"/>
    <w:rsid w:val="006F6E65"/>
    <w:rsid w:val="006F7DF9"/>
    <w:rsid w:val="0070009A"/>
    <w:rsid w:val="007001E0"/>
    <w:rsid w:val="00700859"/>
    <w:rsid w:val="0070085A"/>
    <w:rsid w:val="007008D2"/>
    <w:rsid w:val="0070175B"/>
    <w:rsid w:val="0070184C"/>
    <w:rsid w:val="00702787"/>
    <w:rsid w:val="007035A4"/>
    <w:rsid w:val="00703B08"/>
    <w:rsid w:val="00703B3E"/>
    <w:rsid w:val="007045C5"/>
    <w:rsid w:val="007045E8"/>
    <w:rsid w:val="00704B90"/>
    <w:rsid w:val="0070505E"/>
    <w:rsid w:val="00705250"/>
    <w:rsid w:val="007058DB"/>
    <w:rsid w:val="00705F45"/>
    <w:rsid w:val="0070635E"/>
    <w:rsid w:val="00706C3A"/>
    <w:rsid w:val="00706CFC"/>
    <w:rsid w:val="00706D7C"/>
    <w:rsid w:val="007075F2"/>
    <w:rsid w:val="007106A1"/>
    <w:rsid w:val="00711E73"/>
    <w:rsid w:val="00712543"/>
    <w:rsid w:val="00712781"/>
    <w:rsid w:val="00712C2F"/>
    <w:rsid w:val="00712C6D"/>
    <w:rsid w:val="00712D6F"/>
    <w:rsid w:val="00712FE2"/>
    <w:rsid w:val="007134A9"/>
    <w:rsid w:val="00713CF8"/>
    <w:rsid w:val="007145F8"/>
    <w:rsid w:val="00714FF7"/>
    <w:rsid w:val="00715017"/>
    <w:rsid w:val="007152D6"/>
    <w:rsid w:val="00715391"/>
    <w:rsid w:val="007178A2"/>
    <w:rsid w:val="00717D3B"/>
    <w:rsid w:val="00717ECE"/>
    <w:rsid w:val="00720735"/>
    <w:rsid w:val="0072160E"/>
    <w:rsid w:val="00721833"/>
    <w:rsid w:val="00721DCE"/>
    <w:rsid w:val="007222E9"/>
    <w:rsid w:val="00722A3A"/>
    <w:rsid w:val="00722A5F"/>
    <w:rsid w:val="00722BB2"/>
    <w:rsid w:val="00722BB9"/>
    <w:rsid w:val="00723045"/>
    <w:rsid w:val="00723510"/>
    <w:rsid w:val="007238F0"/>
    <w:rsid w:val="00724132"/>
    <w:rsid w:val="007241D2"/>
    <w:rsid w:val="007246FE"/>
    <w:rsid w:val="0072475D"/>
    <w:rsid w:val="00724B80"/>
    <w:rsid w:val="0072537F"/>
    <w:rsid w:val="00725750"/>
    <w:rsid w:val="0072731C"/>
    <w:rsid w:val="0072737D"/>
    <w:rsid w:val="007278BF"/>
    <w:rsid w:val="00727E00"/>
    <w:rsid w:val="0073011B"/>
    <w:rsid w:val="00730AC0"/>
    <w:rsid w:val="00730E12"/>
    <w:rsid w:val="0073127C"/>
    <w:rsid w:val="007319CD"/>
    <w:rsid w:val="00731AC1"/>
    <w:rsid w:val="00732918"/>
    <w:rsid w:val="00732BD9"/>
    <w:rsid w:val="00732C87"/>
    <w:rsid w:val="00733268"/>
    <w:rsid w:val="007333E3"/>
    <w:rsid w:val="007336B5"/>
    <w:rsid w:val="0073433C"/>
    <w:rsid w:val="0073441A"/>
    <w:rsid w:val="0073444D"/>
    <w:rsid w:val="0073463A"/>
    <w:rsid w:val="007349B1"/>
    <w:rsid w:val="007349EF"/>
    <w:rsid w:val="00735901"/>
    <w:rsid w:val="0073629E"/>
    <w:rsid w:val="0073697D"/>
    <w:rsid w:val="00736CB5"/>
    <w:rsid w:val="00736D7A"/>
    <w:rsid w:val="0073749F"/>
    <w:rsid w:val="0073799A"/>
    <w:rsid w:val="007407BE"/>
    <w:rsid w:val="00740869"/>
    <w:rsid w:val="00741182"/>
    <w:rsid w:val="00741BF4"/>
    <w:rsid w:val="00741F98"/>
    <w:rsid w:val="007430A1"/>
    <w:rsid w:val="0074313D"/>
    <w:rsid w:val="0074361E"/>
    <w:rsid w:val="00743A23"/>
    <w:rsid w:val="00743A42"/>
    <w:rsid w:val="00743C90"/>
    <w:rsid w:val="00743DCF"/>
    <w:rsid w:val="0074451D"/>
    <w:rsid w:val="007446D6"/>
    <w:rsid w:val="00744B92"/>
    <w:rsid w:val="007452F9"/>
    <w:rsid w:val="007455BF"/>
    <w:rsid w:val="007455C6"/>
    <w:rsid w:val="00745CCF"/>
    <w:rsid w:val="007474E8"/>
    <w:rsid w:val="0074791E"/>
    <w:rsid w:val="00747BFD"/>
    <w:rsid w:val="00747E75"/>
    <w:rsid w:val="00750967"/>
    <w:rsid w:val="00750D31"/>
    <w:rsid w:val="00751130"/>
    <w:rsid w:val="00751217"/>
    <w:rsid w:val="0075133A"/>
    <w:rsid w:val="0075146B"/>
    <w:rsid w:val="00752B2C"/>
    <w:rsid w:val="00752B90"/>
    <w:rsid w:val="00752C50"/>
    <w:rsid w:val="00752F3B"/>
    <w:rsid w:val="00752F86"/>
    <w:rsid w:val="0075339F"/>
    <w:rsid w:val="00753FEB"/>
    <w:rsid w:val="007543B6"/>
    <w:rsid w:val="0075441D"/>
    <w:rsid w:val="007551E2"/>
    <w:rsid w:val="0075544D"/>
    <w:rsid w:val="0075586C"/>
    <w:rsid w:val="00755AFB"/>
    <w:rsid w:val="007563F1"/>
    <w:rsid w:val="007564E9"/>
    <w:rsid w:val="00756680"/>
    <w:rsid w:val="00756692"/>
    <w:rsid w:val="00756FFE"/>
    <w:rsid w:val="00760801"/>
    <w:rsid w:val="00760D9C"/>
    <w:rsid w:val="00761093"/>
    <w:rsid w:val="0076113F"/>
    <w:rsid w:val="00761576"/>
    <w:rsid w:val="0076159C"/>
    <w:rsid w:val="00762052"/>
    <w:rsid w:val="00762122"/>
    <w:rsid w:val="007627A0"/>
    <w:rsid w:val="007627FB"/>
    <w:rsid w:val="00762AF0"/>
    <w:rsid w:val="00763932"/>
    <w:rsid w:val="00763E1F"/>
    <w:rsid w:val="00763F96"/>
    <w:rsid w:val="00764217"/>
    <w:rsid w:val="007647CF"/>
    <w:rsid w:val="00764CF2"/>
    <w:rsid w:val="00764FF4"/>
    <w:rsid w:val="0076519E"/>
    <w:rsid w:val="0076636C"/>
    <w:rsid w:val="00766515"/>
    <w:rsid w:val="00766F24"/>
    <w:rsid w:val="00767C6D"/>
    <w:rsid w:val="00767DB8"/>
    <w:rsid w:val="0077005F"/>
    <w:rsid w:val="0077066A"/>
    <w:rsid w:val="00770D25"/>
    <w:rsid w:val="007716CD"/>
    <w:rsid w:val="0077188F"/>
    <w:rsid w:val="00772012"/>
    <w:rsid w:val="007721A3"/>
    <w:rsid w:val="00772496"/>
    <w:rsid w:val="00772E38"/>
    <w:rsid w:val="007737B6"/>
    <w:rsid w:val="00773927"/>
    <w:rsid w:val="00773A55"/>
    <w:rsid w:val="00773D10"/>
    <w:rsid w:val="0077441F"/>
    <w:rsid w:val="007744CE"/>
    <w:rsid w:val="0077478D"/>
    <w:rsid w:val="00774973"/>
    <w:rsid w:val="00774CAC"/>
    <w:rsid w:val="00775E84"/>
    <w:rsid w:val="00775FBD"/>
    <w:rsid w:val="00776A1C"/>
    <w:rsid w:val="00776F09"/>
    <w:rsid w:val="00777519"/>
    <w:rsid w:val="00777DE4"/>
    <w:rsid w:val="007801FA"/>
    <w:rsid w:val="00780C17"/>
    <w:rsid w:val="00781239"/>
    <w:rsid w:val="007815C8"/>
    <w:rsid w:val="00781929"/>
    <w:rsid w:val="00781AC4"/>
    <w:rsid w:val="00781CE4"/>
    <w:rsid w:val="00781D67"/>
    <w:rsid w:val="00782289"/>
    <w:rsid w:val="00782435"/>
    <w:rsid w:val="007824FB"/>
    <w:rsid w:val="0078261C"/>
    <w:rsid w:val="007827EB"/>
    <w:rsid w:val="007830FC"/>
    <w:rsid w:val="007837CF"/>
    <w:rsid w:val="007839B4"/>
    <w:rsid w:val="007839E8"/>
    <w:rsid w:val="00783FBB"/>
    <w:rsid w:val="00784044"/>
    <w:rsid w:val="0078492C"/>
    <w:rsid w:val="00785A18"/>
    <w:rsid w:val="007860A5"/>
    <w:rsid w:val="007864ED"/>
    <w:rsid w:val="00786F7E"/>
    <w:rsid w:val="00787377"/>
    <w:rsid w:val="0078745A"/>
    <w:rsid w:val="0078760F"/>
    <w:rsid w:val="0078768B"/>
    <w:rsid w:val="0079038E"/>
    <w:rsid w:val="0079083C"/>
    <w:rsid w:val="00790862"/>
    <w:rsid w:val="00790A3C"/>
    <w:rsid w:val="00790B62"/>
    <w:rsid w:val="00790BD8"/>
    <w:rsid w:val="007915FA"/>
    <w:rsid w:val="00792809"/>
    <w:rsid w:val="007928BB"/>
    <w:rsid w:val="00792A4A"/>
    <w:rsid w:val="00792B8B"/>
    <w:rsid w:val="007930D7"/>
    <w:rsid w:val="007932CD"/>
    <w:rsid w:val="00793935"/>
    <w:rsid w:val="00793D2A"/>
    <w:rsid w:val="00793D35"/>
    <w:rsid w:val="00793D47"/>
    <w:rsid w:val="007944BC"/>
    <w:rsid w:val="0079492D"/>
    <w:rsid w:val="00794EE2"/>
    <w:rsid w:val="0079538E"/>
    <w:rsid w:val="0079540F"/>
    <w:rsid w:val="00795869"/>
    <w:rsid w:val="00796FA9"/>
    <w:rsid w:val="00797689"/>
    <w:rsid w:val="00797735"/>
    <w:rsid w:val="007A021C"/>
    <w:rsid w:val="007A05C2"/>
    <w:rsid w:val="007A0DC2"/>
    <w:rsid w:val="007A12B7"/>
    <w:rsid w:val="007A21DA"/>
    <w:rsid w:val="007A2B11"/>
    <w:rsid w:val="007A371D"/>
    <w:rsid w:val="007A45BE"/>
    <w:rsid w:val="007A46A9"/>
    <w:rsid w:val="007A46C5"/>
    <w:rsid w:val="007A4BD5"/>
    <w:rsid w:val="007A4BE2"/>
    <w:rsid w:val="007A572C"/>
    <w:rsid w:val="007A5F9A"/>
    <w:rsid w:val="007A679F"/>
    <w:rsid w:val="007A747C"/>
    <w:rsid w:val="007A76AA"/>
    <w:rsid w:val="007A7B7A"/>
    <w:rsid w:val="007A7DC5"/>
    <w:rsid w:val="007A7DC9"/>
    <w:rsid w:val="007B0146"/>
    <w:rsid w:val="007B0C5D"/>
    <w:rsid w:val="007B0D1E"/>
    <w:rsid w:val="007B0D73"/>
    <w:rsid w:val="007B0EA5"/>
    <w:rsid w:val="007B102B"/>
    <w:rsid w:val="007B1D2F"/>
    <w:rsid w:val="007B3256"/>
    <w:rsid w:val="007B34F2"/>
    <w:rsid w:val="007B37F5"/>
    <w:rsid w:val="007B3BB0"/>
    <w:rsid w:val="007B3C2D"/>
    <w:rsid w:val="007B42BB"/>
    <w:rsid w:val="007B4748"/>
    <w:rsid w:val="007B48AE"/>
    <w:rsid w:val="007B5290"/>
    <w:rsid w:val="007B52F4"/>
    <w:rsid w:val="007B59E4"/>
    <w:rsid w:val="007B5A81"/>
    <w:rsid w:val="007B5BEF"/>
    <w:rsid w:val="007B5C15"/>
    <w:rsid w:val="007B70A6"/>
    <w:rsid w:val="007C04FF"/>
    <w:rsid w:val="007C06ED"/>
    <w:rsid w:val="007C08BD"/>
    <w:rsid w:val="007C097B"/>
    <w:rsid w:val="007C0B55"/>
    <w:rsid w:val="007C0CDC"/>
    <w:rsid w:val="007C1258"/>
    <w:rsid w:val="007C1FAA"/>
    <w:rsid w:val="007C2743"/>
    <w:rsid w:val="007C2FBF"/>
    <w:rsid w:val="007C30FC"/>
    <w:rsid w:val="007C3697"/>
    <w:rsid w:val="007C3862"/>
    <w:rsid w:val="007C3978"/>
    <w:rsid w:val="007C3D76"/>
    <w:rsid w:val="007C4318"/>
    <w:rsid w:val="007C5C23"/>
    <w:rsid w:val="007C5EF3"/>
    <w:rsid w:val="007C6A50"/>
    <w:rsid w:val="007C6C80"/>
    <w:rsid w:val="007C7432"/>
    <w:rsid w:val="007C7F17"/>
    <w:rsid w:val="007D020C"/>
    <w:rsid w:val="007D07FB"/>
    <w:rsid w:val="007D0835"/>
    <w:rsid w:val="007D0F88"/>
    <w:rsid w:val="007D138C"/>
    <w:rsid w:val="007D16BF"/>
    <w:rsid w:val="007D1E71"/>
    <w:rsid w:val="007D31D0"/>
    <w:rsid w:val="007D435B"/>
    <w:rsid w:val="007D441F"/>
    <w:rsid w:val="007D44BC"/>
    <w:rsid w:val="007D4756"/>
    <w:rsid w:val="007D4C22"/>
    <w:rsid w:val="007D4F8D"/>
    <w:rsid w:val="007D4FCD"/>
    <w:rsid w:val="007D5D6B"/>
    <w:rsid w:val="007D5DF9"/>
    <w:rsid w:val="007D5E88"/>
    <w:rsid w:val="007D5EB7"/>
    <w:rsid w:val="007D65CB"/>
    <w:rsid w:val="007D6993"/>
    <w:rsid w:val="007D6DB7"/>
    <w:rsid w:val="007D6F3F"/>
    <w:rsid w:val="007D7069"/>
    <w:rsid w:val="007D7206"/>
    <w:rsid w:val="007D7EFA"/>
    <w:rsid w:val="007E0DFA"/>
    <w:rsid w:val="007E10A5"/>
    <w:rsid w:val="007E1592"/>
    <w:rsid w:val="007E15C3"/>
    <w:rsid w:val="007E1747"/>
    <w:rsid w:val="007E1C8F"/>
    <w:rsid w:val="007E2698"/>
    <w:rsid w:val="007E2B77"/>
    <w:rsid w:val="007E3487"/>
    <w:rsid w:val="007E3BAA"/>
    <w:rsid w:val="007E3C8D"/>
    <w:rsid w:val="007E41B5"/>
    <w:rsid w:val="007E4283"/>
    <w:rsid w:val="007E48EC"/>
    <w:rsid w:val="007E4A21"/>
    <w:rsid w:val="007E51D0"/>
    <w:rsid w:val="007E5B85"/>
    <w:rsid w:val="007E5E09"/>
    <w:rsid w:val="007E7057"/>
    <w:rsid w:val="007E727B"/>
    <w:rsid w:val="007E73B6"/>
    <w:rsid w:val="007F0015"/>
    <w:rsid w:val="007F08A6"/>
    <w:rsid w:val="007F14D7"/>
    <w:rsid w:val="007F1C6E"/>
    <w:rsid w:val="007F2946"/>
    <w:rsid w:val="007F2FD4"/>
    <w:rsid w:val="007F2FEE"/>
    <w:rsid w:val="007F34BC"/>
    <w:rsid w:val="007F3FD3"/>
    <w:rsid w:val="007F4394"/>
    <w:rsid w:val="007F45DE"/>
    <w:rsid w:val="007F4C6E"/>
    <w:rsid w:val="007F5000"/>
    <w:rsid w:val="007F50C9"/>
    <w:rsid w:val="007F51B8"/>
    <w:rsid w:val="007F5673"/>
    <w:rsid w:val="007F58D6"/>
    <w:rsid w:val="007F5D8D"/>
    <w:rsid w:val="007F5DC1"/>
    <w:rsid w:val="007F5E28"/>
    <w:rsid w:val="007F6FFC"/>
    <w:rsid w:val="007F70FC"/>
    <w:rsid w:val="007F7B1B"/>
    <w:rsid w:val="007F7BF0"/>
    <w:rsid w:val="007F7CB3"/>
    <w:rsid w:val="007F7D82"/>
    <w:rsid w:val="007F7DDD"/>
    <w:rsid w:val="007F7E34"/>
    <w:rsid w:val="007F7E67"/>
    <w:rsid w:val="00800E2B"/>
    <w:rsid w:val="00800FC1"/>
    <w:rsid w:val="0080105B"/>
    <w:rsid w:val="00801355"/>
    <w:rsid w:val="008013D1"/>
    <w:rsid w:val="00801D40"/>
    <w:rsid w:val="00802117"/>
    <w:rsid w:val="00802653"/>
    <w:rsid w:val="00802951"/>
    <w:rsid w:val="00802A7F"/>
    <w:rsid w:val="00802BF2"/>
    <w:rsid w:val="00802DB1"/>
    <w:rsid w:val="008043AB"/>
    <w:rsid w:val="008043E7"/>
    <w:rsid w:val="0080444E"/>
    <w:rsid w:val="00804529"/>
    <w:rsid w:val="008059DD"/>
    <w:rsid w:val="00805C09"/>
    <w:rsid w:val="00806368"/>
    <w:rsid w:val="00806B14"/>
    <w:rsid w:val="00807A2E"/>
    <w:rsid w:val="00807A88"/>
    <w:rsid w:val="00810207"/>
    <w:rsid w:val="0081041D"/>
    <w:rsid w:val="0081098A"/>
    <w:rsid w:val="00810D65"/>
    <w:rsid w:val="00810DED"/>
    <w:rsid w:val="0081148F"/>
    <w:rsid w:val="00811A26"/>
    <w:rsid w:val="00811D2F"/>
    <w:rsid w:val="00812BBE"/>
    <w:rsid w:val="00812D2A"/>
    <w:rsid w:val="00813E1B"/>
    <w:rsid w:val="00813FAB"/>
    <w:rsid w:val="0081425A"/>
    <w:rsid w:val="00814597"/>
    <w:rsid w:val="00814771"/>
    <w:rsid w:val="008153DF"/>
    <w:rsid w:val="00815EDD"/>
    <w:rsid w:val="00816BA8"/>
    <w:rsid w:val="008174B1"/>
    <w:rsid w:val="008175E1"/>
    <w:rsid w:val="008176C3"/>
    <w:rsid w:val="008177ED"/>
    <w:rsid w:val="008179DD"/>
    <w:rsid w:val="00817B13"/>
    <w:rsid w:val="00817EA5"/>
    <w:rsid w:val="00817F71"/>
    <w:rsid w:val="00820262"/>
    <w:rsid w:val="0082102E"/>
    <w:rsid w:val="00821B77"/>
    <w:rsid w:val="008220BF"/>
    <w:rsid w:val="00822DAA"/>
    <w:rsid w:val="00822DC5"/>
    <w:rsid w:val="008235E3"/>
    <w:rsid w:val="008236CA"/>
    <w:rsid w:val="00823F58"/>
    <w:rsid w:val="008240AA"/>
    <w:rsid w:val="00824C13"/>
    <w:rsid w:val="00824C73"/>
    <w:rsid w:val="008253C5"/>
    <w:rsid w:val="00825BB3"/>
    <w:rsid w:val="00826180"/>
    <w:rsid w:val="0082659C"/>
    <w:rsid w:val="00826F29"/>
    <w:rsid w:val="00826F43"/>
    <w:rsid w:val="008277E5"/>
    <w:rsid w:val="00830753"/>
    <w:rsid w:val="00830EF8"/>
    <w:rsid w:val="008312EF"/>
    <w:rsid w:val="0083154A"/>
    <w:rsid w:val="0083190D"/>
    <w:rsid w:val="00831D02"/>
    <w:rsid w:val="00831EA8"/>
    <w:rsid w:val="008320DF"/>
    <w:rsid w:val="008327C2"/>
    <w:rsid w:val="00832838"/>
    <w:rsid w:val="0083307F"/>
    <w:rsid w:val="0083308C"/>
    <w:rsid w:val="00833720"/>
    <w:rsid w:val="00833C11"/>
    <w:rsid w:val="00834761"/>
    <w:rsid w:val="00834CD5"/>
    <w:rsid w:val="00834F92"/>
    <w:rsid w:val="008350D8"/>
    <w:rsid w:val="0083516C"/>
    <w:rsid w:val="00836166"/>
    <w:rsid w:val="0083643C"/>
    <w:rsid w:val="0083645E"/>
    <w:rsid w:val="008369C7"/>
    <w:rsid w:val="00836B49"/>
    <w:rsid w:val="00836B92"/>
    <w:rsid w:val="00837A70"/>
    <w:rsid w:val="008406E7"/>
    <w:rsid w:val="00840757"/>
    <w:rsid w:val="008412AC"/>
    <w:rsid w:val="00842771"/>
    <w:rsid w:val="00842815"/>
    <w:rsid w:val="0084287B"/>
    <w:rsid w:val="0084298E"/>
    <w:rsid w:val="00842C98"/>
    <w:rsid w:val="0084321F"/>
    <w:rsid w:val="008433FE"/>
    <w:rsid w:val="00843789"/>
    <w:rsid w:val="00843B6B"/>
    <w:rsid w:val="00843CDF"/>
    <w:rsid w:val="00843DFB"/>
    <w:rsid w:val="00845016"/>
    <w:rsid w:val="008454D1"/>
    <w:rsid w:val="00845B44"/>
    <w:rsid w:val="00845F3F"/>
    <w:rsid w:val="00846074"/>
    <w:rsid w:val="008466B4"/>
    <w:rsid w:val="008469FE"/>
    <w:rsid w:val="00846E34"/>
    <w:rsid w:val="0084745B"/>
    <w:rsid w:val="008474F3"/>
    <w:rsid w:val="00847C5C"/>
    <w:rsid w:val="00847D1F"/>
    <w:rsid w:val="008505B8"/>
    <w:rsid w:val="00850B26"/>
    <w:rsid w:val="0085198A"/>
    <w:rsid w:val="008526A8"/>
    <w:rsid w:val="00852C6C"/>
    <w:rsid w:val="00852E29"/>
    <w:rsid w:val="00853015"/>
    <w:rsid w:val="00853060"/>
    <w:rsid w:val="00853B24"/>
    <w:rsid w:val="00853B69"/>
    <w:rsid w:val="00853BE4"/>
    <w:rsid w:val="00853CD3"/>
    <w:rsid w:val="0085405A"/>
    <w:rsid w:val="008540AE"/>
    <w:rsid w:val="00854B47"/>
    <w:rsid w:val="00854E25"/>
    <w:rsid w:val="00856248"/>
    <w:rsid w:val="008564A2"/>
    <w:rsid w:val="008567A4"/>
    <w:rsid w:val="008569C2"/>
    <w:rsid w:val="00856ECD"/>
    <w:rsid w:val="00857561"/>
    <w:rsid w:val="00857B85"/>
    <w:rsid w:val="00857C57"/>
    <w:rsid w:val="00857F7E"/>
    <w:rsid w:val="00860680"/>
    <w:rsid w:val="00860A95"/>
    <w:rsid w:val="00861414"/>
    <w:rsid w:val="00861BE7"/>
    <w:rsid w:val="00862086"/>
    <w:rsid w:val="00862D4F"/>
    <w:rsid w:val="008634F2"/>
    <w:rsid w:val="00864346"/>
    <w:rsid w:val="008646D5"/>
    <w:rsid w:val="00864A27"/>
    <w:rsid w:val="00864D92"/>
    <w:rsid w:val="008654BE"/>
    <w:rsid w:val="008661F3"/>
    <w:rsid w:val="0086638F"/>
    <w:rsid w:val="00867437"/>
    <w:rsid w:val="0086754E"/>
    <w:rsid w:val="008706CF"/>
    <w:rsid w:val="008709F4"/>
    <w:rsid w:val="00870F99"/>
    <w:rsid w:val="00870FA1"/>
    <w:rsid w:val="008712FE"/>
    <w:rsid w:val="00872498"/>
    <w:rsid w:val="00872ECE"/>
    <w:rsid w:val="008734A6"/>
    <w:rsid w:val="0087355B"/>
    <w:rsid w:val="00873D62"/>
    <w:rsid w:val="00874995"/>
    <w:rsid w:val="00875798"/>
    <w:rsid w:val="00875AB0"/>
    <w:rsid w:val="0087656C"/>
    <w:rsid w:val="008768C2"/>
    <w:rsid w:val="00876CDC"/>
    <w:rsid w:val="00876EED"/>
    <w:rsid w:val="0087712B"/>
    <w:rsid w:val="00877C1C"/>
    <w:rsid w:val="00877E6E"/>
    <w:rsid w:val="0088018F"/>
    <w:rsid w:val="00880239"/>
    <w:rsid w:val="008804E6"/>
    <w:rsid w:val="00881143"/>
    <w:rsid w:val="0088147C"/>
    <w:rsid w:val="008817B3"/>
    <w:rsid w:val="00881CF3"/>
    <w:rsid w:val="00881EFD"/>
    <w:rsid w:val="00882090"/>
    <w:rsid w:val="00882A6C"/>
    <w:rsid w:val="00882E6A"/>
    <w:rsid w:val="0088362F"/>
    <w:rsid w:val="008840A9"/>
    <w:rsid w:val="008840D6"/>
    <w:rsid w:val="008845CE"/>
    <w:rsid w:val="00884B31"/>
    <w:rsid w:val="00884B79"/>
    <w:rsid w:val="00885203"/>
    <w:rsid w:val="00885A91"/>
    <w:rsid w:val="00886753"/>
    <w:rsid w:val="008872F0"/>
    <w:rsid w:val="008874ED"/>
    <w:rsid w:val="008876DC"/>
    <w:rsid w:val="00887A10"/>
    <w:rsid w:val="00890C05"/>
    <w:rsid w:val="00890F98"/>
    <w:rsid w:val="0089142D"/>
    <w:rsid w:val="008916A7"/>
    <w:rsid w:val="00891DBC"/>
    <w:rsid w:val="00892328"/>
    <w:rsid w:val="008924A8"/>
    <w:rsid w:val="0089254F"/>
    <w:rsid w:val="008928F0"/>
    <w:rsid w:val="0089290D"/>
    <w:rsid w:val="00892DA4"/>
    <w:rsid w:val="008939E8"/>
    <w:rsid w:val="00893C32"/>
    <w:rsid w:val="00894669"/>
    <w:rsid w:val="008950E0"/>
    <w:rsid w:val="008951D8"/>
    <w:rsid w:val="00895390"/>
    <w:rsid w:val="00895676"/>
    <w:rsid w:val="008970DA"/>
    <w:rsid w:val="00897240"/>
    <w:rsid w:val="0089735C"/>
    <w:rsid w:val="00897A90"/>
    <w:rsid w:val="008A0A6E"/>
    <w:rsid w:val="008A1659"/>
    <w:rsid w:val="008A17E0"/>
    <w:rsid w:val="008A1F72"/>
    <w:rsid w:val="008A24B7"/>
    <w:rsid w:val="008A265F"/>
    <w:rsid w:val="008A2DC5"/>
    <w:rsid w:val="008A2E89"/>
    <w:rsid w:val="008A317E"/>
    <w:rsid w:val="008A3181"/>
    <w:rsid w:val="008A39B8"/>
    <w:rsid w:val="008A3D5F"/>
    <w:rsid w:val="008A3FDE"/>
    <w:rsid w:val="008A4522"/>
    <w:rsid w:val="008A495E"/>
    <w:rsid w:val="008A4A3C"/>
    <w:rsid w:val="008A4C22"/>
    <w:rsid w:val="008A4EE1"/>
    <w:rsid w:val="008A5371"/>
    <w:rsid w:val="008A53FA"/>
    <w:rsid w:val="008A5546"/>
    <w:rsid w:val="008A5995"/>
    <w:rsid w:val="008A64D8"/>
    <w:rsid w:val="008A6515"/>
    <w:rsid w:val="008A6673"/>
    <w:rsid w:val="008A72BF"/>
    <w:rsid w:val="008A73B5"/>
    <w:rsid w:val="008A7879"/>
    <w:rsid w:val="008A7F29"/>
    <w:rsid w:val="008B01F8"/>
    <w:rsid w:val="008B0396"/>
    <w:rsid w:val="008B077C"/>
    <w:rsid w:val="008B0A2F"/>
    <w:rsid w:val="008B0EC8"/>
    <w:rsid w:val="008B1985"/>
    <w:rsid w:val="008B1DE5"/>
    <w:rsid w:val="008B22CC"/>
    <w:rsid w:val="008B247E"/>
    <w:rsid w:val="008B2670"/>
    <w:rsid w:val="008B3147"/>
    <w:rsid w:val="008B3276"/>
    <w:rsid w:val="008B3436"/>
    <w:rsid w:val="008B3985"/>
    <w:rsid w:val="008B464A"/>
    <w:rsid w:val="008B4B4B"/>
    <w:rsid w:val="008B50C9"/>
    <w:rsid w:val="008B50CE"/>
    <w:rsid w:val="008B55F1"/>
    <w:rsid w:val="008B5B6B"/>
    <w:rsid w:val="008B60F5"/>
    <w:rsid w:val="008B61F0"/>
    <w:rsid w:val="008B65DA"/>
    <w:rsid w:val="008B671D"/>
    <w:rsid w:val="008B67CB"/>
    <w:rsid w:val="008B760D"/>
    <w:rsid w:val="008B7F0B"/>
    <w:rsid w:val="008B7FF4"/>
    <w:rsid w:val="008C08A1"/>
    <w:rsid w:val="008C0EE5"/>
    <w:rsid w:val="008C1F0C"/>
    <w:rsid w:val="008C1FDD"/>
    <w:rsid w:val="008C31A5"/>
    <w:rsid w:val="008C33CC"/>
    <w:rsid w:val="008C3D84"/>
    <w:rsid w:val="008C4175"/>
    <w:rsid w:val="008C4740"/>
    <w:rsid w:val="008C4993"/>
    <w:rsid w:val="008C5443"/>
    <w:rsid w:val="008C5537"/>
    <w:rsid w:val="008C61D6"/>
    <w:rsid w:val="008C6DAF"/>
    <w:rsid w:val="008C79FE"/>
    <w:rsid w:val="008D0CE8"/>
    <w:rsid w:val="008D11BC"/>
    <w:rsid w:val="008D12A3"/>
    <w:rsid w:val="008D1630"/>
    <w:rsid w:val="008D211D"/>
    <w:rsid w:val="008D2C5A"/>
    <w:rsid w:val="008D375D"/>
    <w:rsid w:val="008D3D7E"/>
    <w:rsid w:val="008D3EF5"/>
    <w:rsid w:val="008D4FCB"/>
    <w:rsid w:val="008D4FF5"/>
    <w:rsid w:val="008D52F1"/>
    <w:rsid w:val="008D53CA"/>
    <w:rsid w:val="008D556B"/>
    <w:rsid w:val="008D5AB8"/>
    <w:rsid w:val="008D5B4B"/>
    <w:rsid w:val="008D6456"/>
    <w:rsid w:val="008D6882"/>
    <w:rsid w:val="008D6A09"/>
    <w:rsid w:val="008D6F74"/>
    <w:rsid w:val="008D7AF7"/>
    <w:rsid w:val="008D7DA8"/>
    <w:rsid w:val="008D7EB1"/>
    <w:rsid w:val="008E01B1"/>
    <w:rsid w:val="008E03AD"/>
    <w:rsid w:val="008E0490"/>
    <w:rsid w:val="008E04FC"/>
    <w:rsid w:val="008E075A"/>
    <w:rsid w:val="008E1220"/>
    <w:rsid w:val="008E1C49"/>
    <w:rsid w:val="008E1E7A"/>
    <w:rsid w:val="008E2140"/>
    <w:rsid w:val="008E2F2D"/>
    <w:rsid w:val="008E2F35"/>
    <w:rsid w:val="008E3875"/>
    <w:rsid w:val="008E3BD5"/>
    <w:rsid w:val="008E425E"/>
    <w:rsid w:val="008E7015"/>
    <w:rsid w:val="008E7B4F"/>
    <w:rsid w:val="008E7BF0"/>
    <w:rsid w:val="008E7C95"/>
    <w:rsid w:val="008E7E7F"/>
    <w:rsid w:val="008F01A6"/>
    <w:rsid w:val="008F0EB0"/>
    <w:rsid w:val="008F109C"/>
    <w:rsid w:val="008F11AC"/>
    <w:rsid w:val="008F189E"/>
    <w:rsid w:val="008F2A69"/>
    <w:rsid w:val="008F2BD0"/>
    <w:rsid w:val="008F2FD5"/>
    <w:rsid w:val="008F2FFE"/>
    <w:rsid w:val="008F408A"/>
    <w:rsid w:val="008F40C2"/>
    <w:rsid w:val="008F4A31"/>
    <w:rsid w:val="008F4A94"/>
    <w:rsid w:val="008F54AF"/>
    <w:rsid w:val="008F5784"/>
    <w:rsid w:val="008F692C"/>
    <w:rsid w:val="008F7149"/>
    <w:rsid w:val="008F71DA"/>
    <w:rsid w:val="008F71EC"/>
    <w:rsid w:val="008F7495"/>
    <w:rsid w:val="008F7B63"/>
    <w:rsid w:val="008F7C7F"/>
    <w:rsid w:val="00900019"/>
    <w:rsid w:val="009000D8"/>
    <w:rsid w:val="00900471"/>
    <w:rsid w:val="00900712"/>
    <w:rsid w:val="00900A9B"/>
    <w:rsid w:val="00900C20"/>
    <w:rsid w:val="009010A3"/>
    <w:rsid w:val="00901516"/>
    <w:rsid w:val="00901716"/>
    <w:rsid w:val="00901BCC"/>
    <w:rsid w:val="00901FC7"/>
    <w:rsid w:val="009022E7"/>
    <w:rsid w:val="0090231E"/>
    <w:rsid w:val="009023AD"/>
    <w:rsid w:val="009028DA"/>
    <w:rsid w:val="0090459D"/>
    <w:rsid w:val="00905398"/>
    <w:rsid w:val="00905DA8"/>
    <w:rsid w:val="00906BB0"/>
    <w:rsid w:val="00906D56"/>
    <w:rsid w:val="00906F8D"/>
    <w:rsid w:val="0090700B"/>
    <w:rsid w:val="009075B9"/>
    <w:rsid w:val="00907615"/>
    <w:rsid w:val="009076FD"/>
    <w:rsid w:val="00907937"/>
    <w:rsid w:val="00907D87"/>
    <w:rsid w:val="00910C01"/>
    <w:rsid w:val="009111E9"/>
    <w:rsid w:val="00911487"/>
    <w:rsid w:val="009114D8"/>
    <w:rsid w:val="009114F4"/>
    <w:rsid w:val="00911946"/>
    <w:rsid w:val="00911A54"/>
    <w:rsid w:val="0091248B"/>
    <w:rsid w:val="00913864"/>
    <w:rsid w:val="0091392D"/>
    <w:rsid w:val="00913E27"/>
    <w:rsid w:val="009141AF"/>
    <w:rsid w:val="00914376"/>
    <w:rsid w:val="009148F1"/>
    <w:rsid w:val="0091511A"/>
    <w:rsid w:val="0091523B"/>
    <w:rsid w:val="00915523"/>
    <w:rsid w:val="00915ED2"/>
    <w:rsid w:val="009161F9"/>
    <w:rsid w:val="0091623B"/>
    <w:rsid w:val="0091653D"/>
    <w:rsid w:val="009166B2"/>
    <w:rsid w:val="009167E6"/>
    <w:rsid w:val="0091697D"/>
    <w:rsid w:val="00917062"/>
    <w:rsid w:val="0091712C"/>
    <w:rsid w:val="00917AD5"/>
    <w:rsid w:val="00920883"/>
    <w:rsid w:val="00920BAA"/>
    <w:rsid w:val="00920D68"/>
    <w:rsid w:val="00921A4B"/>
    <w:rsid w:val="00922237"/>
    <w:rsid w:val="009229CE"/>
    <w:rsid w:val="00922EB2"/>
    <w:rsid w:val="00923405"/>
    <w:rsid w:val="009236D6"/>
    <w:rsid w:val="009238BC"/>
    <w:rsid w:val="00923F39"/>
    <w:rsid w:val="009244D3"/>
    <w:rsid w:val="009244DF"/>
    <w:rsid w:val="0092580B"/>
    <w:rsid w:val="00925C5A"/>
    <w:rsid w:val="00925EE7"/>
    <w:rsid w:val="00926022"/>
    <w:rsid w:val="009269F6"/>
    <w:rsid w:val="009270B6"/>
    <w:rsid w:val="009271D2"/>
    <w:rsid w:val="0092786F"/>
    <w:rsid w:val="00927BC8"/>
    <w:rsid w:val="00930146"/>
    <w:rsid w:val="009302B5"/>
    <w:rsid w:val="00930497"/>
    <w:rsid w:val="00931393"/>
    <w:rsid w:val="0093158C"/>
    <w:rsid w:val="00931CE5"/>
    <w:rsid w:val="009335E2"/>
    <w:rsid w:val="00933932"/>
    <w:rsid w:val="0093394D"/>
    <w:rsid w:val="009340FA"/>
    <w:rsid w:val="00934805"/>
    <w:rsid w:val="00934B32"/>
    <w:rsid w:val="00934F51"/>
    <w:rsid w:val="00935B60"/>
    <w:rsid w:val="00935FA7"/>
    <w:rsid w:val="009360B3"/>
    <w:rsid w:val="0093613A"/>
    <w:rsid w:val="00936DE6"/>
    <w:rsid w:val="0094024A"/>
    <w:rsid w:val="009408E3"/>
    <w:rsid w:val="0094094C"/>
    <w:rsid w:val="00940A2B"/>
    <w:rsid w:val="00940C7E"/>
    <w:rsid w:val="00940CE1"/>
    <w:rsid w:val="009416A4"/>
    <w:rsid w:val="00941964"/>
    <w:rsid w:val="00942501"/>
    <w:rsid w:val="00942653"/>
    <w:rsid w:val="00942923"/>
    <w:rsid w:val="00942AA2"/>
    <w:rsid w:val="00942EAD"/>
    <w:rsid w:val="00943432"/>
    <w:rsid w:val="0094347B"/>
    <w:rsid w:val="0094358E"/>
    <w:rsid w:val="009439C7"/>
    <w:rsid w:val="00943AB4"/>
    <w:rsid w:val="00943BDD"/>
    <w:rsid w:val="009457C3"/>
    <w:rsid w:val="00946142"/>
    <w:rsid w:val="00946286"/>
    <w:rsid w:val="0094659F"/>
    <w:rsid w:val="00946874"/>
    <w:rsid w:val="009468A5"/>
    <w:rsid w:val="00946BFB"/>
    <w:rsid w:val="00946F28"/>
    <w:rsid w:val="00947701"/>
    <w:rsid w:val="009477F7"/>
    <w:rsid w:val="00947ED0"/>
    <w:rsid w:val="00950064"/>
    <w:rsid w:val="009501F3"/>
    <w:rsid w:val="009505C5"/>
    <w:rsid w:val="00950603"/>
    <w:rsid w:val="00951393"/>
    <w:rsid w:val="009526C6"/>
    <w:rsid w:val="00952921"/>
    <w:rsid w:val="00952C43"/>
    <w:rsid w:val="00952E7E"/>
    <w:rsid w:val="0095309A"/>
    <w:rsid w:val="00953191"/>
    <w:rsid w:val="00953513"/>
    <w:rsid w:val="0095358E"/>
    <w:rsid w:val="0095397B"/>
    <w:rsid w:val="00953A00"/>
    <w:rsid w:val="00953D6F"/>
    <w:rsid w:val="00953EEB"/>
    <w:rsid w:val="00954943"/>
    <w:rsid w:val="00955593"/>
    <w:rsid w:val="0095565A"/>
    <w:rsid w:val="009558A2"/>
    <w:rsid w:val="00955AF5"/>
    <w:rsid w:val="00955B22"/>
    <w:rsid w:val="00955B27"/>
    <w:rsid w:val="00955B8C"/>
    <w:rsid w:val="00955E3A"/>
    <w:rsid w:val="009568F3"/>
    <w:rsid w:val="00956F87"/>
    <w:rsid w:val="0095766C"/>
    <w:rsid w:val="00957877"/>
    <w:rsid w:val="00957C7B"/>
    <w:rsid w:val="0096065C"/>
    <w:rsid w:val="00960857"/>
    <w:rsid w:val="00960FD2"/>
    <w:rsid w:val="009612BB"/>
    <w:rsid w:val="0096147C"/>
    <w:rsid w:val="00961CD1"/>
    <w:rsid w:val="00962804"/>
    <w:rsid w:val="00962FC7"/>
    <w:rsid w:val="00963718"/>
    <w:rsid w:val="00963771"/>
    <w:rsid w:val="009638FD"/>
    <w:rsid w:val="00964027"/>
    <w:rsid w:val="00966824"/>
    <w:rsid w:val="00967D70"/>
    <w:rsid w:val="00970967"/>
    <w:rsid w:val="009714A5"/>
    <w:rsid w:val="00971B0C"/>
    <w:rsid w:val="00971CB8"/>
    <w:rsid w:val="00971F8C"/>
    <w:rsid w:val="00971FF1"/>
    <w:rsid w:val="00972285"/>
    <w:rsid w:val="0097246D"/>
    <w:rsid w:val="00972AE8"/>
    <w:rsid w:val="00972E7D"/>
    <w:rsid w:val="00972F2E"/>
    <w:rsid w:val="00973E6C"/>
    <w:rsid w:val="0097425A"/>
    <w:rsid w:val="0097497D"/>
    <w:rsid w:val="00974A7D"/>
    <w:rsid w:val="00974D4E"/>
    <w:rsid w:val="0097515D"/>
    <w:rsid w:val="009758AA"/>
    <w:rsid w:val="00975B26"/>
    <w:rsid w:val="00975BC6"/>
    <w:rsid w:val="009769C9"/>
    <w:rsid w:val="00976F2B"/>
    <w:rsid w:val="00977638"/>
    <w:rsid w:val="00977B10"/>
    <w:rsid w:val="00977C7E"/>
    <w:rsid w:val="00980265"/>
    <w:rsid w:val="009809C1"/>
    <w:rsid w:val="00981017"/>
    <w:rsid w:val="00981145"/>
    <w:rsid w:val="009811C3"/>
    <w:rsid w:val="00981296"/>
    <w:rsid w:val="00981495"/>
    <w:rsid w:val="00981993"/>
    <w:rsid w:val="009822FE"/>
    <w:rsid w:val="00982C23"/>
    <w:rsid w:val="0098306C"/>
    <w:rsid w:val="00983879"/>
    <w:rsid w:val="009839BD"/>
    <w:rsid w:val="00983D9C"/>
    <w:rsid w:val="00983EE9"/>
    <w:rsid w:val="00984122"/>
    <w:rsid w:val="00984754"/>
    <w:rsid w:val="009850A3"/>
    <w:rsid w:val="00986373"/>
    <w:rsid w:val="00986385"/>
    <w:rsid w:val="00986647"/>
    <w:rsid w:val="009867A0"/>
    <w:rsid w:val="0099018E"/>
    <w:rsid w:val="009909C0"/>
    <w:rsid w:val="009909F0"/>
    <w:rsid w:val="009917DC"/>
    <w:rsid w:val="0099182D"/>
    <w:rsid w:val="00991D70"/>
    <w:rsid w:val="009921F2"/>
    <w:rsid w:val="00992713"/>
    <w:rsid w:val="00992B5D"/>
    <w:rsid w:val="00992EA6"/>
    <w:rsid w:val="00993F6D"/>
    <w:rsid w:val="00994C1F"/>
    <w:rsid w:val="00995207"/>
    <w:rsid w:val="009961B0"/>
    <w:rsid w:val="00996298"/>
    <w:rsid w:val="009968CE"/>
    <w:rsid w:val="00996966"/>
    <w:rsid w:val="0099714D"/>
    <w:rsid w:val="009971FC"/>
    <w:rsid w:val="00997627"/>
    <w:rsid w:val="00997AC5"/>
    <w:rsid w:val="00997B30"/>
    <w:rsid w:val="00997DA0"/>
    <w:rsid w:val="009A0878"/>
    <w:rsid w:val="009A0F11"/>
    <w:rsid w:val="009A1223"/>
    <w:rsid w:val="009A1424"/>
    <w:rsid w:val="009A2FAF"/>
    <w:rsid w:val="009A3AE2"/>
    <w:rsid w:val="009A3F0A"/>
    <w:rsid w:val="009A3F77"/>
    <w:rsid w:val="009A418B"/>
    <w:rsid w:val="009A4419"/>
    <w:rsid w:val="009A4AF2"/>
    <w:rsid w:val="009A59DE"/>
    <w:rsid w:val="009A5F89"/>
    <w:rsid w:val="009A631A"/>
    <w:rsid w:val="009A6E6F"/>
    <w:rsid w:val="009A70D0"/>
    <w:rsid w:val="009A7869"/>
    <w:rsid w:val="009B0404"/>
    <w:rsid w:val="009B065F"/>
    <w:rsid w:val="009B0699"/>
    <w:rsid w:val="009B0A5A"/>
    <w:rsid w:val="009B1011"/>
    <w:rsid w:val="009B2464"/>
    <w:rsid w:val="009B3172"/>
    <w:rsid w:val="009B3598"/>
    <w:rsid w:val="009B46AD"/>
    <w:rsid w:val="009B48CC"/>
    <w:rsid w:val="009B49F1"/>
    <w:rsid w:val="009B4C5A"/>
    <w:rsid w:val="009B50EA"/>
    <w:rsid w:val="009B5472"/>
    <w:rsid w:val="009B6165"/>
    <w:rsid w:val="009B6313"/>
    <w:rsid w:val="009B6A36"/>
    <w:rsid w:val="009B6EE2"/>
    <w:rsid w:val="009B7F8F"/>
    <w:rsid w:val="009C10C2"/>
    <w:rsid w:val="009C1360"/>
    <w:rsid w:val="009C178F"/>
    <w:rsid w:val="009C190B"/>
    <w:rsid w:val="009C1ED7"/>
    <w:rsid w:val="009C23B3"/>
    <w:rsid w:val="009C25AF"/>
    <w:rsid w:val="009C2758"/>
    <w:rsid w:val="009C3207"/>
    <w:rsid w:val="009C3C43"/>
    <w:rsid w:val="009C3CF7"/>
    <w:rsid w:val="009C3E7A"/>
    <w:rsid w:val="009C40AE"/>
    <w:rsid w:val="009C44BD"/>
    <w:rsid w:val="009C4AE4"/>
    <w:rsid w:val="009C5B03"/>
    <w:rsid w:val="009C5B31"/>
    <w:rsid w:val="009C5EE3"/>
    <w:rsid w:val="009C631E"/>
    <w:rsid w:val="009C64AC"/>
    <w:rsid w:val="009C66B6"/>
    <w:rsid w:val="009C678C"/>
    <w:rsid w:val="009C6DAD"/>
    <w:rsid w:val="009C7137"/>
    <w:rsid w:val="009C7513"/>
    <w:rsid w:val="009C78F6"/>
    <w:rsid w:val="009D0069"/>
    <w:rsid w:val="009D0EA3"/>
    <w:rsid w:val="009D123F"/>
    <w:rsid w:val="009D1383"/>
    <w:rsid w:val="009D142C"/>
    <w:rsid w:val="009D178C"/>
    <w:rsid w:val="009D1A85"/>
    <w:rsid w:val="009D2372"/>
    <w:rsid w:val="009D23E9"/>
    <w:rsid w:val="009D4C12"/>
    <w:rsid w:val="009D4DD4"/>
    <w:rsid w:val="009D517A"/>
    <w:rsid w:val="009D5361"/>
    <w:rsid w:val="009D573F"/>
    <w:rsid w:val="009D686B"/>
    <w:rsid w:val="009D6A47"/>
    <w:rsid w:val="009D6C96"/>
    <w:rsid w:val="009D6DA7"/>
    <w:rsid w:val="009D7597"/>
    <w:rsid w:val="009D7962"/>
    <w:rsid w:val="009D7FA6"/>
    <w:rsid w:val="009E0676"/>
    <w:rsid w:val="009E072C"/>
    <w:rsid w:val="009E07E6"/>
    <w:rsid w:val="009E0E2F"/>
    <w:rsid w:val="009E0EB8"/>
    <w:rsid w:val="009E1186"/>
    <w:rsid w:val="009E132E"/>
    <w:rsid w:val="009E1BEC"/>
    <w:rsid w:val="009E1F04"/>
    <w:rsid w:val="009E24BD"/>
    <w:rsid w:val="009E2C40"/>
    <w:rsid w:val="009E2DF8"/>
    <w:rsid w:val="009E2E8B"/>
    <w:rsid w:val="009E3491"/>
    <w:rsid w:val="009E362E"/>
    <w:rsid w:val="009E3944"/>
    <w:rsid w:val="009E3E7C"/>
    <w:rsid w:val="009E3F37"/>
    <w:rsid w:val="009E436C"/>
    <w:rsid w:val="009E4D8A"/>
    <w:rsid w:val="009E5808"/>
    <w:rsid w:val="009E587C"/>
    <w:rsid w:val="009E5C77"/>
    <w:rsid w:val="009E6240"/>
    <w:rsid w:val="009E6617"/>
    <w:rsid w:val="009E7001"/>
    <w:rsid w:val="009E7ABB"/>
    <w:rsid w:val="009E7B75"/>
    <w:rsid w:val="009E7DDB"/>
    <w:rsid w:val="009F051D"/>
    <w:rsid w:val="009F0611"/>
    <w:rsid w:val="009F1F50"/>
    <w:rsid w:val="009F2078"/>
    <w:rsid w:val="009F258D"/>
    <w:rsid w:val="009F2643"/>
    <w:rsid w:val="009F2A98"/>
    <w:rsid w:val="009F2CB8"/>
    <w:rsid w:val="009F342C"/>
    <w:rsid w:val="009F3464"/>
    <w:rsid w:val="009F3545"/>
    <w:rsid w:val="009F363A"/>
    <w:rsid w:val="009F3B13"/>
    <w:rsid w:val="009F3BF4"/>
    <w:rsid w:val="009F3F27"/>
    <w:rsid w:val="009F4357"/>
    <w:rsid w:val="009F4B88"/>
    <w:rsid w:val="009F5EE1"/>
    <w:rsid w:val="009F674A"/>
    <w:rsid w:val="009F6888"/>
    <w:rsid w:val="009F6EA3"/>
    <w:rsid w:val="009F6F14"/>
    <w:rsid w:val="009F7293"/>
    <w:rsid w:val="009F75B5"/>
    <w:rsid w:val="009F7637"/>
    <w:rsid w:val="009F7AD1"/>
    <w:rsid w:val="009F7F35"/>
    <w:rsid w:val="00A000EE"/>
    <w:rsid w:val="00A00970"/>
    <w:rsid w:val="00A00D1D"/>
    <w:rsid w:val="00A01613"/>
    <w:rsid w:val="00A01766"/>
    <w:rsid w:val="00A01799"/>
    <w:rsid w:val="00A017D5"/>
    <w:rsid w:val="00A02227"/>
    <w:rsid w:val="00A023FF"/>
    <w:rsid w:val="00A0248F"/>
    <w:rsid w:val="00A029D1"/>
    <w:rsid w:val="00A02A40"/>
    <w:rsid w:val="00A02DF4"/>
    <w:rsid w:val="00A036DF"/>
    <w:rsid w:val="00A03A66"/>
    <w:rsid w:val="00A048E1"/>
    <w:rsid w:val="00A04E6B"/>
    <w:rsid w:val="00A05091"/>
    <w:rsid w:val="00A05206"/>
    <w:rsid w:val="00A055C8"/>
    <w:rsid w:val="00A05ABE"/>
    <w:rsid w:val="00A0602B"/>
    <w:rsid w:val="00A067F4"/>
    <w:rsid w:val="00A069DC"/>
    <w:rsid w:val="00A06A66"/>
    <w:rsid w:val="00A0715B"/>
    <w:rsid w:val="00A07561"/>
    <w:rsid w:val="00A0775F"/>
    <w:rsid w:val="00A078EC"/>
    <w:rsid w:val="00A07B46"/>
    <w:rsid w:val="00A07E20"/>
    <w:rsid w:val="00A111AF"/>
    <w:rsid w:val="00A119D2"/>
    <w:rsid w:val="00A122E3"/>
    <w:rsid w:val="00A123B2"/>
    <w:rsid w:val="00A12649"/>
    <w:rsid w:val="00A12898"/>
    <w:rsid w:val="00A129F9"/>
    <w:rsid w:val="00A12C15"/>
    <w:rsid w:val="00A139D8"/>
    <w:rsid w:val="00A147A3"/>
    <w:rsid w:val="00A1503A"/>
    <w:rsid w:val="00A15172"/>
    <w:rsid w:val="00A15327"/>
    <w:rsid w:val="00A156BD"/>
    <w:rsid w:val="00A16123"/>
    <w:rsid w:val="00A163C1"/>
    <w:rsid w:val="00A16662"/>
    <w:rsid w:val="00A16BD3"/>
    <w:rsid w:val="00A177E0"/>
    <w:rsid w:val="00A20320"/>
    <w:rsid w:val="00A20354"/>
    <w:rsid w:val="00A20411"/>
    <w:rsid w:val="00A2096B"/>
    <w:rsid w:val="00A20AA1"/>
    <w:rsid w:val="00A20B7A"/>
    <w:rsid w:val="00A20C5E"/>
    <w:rsid w:val="00A20CB4"/>
    <w:rsid w:val="00A21126"/>
    <w:rsid w:val="00A21698"/>
    <w:rsid w:val="00A21ED0"/>
    <w:rsid w:val="00A22DDF"/>
    <w:rsid w:val="00A233C4"/>
    <w:rsid w:val="00A2396D"/>
    <w:rsid w:val="00A240A5"/>
    <w:rsid w:val="00A242BC"/>
    <w:rsid w:val="00A2491F"/>
    <w:rsid w:val="00A249FB"/>
    <w:rsid w:val="00A24B13"/>
    <w:rsid w:val="00A24CAC"/>
    <w:rsid w:val="00A25B1E"/>
    <w:rsid w:val="00A25B21"/>
    <w:rsid w:val="00A25FC0"/>
    <w:rsid w:val="00A266E2"/>
    <w:rsid w:val="00A26D52"/>
    <w:rsid w:val="00A26FA0"/>
    <w:rsid w:val="00A271D3"/>
    <w:rsid w:val="00A278F2"/>
    <w:rsid w:val="00A27AB4"/>
    <w:rsid w:val="00A300A3"/>
    <w:rsid w:val="00A30D04"/>
    <w:rsid w:val="00A31475"/>
    <w:rsid w:val="00A31703"/>
    <w:rsid w:val="00A31B26"/>
    <w:rsid w:val="00A31CD0"/>
    <w:rsid w:val="00A3244C"/>
    <w:rsid w:val="00A32952"/>
    <w:rsid w:val="00A33157"/>
    <w:rsid w:val="00A336C2"/>
    <w:rsid w:val="00A33A40"/>
    <w:rsid w:val="00A33F9E"/>
    <w:rsid w:val="00A3450D"/>
    <w:rsid w:val="00A345E8"/>
    <w:rsid w:val="00A34BE9"/>
    <w:rsid w:val="00A34C2D"/>
    <w:rsid w:val="00A34EAD"/>
    <w:rsid w:val="00A36407"/>
    <w:rsid w:val="00A36425"/>
    <w:rsid w:val="00A3740F"/>
    <w:rsid w:val="00A374BA"/>
    <w:rsid w:val="00A376FE"/>
    <w:rsid w:val="00A3784C"/>
    <w:rsid w:val="00A37C39"/>
    <w:rsid w:val="00A37D82"/>
    <w:rsid w:val="00A37E62"/>
    <w:rsid w:val="00A40010"/>
    <w:rsid w:val="00A4065A"/>
    <w:rsid w:val="00A40720"/>
    <w:rsid w:val="00A40A9A"/>
    <w:rsid w:val="00A4213D"/>
    <w:rsid w:val="00A428B0"/>
    <w:rsid w:val="00A43817"/>
    <w:rsid w:val="00A43BAD"/>
    <w:rsid w:val="00A45201"/>
    <w:rsid w:val="00A45466"/>
    <w:rsid w:val="00A45E2B"/>
    <w:rsid w:val="00A46682"/>
    <w:rsid w:val="00A469E1"/>
    <w:rsid w:val="00A46E28"/>
    <w:rsid w:val="00A4709B"/>
    <w:rsid w:val="00A47236"/>
    <w:rsid w:val="00A472DD"/>
    <w:rsid w:val="00A477DA"/>
    <w:rsid w:val="00A478DC"/>
    <w:rsid w:val="00A50C4E"/>
    <w:rsid w:val="00A511B5"/>
    <w:rsid w:val="00A51A46"/>
    <w:rsid w:val="00A52FE7"/>
    <w:rsid w:val="00A535D8"/>
    <w:rsid w:val="00A53A01"/>
    <w:rsid w:val="00A53ECC"/>
    <w:rsid w:val="00A541DD"/>
    <w:rsid w:val="00A543E2"/>
    <w:rsid w:val="00A544B7"/>
    <w:rsid w:val="00A5494A"/>
    <w:rsid w:val="00A54DB3"/>
    <w:rsid w:val="00A5544A"/>
    <w:rsid w:val="00A55549"/>
    <w:rsid w:val="00A5588F"/>
    <w:rsid w:val="00A55FD4"/>
    <w:rsid w:val="00A5625A"/>
    <w:rsid w:val="00A567DD"/>
    <w:rsid w:val="00A56E4B"/>
    <w:rsid w:val="00A56ED8"/>
    <w:rsid w:val="00A576B1"/>
    <w:rsid w:val="00A602BD"/>
    <w:rsid w:val="00A60397"/>
    <w:rsid w:val="00A60AAF"/>
    <w:rsid w:val="00A61068"/>
    <w:rsid w:val="00A61F7F"/>
    <w:rsid w:val="00A6219C"/>
    <w:rsid w:val="00A622B0"/>
    <w:rsid w:val="00A62867"/>
    <w:rsid w:val="00A62913"/>
    <w:rsid w:val="00A63718"/>
    <w:rsid w:val="00A63C02"/>
    <w:rsid w:val="00A63C20"/>
    <w:rsid w:val="00A63F5D"/>
    <w:rsid w:val="00A63FB6"/>
    <w:rsid w:val="00A644A8"/>
    <w:rsid w:val="00A64D63"/>
    <w:rsid w:val="00A6550D"/>
    <w:rsid w:val="00A6552E"/>
    <w:rsid w:val="00A6577E"/>
    <w:rsid w:val="00A659B8"/>
    <w:rsid w:val="00A6603B"/>
    <w:rsid w:val="00A6732E"/>
    <w:rsid w:val="00A67BA0"/>
    <w:rsid w:val="00A67D48"/>
    <w:rsid w:val="00A67D4E"/>
    <w:rsid w:val="00A67F10"/>
    <w:rsid w:val="00A707E6"/>
    <w:rsid w:val="00A71785"/>
    <w:rsid w:val="00A71788"/>
    <w:rsid w:val="00A71789"/>
    <w:rsid w:val="00A71856"/>
    <w:rsid w:val="00A71BCC"/>
    <w:rsid w:val="00A72016"/>
    <w:rsid w:val="00A724FA"/>
    <w:rsid w:val="00A7261B"/>
    <w:rsid w:val="00A72AC9"/>
    <w:rsid w:val="00A72C49"/>
    <w:rsid w:val="00A72D74"/>
    <w:rsid w:val="00A7389D"/>
    <w:rsid w:val="00A7396C"/>
    <w:rsid w:val="00A73C1F"/>
    <w:rsid w:val="00A73C3A"/>
    <w:rsid w:val="00A73DE8"/>
    <w:rsid w:val="00A7472A"/>
    <w:rsid w:val="00A74774"/>
    <w:rsid w:val="00A7495B"/>
    <w:rsid w:val="00A75669"/>
    <w:rsid w:val="00A75CC7"/>
    <w:rsid w:val="00A75DC7"/>
    <w:rsid w:val="00A75F3A"/>
    <w:rsid w:val="00A760B6"/>
    <w:rsid w:val="00A76D25"/>
    <w:rsid w:val="00A7756A"/>
    <w:rsid w:val="00A77C89"/>
    <w:rsid w:val="00A80010"/>
    <w:rsid w:val="00A80454"/>
    <w:rsid w:val="00A8092D"/>
    <w:rsid w:val="00A81182"/>
    <w:rsid w:val="00A82331"/>
    <w:rsid w:val="00A8296C"/>
    <w:rsid w:val="00A82AFD"/>
    <w:rsid w:val="00A83232"/>
    <w:rsid w:val="00A83306"/>
    <w:rsid w:val="00A83A96"/>
    <w:rsid w:val="00A83EDC"/>
    <w:rsid w:val="00A83EF2"/>
    <w:rsid w:val="00A84297"/>
    <w:rsid w:val="00A8494C"/>
    <w:rsid w:val="00A85613"/>
    <w:rsid w:val="00A859C1"/>
    <w:rsid w:val="00A85B40"/>
    <w:rsid w:val="00A86092"/>
    <w:rsid w:val="00A8624C"/>
    <w:rsid w:val="00A86818"/>
    <w:rsid w:val="00A8709E"/>
    <w:rsid w:val="00A87243"/>
    <w:rsid w:val="00A87675"/>
    <w:rsid w:val="00A87A2F"/>
    <w:rsid w:val="00A87E73"/>
    <w:rsid w:val="00A91029"/>
    <w:rsid w:val="00A91885"/>
    <w:rsid w:val="00A921D1"/>
    <w:rsid w:val="00A92B32"/>
    <w:rsid w:val="00A92E5D"/>
    <w:rsid w:val="00A93861"/>
    <w:rsid w:val="00A93C3C"/>
    <w:rsid w:val="00A941D5"/>
    <w:rsid w:val="00A944EE"/>
    <w:rsid w:val="00A94610"/>
    <w:rsid w:val="00A94F9A"/>
    <w:rsid w:val="00A9538E"/>
    <w:rsid w:val="00A95B8D"/>
    <w:rsid w:val="00A95FA4"/>
    <w:rsid w:val="00A9609D"/>
    <w:rsid w:val="00A960AE"/>
    <w:rsid w:val="00A9650A"/>
    <w:rsid w:val="00A9651C"/>
    <w:rsid w:val="00A96C73"/>
    <w:rsid w:val="00A9711C"/>
    <w:rsid w:val="00A97140"/>
    <w:rsid w:val="00AA12C9"/>
    <w:rsid w:val="00AA13FC"/>
    <w:rsid w:val="00AA1E32"/>
    <w:rsid w:val="00AA21B2"/>
    <w:rsid w:val="00AA2385"/>
    <w:rsid w:val="00AA26D7"/>
    <w:rsid w:val="00AA2B0A"/>
    <w:rsid w:val="00AA3852"/>
    <w:rsid w:val="00AA3C3B"/>
    <w:rsid w:val="00AA3D14"/>
    <w:rsid w:val="00AA4DF6"/>
    <w:rsid w:val="00AA5083"/>
    <w:rsid w:val="00AA5310"/>
    <w:rsid w:val="00AA5561"/>
    <w:rsid w:val="00AA5CA2"/>
    <w:rsid w:val="00AA5FB6"/>
    <w:rsid w:val="00AA62DE"/>
    <w:rsid w:val="00AA6B17"/>
    <w:rsid w:val="00AA72C2"/>
    <w:rsid w:val="00AA7B7E"/>
    <w:rsid w:val="00AA7BF9"/>
    <w:rsid w:val="00AB0AB0"/>
    <w:rsid w:val="00AB0EA0"/>
    <w:rsid w:val="00AB13B5"/>
    <w:rsid w:val="00AB15EB"/>
    <w:rsid w:val="00AB1A62"/>
    <w:rsid w:val="00AB21A8"/>
    <w:rsid w:val="00AB2424"/>
    <w:rsid w:val="00AB2791"/>
    <w:rsid w:val="00AB27CC"/>
    <w:rsid w:val="00AB27EF"/>
    <w:rsid w:val="00AB2D08"/>
    <w:rsid w:val="00AB33BB"/>
    <w:rsid w:val="00AB463E"/>
    <w:rsid w:val="00AB46B3"/>
    <w:rsid w:val="00AB4967"/>
    <w:rsid w:val="00AB4FA7"/>
    <w:rsid w:val="00AB58BE"/>
    <w:rsid w:val="00AB5B4F"/>
    <w:rsid w:val="00AB5C34"/>
    <w:rsid w:val="00AB63A1"/>
    <w:rsid w:val="00AB6FAB"/>
    <w:rsid w:val="00AB7BF8"/>
    <w:rsid w:val="00AC023B"/>
    <w:rsid w:val="00AC0F6D"/>
    <w:rsid w:val="00AC11F5"/>
    <w:rsid w:val="00AC15C5"/>
    <w:rsid w:val="00AC25C7"/>
    <w:rsid w:val="00AC282D"/>
    <w:rsid w:val="00AC2873"/>
    <w:rsid w:val="00AC28ED"/>
    <w:rsid w:val="00AC2CEF"/>
    <w:rsid w:val="00AC33A3"/>
    <w:rsid w:val="00AC3CCE"/>
    <w:rsid w:val="00AC4CC6"/>
    <w:rsid w:val="00AC5C12"/>
    <w:rsid w:val="00AC6042"/>
    <w:rsid w:val="00AC6172"/>
    <w:rsid w:val="00AC682F"/>
    <w:rsid w:val="00AC6D18"/>
    <w:rsid w:val="00AC6F33"/>
    <w:rsid w:val="00AC7009"/>
    <w:rsid w:val="00AC7162"/>
    <w:rsid w:val="00AC736F"/>
    <w:rsid w:val="00AC78A4"/>
    <w:rsid w:val="00AC78E5"/>
    <w:rsid w:val="00AC7AED"/>
    <w:rsid w:val="00AC7F2A"/>
    <w:rsid w:val="00AD0014"/>
    <w:rsid w:val="00AD03C3"/>
    <w:rsid w:val="00AD0A04"/>
    <w:rsid w:val="00AD0D46"/>
    <w:rsid w:val="00AD1ACF"/>
    <w:rsid w:val="00AD23AF"/>
    <w:rsid w:val="00AD3049"/>
    <w:rsid w:val="00AD32D7"/>
    <w:rsid w:val="00AD33C1"/>
    <w:rsid w:val="00AD4AA1"/>
    <w:rsid w:val="00AD5014"/>
    <w:rsid w:val="00AD5022"/>
    <w:rsid w:val="00AD5DC6"/>
    <w:rsid w:val="00AD5F1D"/>
    <w:rsid w:val="00AD68FE"/>
    <w:rsid w:val="00AD6F70"/>
    <w:rsid w:val="00AD73A4"/>
    <w:rsid w:val="00AD783A"/>
    <w:rsid w:val="00AD7E70"/>
    <w:rsid w:val="00AE051E"/>
    <w:rsid w:val="00AE0830"/>
    <w:rsid w:val="00AE0843"/>
    <w:rsid w:val="00AE0CB7"/>
    <w:rsid w:val="00AE17D9"/>
    <w:rsid w:val="00AE20AC"/>
    <w:rsid w:val="00AE225A"/>
    <w:rsid w:val="00AE2E8F"/>
    <w:rsid w:val="00AE393D"/>
    <w:rsid w:val="00AE3A51"/>
    <w:rsid w:val="00AE3C5A"/>
    <w:rsid w:val="00AE4603"/>
    <w:rsid w:val="00AE4624"/>
    <w:rsid w:val="00AE46C6"/>
    <w:rsid w:val="00AE4A94"/>
    <w:rsid w:val="00AE4D88"/>
    <w:rsid w:val="00AE579C"/>
    <w:rsid w:val="00AE6069"/>
    <w:rsid w:val="00AE624B"/>
    <w:rsid w:val="00AE6263"/>
    <w:rsid w:val="00AE6856"/>
    <w:rsid w:val="00AE7DF6"/>
    <w:rsid w:val="00AF1382"/>
    <w:rsid w:val="00AF13AA"/>
    <w:rsid w:val="00AF17AB"/>
    <w:rsid w:val="00AF268C"/>
    <w:rsid w:val="00AF2984"/>
    <w:rsid w:val="00AF3100"/>
    <w:rsid w:val="00AF3914"/>
    <w:rsid w:val="00AF4027"/>
    <w:rsid w:val="00AF413B"/>
    <w:rsid w:val="00AF4618"/>
    <w:rsid w:val="00AF465C"/>
    <w:rsid w:val="00AF4801"/>
    <w:rsid w:val="00AF4904"/>
    <w:rsid w:val="00AF4B5D"/>
    <w:rsid w:val="00AF5DD9"/>
    <w:rsid w:val="00AF5F65"/>
    <w:rsid w:val="00AF6083"/>
    <w:rsid w:val="00AF66A4"/>
    <w:rsid w:val="00AF6A7F"/>
    <w:rsid w:val="00AF6C7E"/>
    <w:rsid w:val="00AF6E19"/>
    <w:rsid w:val="00AF79F4"/>
    <w:rsid w:val="00AF7ADD"/>
    <w:rsid w:val="00B00560"/>
    <w:rsid w:val="00B00592"/>
    <w:rsid w:val="00B006E8"/>
    <w:rsid w:val="00B00B86"/>
    <w:rsid w:val="00B01531"/>
    <w:rsid w:val="00B01A73"/>
    <w:rsid w:val="00B02253"/>
    <w:rsid w:val="00B0236C"/>
    <w:rsid w:val="00B02452"/>
    <w:rsid w:val="00B02C28"/>
    <w:rsid w:val="00B03332"/>
    <w:rsid w:val="00B03A27"/>
    <w:rsid w:val="00B0416B"/>
    <w:rsid w:val="00B04494"/>
    <w:rsid w:val="00B044F2"/>
    <w:rsid w:val="00B045C8"/>
    <w:rsid w:val="00B050E6"/>
    <w:rsid w:val="00B0513E"/>
    <w:rsid w:val="00B0598B"/>
    <w:rsid w:val="00B06DD8"/>
    <w:rsid w:val="00B07715"/>
    <w:rsid w:val="00B07A72"/>
    <w:rsid w:val="00B10F1C"/>
    <w:rsid w:val="00B11D2B"/>
    <w:rsid w:val="00B11D80"/>
    <w:rsid w:val="00B126B0"/>
    <w:rsid w:val="00B126BA"/>
    <w:rsid w:val="00B12BE4"/>
    <w:rsid w:val="00B13075"/>
    <w:rsid w:val="00B134FA"/>
    <w:rsid w:val="00B1363F"/>
    <w:rsid w:val="00B13685"/>
    <w:rsid w:val="00B140BF"/>
    <w:rsid w:val="00B14ACB"/>
    <w:rsid w:val="00B1502B"/>
    <w:rsid w:val="00B15461"/>
    <w:rsid w:val="00B161B6"/>
    <w:rsid w:val="00B16218"/>
    <w:rsid w:val="00B171BE"/>
    <w:rsid w:val="00B17215"/>
    <w:rsid w:val="00B17796"/>
    <w:rsid w:val="00B17DF7"/>
    <w:rsid w:val="00B20AF6"/>
    <w:rsid w:val="00B21172"/>
    <w:rsid w:val="00B21635"/>
    <w:rsid w:val="00B2174E"/>
    <w:rsid w:val="00B21C16"/>
    <w:rsid w:val="00B21C60"/>
    <w:rsid w:val="00B22523"/>
    <w:rsid w:val="00B22CBC"/>
    <w:rsid w:val="00B22DB1"/>
    <w:rsid w:val="00B23042"/>
    <w:rsid w:val="00B23866"/>
    <w:rsid w:val="00B23B68"/>
    <w:rsid w:val="00B23B95"/>
    <w:rsid w:val="00B23CFF"/>
    <w:rsid w:val="00B2414E"/>
    <w:rsid w:val="00B241D8"/>
    <w:rsid w:val="00B2440D"/>
    <w:rsid w:val="00B2446A"/>
    <w:rsid w:val="00B24761"/>
    <w:rsid w:val="00B24D0B"/>
    <w:rsid w:val="00B253CC"/>
    <w:rsid w:val="00B25A57"/>
    <w:rsid w:val="00B25CE8"/>
    <w:rsid w:val="00B26092"/>
    <w:rsid w:val="00B26E71"/>
    <w:rsid w:val="00B275D9"/>
    <w:rsid w:val="00B2779A"/>
    <w:rsid w:val="00B27C6C"/>
    <w:rsid w:val="00B27FD6"/>
    <w:rsid w:val="00B30A98"/>
    <w:rsid w:val="00B30BD9"/>
    <w:rsid w:val="00B30F32"/>
    <w:rsid w:val="00B310A6"/>
    <w:rsid w:val="00B3139C"/>
    <w:rsid w:val="00B31414"/>
    <w:rsid w:val="00B314C0"/>
    <w:rsid w:val="00B31B52"/>
    <w:rsid w:val="00B32A4A"/>
    <w:rsid w:val="00B331A1"/>
    <w:rsid w:val="00B333E1"/>
    <w:rsid w:val="00B335C8"/>
    <w:rsid w:val="00B339C2"/>
    <w:rsid w:val="00B33F8D"/>
    <w:rsid w:val="00B34340"/>
    <w:rsid w:val="00B346CE"/>
    <w:rsid w:val="00B35AF8"/>
    <w:rsid w:val="00B368D8"/>
    <w:rsid w:val="00B36FD3"/>
    <w:rsid w:val="00B37251"/>
    <w:rsid w:val="00B37590"/>
    <w:rsid w:val="00B37B4D"/>
    <w:rsid w:val="00B40331"/>
    <w:rsid w:val="00B40851"/>
    <w:rsid w:val="00B40FA0"/>
    <w:rsid w:val="00B4140C"/>
    <w:rsid w:val="00B41F73"/>
    <w:rsid w:val="00B42063"/>
    <w:rsid w:val="00B4207D"/>
    <w:rsid w:val="00B42CC8"/>
    <w:rsid w:val="00B43AF1"/>
    <w:rsid w:val="00B4438C"/>
    <w:rsid w:val="00B444CD"/>
    <w:rsid w:val="00B44814"/>
    <w:rsid w:val="00B44B82"/>
    <w:rsid w:val="00B4571D"/>
    <w:rsid w:val="00B45F9F"/>
    <w:rsid w:val="00B4613B"/>
    <w:rsid w:val="00B469DE"/>
    <w:rsid w:val="00B46DA6"/>
    <w:rsid w:val="00B46F1C"/>
    <w:rsid w:val="00B47219"/>
    <w:rsid w:val="00B478A9"/>
    <w:rsid w:val="00B47A5C"/>
    <w:rsid w:val="00B47C4E"/>
    <w:rsid w:val="00B50ABC"/>
    <w:rsid w:val="00B515AC"/>
    <w:rsid w:val="00B51B5D"/>
    <w:rsid w:val="00B51D8B"/>
    <w:rsid w:val="00B52F6C"/>
    <w:rsid w:val="00B5403F"/>
    <w:rsid w:val="00B5404C"/>
    <w:rsid w:val="00B5424B"/>
    <w:rsid w:val="00B542C3"/>
    <w:rsid w:val="00B553BB"/>
    <w:rsid w:val="00B555F8"/>
    <w:rsid w:val="00B563DF"/>
    <w:rsid w:val="00B56B8B"/>
    <w:rsid w:val="00B5792D"/>
    <w:rsid w:val="00B57ADF"/>
    <w:rsid w:val="00B57D14"/>
    <w:rsid w:val="00B60DB6"/>
    <w:rsid w:val="00B6113E"/>
    <w:rsid w:val="00B6123C"/>
    <w:rsid w:val="00B62221"/>
    <w:rsid w:val="00B6255F"/>
    <w:rsid w:val="00B62763"/>
    <w:rsid w:val="00B62ACD"/>
    <w:rsid w:val="00B62E02"/>
    <w:rsid w:val="00B64160"/>
    <w:rsid w:val="00B65E10"/>
    <w:rsid w:val="00B65F20"/>
    <w:rsid w:val="00B663CA"/>
    <w:rsid w:val="00B6676F"/>
    <w:rsid w:val="00B66948"/>
    <w:rsid w:val="00B67316"/>
    <w:rsid w:val="00B6734A"/>
    <w:rsid w:val="00B67A8D"/>
    <w:rsid w:val="00B70FD8"/>
    <w:rsid w:val="00B71062"/>
    <w:rsid w:val="00B71514"/>
    <w:rsid w:val="00B715A4"/>
    <w:rsid w:val="00B7160C"/>
    <w:rsid w:val="00B720F5"/>
    <w:rsid w:val="00B72208"/>
    <w:rsid w:val="00B726BE"/>
    <w:rsid w:val="00B72D69"/>
    <w:rsid w:val="00B7301B"/>
    <w:rsid w:val="00B7304F"/>
    <w:rsid w:val="00B73EBA"/>
    <w:rsid w:val="00B743FF"/>
    <w:rsid w:val="00B74DCC"/>
    <w:rsid w:val="00B75507"/>
    <w:rsid w:val="00B75EB1"/>
    <w:rsid w:val="00B76588"/>
    <w:rsid w:val="00B765A6"/>
    <w:rsid w:val="00B766DA"/>
    <w:rsid w:val="00B766F8"/>
    <w:rsid w:val="00B76BB3"/>
    <w:rsid w:val="00B76D10"/>
    <w:rsid w:val="00B776DE"/>
    <w:rsid w:val="00B802CC"/>
    <w:rsid w:val="00B80974"/>
    <w:rsid w:val="00B81454"/>
    <w:rsid w:val="00B81CA8"/>
    <w:rsid w:val="00B8275C"/>
    <w:rsid w:val="00B82CD3"/>
    <w:rsid w:val="00B83587"/>
    <w:rsid w:val="00B83A89"/>
    <w:rsid w:val="00B858D1"/>
    <w:rsid w:val="00B85992"/>
    <w:rsid w:val="00B85994"/>
    <w:rsid w:val="00B86CC3"/>
    <w:rsid w:val="00B86D99"/>
    <w:rsid w:val="00B86E59"/>
    <w:rsid w:val="00B877B6"/>
    <w:rsid w:val="00B87DB6"/>
    <w:rsid w:val="00B87DE5"/>
    <w:rsid w:val="00B904D2"/>
    <w:rsid w:val="00B90877"/>
    <w:rsid w:val="00B90B8C"/>
    <w:rsid w:val="00B9101C"/>
    <w:rsid w:val="00B91E3B"/>
    <w:rsid w:val="00B9203B"/>
    <w:rsid w:val="00B92108"/>
    <w:rsid w:val="00B9241A"/>
    <w:rsid w:val="00B927AA"/>
    <w:rsid w:val="00B92D5B"/>
    <w:rsid w:val="00B92D61"/>
    <w:rsid w:val="00B937EA"/>
    <w:rsid w:val="00B9385A"/>
    <w:rsid w:val="00B9413C"/>
    <w:rsid w:val="00B943C4"/>
    <w:rsid w:val="00B94CA6"/>
    <w:rsid w:val="00B95541"/>
    <w:rsid w:val="00B956C8"/>
    <w:rsid w:val="00B95885"/>
    <w:rsid w:val="00B95CA6"/>
    <w:rsid w:val="00B96625"/>
    <w:rsid w:val="00B96ECF"/>
    <w:rsid w:val="00B97480"/>
    <w:rsid w:val="00B97DBD"/>
    <w:rsid w:val="00BA14F8"/>
    <w:rsid w:val="00BA241A"/>
    <w:rsid w:val="00BA25DD"/>
    <w:rsid w:val="00BA2737"/>
    <w:rsid w:val="00BA2738"/>
    <w:rsid w:val="00BA332C"/>
    <w:rsid w:val="00BA3819"/>
    <w:rsid w:val="00BA39B9"/>
    <w:rsid w:val="00BA3BDD"/>
    <w:rsid w:val="00BA4848"/>
    <w:rsid w:val="00BA4D7F"/>
    <w:rsid w:val="00BA5C28"/>
    <w:rsid w:val="00BA61CD"/>
    <w:rsid w:val="00BA7FA9"/>
    <w:rsid w:val="00BB0ACB"/>
    <w:rsid w:val="00BB0F3F"/>
    <w:rsid w:val="00BB0F9A"/>
    <w:rsid w:val="00BB121B"/>
    <w:rsid w:val="00BB20D1"/>
    <w:rsid w:val="00BB2DD4"/>
    <w:rsid w:val="00BB3FA5"/>
    <w:rsid w:val="00BB40C4"/>
    <w:rsid w:val="00BB41DB"/>
    <w:rsid w:val="00BB4333"/>
    <w:rsid w:val="00BB4B4C"/>
    <w:rsid w:val="00BB4DB7"/>
    <w:rsid w:val="00BB5705"/>
    <w:rsid w:val="00BB57B3"/>
    <w:rsid w:val="00BB72CE"/>
    <w:rsid w:val="00BB78D8"/>
    <w:rsid w:val="00BC0D53"/>
    <w:rsid w:val="00BC14AC"/>
    <w:rsid w:val="00BC1B75"/>
    <w:rsid w:val="00BC32C9"/>
    <w:rsid w:val="00BC35E7"/>
    <w:rsid w:val="00BC3753"/>
    <w:rsid w:val="00BC3DE5"/>
    <w:rsid w:val="00BC41DC"/>
    <w:rsid w:val="00BC431F"/>
    <w:rsid w:val="00BC4458"/>
    <w:rsid w:val="00BC5325"/>
    <w:rsid w:val="00BC5C16"/>
    <w:rsid w:val="00BC5C41"/>
    <w:rsid w:val="00BC7365"/>
    <w:rsid w:val="00BC7BE1"/>
    <w:rsid w:val="00BD0716"/>
    <w:rsid w:val="00BD101E"/>
    <w:rsid w:val="00BD10FD"/>
    <w:rsid w:val="00BD14A4"/>
    <w:rsid w:val="00BD1B13"/>
    <w:rsid w:val="00BD213F"/>
    <w:rsid w:val="00BD25DD"/>
    <w:rsid w:val="00BD2A3C"/>
    <w:rsid w:val="00BD3BD6"/>
    <w:rsid w:val="00BD41A1"/>
    <w:rsid w:val="00BD53AC"/>
    <w:rsid w:val="00BD54C8"/>
    <w:rsid w:val="00BD5862"/>
    <w:rsid w:val="00BD5D6D"/>
    <w:rsid w:val="00BD61B5"/>
    <w:rsid w:val="00BD6209"/>
    <w:rsid w:val="00BD6232"/>
    <w:rsid w:val="00BD6F58"/>
    <w:rsid w:val="00BD75D9"/>
    <w:rsid w:val="00BD760A"/>
    <w:rsid w:val="00BD7869"/>
    <w:rsid w:val="00BD79AE"/>
    <w:rsid w:val="00BD7AF3"/>
    <w:rsid w:val="00BE0F7E"/>
    <w:rsid w:val="00BE16D7"/>
    <w:rsid w:val="00BE1B64"/>
    <w:rsid w:val="00BE29CA"/>
    <w:rsid w:val="00BE3661"/>
    <w:rsid w:val="00BE3AE4"/>
    <w:rsid w:val="00BE3F90"/>
    <w:rsid w:val="00BE4164"/>
    <w:rsid w:val="00BE5750"/>
    <w:rsid w:val="00BE5BD0"/>
    <w:rsid w:val="00BE6EAA"/>
    <w:rsid w:val="00BE760F"/>
    <w:rsid w:val="00BE7F6F"/>
    <w:rsid w:val="00BE7F78"/>
    <w:rsid w:val="00BF0440"/>
    <w:rsid w:val="00BF0D04"/>
    <w:rsid w:val="00BF0EBD"/>
    <w:rsid w:val="00BF16F8"/>
    <w:rsid w:val="00BF1914"/>
    <w:rsid w:val="00BF1B3D"/>
    <w:rsid w:val="00BF2508"/>
    <w:rsid w:val="00BF2687"/>
    <w:rsid w:val="00BF3A1C"/>
    <w:rsid w:val="00BF3F63"/>
    <w:rsid w:val="00BF4070"/>
    <w:rsid w:val="00BF40C6"/>
    <w:rsid w:val="00BF5298"/>
    <w:rsid w:val="00BF5E5F"/>
    <w:rsid w:val="00BF6D21"/>
    <w:rsid w:val="00BF6F7D"/>
    <w:rsid w:val="00BF7A8A"/>
    <w:rsid w:val="00C00899"/>
    <w:rsid w:val="00C009BD"/>
    <w:rsid w:val="00C01F72"/>
    <w:rsid w:val="00C0208B"/>
    <w:rsid w:val="00C02455"/>
    <w:rsid w:val="00C026C1"/>
    <w:rsid w:val="00C02913"/>
    <w:rsid w:val="00C03105"/>
    <w:rsid w:val="00C0390A"/>
    <w:rsid w:val="00C03D23"/>
    <w:rsid w:val="00C03EF3"/>
    <w:rsid w:val="00C03F65"/>
    <w:rsid w:val="00C040DD"/>
    <w:rsid w:val="00C0441E"/>
    <w:rsid w:val="00C05510"/>
    <w:rsid w:val="00C05A39"/>
    <w:rsid w:val="00C0786E"/>
    <w:rsid w:val="00C07AD2"/>
    <w:rsid w:val="00C07BAD"/>
    <w:rsid w:val="00C10463"/>
    <w:rsid w:val="00C1088E"/>
    <w:rsid w:val="00C112F6"/>
    <w:rsid w:val="00C11F24"/>
    <w:rsid w:val="00C12313"/>
    <w:rsid w:val="00C12446"/>
    <w:rsid w:val="00C12B63"/>
    <w:rsid w:val="00C13786"/>
    <w:rsid w:val="00C13902"/>
    <w:rsid w:val="00C13FAE"/>
    <w:rsid w:val="00C14DAF"/>
    <w:rsid w:val="00C15349"/>
    <w:rsid w:val="00C15E2D"/>
    <w:rsid w:val="00C161AF"/>
    <w:rsid w:val="00C16CCE"/>
    <w:rsid w:val="00C17132"/>
    <w:rsid w:val="00C2071B"/>
    <w:rsid w:val="00C2085F"/>
    <w:rsid w:val="00C20C15"/>
    <w:rsid w:val="00C217A0"/>
    <w:rsid w:val="00C21977"/>
    <w:rsid w:val="00C21C0F"/>
    <w:rsid w:val="00C21C41"/>
    <w:rsid w:val="00C22258"/>
    <w:rsid w:val="00C222FE"/>
    <w:rsid w:val="00C226BA"/>
    <w:rsid w:val="00C227FC"/>
    <w:rsid w:val="00C22F22"/>
    <w:rsid w:val="00C22F9D"/>
    <w:rsid w:val="00C22FB8"/>
    <w:rsid w:val="00C24957"/>
    <w:rsid w:val="00C2530C"/>
    <w:rsid w:val="00C254EF"/>
    <w:rsid w:val="00C25719"/>
    <w:rsid w:val="00C25EAC"/>
    <w:rsid w:val="00C268E4"/>
    <w:rsid w:val="00C279C0"/>
    <w:rsid w:val="00C30025"/>
    <w:rsid w:val="00C300E1"/>
    <w:rsid w:val="00C30169"/>
    <w:rsid w:val="00C3023B"/>
    <w:rsid w:val="00C30274"/>
    <w:rsid w:val="00C304A2"/>
    <w:rsid w:val="00C31961"/>
    <w:rsid w:val="00C319A2"/>
    <w:rsid w:val="00C321C8"/>
    <w:rsid w:val="00C32515"/>
    <w:rsid w:val="00C334E8"/>
    <w:rsid w:val="00C336FC"/>
    <w:rsid w:val="00C33A40"/>
    <w:rsid w:val="00C3400A"/>
    <w:rsid w:val="00C3413C"/>
    <w:rsid w:val="00C3491C"/>
    <w:rsid w:val="00C34CD7"/>
    <w:rsid w:val="00C35F79"/>
    <w:rsid w:val="00C36180"/>
    <w:rsid w:val="00C36403"/>
    <w:rsid w:val="00C36714"/>
    <w:rsid w:val="00C369C8"/>
    <w:rsid w:val="00C36DEE"/>
    <w:rsid w:val="00C36FC7"/>
    <w:rsid w:val="00C37292"/>
    <w:rsid w:val="00C37592"/>
    <w:rsid w:val="00C3770E"/>
    <w:rsid w:val="00C40044"/>
    <w:rsid w:val="00C40738"/>
    <w:rsid w:val="00C40C4C"/>
    <w:rsid w:val="00C40CB1"/>
    <w:rsid w:val="00C42103"/>
    <w:rsid w:val="00C42201"/>
    <w:rsid w:val="00C42923"/>
    <w:rsid w:val="00C429D4"/>
    <w:rsid w:val="00C43E1A"/>
    <w:rsid w:val="00C43F3D"/>
    <w:rsid w:val="00C444AB"/>
    <w:rsid w:val="00C44FEB"/>
    <w:rsid w:val="00C452E6"/>
    <w:rsid w:val="00C45442"/>
    <w:rsid w:val="00C45496"/>
    <w:rsid w:val="00C4604B"/>
    <w:rsid w:val="00C47521"/>
    <w:rsid w:val="00C4762B"/>
    <w:rsid w:val="00C47A9E"/>
    <w:rsid w:val="00C47BC2"/>
    <w:rsid w:val="00C47C27"/>
    <w:rsid w:val="00C47FAB"/>
    <w:rsid w:val="00C50176"/>
    <w:rsid w:val="00C5029C"/>
    <w:rsid w:val="00C504EA"/>
    <w:rsid w:val="00C5169D"/>
    <w:rsid w:val="00C51F78"/>
    <w:rsid w:val="00C51F91"/>
    <w:rsid w:val="00C5266A"/>
    <w:rsid w:val="00C528B0"/>
    <w:rsid w:val="00C5295D"/>
    <w:rsid w:val="00C52A3B"/>
    <w:rsid w:val="00C52F56"/>
    <w:rsid w:val="00C530D5"/>
    <w:rsid w:val="00C535A9"/>
    <w:rsid w:val="00C537AF"/>
    <w:rsid w:val="00C538AA"/>
    <w:rsid w:val="00C54482"/>
    <w:rsid w:val="00C54BC3"/>
    <w:rsid w:val="00C54E9B"/>
    <w:rsid w:val="00C5513A"/>
    <w:rsid w:val="00C553F0"/>
    <w:rsid w:val="00C553FB"/>
    <w:rsid w:val="00C55EC0"/>
    <w:rsid w:val="00C565A7"/>
    <w:rsid w:val="00C565BC"/>
    <w:rsid w:val="00C5680E"/>
    <w:rsid w:val="00C56C65"/>
    <w:rsid w:val="00C56CEE"/>
    <w:rsid w:val="00C57150"/>
    <w:rsid w:val="00C57425"/>
    <w:rsid w:val="00C57435"/>
    <w:rsid w:val="00C601C6"/>
    <w:rsid w:val="00C6045D"/>
    <w:rsid w:val="00C6061B"/>
    <w:rsid w:val="00C609D9"/>
    <w:rsid w:val="00C60C09"/>
    <w:rsid w:val="00C60DC1"/>
    <w:rsid w:val="00C60F24"/>
    <w:rsid w:val="00C61D6F"/>
    <w:rsid w:val="00C61EC5"/>
    <w:rsid w:val="00C627DA"/>
    <w:rsid w:val="00C6282E"/>
    <w:rsid w:val="00C62BFC"/>
    <w:rsid w:val="00C62F8E"/>
    <w:rsid w:val="00C6311C"/>
    <w:rsid w:val="00C636FE"/>
    <w:rsid w:val="00C63B85"/>
    <w:rsid w:val="00C63B97"/>
    <w:rsid w:val="00C64034"/>
    <w:rsid w:val="00C642F4"/>
    <w:rsid w:val="00C644A6"/>
    <w:rsid w:val="00C645EF"/>
    <w:rsid w:val="00C64612"/>
    <w:rsid w:val="00C647B2"/>
    <w:rsid w:val="00C64E5C"/>
    <w:rsid w:val="00C65278"/>
    <w:rsid w:val="00C6675F"/>
    <w:rsid w:val="00C66B52"/>
    <w:rsid w:val="00C66C1E"/>
    <w:rsid w:val="00C66D6E"/>
    <w:rsid w:val="00C66E77"/>
    <w:rsid w:val="00C6706F"/>
    <w:rsid w:val="00C670BF"/>
    <w:rsid w:val="00C6716F"/>
    <w:rsid w:val="00C671F9"/>
    <w:rsid w:val="00C67682"/>
    <w:rsid w:val="00C676B7"/>
    <w:rsid w:val="00C67A4C"/>
    <w:rsid w:val="00C67C9E"/>
    <w:rsid w:val="00C702A0"/>
    <w:rsid w:val="00C70CCA"/>
    <w:rsid w:val="00C720D0"/>
    <w:rsid w:val="00C73487"/>
    <w:rsid w:val="00C7386C"/>
    <w:rsid w:val="00C73997"/>
    <w:rsid w:val="00C741BC"/>
    <w:rsid w:val="00C74453"/>
    <w:rsid w:val="00C74534"/>
    <w:rsid w:val="00C74A42"/>
    <w:rsid w:val="00C7566C"/>
    <w:rsid w:val="00C764AC"/>
    <w:rsid w:val="00C7679F"/>
    <w:rsid w:val="00C770A1"/>
    <w:rsid w:val="00C77572"/>
    <w:rsid w:val="00C8009E"/>
    <w:rsid w:val="00C81222"/>
    <w:rsid w:val="00C81731"/>
    <w:rsid w:val="00C81CC0"/>
    <w:rsid w:val="00C81E5D"/>
    <w:rsid w:val="00C836A9"/>
    <w:rsid w:val="00C83D7F"/>
    <w:rsid w:val="00C84D41"/>
    <w:rsid w:val="00C85316"/>
    <w:rsid w:val="00C8559E"/>
    <w:rsid w:val="00C856D7"/>
    <w:rsid w:val="00C85855"/>
    <w:rsid w:val="00C861D8"/>
    <w:rsid w:val="00C8704E"/>
    <w:rsid w:val="00C874F6"/>
    <w:rsid w:val="00C87626"/>
    <w:rsid w:val="00C876F5"/>
    <w:rsid w:val="00C87F42"/>
    <w:rsid w:val="00C90C69"/>
    <w:rsid w:val="00C9119F"/>
    <w:rsid w:val="00C91398"/>
    <w:rsid w:val="00C929D3"/>
    <w:rsid w:val="00C92AEA"/>
    <w:rsid w:val="00C9339E"/>
    <w:rsid w:val="00C93666"/>
    <w:rsid w:val="00C937F1"/>
    <w:rsid w:val="00C93CD8"/>
    <w:rsid w:val="00C93D4B"/>
    <w:rsid w:val="00C941F2"/>
    <w:rsid w:val="00C949BE"/>
    <w:rsid w:val="00C94E07"/>
    <w:rsid w:val="00C94EAC"/>
    <w:rsid w:val="00C954A1"/>
    <w:rsid w:val="00C95CBA"/>
    <w:rsid w:val="00C95DB6"/>
    <w:rsid w:val="00C95DF4"/>
    <w:rsid w:val="00C96BF5"/>
    <w:rsid w:val="00C972B4"/>
    <w:rsid w:val="00CA01FB"/>
    <w:rsid w:val="00CA03C6"/>
    <w:rsid w:val="00CA04AD"/>
    <w:rsid w:val="00CA0A4C"/>
    <w:rsid w:val="00CA0FB1"/>
    <w:rsid w:val="00CA1B2B"/>
    <w:rsid w:val="00CA2193"/>
    <w:rsid w:val="00CA22A1"/>
    <w:rsid w:val="00CA25E7"/>
    <w:rsid w:val="00CA28B2"/>
    <w:rsid w:val="00CA2ACA"/>
    <w:rsid w:val="00CA2ACD"/>
    <w:rsid w:val="00CA2FBB"/>
    <w:rsid w:val="00CA3635"/>
    <w:rsid w:val="00CA40A2"/>
    <w:rsid w:val="00CA41E7"/>
    <w:rsid w:val="00CA42E3"/>
    <w:rsid w:val="00CA4DC9"/>
    <w:rsid w:val="00CA5209"/>
    <w:rsid w:val="00CA5B46"/>
    <w:rsid w:val="00CA5CF8"/>
    <w:rsid w:val="00CA60FB"/>
    <w:rsid w:val="00CA6E9B"/>
    <w:rsid w:val="00CA7173"/>
    <w:rsid w:val="00CB0197"/>
    <w:rsid w:val="00CB0A5D"/>
    <w:rsid w:val="00CB0E9F"/>
    <w:rsid w:val="00CB1F17"/>
    <w:rsid w:val="00CB208F"/>
    <w:rsid w:val="00CB2193"/>
    <w:rsid w:val="00CB257C"/>
    <w:rsid w:val="00CB2641"/>
    <w:rsid w:val="00CB28B7"/>
    <w:rsid w:val="00CB2E87"/>
    <w:rsid w:val="00CB2EC6"/>
    <w:rsid w:val="00CB39C8"/>
    <w:rsid w:val="00CB4218"/>
    <w:rsid w:val="00CB4B88"/>
    <w:rsid w:val="00CB4F15"/>
    <w:rsid w:val="00CB4F4B"/>
    <w:rsid w:val="00CB5822"/>
    <w:rsid w:val="00CB5B53"/>
    <w:rsid w:val="00CB5C97"/>
    <w:rsid w:val="00CB5D5F"/>
    <w:rsid w:val="00CB5D95"/>
    <w:rsid w:val="00CB600A"/>
    <w:rsid w:val="00CB621C"/>
    <w:rsid w:val="00CB6E85"/>
    <w:rsid w:val="00CB718A"/>
    <w:rsid w:val="00CB7320"/>
    <w:rsid w:val="00CB7542"/>
    <w:rsid w:val="00CB7D9E"/>
    <w:rsid w:val="00CC03A4"/>
    <w:rsid w:val="00CC0A02"/>
    <w:rsid w:val="00CC0B8F"/>
    <w:rsid w:val="00CC11AD"/>
    <w:rsid w:val="00CC1DD2"/>
    <w:rsid w:val="00CC20AC"/>
    <w:rsid w:val="00CC27E1"/>
    <w:rsid w:val="00CC29DA"/>
    <w:rsid w:val="00CC2CD6"/>
    <w:rsid w:val="00CC2CED"/>
    <w:rsid w:val="00CC2FA8"/>
    <w:rsid w:val="00CC32A8"/>
    <w:rsid w:val="00CC435F"/>
    <w:rsid w:val="00CC483C"/>
    <w:rsid w:val="00CC48AA"/>
    <w:rsid w:val="00CC4E9C"/>
    <w:rsid w:val="00CC568B"/>
    <w:rsid w:val="00CC577A"/>
    <w:rsid w:val="00CC57F6"/>
    <w:rsid w:val="00CC5813"/>
    <w:rsid w:val="00CC5D6A"/>
    <w:rsid w:val="00CC6DC4"/>
    <w:rsid w:val="00CC7278"/>
    <w:rsid w:val="00CC75F3"/>
    <w:rsid w:val="00CC782C"/>
    <w:rsid w:val="00CC7FB3"/>
    <w:rsid w:val="00CD017A"/>
    <w:rsid w:val="00CD0306"/>
    <w:rsid w:val="00CD0910"/>
    <w:rsid w:val="00CD0CD5"/>
    <w:rsid w:val="00CD0E67"/>
    <w:rsid w:val="00CD0F7F"/>
    <w:rsid w:val="00CD114A"/>
    <w:rsid w:val="00CD1159"/>
    <w:rsid w:val="00CD1192"/>
    <w:rsid w:val="00CD49EF"/>
    <w:rsid w:val="00CD50AF"/>
    <w:rsid w:val="00CD5808"/>
    <w:rsid w:val="00CD5AAB"/>
    <w:rsid w:val="00CD5C48"/>
    <w:rsid w:val="00CD603C"/>
    <w:rsid w:val="00CD6FD1"/>
    <w:rsid w:val="00CD743E"/>
    <w:rsid w:val="00CD764E"/>
    <w:rsid w:val="00CD791B"/>
    <w:rsid w:val="00CD7B15"/>
    <w:rsid w:val="00CE04C5"/>
    <w:rsid w:val="00CE0E16"/>
    <w:rsid w:val="00CE1261"/>
    <w:rsid w:val="00CE1845"/>
    <w:rsid w:val="00CE1ADD"/>
    <w:rsid w:val="00CE21FB"/>
    <w:rsid w:val="00CE2218"/>
    <w:rsid w:val="00CE22C4"/>
    <w:rsid w:val="00CE2DA6"/>
    <w:rsid w:val="00CE2DC5"/>
    <w:rsid w:val="00CE2EB3"/>
    <w:rsid w:val="00CE34A9"/>
    <w:rsid w:val="00CE38FD"/>
    <w:rsid w:val="00CE3D5A"/>
    <w:rsid w:val="00CE4A45"/>
    <w:rsid w:val="00CE4BBE"/>
    <w:rsid w:val="00CE4C15"/>
    <w:rsid w:val="00CE5480"/>
    <w:rsid w:val="00CE5A86"/>
    <w:rsid w:val="00CE6C27"/>
    <w:rsid w:val="00CE6F1E"/>
    <w:rsid w:val="00CE7413"/>
    <w:rsid w:val="00CE7BE2"/>
    <w:rsid w:val="00CE7E6D"/>
    <w:rsid w:val="00CF065C"/>
    <w:rsid w:val="00CF0D57"/>
    <w:rsid w:val="00CF131F"/>
    <w:rsid w:val="00CF1842"/>
    <w:rsid w:val="00CF199E"/>
    <w:rsid w:val="00CF1B51"/>
    <w:rsid w:val="00CF1BAA"/>
    <w:rsid w:val="00CF397E"/>
    <w:rsid w:val="00CF43C1"/>
    <w:rsid w:val="00CF446B"/>
    <w:rsid w:val="00CF4AFE"/>
    <w:rsid w:val="00CF4B33"/>
    <w:rsid w:val="00CF53DF"/>
    <w:rsid w:val="00CF5539"/>
    <w:rsid w:val="00CF5902"/>
    <w:rsid w:val="00CF5A9C"/>
    <w:rsid w:val="00CF64A3"/>
    <w:rsid w:val="00CF6915"/>
    <w:rsid w:val="00CF6BBF"/>
    <w:rsid w:val="00CF70F0"/>
    <w:rsid w:val="00CF75E6"/>
    <w:rsid w:val="00CF7812"/>
    <w:rsid w:val="00CF7F9F"/>
    <w:rsid w:val="00D000C5"/>
    <w:rsid w:val="00D0017A"/>
    <w:rsid w:val="00D00A7A"/>
    <w:rsid w:val="00D00F20"/>
    <w:rsid w:val="00D01C92"/>
    <w:rsid w:val="00D01FA3"/>
    <w:rsid w:val="00D02866"/>
    <w:rsid w:val="00D02FD9"/>
    <w:rsid w:val="00D03398"/>
    <w:rsid w:val="00D03E13"/>
    <w:rsid w:val="00D03EF1"/>
    <w:rsid w:val="00D0444F"/>
    <w:rsid w:val="00D04D3D"/>
    <w:rsid w:val="00D04F45"/>
    <w:rsid w:val="00D0520C"/>
    <w:rsid w:val="00D05A4F"/>
    <w:rsid w:val="00D061CF"/>
    <w:rsid w:val="00D066C3"/>
    <w:rsid w:val="00D0674A"/>
    <w:rsid w:val="00D06BA8"/>
    <w:rsid w:val="00D06C48"/>
    <w:rsid w:val="00D06C95"/>
    <w:rsid w:val="00D06FB2"/>
    <w:rsid w:val="00D079C1"/>
    <w:rsid w:val="00D100D5"/>
    <w:rsid w:val="00D10449"/>
    <w:rsid w:val="00D108C8"/>
    <w:rsid w:val="00D11160"/>
    <w:rsid w:val="00D111FE"/>
    <w:rsid w:val="00D11781"/>
    <w:rsid w:val="00D120C2"/>
    <w:rsid w:val="00D1299B"/>
    <w:rsid w:val="00D1308D"/>
    <w:rsid w:val="00D131B0"/>
    <w:rsid w:val="00D139C0"/>
    <w:rsid w:val="00D13DC4"/>
    <w:rsid w:val="00D1440E"/>
    <w:rsid w:val="00D144CD"/>
    <w:rsid w:val="00D146AB"/>
    <w:rsid w:val="00D14A9C"/>
    <w:rsid w:val="00D14AFD"/>
    <w:rsid w:val="00D155F7"/>
    <w:rsid w:val="00D15C4C"/>
    <w:rsid w:val="00D16234"/>
    <w:rsid w:val="00D1625D"/>
    <w:rsid w:val="00D16D6D"/>
    <w:rsid w:val="00D17416"/>
    <w:rsid w:val="00D176B9"/>
    <w:rsid w:val="00D176D2"/>
    <w:rsid w:val="00D17ECE"/>
    <w:rsid w:val="00D20B84"/>
    <w:rsid w:val="00D20DC2"/>
    <w:rsid w:val="00D2143A"/>
    <w:rsid w:val="00D2159D"/>
    <w:rsid w:val="00D219C4"/>
    <w:rsid w:val="00D21BA9"/>
    <w:rsid w:val="00D220A0"/>
    <w:rsid w:val="00D22118"/>
    <w:rsid w:val="00D22796"/>
    <w:rsid w:val="00D24093"/>
    <w:rsid w:val="00D2498C"/>
    <w:rsid w:val="00D254CE"/>
    <w:rsid w:val="00D25919"/>
    <w:rsid w:val="00D265F4"/>
    <w:rsid w:val="00D26656"/>
    <w:rsid w:val="00D2692B"/>
    <w:rsid w:val="00D26A4A"/>
    <w:rsid w:val="00D27A69"/>
    <w:rsid w:val="00D314D5"/>
    <w:rsid w:val="00D32427"/>
    <w:rsid w:val="00D32702"/>
    <w:rsid w:val="00D32A8A"/>
    <w:rsid w:val="00D32F26"/>
    <w:rsid w:val="00D33413"/>
    <w:rsid w:val="00D334D1"/>
    <w:rsid w:val="00D33E52"/>
    <w:rsid w:val="00D34349"/>
    <w:rsid w:val="00D34977"/>
    <w:rsid w:val="00D352F7"/>
    <w:rsid w:val="00D358D0"/>
    <w:rsid w:val="00D35BDA"/>
    <w:rsid w:val="00D36429"/>
    <w:rsid w:val="00D36730"/>
    <w:rsid w:val="00D36DEE"/>
    <w:rsid w:val="00D370EF"/>
    <w:rsid w:val="00D3767D"/>
    <w:rsid w:val="00D3794B"/>
    <w:rsid w:val="00D379EE"/>
    <w:rsid w:val="00D41577"/>
    <w:rsid w:val="00D41E8B"/>
    <w:rsid w:val="00D42AD7"/>
    <w:rsid w:val="00D43084"/>
    <w:rsid w:val="00D43FE9"/>
    <w:rsid w:val="00D441AF"/>
    <w:rsid w:val="00D444E6"/>
    <w:rsid w:val="00D45190"/>
    <w:rsid w:val="00D45474"/>
    <w:rsid w:val="00D456D8"/>
    <w:rsid w:val="00D45A78"/>
    <w:rsid w:val="00D460E8"/>
    <w:rsid w:val="00D46A7C"/>
    <w:rsid w:val="00D46E19"/>
    <w:rsid w:val="00D46E93"/>
    <w:rsid w:val="00D46ECC"/>
    <w:rsid w:val="00D4776A"/>
    <w:rsid w:val="00D478D3"/>
    <w:rsid w:val="00D47AFF"/>
    <w:rsid w:val="00D47BEC"/>
    <w:rsid w:val="00D47E9D"/>
    <w:rsid w:val="00D50EE0"/>
    <w:rsid w:val="00D513AB"/>
    <w:rsid w:val="00D5243A"/>
    <w:rsid w:val="00D52827"/>
    <w:rsid w:val="00D52AF8"/>
    <w:rsid w:val="00D52B16"/>
    <w:rsid w:val="00D52CF7"/>
    <w:rsid w:val="00D52D17"/>
    <w:rsid w:val="00D536A5"/>
    <w:rsid w:val="00D53A48"/>
    <w:rsid w:val="00D54292"/>
    <w:rsid w:val="00D54347"/>
    <w:rsid w:val="00D54BDD"/>
    <w:rsid w:val="00D558B1"/>
    <w:rsid w:val="00D55D18"/>
    <w:rsid w:val="00D55E9C"/>
    <w:rsid w:val="00D560DA"/>
    <w:rsid w:val="00D5669E"/>
    <w:rsid w:val="00D56780"/>
    <w:rsid w:val="00D56DE6"/>
    <w:rsid w:val="00D56DF1"/>
    <w:rsid w:val="00D576A9"/>
    <w:rsid w:val="00D57EA4"/>
    <w:rsid w:val="00D57F91"/>
    <w:rsid w:val="00D60094"/>
    <w:rsid w:val="00D6051C"/>
    <w:rsid w:val="00D60BAB"/>
    <w:rsid w:val="00D60FB9"/>
    <w:rsid w:val="00D6187E"/>
    <w:rsid w:val="00D61ED2"/>
    <w:rsid w:val="00D623EE"/>
    <w:rsid w:val="00D62A47"/>
    <w:rsid w:val="00D6324F"/>
    <w:rsid w:val="00D63CC0"/>
    <w:rsid w:val="00D649B0"/>
    <w:rsid w:val="00D64D19"/>
    <w:rsid w:val="00D6519B"/>
    <w:rsid w:val="00D655E1"/>
    <w:rsid w:val="00D65EAC"/>
    <w:rsid w:val="00D662E0"/>
    <w:rsid w:val="00D667FB"/>
    <w:rsid w:val="00D67305"/>
    <w:rsid w:val="00D675D5"/>
    <w:rsid w:val="00D6784A"/>
    <w:rsid w:val="00D702D5"/>
    <w:rsid w:val="00D7140C"/>
    <w:rsid w:val="00D71E70"/>
    <w:rsid w:val="00D72ED1"/>
    <w:rsid w:val="00D72F38"/>
    <w:rsid w:val="00D73D5D"/>
    <w:rsid w:val="00D74600"/>
    <w:rsid w:val="00D74A30"/>
    <w:rsid w:val="00D75773"/>
    <w:rsid w:val="00D7624A"/>
    <w:rsid w:val="00D769CF"/>
    <w:rsid w:val="00D76B2C"/>
    <w:rsid w:val="00D80104"/>
    <w:rsid w:val="00D801FE"/>
    <w:rsid w:val="00D80BA7"/>
    <w:rsid w:val="00D81126"/>
    <w:rsid w:val="00D81663"/>
    <w:rsid w:val="00D816CC"/>
    <w:rsid w:val="00D81ECD"/>
    <w:rsid w:val="00D82B77"/>
    <w:rsid w:val="00D82BF5"/>
    <w:rsid w:val="00D83614"/>
    <w:rsid w:val="00D83C08"/>
    <w:rsid w:val="00D83CF3"/>
    <w:rsid w:val="00D83D46"/>
    <w:rsid w:val="00D83D8F"/>
    <w:rsid w:val="00D83EA1"/>
    <w:rsid w:val="00D84724"/>
    <w:rsid w:val="00D84910"/>
    <w:rsid w:val="00D8492C"/>
    <w:rsid w:val="00D84C00"/>
    <w:rsid w:val="00D84C76"/>
    <w:rsid w:val="00D85792"/>
    <w:rsid w:val="00D857C7"/>
    <w:rsid w:val="00D85C01"/>
    <w:rsid w:val="00D86063"/>
    <w:rsid w:val="00D86263"/>
    <w:rsid w:val="00D862AB"/>
    <w:rsid w:val="00D8633F"/>
    <w:rsid w:val="00D86812"/>
    <w:rsid w:val="00D86BF9"/>
    <w:rsid w:val="00D86CD7"/>
    <w:rsid w:val="00D87113"/>
    <w:rsid w:val="00D8730C"/>
    <w:rsid w:val="00D873B6"/>
    <w:rsid w:val="00D9023B"/>
    <w:rsid w:val="00D90712"/>
    <w:rsid w:val="00D9076A"/>
    <w:rsid w:val="00D90C67"/>
    <w:rsid w:val="00D90E85"/>
    <w:rsid w:val="00D9122A"/>
    <w:rsid w:val="00D912EF"/>
    <w:rsid w:val="00D918C2"/>
    <w:rsid w:val="00D91A03"/>
    <w:rsid w:val="00D91D8F"/>
    <w:rsid w:val="00D91EF6"/>
    <w:rsid w:val="00D92060"/>
    <w:rsid w:val="00D92880"/>
    <w:rsid w:val="00D92E05"/>
    <w:rsid w:val="00D93501"/>
    <w:rsid w:val="00D93D25"/>
    <w:rsid w:val="00D941D4"/>
    <w:rsid w:val="00D941FE"/>
    <w:rsid w:val="00D943BA"/>
    <w:rsid w:val="00D953B3"/>
    <w:rsid w:val="00D953FE"/>
    <w:rsid w:val="00D9622E"/>
    <w:rsid w:val="00D96373"/>
    <w:rsid w:val="00D9641E"/>
    <w:rsid w:val="00D97168"/>
    <w:rsid w:val="00D97C18"/>
    <w:rsid w:val="00DA088E"/>
    <w:rsid w:val="00DA0D5F"/>
    <w:rsid w:val="00DA10B0"/>
    <w:rsid w:val="00DA10ED"/>
    <w:rsid w:val="00DA1621"/>
    <w:rsid w:val="00DA1764"/>
    <w:rsid w:val="00DA2583"/>
    <w:rsid w:val="00DA2584"/>
    <w:rsid w:val="00DA30F4"/>
    <w:rsid w:val="00DA31A3"/>
    <w:rsid w:val="00DA3444"/>
    <w:rsid w:val="00DA35E2"/>
    <w:rsid w:val="00DA3C61"/>
    <w:rsid w:val="00DA516D"/>
    <w:rsid w:val="00DA56E1"/>
    <w:rsid w:val="00DA5937"/>
    <w:rsid w:val="00DA5954"/>
    <w:rsid w:val="00DA5C40"/>
    <w:rsid w:val="00DA5D5D"/>
    <w:rsid w:val="00DA5D79"/>
    <w:rsid w:val="00DA5E11"/>
    <w:rsid w:val="00DA6AC8"/>
    <w:rsid w:val="00DA702B"/>
    <w:rsid w:val="00DB039E"/>
    <w:rsid w:val="00DB0B87"/>
    <w:rsid w:val="00DB13A0"/>
    <w:rsid w:val="00DB1562"/>
    <w:rsid w:val="00DB1F57"/>
    <w:rsid w:val="00DB210C"/>
    <w:rsid w:val="00DB3061"/>
    <w:rsid w:val="00DB31E3"/>
    <w:rsid w:val="00DB336B"/>
    <w:rsid w:val="00DB3A0B"/>
    <w:rsid w:val="00DB3D95"/>
    <w:rsid w:val="00DB50FE"/>
    <w:rsid w:val="00DB54AD"/>
    <w:rsid w:val="00DB54EA"/>
    <w:rsid w:val="00DB57AB"/>
    <w:rsid w:val="00DB5C3E"/>
    <w:rsid w:val="00DB64C1"/>
    <w:rsid w:val="00DB6648"/>
    <w:rsid w:val="00DB6DBF"/>
    <w:rsid w:val="00DB714A"/>
    <w:rsid w:val="00DB74EB"/>
    <w:rsid w:val="00DB7D7D"/>
    <w:rsid w:val="00DC056C"/>
    <w:rsid w:val="00DC0917"/>
    <w:rsid w:val="00DC0C0D"/>
    <w:rsid w:val="00DC10B9"/>
    <w:rsid w:val="00DC1597"/>
    <w:rsid w:val="00DC2292"/>
    <w:rsid w:val="00DC2E98"/>
    <w:rsid w:val="00DC3914"/>
    <w:rsid w:val="00DC3EBE"/>
    <w:rsid w:val="00DC4700"/>
    <w:rsid w:val="00DC5AEE"/>
    <w:rsid w:val="00DC5B10"/>
    <w:rsid w:val="00DC5C94"/>
    <w:rsid w:val="00DC6201"/>
    <w:rsid w:val="00DC628E"/>
    <w:rsid w:val="00DC64AB"/>
    <w:rsid w:val="00DC668A"/>
    <w:rsid w:val="00DC6AD4"/>
    <w:rsid w:val="00DC6AF6"/>
    <w:rsid w:val="00DC6DDA"/>
    <w:rsid w:val="00DC79BE"/>
    <w:rsid w:val="00DC7C4C"/>
    <w:rsid w:val="00DC7EAE"/>
    <w:rsid w:val="00DD03C3"/>
    <w:rsid w:val="00DD05AA"/>
    <w:rsid w:val="00DD0B17"/>
    <w:rsid w:val="00DD0B84"/>
    <w:rsid w:val="00DD1949"/>
    <w:rsid w:val="00DD1F01"/>
    <w:rsid w:val="00DD235B"/>
    <w:rsid w:val="00DD282D"/>
    <w:rsid w:val="00DD2AE4"/>
    <w:rsid w:val="00DD3AEE"/>
    <w:rsid w:val="00DD4624"/>
    <w:rsid w:val="00DD4786"/>
    <w:rsid w:val="00DD57A0"/>
    <w:rsid w:val="00DD590A"/>
    <w:rsid w:val="00DD5DFE"/>
    <w:rsid w:val="00DD6E52"/>
    <w:rsid w:val="00DD7038"/>
    <w:rsid w:val="00DD7EAA"/>
    <w:rsid w:val="00DE0871"/>
    <w:rsid w:val="00DE0ADF"/>
    <w:rsid w:val="00DE195F"/>
    <w:rsid w:val="00DE25CD"/>
    <w:rsid w:val="00DE28C3"/>
    <w:rsid w:val="00DE2A8B"/>
    <w:rsid w:val="00DE2AFF"/>
    <w:rsid w:val="00DE2B98"/>
    <w:rsid w:val="00DE3131"/>
    <w:rsid w:val="00DE34C5"/>
    <w:rsid w:val="00DE35D3"/>
    <w:rsid w:val="00DE35F8"/>
    <w:rsid w:val="00DE3BCD"/>
    <w:rsid w:val="00DE3CFE"/>
    <w:rsid w:val="00DE3ECA"/>
    <w:rsid w:val="00DE40DC"/>
    <w:rsid w:val="00DE4BCA"/>
    <w:rsid w:val="00DE4E31"/>
    <w:rsid w:val="00DE4E9A"/>
    <w:rsid w:val="00DE5ED1"/>
    <w:rsid w:val="00DE601A"/>
    <w:rsid w:val="00DE61C5"/>
    <w:rsid w:val="00DE6559"/>
    <w:rsid w:val="00DE6578"/>
    <w:rsid w:val="00DE661D"/>
    <w:rsid w:val="00DE70A4"/>
    <w:rsid w:val="00DE73F4"/>
    <w:rsid w:val="00DE77F6"/>
    <w:rsid w:val="00DE7C55"/>
    <w:rsid w:val="00DE7F4D"/>
    <w:rsid w:val="00DE7FB0"/>
    <w:rsid w:val="00DF0A51"/>
    <w:rsid w:val="00DF137D"/>
    <w:rsid w:val="00DF3740"/>
    <w:rsid w:val="00DF382D"/>
    <w:rsid w:val="00DF50CD"/>
    <w:rsid w:val="00DF5289"/>
    <w:rsid w:val="00DF623F"/>
    <w:rsid w:val="00DF6A26"/>
    <w:rsid w:val="00DF76D3"/>
    <w:rsid w:val="00DF7843"/>
    <w:rsid w:val="00DF7D6E"/>
    <w:rsid w:val="00DF7DF8"/>
    <w:rsid w:val="00E001FB"/>
    <w:rsid w:val="00E005E5"/>
    <w:rsid w:val="00E0198E"/>
    <w:rsid w:val="00E01F27"/>
    <w:rsid w:val="00E01FC6"/>
    <w:rsid w:val="00E032EE"/>
    <w:rsid w:val="00E034DA"/>
    <w:rsid w:val="00E03AEC"/>
    <w:rsid w:val="00E04660"/>
    <w:rsid w:val="00E04996"/>
    <w:rsid w:val="00E05266"/>
    <w:rsid w:val="00E05BD2"/>
    <w:rsid w:val="00E06B45"/>
    <w:rsid w:val="00E06D5B"/>
    <w:rsid w:val="00E0787A"/>
    <w:rsid w:val="00E10044"/>
    <w:rsid w:val="00E10717"/>
    <w:rsid w:val="00E10C55"/>
    <w:rsid w:val="00E11110"/>
    <w:rsid w:val="00E1148F"/>
    <w:rsid w:val="00E117CB"/>
    <w:rsid w:val="00E12354"/>
    <w:rsid w:val="00E12A2E"/>
    <w:rsid w:val="00E14BC5"/>
    <w:rsid w:val="00E14DC0"/>
    <w:rsid w:val="00E14EBF"/>
    <w:rsid w:val="00E14F4D"/>
    <w:rsid w:val="00E15362"/>
    <w:rsid w:val="00E153EC"/>
    <w:rsid w:val="00E1566D"/>
    <w:rsid w:val="00E15E53"/>
    <w:rsid w:val="00E16231"/>
    <w:rsid w:val="00E16B87"/>
    <w:rsid w:val="00E1778D"/>
    <w:rsid w:val="00E20278"/>
    <w:rsid w:val="00E20B19"/>
    <w:rsid w:val="00E210B7"/>
    <w:rsid w:val="00E21240"/>
    <w:rsid w:val="00E21EF5"/>
    <w:rsid w:val="00E21F38"/>
    <w:rsid w:val="00E22032"/>
    <w:rsid w:val="00E22DA5"/>
    <w:rsid w:val="00E23246"/>
    <w:rsid w:val="00E23572"/>
    <w:rsid w:val="00E238D8"/>
    <w:rsid w:val="00E23B07"/>
    <w:rsid w:val="00E24BF1"/>
    <w:rsid w:val="00E24C2A"/>
    <w:rsid w:val="00E24E6E"/>
    <w:rsid w:val="00E2526D"/>
    <w:rsid w:val="00E2562A"/>
    <w:rsid w:val="00E25ACE"/>
    <w:rsid w:val="00E25B5D"/>
    <w:rsid w:val="00E2618A"/>
    <w:rsid w:val="00E2643E"/>
    <w:rsid w:val="00E26732"/>
    <w:rsid w:val="00E267F7"/>
    <w:rsid w:val="00E2692B"/>
    <w:rsid w:val="00E26D63"/>
    <w:rsid w:val="00E270AC"/>
    <w:rsid w:val="00E2799E"/>
    <w:rsid w:val="00E27ABC"/>
    <w:rsid w:val="00E27C13"/>
    <w:rsid w:val="00E302A2"/>
    <w:rsid w:val="00E30347"/>
    <w:rsid w:val="00E30FAC"/>
    <w:rsid w:val="00E30FFD"/>
    <w:rsid w:val="00E31685"/>
    <w:rsid w:val="00E31872"/>
    <w:rsid w:val="00E31962"/>
    <w:rsid w:val="00E31A39"/>
    <w:rsid w:val="00E31A3B"/>
    <w:rsid w:val="00E31CE9"/>
    <w:rsid w:val="00E324AE"/>
    <w:rsid w:val="00E32799"/>
    <w:rsid w:val="00E330DF"/>
    <w:rsid w:val="00E338B6"/>
    <w:rsid w:val="00E33FA8"/>
    <w:rsid w:val="00E34B97"/>
    <w:rsid w:val="00E34E30"/>
    <w:rsid w:val="00E34EC8"/>
    <w:rsid w:val="00E35AC3"/>
    <w:rsid w:val="00E35D3C"/>
    <w:rsid w:val="00E36BEE"/>
    <w:rsid w:val="00E37379"/>
    <w:rsid w:val="00E3785E"/>
    <w:rsid w:val="00E37B3A"/>
    <w:rsid w:val="00E400B7"/>
    <w:rsid w:val="00E409CE"/>
    <w:rsid w:val="00E415A8"/>
    <w:rsid w:val="00E419B3"/>
    <w:rsid w:val="00E41CD6"/>
    <w:rsid w:val="00E42A2B"/>
    <w:rsid w:val="00E42D03"/>
    <w:rsid w:val="00E42DDA"/>
    <w:rsid w:val="00E437F1"/>
    <w:rsid w:val="00E43AB0"/>
    <w:rsid w:val="00E4455A"/>
    <w:rsid w:val="00E4535C"/>
    <w:rsid w:val="00E4572A"/>
    <w:rsid w:val="00E45761"/>
    <w:rsid w:val="00E45A71"/>
    <w:rsid w:val="00E46BE7"/>
    <w:rsid w:val="00E46E65"/>
    <w:rsid w:val="00E46FC2"/>
    <w:rsid w:val="00E47487"/>
    <w:rsid w:val="00E477C0"/>
    <w:rsid w:val="00E47F7E"/>
    <w:rsid w:val="00E50210"/>
    <w:rsid w:val="00E505A9"/>
    <w:rsid w:val="00E50CB6"/>
    <w:rsid w:val="00E5101F"/>
    <w:rsid w:val="00E51034"/>
    <w:rsid w:val="00E51CC1"/>
    <w:rsid w:val="00E52303"/>
    <w:rsid w:val="00E52B83"/>
    <w:rsid w:val="00E52D8F"/>
    <w:rsid w:val="00E530E1"/>
    <w:rsid w:val="00E537E6"/>
    <w:rsid w:val="00E53803"/>
    <w:rsid w:val="00E53D8D"/>
    <w:rsid w:val="00E53E41"/>
    <w:rsid w:val="00E53FA8"/>
    <w:rsid w:val="00E544EE"/>
    <w:rsid w:val="00E54769"/>
    <w:rsid w:val="00E548B3"/>
    <w:rsid w:val="00E55293"/>
    <w:rsid w:val="00E56FA0"/>
    <w:rsid w:val="00E576B4"/>
    <w:rsid w:val="00E57D8E"/>
    <w:rsid w:val="00E57F1D"/>
    <w:rsid w:val="00E60154"/>
    <w:rsid w:val="00E6021F"/>
    <w:rsid w:val="00E609C9"/>
    <w:rsid w:val="00E60AD3"/>
    <w:rsid w:val="00E60AF3"/>
    <w:rsid w:val="00E60CF9"/>
    <w:rsid w:val="00E60ED6"/>
    <w:rsid w:val="00E60F34"/>
    <w:rsid w:val="00E6106C"/>
    <w:rsid w:val="00E6137A"/>
    <w:rsid w:val="00E61DBC"/>
    <w:rsid w:val="00E620DC"/>
    <w:rsid w:val="00E620DD"/>
    <w:rsid w:val="00E621DF"/>
    <w:rsid w:val="00E62379"/>
    <w:rsid w:val="00E626DD"/>
    <w:rsid w:val="00E627BB"/>
    <w:rsid w:val="00E62B19"/>
    <w:rsid w:val="00E6316A"/>
    <w:rsid w:val="00E63338"/>
    <w:rsid w:val="00E63496"/>
    <w:rsid w:val="00E636E3"/>
    <w:rsid w:val="00E63CDF"/>
    <w:rsid w:val="00E6417C"/>
    <w:rsid w:val="00E65276"/>
    <w:rsid w:val="00E6530C"/>
    <w:rsid w:val="00E65732"/>
    <w:rsid w:val="00E65912"/>
    <w:rsid w:val="00E661CA"/>
    <w:rsid w:val="00E66B63"/>
    <w:rsid w:val="00E66F07"/>
    <w:rsid w:val="00E67321"/>
    <w:rsid w:val="00E678BC"/>
    <w:rsid w:val="00E67C8D"/>
    <w:rsid w:val="00E704B1"/>
    <w:rsid w:val="00E70AEE"/>
    <w:rsid w:val="00E70D64"/>
    <w:rsid w:val="00E712B8"/>
    <w:rsid w:val="00E712BC"/>
    <w:rsid w:val="00E712FB"/>
    <w:rsid w:val="00E7142B"/>
    <w:rsid w:val="00E717B2"/>
    <w:rsid w:val="00E718C4"/>
    <w:rsid w:val="00E719DE"/>
    <w:rsid w:val="00E71E13"/>
    <w:rsid w:val="00E72030"/>
    <w:rsid w:val="00E72CAA"/>
    <w:rsid w:val="00E72DE9"/>
    <w:rsid w:val="00E72EEC"/>
    <w:rsid w:val="00E73E50"/>
    <w:rsid w:val="00E740D5"/>
    <w:rsid w:val="00E74478"/>
    <w:rsid w:val="00E7472C"/>
    <w:rsid w:val="00E756AB"/>
    <w:rsid w:val="00E75A4A"/>
    <w:rsid w:val="00E75D24"/>
    <w:rsid w:val="00E75EA6"/>
    <w:rsid w:val="00E76431"/>
    <w:rsid w:val="00E76545"/>
    <w:rsid w:val="00E76ED1"/>
    <w:rsid w:val="00E77444"/>
    <w:rsid w:val="00E775A9"/>
    <w:rsid w:val="00E8036B"/>
    <w:rsid w:val="00E80A27"/>
    <w:rsid w:val="00E80AA0"/>
    <w:rsid w:val="00E81456"/>
    <w:rsid w:val="00E829CD"/>
    <w:rsid w:val="00E83DF5"/>
    <w:rsid w:val="00E83E5D"/>
    <w:rsid w:val="00E840EB"/>
    <w:rsid w:val="00E843B1"/>
    <w:rsid w:val="00E84474"/>
    <w:rsid w:val="00E85883"/>
    <w:rsid w:val="00E85ED6"/>
    <w:rsid w:val="00E860A4"/>
    <w:rsid w:val="00E86D10"/>
    <w:rsid w:val="00E872E2"/>
    <w:rsid w:val="00E87402"/>
    <w:rsid w:val="00E8793E"/>
    <w:rsid w:val="00E87DF9"/>
    <w:rsid w:val="00E90816"/>
    <w:rsid w:val="00E915F0"/>
    <w:rsid w:val="00E916BB"/>
    <w:rsid w:val="00E91BEC"/>
    <w:rsid w:val="00E92A72"/>
    <w:rsid w:val="00E92B7F"/>
    <w:rsid w:val="00E93000"/>
    <w:rsid w:val="00E932B0"/>
    <w:rsid w:val="00E93620"/>
    <w:rsid w:val="00E93C39"/>
    <w:rsid w:val="00E93DE6"/>
    <w:rsid w:val="00E94C67"/>
    <w:rsid w:val="00E95327"/>
    <w:rsid w:val="00E9613D"/>
    <w:rsid w:val="00E9759A"/>
    <w:rsid w:val="00E97A79"/>
    <w:rsid w:val="00E97D88"/>
    <w:rsid w:val="00E97FCB"/>
    <w:rsid w:val="00EA0078"/>
    <w:rsid w:val="00EA01A9"/>
    <w:rsid w:val="00EA0AC9"/>
    <w:rsid w:val="00EA0ED5"/>
    <w:rsid w:val="00EA10A7"/>
    <w:rsid w:val="00EA16B0"/>
    <w:rsid w:val="00EA1767"/>
    <w:rsid w:val="00EA17AE"/>
    <w:rsid w:val="00EA17CC"/>
    <w:rsid w:val="00EA19C9"/>
    <w:rsid w:val="00EA269C"/>
    <w:rsid w:val="00EA2C09"/>
    <w:rsid w:val="00EA3075"/>
    <w:rsid w:val="00EA3304"/>
    <w:rsid w:val="00EA36A3"/>
    <w:rsid w:val="00EA3E4A"/>
    <w:rsid w:val="00EA4110"/>
    <w:rsid w:val="00EA489B"/>
    <w:rsid w:val="00EA4C33"/>
    <w:rsid w:val="00EA4EB0"/>
    <w:rsid w:val="00EA4FAE"/>
    <w:rsid w:val="00EA5145"/>
    <w:rsid w:val="00EA5654"/>
    <w:rsid w:val="00EA58BC"/>
    <w:rsid w:val="00EA5A89"/>
    <w:rsid w:val="00EA7278"/>
    <w:rsid w:val="00EA7AC3"/>
    <w:rsid w:val="00EB0009"/>
    <w:rsid w:val="00EB0B40"/>
    <w:rsid w:val="00EB105E"/>
    <w:rsid w:val="00EB133E"/>
    <w:rsid w:val="00EB13CC"/>
    <w:rsid w:val="00EB1C16"/>
    <w:rsid w:val="00EB1CE8"/>
    <w:rsid w:val="00EB1D9C"/>
    <w:rsid w:val="00EB1DC9"/>
    <w:rsid w:val="00EB210D"/>
    <w:rsid w:val="00EB21E2"/>
    <w:rsid w:val="00EB27D5"/>
    <w:rsid w:val="00EB2CF5"/>
    <w:rsid w:val="00EB2EDD"/>
    <w:rsid w:val="00EB34E5"/>
    <w:rsid w:val="00EB34ED"/>
    <w:rsid w:val="00EB3811"/>
    <w:rsid w:val="00EB4688"/>
    <w:rsid w:val="00EB5165"/>
    <w:rsid w:val="00EB55F6"/>
    <w:rsid w:val="00EB56EC"/>
    <w:rsid w:val="00EB6169"/>
    <w:rsid w:val="00EB72B8"/>
    <w:rsid w:val="00EB74B1"/>
    <w:rsid w:val="00EB7B96"/>
    <w:rsid w:val="00EB7D27"/>
    <w:rsid w:val="00EC0647"/>
    <w:rsid w:val="00EC0933"/>
    <w:rsid w:val="00EC097A"/>
    <w:rsid w:val="00EC14AE"/>
    <w:rsid w:val="00EC19DF"/>
    <w:rsid w:val="00EC1A01"/>
    <w:rsid w:val="00EC2518"/>
    <w:rsid w:val="00EC31DA"/>
    <w:rsid w:val="00EC33AC"/>
    <w:rsid w:val="00EC37C3"/>
    <w:rsid w:val="00EC3E7E"/>
    <w:rsid w:val="00EC4232"/>
    <w:rsid w:val="00EC439C"/>
    <w:rsid w:val="00EC51C4"/>
    <w:rsid w:val="00EC54A3"/>
    <w:rsid w:val="00EC5C34"/>
    <w:rsid w:val="00EC5E24"/>
    <w:rsid w:val="00EC61BD"/>
    <w:rsid w:val="00EC6506"/>
    <w:rsid w:val="00EC6DA4"/>
    <w:rsid w:val="00EC6F81"/>
    <w:rsid w:val="00EC7057"/>
    <w:rsid w:val="00EC7297"/>
    <w:rsid w:val="00EC773D"/>
    <w:rsid w:val="00EC7936"/>
    <w:rsid w:val="00ED04E5"/>
    <w:rsid w:val="00ED14EC"/>
    <w:rsid w:val="00ED1556"/>
    <w:rsid w:val="00ED2599"/>
    <w:rsid w:val="00ED25F2"/>
    <w:rsid w:val="00ED4415"/>
    <w:rsid w:val="00ED45B1"/>
    <w:rsid w:val="00ED496A"/>
    <w:rsid w:val="00ED502B"/>
    <w:rsid w:val="00ED5EE0"/>
    <w:rsid w:val="00ED5F3A"/>
    <w:rsid w:val="00ED6286"/>
    <w:rsid w:val="00ED67BF"/>
    <w:rsid w:val="00ED6804"/>
    <w:rsid w:val="00ED6BDF"/>
    <w:rsid w:val="00ED7355"/>
    <w:rsid w:val="00ED7420"/>
    <w:rsid w:val="00ED7470"/>
    <w:rsid w:val="00ED74FE"/>
    <w:rsid w:val="00ED79B6"/>
    <w:rsid w:val="00ED7AC1"/>
    <w:rsid w:val="00ED7D73"/>
    <w:rsid w:val="00ED7F8A"/>
    <w:rsid w:val="00EE0287"/>
    <w:rsid w:val="00EE07A2"/>
    <w:rsid w:val="00EE0C5A"/>
    <w:rsid w:val="00EE0F12"/>
    <w:rsid w:val="00EE21C5"/>
    <w:rsid w:val="00EE29CC"/>
    <w:rsid w:val="00EE3B56"/>
    <w:rsid w:val="00EE3EB4"/>
    <w:rsid w:val="00EE43AF"/>
    <w:rsid w:val="00EE4559"/>
    <w:rsid w:val="00EE553B"/>
    <w:rsid w:val="00EE558D"/>
    <w:rsid w:val="00EE5BB9"/>
    <w:rsid w:val="00EE66B5"/>
    <w:rsid w:val="00EE6D7D"/>
    <w:rsid w:val="00EE6F2B"/>
    <w:rsid w:val="00EE7315"/>
    <w:rsid w:val="00EE74E0"/>
    <w:rsid w:val="00EE7997"/>
    <w:rsid w:val="00EE7C4C"/>
    <w:rsid w:val="00EF0AF3"/>
    <w:rsid w:val="00EF1271"/>
    <w:rsid w:val="00EF1272"/>
    <w:rsid w:val="00EF2364"/>
    <w:rsid w:val="00EF258D"/>
    <w:rsid w:val="00EF33D2"/>
    <w:rsid w:val="00EF3598"/>
    <w:rsid w:val="00EF3F34"/>
    <w:rsid w:val="00EF42D6"/>
    <w:rsid w:val="00EF45A0"/>
    <w:rsid w:val="00EF4C96"/>
    <w:rsid w:val="00EF526E"/>
    <w:rsid w:val="00EF557F"/>
    <w:rsid w:val="00EF6093"/>
    <w:rsid w:val="00EF6854"/>
    <w:rsid w:val="00EF6F3F"/>
    <w:rsid w:val="00EF7669"/>
    <w:rsid w:val="00EF7E61"/>
    <w:rsid w:val="00EF7F29"/>
    <w:rsid w:val="00EF7FCC"/>
    <w:rsid w:val="00F00350"/>
    <w:rsid w:val="00F00724"/>
    <w:rsid w:val="00F0093D"/>
    <w:rsid w:val="00F00A58"/>
    <w:rsid w:val="00F00CC6"/>
    <w:rsid w:val="00F00D59"/>
    <w:rsid w:val="00F012F9"/>
    <w:rsid w:val="00F015A3"/>
    <w:rsid w:val="00F02462"/>
    <w:rsid w:val="00F0297B"/>
    <w:rsid w:val="00F032A4"/>
    <w:rsid w:val="00F03462"/>
    <w:rsid w:val="00F05A4E"/>
    <w:rsid w:val="00F05C7E"/>
    <w:rsid w:val="00F05F72"/>
    <w:rsid w:val="00F06FED"/>
    <w:rsid w:val="00F0703D"/>
    <w:rsid w:val="00F07EA2"/>
    <w:rsid w:val="00F10120"/>
    <w:rsid w:val="00F10268"/>
    <w:rsid w:val="00F103E9"/>
    <w:rsid w:val="00F10807"/>
    <w:rsid w:val="00F1112B"/>
    <w:rsid w:val="00F1137A"/>
    <w:rsid w:val="00F1160B"/>
    <w:rsid w:val="00F11C0D"/>
    <w:rsid w:val="00F12436"/>
    <w:rsid w:val="00F125F1"/>
    <w:rsid w:val="00F132B1"/>
    <w:rsid w:val="00F13BC6"/>
    <w:rsid w:val="00F13DBD"/>
    <w:rsid w:val="00F1447B"/>
    <w:rsid w:val="00F14495"/>
    <w:rsid w:val="00F14DEB"/>
    <w:rsid w:val="00F15A10"/>
    <w:rsid w:val="00F15BC5"/>
    <w:rsid w:val="00F15DCF"/>
    <w:rsid w:val="00F15E2F"/>
    <w:rsid w:val="00F16B1B"/>
    <w:rsid w:val="00F16B7A"/>
    <w:rsid w:val="00F17BD1"/>
    <w:rsid w:val="00F17BDD"/>
    <w:rsid w:val="00F20333"/>
    <w:rsid w:val="00F205F9"/>
    <w:rsid w:val="00F20AC5"/>
    <w:rsid w:val="00F21CDB"/>
    <w:rsid w:val="00F2201D"/>
    <w:rsid w:val="00F2247F"/>
    <w:rsid w:val="00F22705"/>
    <w:rsid w:val="00F229ED"/>
    <w:rsid w:val="00F2307A"/>
    <w:rsid w:val="00F23197"/>
    <w:rsid w:val="00F232CB"/>
    <w:rsid w:val="00F2463D"/>
    <w:rsid w:val="00F246EB"/>
    <w:rsid w:val="00F24FD2"/>
    <w:rsid w:val="00F25472"/>
    <w:rsid w:val="00F25847"/>
    <w:rsid w:val="00F25C4D"/>
    <w:rsid w:val="00F26419"/>
    <w:rsid w:val="00F26496"/>
    <w:rsid w:val="00F265E3"/>
    <w:rsid w:val="00F2663A"/>
    <w:rsid w:val="00F26A7F"/>
    <w:rsid w:val="00F26B75"/>
    <w:rsid w:val="00F26EBF"/>
    <w:rsid w:val="00F275AF"/>
    <w:rsid w:val="00F27681"/>
    <w:rsid w:val="00F276A8"/>
    <w:rsid w:val="00F27C21"/>
    <w:rsid w:val="00F27FC0"/>
    <w:rsid w:val="00F302B7"/>
    <w:rsid w:val="00F30326"/>
    <w:rsid w:val="00F30353"/>
    <w:rsid w:val="00F30AC6"/>
    <w:rsid w:val="00F30F4B"/>
    <w:rsid w:val="00F325AD"/>
    <w:rsid w:val="00F32A11"/>
    <w:rsid w:val="00F32C0F"/>
    <w:rsid w:val="00F32F55"/>
    <w:rsid w:val="00F3383B"/>
    <w:rsid w:val="00F34507"/>
    <w:rsid w:val="00F34621"/>
    <w:rsid w:val="00F3481E"/>
    <w:rsid w:val="00F3486B"/>
    <w:rsid w:val="00F34CD7"/>
    <w:rsid w:val="00F3502A"/>
    <w:rsid w:val="00F35652"/>
    <w:rsid w:val="00F3593D"/>
    <w:rsid w:val="00F3630D"/>
    <w:rsid w:val="00F36373"/>
    <w:rsid w:val="00F3699C"/>
    <w:rsid w:val="00F3705C"/>
    <w:rsid w:val="00F3715C"/>
    <w:rsid w:val="00F3718D"/>
    <w:rsid w:val="00F371B3"/>
    <w:rsid w:val="00F37422"/>
    <w:rsid w:val="00F3753F"/>
    <w:rsid w:val="00F40007"/>
    <w:rsid w:val="00F4012C"/>
    <w:rsid w:val="00F40767"/>
    <w:rsid w:val="00F41339"/>
    <w:rsid w:val="00F41C11"/>
    <w:rsid w:val="00F41C39"/>
    <w:rsid w:val="00F421E7"/>
    <w:rsid w:val="00F42B1E"/>
    <w:rsid w:val="00F43BE6"/>
    <w:rsid w:val="00F44931"/>
    <w:rsid w:val="00F44B64"/>
    <w:rsid w:val="00F4583E"/>
    <w:rsid w:val="00F46534"/>
    <w:rsid w:val="00F46C63"/>
    <w:rsid w:val="00F46CA4"/>
    <w:rsid w:val="00F47E09"/>
    <w:rsid w:val="00F50ABE"/>
    <w:rsid w:val="00F50C3B"/>
    <w:rsid w:val="00F51252"/>
    <w:rsid w:val="00F51549"/>
    <w:rsid w:val="00F515C6"/>
    <w:rsid w:val="00F52075"/>
    <w:rsid w:val="00F524FC"/>
    <w:rsid w:val="00F52B2A"/>
    <w:rsid w:val="00F53227"/>
    <w:rsid w:val="00F53B81"/>
    <w:rsid w:val="00F53C7B"/>
    <w:rsid w:val="00F541E6"/>
    <w:rsid w:val="00F5423B"/>
    <w:rsid w:val="00F5456A"/>
    <w:rsid w:val="00F548E2"/>
    <w:rsid w:val="00F550BA"/>
    <w:rsid w:val="00F55150"/>
    <w:rsid w:val="00F55A1D"/>
    <w:rsid w:val="00F55DAF"/>
    <w:rsid w:val="00F55EAA"/>
    <w:rsid w:val="00F56127"/>
    <w:rsid w:val="00F561CC"/>
    <w:rsid w:val="00F56B8C"/>
    <w:rsid w:val="00F56CE3"/>
    <w:rsid w:val="00F56D68"/>
    <w:rsid w:val="00F56EA2"/>
    <w:rsid w:val="00F57344"/>
    <w:rsid w:val="00F57EDC"/>
    <w:rsid w:val="00F57FFA"/>
    <w:rsid w:val="00F601A5"/>
    <w:rsid w:val="00F6056C"/>
    <w:rsid w:val="00F61449"/>
    <w:rsid w:val="00F61CD8"/>
    <w:rsid w:val="00F625FA"/>
    <w:rsid w:val="00F627B9"/>
    <w:rsid w:val="00F627C4"/>
    <w:rsid w:val="00F62D6F"/>
    <w:rsid w:val="00F63274"/>
    <w:rsid w:val="00F633FB"/>
    <w:rsid w:val="00F636ED"/>
    <w:rsid w:val="00F63742"/>
    <w:rsid w:val="00F637BD"/>
    <w:rsid w:val="00F640BE"/>
    <w:rsid w:val="00F648FF"/>
    <w:rsid w:val="00F64B55"/>
    <w:rsid w:val="00F660B2"/>
    <w:rsid w:val="00F66D90"/>
    <w:rsid w:val="00F67C2F"/>
    <w:rsid w:val="00F67E33"/>
    <w:rsid w:val="00F7045A"/>
    <w:rsid w:val="00F706A5"/>
    <w:rsid w:val="00F709EE"/>
    <w:rsid w:val="00F70A52"/>
    <w:rsid w:val="00F710D4"/>
    <w:rsid w:val="00F71423"/>
    <w:rsid w:val="00F7199B"/>
    <w:rsid w:val="00F71D20"/>
    <w:rsid w:val="00F725FF"/>
    <w:rsid w:val="00F72779"/>
    <w:rsid w:val="00F728DD"/>
    <w:rsid w:val="00F739DC"/>
    <w:rsid w:val="00F73F6E"/>
    <w:rsid w:val="00F73FC0"/>
    <w:rsid w:val="00F74458"/>
    <w:rsid w:val="00F74FAC"/>
    <w:rsid w:val="00F750A8"/>
    <w:rsid w:val="00F761BF"/>
    <w:rsid w:val="00F7640B"/>
    <w:rsid w:val="00F769B0"/>
    <w:rsid w:val="00F76C77"/>
    <w:rsid w:val="00F7714F"/>
    <w:rsid w:val="00F77399"/>
    <w:rsid w:val="00F77603"/>
    <w:rsid w:val="00F77D5E"/>
    <w:rsid w:val="00F80A81"/>
    <w:rsid w:val="00F8170B"/>
    <w:rsid w:val="00F821E5"/>
    <w:rsid w:val="00F82544"/>
    <w:rsid w:val="00F8280E"/>
    <w:rsid w:val="00F83290"/>
    <w:rsid w:val="00F83987"/>
    <w:rsid w:val="00F83A3F"/>
    <w:rsid w:val="00F83E1E"/>
    <w:rsid w:val="00F840D0"/>
    <w:rsid w:val="00F840F4"/>
    <w:rsid w:val="00F8435B"/>
    <w:rsid w:val="00F846C3"/>
    <w:rsid w:val="00F85120"/>
    <w:rsid w:val="00F85620"/>
    <w:rsid w:val="00F8668F"/>
    <w:rsid w:val="00F86E19"/>
    <w:rsid w:val="00F87AE8"/>
    <w:rsid w:val="00F87F01"/>
    <w:rsid w:val="00F908B2"/>
    <w:rsid w:val="00F908D5"/>
    <w:rsid w:val="00F90DD3"/>
    <w:rsid w:val="00F90E47"/>
    <w:rsid w:val="00F913D0"/>
    <w:rsid w:val="00F916AB"/>
    <w:rsid w:val="00F91E8C"/>
    <w:rsid w:val="00F91EEA"/>
    <w:rsid w:val="00F91F3A"/>
    <w:rsid w:val="00F93452"/>
    <w:rsid w:val="00F938F5"/>
    <w:rsid w:val="00F93D82"/>
    <w:rsid w:val="00F93E9B"/>
    <w:rsid w:val="00F94F63"/>
    <w:rsid w:val="00F95D41"/>
    <w:rsid w:val="00F95D44"/>
    <w:rsid w:val="00F95F3A"/>
    <w:rsid w:val="00F96022"/>
    <w:rsid w:val="00F96867"/>
    <w:rsid w:val="00F96BE2"/>
    <w:rsid w:val="00F96BE6"/>
    <w:rsid w:val="00F96C3C"/>
    <w:rsid w:val="00F97359"/>
    <w:rsid w:val="00F977DB"/>
    <w:rsid w:val="00FA0684"/>
    <w:rsid w:val="00FA1544"/>
    <w:rsid w:val="00FA1784"/>
    <w:rsid w:val="00FA1C8D"/>
    <w:rsid w:val="00FA2D69"/>
    <w:rsid w:val="00FA2EEE"/>
    <w:rsid w:val="00FA2FFA"/>
    <w:rsid w:val="00FA3250"/>
    <w:rsid w:val="00FA37EA"/>
    <w:rsid w:val="00FA381A"/>
    <w:rsid w:val="00FA3AA2"/>
    <w:rsid w:val="00FA402D"/>
    <w:rsid w:val="00FA4358"/>
    <w:rsid w:val="00FA4CF3"/>
    <w:rsid w:val="00FA558E"/>
    <w:rsid w:val="00FA584E"/>
    <w:rsid w:val="00FA588B"/>
    <w:rsid w:val="00FA62A4"/>
    <w:rsid w:val="00FA6930"/>
    <w:rsid w:val="00FA6B45"/>
    <w:rsid w:val="00FA6F2B"/>
    <w:rsid w:val="00FA71A6"/>
    <w:rsid w:val="00FA723E"/>
    <w:rsid w:val="00FA751D"/>
    <w:rsid w:val="00FA77E3"/>
    <w:rsid w:val="00FA7953"/>
    <w:rsid w:val="00FA797E"/>
    <w:rsid w:val="00FA79D7"/>
    <w:rsid w:val="00FA7A6B"/>
    <w:rsid w:val="00FA7C63"/>
    <w:rsid w:val="00FB00AE"/>
    <w:rsid w:val="00FB0B54"/>
    <w:rsid w:val="00FB1042"/>
    <w:rsid w:val="00FB1C77"/>
    <w:rsid w:val="00FB211E"/>
    <w:rsid w:val="00FB245B"/>
    <w:rsid w:val="00FB2891"/>
    <w:rsid w:val="00FB344C"/>
    <w:rsid w:val="00FB3CD4"/>
    <w:rsid w:val="00FB3DBD"/>
    <w:rsid w:val="00FB3FE7"/>
    <w:rsid w:val="00FB4112"/>
    <w:rsid w:val="00FB41FC"/>
    <w:rsid w:val="00FB4826"/>
    <w:rsid w:val="00FB4CA8"/>
    <w:rsid w:val="00FB4CF2"/>
    <w:rsid w:val="00FB5329"/>
    <w:rsid w:val="00FB5529"/>
    <w:rsid w:val="00FB57B0"/>
    <w:rsid w:val="00FB694F"/>
    <w:rsid w:val="00FB74AA"/>
    <w:rsid w:val="00FB79A5"/>
    <w:rsid w:val="00FB79AE"/>
    <w:rsid w:val="00FB7B6F"/>
    <w:rsid w:val="00FC065C"/>
    <w:rsid w:val="00FC0D35"/>
    <w:rsid w:val="00FC1665"/>
    <w:rsid w:val="00FC189D"/>
    <w:rsid w:val="00FC1927"/>
    <w:rsid w:val="00FC2EF6"/>
    <w:rsid w:val="00FC2FB1"/>
    <w:rsid w:val="00FC3469"/>
    <w:rsid w:val="00FC35A5"/>
    <w:rsid w:val="00FC36FF"/>
    <w:rsid w:val="00FC3A74"/>
    <w:rsid w:val="00FC3EEB"/>
    <w:rsid w:val="00FC3F5D"/>
    <w:rsid w:val="00FC48DF"/>
    <w:rsid w:val="00FC5529"/>
    <w:rsid w:val="00FC5657"/>
    <w:rsid w:val="00FC5988"/>
    <w:rsid w:val="00FC5B5B"/>
    <w:rsid w:val="00FC609A"/>
    <w:rsid w:val="00FC6634"/>
    <w:rsid w:val="00FC69FC"/>
    <w:rsid w:val="00FC7493"/>
    <w:rsid w:val="00FC76E7"/>
    <w:rsid w:val="00FC7848"/>
    <w:rsid w:val="00FC7A47"/>
    <w:rsid w:val="00FD020F"/>
    <w:rsid w:val="00FD0390"/>
    <w:rsid w:val="00FD0A46"/>
    <w:rsid w:val="00FD0AB1"/>
    <w:rsid w:val="00FD0BFA"/>
    <w:rsid w:val="00FD0FB2"/>
    <w:rsid w:val="00FD155D"/>
    <w:rsid w:val="00FD1CA1"/>
    <w:rsid w:val="00FD224B"/>
    <w:rsid w:val="00FD23B0"/>
    <w:rsid w:val="00FD24C8"/>
    <w:rsid w:val="00FD2773"/>
    <w:rsid w:val="00FD2809"/>
    <w:rsid w:val="00FD2921"/>
    <w:rsid w:val="00FD292D"/>
    <w:rsid w:val="00FD36C5"/>
    <w:rsid w:val="00FD3B07"/>
    <w:rsid w:val="00FD3F35"/>
    <w:rsid w:val="00FD43CA"/>
    <w:rsid w:val="00FD6B52"/>
    <w:rsid w:val="00FD7622"/>
    <w:rsid w:val="00FD79FE"/>
    <w:rsid w:val="00FE0507"/>
    <w:rsid w:val="00FE0E4E"/>
    <w:rsid w:val="00FE1566"/>
    <w:rsid w:val="00FE22D8"/>
    <w:rsid w:val="00FE23AC"/>
    <w:rsid w:val="00FE2A17"/>
    <w:rsid w:val="00FE2C3E"/>
    <w:rsid w:val="00FE34E1"/>
    <w:rsid w:val="00FE3B46"/>
    <w:rsid w:val="00FE42BE"/>
    <w:rsid w:val="00FE520A"/>
    <w:rsid w:val="00FE53D1"/>
    <w:rsid w:val="00FE7179"/>
    <w:rsid w:val="00FE7242"/>
    <w:rsid w:val="00FE7AC6"/>
    <w:rsid w:val="00FE7CE0"/>
    <w:rsid w:val="00FF09B8"/>
    <w:rsid w:val="00FF0B00"/>
    <w:rsid w:val="00FF16BA"/>
    <w:rsid w:val="00FF23E3"/>
    <w:rsid w:val="00FF2641"/>
    <w:rsid w:val="00FF29F5"/>
    <w:rsid w:val="00FF2F19"/>
    <w:rsid w:val="00FF33B8"/>
    <w:rsid w:val="00FF41A1"/>
    <w:rsid w:val="00FF4826"/>
    <w:rsid w:val="00FF4850"/>
    <w:rsid w:val="00FF4AE2"/>
    <w:rsid w:val="00FF5593"/>
    <w:rsid w:val="00FF5A1C"/>
    <w:rsid w:val="00FF5F01"/>
    <w:rsid w:val="00FF6065"/>
    <w:rsid w:val="00FF64D0"/>
    <w:rsid w:val="00FF64E7"/>
    <w:rsid w:val="00FF6BDB"/>
    <w:rsid w:val="00FF6D83"/>
    <w:rsid w:val="00FF6DC9"/>
    <w:rsid w:val="00FF7C49"/>
    <w:rsid w:val="00FF7E75"/>
    <w:rsid w:val="00FF7E9B"/>
    <w:rsid w:val="010363CB"/>
    <w:rsid w:val="01066AA3"/>
    <w:rsid w:val="011169E3"/>
    <w:rsid w:val="011F275F"/>
    <w:rsid w:val="012156B5"/>
    <w:rsid w:val="01225152"/>
    <w:rsid w:val="01255B87"/>
    <w:rsid w:val="012D660D"/>
    <w:rsid w:val="0134589F"/>
    <w:rsid w:val="01353E11"/>
    <w:rsid w:val="013C0651"/>
    <w:rsid w:val="0141097A"/>
    <w:rsid w:val="015E0632"/>
    <w:rsid w:val="01676888"/>
    <w:rsid w:val="016C5799"/>
    <w:rsid w:val="017442FA"/>
    <w:rsid w:val="01814321"/>
    <w:rsid w:val="01954A66"/>
    <w:rsid w:val="019978BC"/>
    <w:rsid w:val="01A372B0"/>
    <w:rsid w:val="01AA2F97"/>
    <w:rsid w:val="01CB07E3"/>
    <w:rsid w:val="01D046B7"/>
    <w:rsid w:val="01D73519"/>
    <w:rsid w:val="01DD1DD0"/>
    <w:rsid w:val="01E501DC"/>
    <w:rsid w:val="01E62F34"/>
    <w:rsid w:val="01E844EA"/>
    <w:rsid w:val="01ED7025"/>
    <w:rsid w:val="01F0421F"/>
    <w:rsid w:val="01F54018"/>
    <w:rsid w:val="01F561BC"/>
    <w:rsid w:val="01FD14C6"/>
    <w:rsid w:val="020D1D92"/>
    <w:rsid w:val="021B4775"/>
    <w:rsid w:val="022028D0"/>
    <w:rsid w:val="022D22B0"/>
    <w:rsid w:val="02327192"/>
    <w:rsid w:val="02375B68"/>
    <w:rsid w:val="023F66B6"/>
    <w:rsid w:val="02520BBE"/>
    <w:rsid w:val="025619F5"/>
    <w:rsid w:val="02581525"/>
    <w:rsid w:val="02676B7F"/>
    <w:rsid w:val="026E2AF7"/>
    <w:rsid w:val="02786099"/>
    <w:rsid w:val="028015EE"/>
    <w:rsid w:val="0281125B"/>
    <w:rsid w:val="029167E5"/>
    <w:rsid w:val="029276BF"/>
    <w:rsid w:val="02991FF4"/>
    <w:rsid w:val="029A1D03"/>
    <w:rsid w:val="029B24AF"/>
    <w:rsid w:val="02AA486C"/>
    <w:rsid w:val="02AD14E4"/>
    <w:rsid w:val="02B0285B"/>
    <w:rsid w:val="02B43862"/>
    <w:rsid w:val="02B72064"/>
    <w:rsid w:val="02B86BE4"/>
    <w:rsid w:val="02BB0211"/>
    <w:rsid w:val="02BB7AC0"/>
    <w:rsid w:val="02C9092E"/>
    <w:rsid w:val="02D120E1"/>
    <w:rsid w:val="02D249CB"/>
    <w:rsid w:val="02D77568"/>
    <w:rsid w:val="02E940C8"/>
    <w:rsid w:val="02EA47F5"/>
    <w:rsid w:val="02EA6104"/>
    <w:rsid w:val="02F36A86"/>
    <w:rsid w:val="02FA5956"/>
    <w:rsid w:val="0309108F"/>
    <w:rsid w:val="03121DB8"/>
    <w:rsid w:val="03165668"/>
    <w:rsid w:val="031B6E30"/>
    <w:rsid w:val="03245D8E"/>
    <w:rsid w:val="03251A5E"/>
    <w:rsid w:val="03332595"/>
    <w:rsid w:val="03334836"/>
    <w:rsid w:val="0337726E"/>
    <w:rsid w:val="033810E5"/>
    <w:rsid w:val="03456651"/>
    <w:rsid w:val="034E4C23"/>
    <w:rsid w:val="035E458B"/>
    <w:rsid w:val="03646577"/>
    <w:rsid w:val="03684A3A"/>
    <w:rsid w:val="0369111A"/>
    <w:rsid w:val="036A0F9F"/>
    <w:rsid w:val="036A3CC1"/>
    <w:rsid w:val="036C34DA"/>
    <w:rsid w:val="036E5D50"/>
    <w:rsid w:val="03721E47"/>
    <w:rsid w:val="0372323E"/>
    <w:rsid w:val="03740D33"/>
    <w:rsid w:val="03754AF1"/>
    <w:rsid w:val="037722C7"/>
    <w:rsid w:val="037C0920"/>
    <w:rsid w:val="038A280B"/>
    <w:rsid w:val="039E565E"/>
    <w:rsid w:val="03AC08DE"/>
    <w:rsid w:val="03C2134C"/>
    <w:rsid w:val="03CC1CA6"/>
    <w:rsid w:val="03E43571"/>
    <w:rsid w:val="03F020E1"/>
    <w:rsid w:val="03F11C32"/>
    <w:rsid w:val="03FB02F8"/>
    <w:rsid w:val="03FB03BA"/>
    <w:rsid w:val="04025D74"/>
    <w:rsid w:val="04071455"/>
    <w:rsid w:val="040E31B5"/>
    <w:rsid w:val="041B6705"/>
    <w:rsid w:val="042042C5"/>
    <w:rsid w:val="04213C25"/>
    <w:rsid w:val="0425034C"/>
    <w:rsid w:val="042C72D0"/>
    <w:rsid w:val="042F4508"/>
    <w:rsid w:val="042F4F23"/>
    <w:rsid w:val="043B25B4"/>
    <w:rsid w:val="043F002F"/>
    <w:rsid w:val="0442248D"/>
    <w:rsid w:val="04430590"/>
    <w:rsid w:val="0448733D"/>
    <w:rsid w:val="04506AF2"/>
    <w:rsid w:val="04543A4C"/>
    <w:rsid w:val="045E048F"/>
    <w:rsid w:val="046448D5"/>
    <w:rsid w:val="046C3B26"/>
    <w:rsid w:val="046F7A03"/>
    <w:rsid w:val="047A08B1"/>
    <w:rsid w:val="048C54B6"/>
    <w:rsid w:val="04931CFE"/>
    <w:rsid w:val="04B055E7"/>
    <w:rsid w:val="04B93F17"/>
    <w:rsid w:val="04BE06B5"/>
    <w:rsid w:val="04C42F8F"/>
    <w:rsid w:val="04E13F0A"/>
    <w:rsid w:val="04EA6DAD"/>
    <w:rsid w:val="04F50B10"/>
    <w:rsid w:val="04F87906"/>
    <w:rsid w:val="050120BD"/>
    <w:rsid w:val="050F7418"/>
    <w:rsid w:val="05107B5C"/>
    <w:rsid w:val="05137F6D"/>
    <w:rsid w:val="051F6F92"/>
    <w:rsid w:val="05251E97"/>
    <w:rsid w:val="0528232F"/>
    <w:rsid w:val="052B4CCF"/>
    <w:rsid w:val="052B7016"/>
    <w:rsid w:val="05341DD6"/>
    <w:rsid w:val="053E0C02"/>
    <w:rsid w:val="0547233F"/>
    <w:rsid w:val="054A7F60"/>
    <w:rsid w:val="05522BF5"/>
    <w:rsid w:val="05584B67"/>
    <w:rsid w:val="05591D43"/>
    <w:rsid w:val="05662110"/>
    <w:rsid w:val="056E753E"/>
    <w:rsid w:val="05706B86"/>
    <w:rsid w:val="0571302A"/>
    <w:rsid w:val="058B759B"/>
    <w:rsid w:val="058D598A"/>
    <w:rsid w:val="05900FD6"/>
    <w:rsid w:val="05913E29"/>
    <w:rsid w:val="05926700"/>
    <w:rsid w:val="059B0EA9"/>
    <w:rsid w:val="059C61E5"/>
    <w:rsid w:val="059E40C9"/>
    <w:rsid w:val="05A06B8F"/>
    <w:rsid w:val="05A7626F"/>
    <w:rsid w:val="05AC2868"/>
    <w:rsid w:val="05B23FD4"/>
    <w:rsid w:val="05C238BC"/>
    <w:rsid w:val="05CD6F63"/>
    <w:rsid w:val="05CE2B72"/>
    <w:rsid w:val="05D215EF"/>
    <w:rsid w:val="05D51504"/>
    <w:rsid w:val="05DA7B85"/>
    <w:rsid w:val="05DF34CD"/>
    <w:rsid w:val="05E17A0C"/>
    <w:rsid w:val="05EE611C"/>
    <w:rsid w:val="05F177D0"/>
    <w:rsid w:val="05F53F4C"/>
    <w:rsid w:val="05F61357"/>
    <w:rsid w:val="05F87114"/>
    <w:rsid w:val="05FE2939"/>
    <w:rsid w:val="05FF2357"/>
    <w:rsid w:val="06061C9F"/>
    <w:rsid w:val="06092CAE"/>
    <w:rsid w:val="060A7ED9"/>
    <w:rsid w:val="0617220C"/>
    <w:rsid w:val="06177712"/>
    <w:rsid w:val="061C4091"/>
    <w:rsid w:val="061D7A94"/>
    <w:rsid w:val="06216774"/>
    <w:rsid w:val="06245559"/>
    <w:rsid w:val="06286622"/>
    <w:rsid w:val="06286F3C"/>
    <w:rsid w:val="06330399"/>
    <w:rsid w:val="063858F6"/>
    <w:rsid w:val="063A485D"/>
    <w:rsid w:val="06432A2B"/>
    <w:rsid w:val="064439B4"/>
    <w:rsid w:val="06463A9D"/>
    <w:rsid w:val="06565D7C"/>
    <w:rsid w:val="06614688"/>
    <w:rsid w:val="06622446"/>
    <w:rsid w:val="067131D8"/>
    <w:rsid w:val="06776C4E"/>
    <w:rsid w:val="068F128E"/>
    <w:rsid w:val="068F39B1"/>
    <w:rsid w:val="06903847"/>
    <w:rsid w:val="06967658"/>
    <w:rsid w:val="069B41FB"/>
    <w:rsid w:val="06A63CDB"/>
    <w:rsid w:val="06A744D6"/>
    <w:rsid w:val="06B37672"/>
    <w:rsid w:val="06D16C75"/>
    <w:rsid w:val="06D535A2"/>
    <w:rsid w:val="06D77C33"/>
    <w:rsid w:val="06D827E3"/>
    <w:rsid w:val="06DA3B7F"/>
    <w:rsid w:val="06DC3E1F"/>
    <w:rsid w:val="06DD656A"/>
    <w:rsid w:val="06E15D47"/>
    <w:rsid w:val="06E23F43"/>
    <w:rsid w:val="06E75DF4"/>
    <w:rsid w:val="06F014F8"/>
    <w:rsid w:val="06F572E9"/>
    <w:rsid w:val="06F92044"/>
    <w:rsid w:val="06FF01EB"/>
    <w:rsid w:val="070179FE"/>
    <w:rsid w:val="07120B26"/>
    <w:rsid w:val="071C376F"/>
    <w:rsid w:val="07290682"/>
    <w:rsid w:val="07394D99"/>
    <w:rsid w:val="073F6906"/>
    <w:rsid w:val="0743675B"/>
    <w:rsid w:val="07552391"/>
    <w:rsid w:val="075C0F97"/>
    <w:rsid w:val="07614487"/>
    <w:rsid w:val="0764573B"/>
    <w:rsid w:val="07667C15"/>
    <w:rsid w:val="076D7821"/>
    <w:rsid w:val="076F0200"/>
    <w:rsid w:val="07746A18"/>
    <w:rsid w:val="07754928"/>
    <w:rsid w:val="07850AAF"/>
    <w:rsid w:val="07871A6B"/>
    <w:rsid w:val="078828AD"/>
    <w:rsid w:val="07944DAE"/>
    <w:rsid w:val="079D7363"/>
    <w:rsid w:val="079E108E"/>
    <w:rsid w:val="07A11279"/>
    <w:rsid w:val="07A15681"/>
    <w:rsid w:val="07AF027A"/>
    <w:rsid w:val="07F33457"/>
    <w:rsid w:val="07F92E63"/>
    <w:rsid w:val="07FA66F7"/>
    <w:rsid w:val="07FF1075"/>
    <w:rsid w:val="08006AD8"/>
    <w:rsid w:val="080621C9"/>
    <w:rsid w:val="080B3590"/>
    <w:rsid w:val="080C0BF8"/>
    <w:rsid w:val="080D4BD0"/>
    <w:rsid w:val="08122176"/>
    <w:rsid w:val="08185606"/>
    <w:rsid w:val="081E3021"/>
    <w:rsid w:val="083D1BDA"/>
    <w:rsid w:val="0840154B"/>
    <w:rsid w:val="08462FF4"/>
    <w:rsid w:val="084A7CCE"/>
    <w:rsid w:val="08556572"/>
    <w:rsid w:val="0856689E"/>
    <w:rsid w:val="08623F3E"/>
    <w:rsid w:val="08776607"/>
    <w:rsid w:val="0878022B"/>
    <w:rsid w:val="087D54AB"/>
    <w:rsid w:val="087E4DA0"/>
    <w:rsid w:val="08876D9C"/>
    <w:rsid w:val="0889348D"/>
    <w:rsid w:val="08893ECD"/>
    <w:rsid w:val="088A4672"/>
    <w:rsid w:val="08976AE4"/>
    <w:rsid w:val="089D68D3"/>
    <w:rsid w:val="08A00B9D"/>
    <w:rsid w:val="08A721BB"/>
    <w:rsid w:val="08AF2AE1"/>
    <w:rsid w:val="08B11647"/>
    <w:rsid w:val="08B35707"/>
    <w:rsid w:val="08B40994"/>
    <w:rsid w:val="08C07E24"/>
    <w:rsid w:val="08CE0569"/>
    <w:rsid w:val="08CF26CC"/>
    <w:rsid w:val="08DA781C"/>
    <w:rsid w:val="08FB506E"/>
    <w:rsid w:val="090A585E"/>
    <w:rsid w:val="090D482A"/>
    <w:rsid w:val="0911242E"/>
    <w:rsid w:val="09161696"/>
    <w:rsid w:val="0918781F"/>
    <w:rsid w:val="09261738"/>
    <w:rsid w:val="09280B62"/>
    <w:rsid w:val="09353A8E"/>
    <w:rsid w:val="093C7212"/>
    <w:rsid w:val="0942344F"/>
    <w:rsid w:val="094A10ED"/>
    <w:rsid w:val="09641009"/>
    <w:rsid w:val="09753334"/>
    <w:rsid w:val="09774987"/>
    <w:rsid w:val="097F2635"/>
    <w:rsid w:val="098470A4"/>
    <w:rsid w:val="098B25EC"/>
    <w:rsid w:val="09985894"/>
    <w:rsid w:val="09B434E5"/>
    <w:rsid w:val="09CF031F"/>
    <w:rsid w:val="09D56B00"/>
    <w:rsid w:val="09DE2FA0"/>
    <w:rsid w:val="09DE6B23"/>
    <w:rsid w:val="09E168C2"/>
    <w:rsid w:val="09E26B6C"/>
    <w:rsid w:val="09E84BAA"/>
    <w:rsid w:val="09F064E7"/>
    <w:rsid w:val="09FB55B8"/>
    <w:rsid w:val="0A091EC7"/>
    <w:rsid w:val="0A1E616F"/>
    <w:rsid w:val="0A216C4C"/>
    <w:rsid w:val="0A2236D2"/>
    <w:rsid w:val="0A2A7C97"/>
    <w:rsid w:val="0A417CA1"/>
    <w:rsid w:val="0A456C48"/>
    <w:rsid w:val="0A483701"/>
    <w:rsid w:val="0A501A01"/>
    <w:rsid w:val="0A516F86"/>
    <w:rsid w:val="0A6A3402"/>
    <w:rsid w:val="0A6C2211"/>
    <w:rsid w:val="0A740EC6"/>
    <w:rsid w:val="0A770CC6"/>
    <w:rsid w:val="0A774ABB"/>
    <w:rsid w:val="0A810FFE"/>
    <w:rsid w:val="0A831004"/>
    <w:rsid w:val="0A864593"/>
    <w:rsid w:val="0A874A03"/>
    <w:rsid w:val="0A9A6C58"/>
    <w:rsid w:val="0A9C2669"/>
    <w:rsid w:val="0A9E5F43"/>
    <w:rsid w:val="0A9F4C5C"/>
    <w:rsid w:val="0AAE3755"/>
    <w:rsid w:val="0AB00054"/>
    <w:rsid w:val="0AB23BA6"/>
    <w:rsid w:val="0AB8005B"/>
    <w:rsid w:val="0ABE311C"/>
    <w:rsid w:val="0ACF2058"/>
    <w:rsid w:val="0AD45ED3"/>
    <w:rsid w:val="0AE427A2"/>
    <w:rsid w:val="0B005E8C"/>
    <w:rsid w:val="0B030FFF"/>
    <w:rsid w:val="0B034B8E"/>
    <w:rsid w:val="0B083E90"/>
    <w:rsid w:val="0B1A39E2"/>
    <w:rsid w:val="0B220922"/>
    <w:rsid w:val="0B224DC6"/>
    <w:rsid w:val="0B28064F"/>
    <w:rsid w:val="0B2C02B5"/>
    <w:rsid w:val="0B332B30"/>
    <w:rsid w:val="0B420FC5"/>
    <w:rsid w:val="0B647787"/>
    <w:rsid w:val="0B677FFA"/>
    <w:rsid w:val="0B6A66F7"/>
    <w:rsid w:val="0B6F1188"/>
    <w:rsid w:val="0B7477A3"/>
    <w:rsid w:val="0B7957E8"/>
    <w:rsid w:val="0B7B28E3"/>
    <w:rsid w:val="0B822D0D"/>
    <w:rsid w:val="0B8237B1"/>
    <w:rsid w:val="0B860EB1"/>
    <w:rsid w:val="0B8F66CD"/>
    <w:rsid w:val="0B965F7F"/>
    <w:rsid w:val="0B9A5E76"/>
    <w:rsid w:val="0B9C2DAD"/>
    <w:rsid w:val="0BA06C10"/>
    <w:rsid w:val="0BA55794"/>
    <w:rsid w:val="0BAD6F6B"/>
    <w:rsid w:val="0BB673DC"/>
    <w:rsid w:val="0BEB249F"/>
    <w:rsid w:val="0BF20BA5"/>
    <w:rsid w:val="0BF97DAD"/>
    <w:rsid w:val="0BFF7534"/>
    <w:rsid w:val="0C054946"/>
    <w:rsid w:val="0C0E5E3E"/>
    <w:rsid w:val="0C12680D"/>
    <w:rsid w:val="0C1F6F81"/>
    <w:rsid w:val="0C2455C5"/>
    <w:rsid w:val="0C2B34AC"/>
    <w:rsid w:val="0C306496"/>
    <w:rsid w:val="0C442367"/>
    <w:rsid w:val="0C4A3B75"/>
    <w:rsid w:val="0C5114BF"/>
    <w:rsid w:val="0C544795"/>
    <w:rsid w:val="0C591EFE"/>
    <w:rsid w:val="0C595BA0"/>
    <w:rsid w:val="0C5C0622"/>
    <w:rsid w:val="0C5F75C1"/>
    <w:rsid w:val="0C655404"/>
    <w:rsid w:val="0C6E02C3"/>
    <w:rsid w:val="0C6F5DE9"/>
    <w:rsid w:val="0C7305E0"/>
    <w:rsid w:val="0C790A16"/>
    <w:rsid w:val="0C844551"/>
    <w:rsid w:val="0C8D767F"/>
    <w:rsid w:val="0C977573"/>
    <w:rsid w:val="0C9910B8"/>
    <w:rsid w:val="0C9C4206"/>
    <w:rsid w:val="0CAD29EC"/>
    <w:rsid w:val="0CB13789"/>
    <w:rsid w:val="0CCC323C"/>
    <w:rsid w:val="0CDD5D43"/>
    <w:rsid w:val="0CDE58B9"/>
    <w:rsid w:val="0CE37F2F"/>
    <w:rsid w:val="0CE8435E"/>
    <w:rsid w:val="0CF02A3E"/>
    <w:rsid w:val="0D013C0C"/>
    <w:rsid w:val="0D092A5B"/>
    <w:rsid w:val="0D0D6E72"/>
    <w:rsid w:val="0D125BF9"/>
    <w:rsid w:val="0D1C35CD"/>
    <w:rsid w:val="0D1D5FC4"/>
    <w:rsid w:val="0D275AC3"/>
    <w:rsid w:val="0D336E17"/>
    <w:rsid w:val="0D357F4A"/>
    <w:rsid w:val="0D374956"/>
    <w:rsid w:val="0D38545A"/>
    <w:rsid w:val="0D3B17FB"/>
    <w:rsid w:val="0D4476A5"/>
    <w:rsid w:val="0D4F3069"/>
    <w:rsid w:val="0D511CE5"/>
    <w:rsid w:val="0D554951"/>
    <w:rsid w:val="0D567B73"/>
    <w:rsid w:val="0D6D72B0"/>
    <w:rsid w:val="0D810056"/>
    <w:rsid w:val="0D8D58F8"/>
    <w:rsid w:val="0D8D7A9A"/>
    <w:rsid w:val="0D911FAC"/>
    <w:rsid w:val="0D9D7BB2"/>
    <w:rsid w:val="0DA43A26"/>
    <w:rsid w:val="0DA66858"/>
    <w:rsid w:val="0DA829EE"/>
    <w:rsid w:val="0DB22432"/>
    <w:rsid w:val="0DB60669"/>
    <w:rsid w:val="0DBB6B77"/>
    <w:rsid w:val="0DBB7256"/>
    <w:rsid w:val="0DC37898"/>
    <w:rsid w:val="0DC76433"/>
    <w:rsid w:val="0DC97D84"/>
    <w:rsid w:val="0DCD45CB"/>
    <w:rsid w:val="0DD308FA"/>
    <w:rsid w:val="0DDD43AA"/>
    <w:rsid w:val="0DE80830"/>
    <w:rsid w:val="0DE85AB4"/>
    <w:rsid w:val="0DF8695B"/>
    <w:rsid w:val="0DF8767D"/>
    <w:rsid w:val="0DFC2136"/>
    <w:rsid w:val="0DFE4A84"/>
    <w:rsid w:val="0E01238E"/>
    <w:rsid w:val="0E053BC5"/>
    <w:rsid w:val="0E0B16F6"/>
    <w:rsid w:val="0E134124"/>
    <w:rsid w:val="0E1355D2"/>
    <w:rsid w:val="0E1579B9"/>
    <w:rsid w:val="0E1704E7"/>
    <w:rsid w:val="0E18722C"/>
    <w:rsid w:val="0E1B1F18"/>
    <w:rsid w:val="0E1B3358"/>
    <w:rsid w:val="0E4C0E9E"/>
    <w:rsid w:val="0E4C1F50"/>
    <w:rsid w:val="0E505D68"/>
    <w:rsid w:val="0E542077"/>
    <w:rsid w:val="0E5828A6"/>
    <w:rsid w:val="0E5A32D4"/>
    <w:rsid w:val="0E6D6F9D"/>
    <w:rsid w:val="0E6F5BFA"/>
    <w:rsid w:val="0E7019A5"/>
    <w:rsid w:val="0E800C0D"/>
    <w:rsid w:val="0E8956F9"/>
    <w:rsid w:val="0E977E65"/>
    <w:rsid w:val="0E9E6313"/>
    <w:rsid w:val="0E9F53C0"/>
    <w:rsid w:val="0EA40A30"/>
    <w:rsid w:val="0EA93835"/>
    <w:rsid w:val="0EAA690B"/>
    <w:rsid w:val="0EB13CB5"/>
    <w:rsid w:val="0EBD03FF"/>
    <w:rsid w:val="0ECC157A"/>
    <w:rsid w:val="0ED27DD9"/>
    <w:rsid w:val="0ED463D8"/>
    <w:rsid w:val="0ED70216"/>
    <w:rsid w:val="0EE075D0"/>
    <w:rsid w:val="0EE24556"/>
    <w:rsid w:val="0EE73BB1"/>
    <w:rsid w:val="0EF40828"/>
    <w:rsid w:val="0EF65105"/>
    <w:rsid w:val="0F070785"/>
    <w:rsid w:val="0F0F11BE"/>
    <w:rsid w:val="0F102B00"/>
    <w:rsid w:val="0F1A0591"/>
    <w:rsid w:val="0F1E5D2F"/>
    <w:rsid w:val="0F202E0E"/>
    <w:rsid w:val="0F234C69"/>
    <w:rsid w:val="0F4E618A"/>
    <w:rsid w:val="0F4F3179"/>
    <w:rsid w:val="0F535565"/>
    <w:rsid w:val="0F5C460B"/>
    <w:rsid w:val="0F606D42"/>
    <w:rsid w:val="0F6558A2"/>
    <w:rsid w:val="0F6F1A3C"/>
    <w:rsid w:val="0F706713"/>
    <w:rsid w:val="0F726644"/>
    <w:rsid w:val="0F76123D"/>
    <w:rsid w:val="0F7A0B1B"/>
    <w:rsid w:val="0F8A19F4"/>
    <w:rsid w:val="0F98425C"/>
    <w:rsid w:val="0F9F304C"/>
    <w:rsid w:val="0FA57474"/>
    <w:rsid w:val="0FB32D1E"/>
    <w:rsid w:val="0FB922D6"/>
    <w:rsid w:val="0FBB097A"/>
    <w:rsid w:val="0FC051B3"/>
    <w:rsid w:val="0FCE7C6C"/>
    <w:rsid w:val="0FD018C6"/>
    <w:rsid w:val="0FD570C2"/>
    <w:rsid w:val="0FD93A0C"/>
    <w:rsid w:val="0FDD2805"/>
    <w:rsid w:val="0FDF13B0"/>
    <w:rsid w:val="0FE26DB3"/>
    <w:rsid w:val="0FE31B58"/>
    <w:rsid w:val="0FEB0ED7"/>
    <w:rsid w:val="0FF9039B"/>
    <w:rsid w:val="10044FFE"/>
    <w:rsid w:val="10065A7C"/>
    <w:rsid w:val="10176F30"/>
    <w:rsid w:val="10275670"/>
    <w:rsid w:val="1037314C"/>
    <w:rsid w:val="1038336E"/>
    <w:rsid w:val="103F2F24"/>
    <w:rsid w:val="104B26C9"/>
    <w:rsid w:val="105C38F6"/>
    <w:rsid w:val="10602F1E"/>
    <w:rsid w:val="10871BCB"/>
    <w:rsid w:val="108F27A7"/>
    <w:rsid w:val="109148C4"/>
    <w:rsid w:val="109810A4"/>
    <w:rsid w:val="10986AA3"/>
    <w:rsid w:val="109F29A2"/>
    <w:rsid w:val="10A45624"/>
    <w:rsid w:val="10A91041"/>
    <w:rsid w:val="10AA5642"/>
    <w:rsid w:val="10AE534F"/>
    <w:rsid w:val="10B4201D"/>
    <w:rsid w:val="10B810C6"/>
    <w:rsid w:val="10BC7123"/>
    <w:rsid w:val="10C62EBA"/>
    <w:rsid w:val="10E10125"/>
    <w:rsid w:val="10E11B04"/>
    <w:rsid w:val="10E83FEA"/>
    <w:rsid w:val="10EB53A5"/>
    <w:rsid w:val="10EC062D"/>
    <w:rsid w:val="10F336EC"/>
    <w:rsid w:val="10F425EB"/>
    <w:rsid w:val="10F5437A"/>
    <w:rsid w:val="10FD0617"/>
    <w:rsid w:val="10FE04F9"/>
    <w:rsid w:val="1102432C"/>
    <w:rsid w:val="11077AAA"/>
    <w:rsid w:val="110A68BF"/>
    <w:rsid w:val="111473B8"/>
    <w:rsid w:val="11225CC9"/>
    <w:rsid w:val="112A22DF"/>
    <w:rsid w:val="1132082C"/>
    <w:rsid w:val="113D3808"/>
    <w:rsid w:val="1141656C"/>
    <w:rsid w:val="115D0BA8"/>
    <w:rsid w:val="116345DF"/>
    <w:rsid w:val="11655F91"/>
    <w:rsid w:val="11684E8A"/>
    <w:rsid w:val="11797B85"/>
    <w:rsid w:val="11845E93"/>
    <w:rsid w:val="11856DFA"/>
    <w:rsid w:val="118D2943"/>
    <w:rsid w:val="1195343D"/>
    <w:rsid w:val="11AC5CA7"/>
    <w:rsid w:val="11C27EFC"/>
    <w:rsid w:val="11D032BB"/>
    <w:rsid w:val="11D80358"/>
    <w:rsid w:val="11DA77E8"/>
    <w:rsid w:val="11E20E0C"/>
    <w:rsid w:val="11EC6738"/>
    <w:rsid w:val="11F04C22"/>
    <w:rsid w:val="11F07EDB"/>
    <w:rsid w:val="11FC3D60"/>
    <w:rsid w:val="12071E7E"/>
    <w:rsid w:val="12075F5D"/>
    <w:rsid w:val="12235C84"/>
    <w:rsid w:val="12377781"/>
    <w:rsid w:val="123B6AFF"/>
    <w:rsid w:val="12461E5C"/>
    <w:rsid w:val="12495D4D"/>
    <w:rsid w:val="124E59A2"/>
    <w:rsid w:val="125C13A6"/>
    <w:rsid w:val="12604522"/>
    <w:rsid w:val="12725029"/>
    <w:rsid w:val="12755F54"/>
    <w:rsid w:val="12851EC3"/>
    <w:rsid w:val="128E689D"/>
    <w:rsid w:val="129200D1"/>
    <w:rsid w:val="129249BC"/>
    <w:rsid w:val="129654D4"/>
    <w:rsid w:val="129710D5"/>
    <w:rsid w:val="129B41A5"/>
    <w:rsid w:val="129C0D35"/>
    <w:rsid w:val="12AD766B"/>
    <w:rsid w:val="12B46E52"/>
    <w:rsid w:val="12B66520"/>
    <w:rsid w:val="12B722E1"/>
    <w:rsid w:val="12B94205"/>
    <w:rsid w:val="12C7072D"/>
    <w:rsid w:val="12C723A9"/>
    <w:rsid w:val="12CB18A0"/>
    <w:rsid w:val="12CC0FB8"/>
    <w:rsid w:val="12D47BDF"/>
    <w:rsid w:val="12D5734F"/>
    <w:rsid w:val="12DA3B9C"/>
    <w:rsid w:val="12DD4762"/>
    <w:rsid w:val="12E43823"/>
    <w:rsid w:val="12E4422B"/>
    <w:rsid w:val="12F9640D"/>
    <w:rsid w:val="13002971"/>
    <w:rsid w:val="13031AFB"/>
    <w:rsid w:val="13067160"/>
    <w:rsid w:val="13072413"/>
    <w:rsid w:val="13083E27"/>
    <w:rsid w:val="130C6175"/>
    <w:rsid w:val="13261758"/>
    <w:rsid w:val="1328213A"/>
    <w:rsid w:val="132C5904"/>
    <w:rsid w:val="1330553C"/>
    <w:rsid w:val="13355D13"/>
    <w:rsid w:val="133D50DA"/>
    <w:rsid w:val="13525535"/>
    <w:rsid w:val="13541E88"/>
    <w:rsid w:val="135669AE"/>
    <w:rsid w:val="135B0E75"/>
    <w:rsid w:val="136F5826"/>
    <w:rsid w:val="138403CC"/>
    <w:rsid w:val="1388304C"/>
    <w:rsid w:val="138D6EDC"/>
    <w:rsid w:val="138F3664"/>
    <w:rsid w:val="13914897"/>
    <w:rsid w:val="139D0279"/>
    <w:rsid w:val="13A035B0"/>
    <w:rsid w:val="13A57706"/>
    <w:rsid w:val="13AA2270"/>
    <w:rsid w:val="13AC5F03"/>
    <w:rsid w:val="13CA4353"/>
    <w:rsid w:val="13CF134D"/>
    <w:rsid w:val="13DF1AA7"/>
    <w:rsid w:val="13EC5F71"/>
    <w:rsid w:val="13F60B9E"/>
    <w:rsid w:val="14011484"/>
    <w:rsid w:val="140411A1"/>
    <w:rsid w:val="14103A0E"/>
    <w:rsid w:val="14112A8D"/>
    <w:rsid w:val="1413681C"/>
    <w:rsid w:val="1417136C"/>
    <w:rsid w:val="14174B7E"/>
    <w:rsid w:val="142F5A72"/>
    <w:rsid w:val="14331CB2"/>
    <w:rsid w:val="1433594E"/>
    <w:rsid w:val="143F6523"/>
    <w:rsid w:val="144740CF"/>
    <w:rsid w:val="14537D9F"/>
    <w:rsid w:val="145558C5"/>
    <w:rsid w:val="14563F45"/>
    <w:rsid w:val="145C30F7"/>
    <w:rsid w:val="146B158C"/>
    <w:rsid w:val="146D0E60"/>
    <w:rsid w:val="14700951"/>
    <w:rsid w:val="14754526"/>
    <w:rsid w:val="147676E1"/>
    <w:rsid w:val="14863CD0"/>
    <w:rsid w:val="148739F1"/>
    <w:rsid w:val="14901109"/>
    <w:rsid w:val="14A02FC6"/>
    <w:rsid w:val="14A52DBF"/>
    <w:rsid w:val="14AA20B4"/>
    <w:rsid w:val="14AA7BC7"/>
    <w:rsid w:val="14AD1C99"/>
    <w:rsid w:val="14B50639"/>
    <w:rsid w:val="14B9218B"/>
    <w:rsid w:val="14BD5755"/>
    <w:rsid w:val="14C0776B"/>
    <w:rsid w:val="14C805A7"/>
    <w:rsid w:val="14CA5DF5"/>
    <w:rsid w:val="14D26F15"/>
    <w:rsid w:val="14E41113"/>
    <w:rsid w:val="14E508E9"/>
    <w:rsid w:val="14E54E9B"/>
    <w:rsid w:val="14EF7D24"/>
    <w:rsid w:val="14F045A8"/>
    <w:rsid w:val="14FE25D4"/>
    <w:rsid w:val="150300AF"/>
    <w:rsid w:val="150315CA"/>
    <w:rsid w:val="15097A8D"/>
    <w:rsid w:val="15106737"/>
    <w:rsid w:val="151507CB"/>
    <w:rsid w:val="1530285C"/>
    <w:rsid w:val="1534372C"/>
    <w:rsid w:val="156A53A0"/>
    <w:rsid w:val="15714D06"/>
    <w:rsid w:val="157162A0"/>
    <w:rsid w:val="157D631C"/>
    <w:rsid w:val="158B19DF"/>
    <w:rsid w:val="15920505"/>
    <w:rsid w:val="15925AC6"/>
    <w:rsid w:val="1596109F"/>
    <w:rsid w:val="159C4D4E"/>
    <w:rsid w:val="15A71B0B"/>
    <w:rsid w:val="15B437CC"/>
    <w:rsid w:val="15BD5E17"/>
    <w:rsid w:val="15C54CCC"/>
    <w:rsid w:val="15C70A44"/>
    <w:rsid w:val="15DB35B1"/>
    <w:rsid w:val="15E87377"/>
    <w:rsid w:val="15E910ED"/>
    <w:rsid w:val="15EF0DD1"/>
    <w:rsid w:val="15FA72B9"/>
    <w:rsid w:val="161E4A30"/>
    <w:rsid w:val="1621156A"/>
    <w:rsid w:val="16263657"/>
    <w:rsid w:val="162B734A"/>
    <w:rsid w:val="16303D1B"/>
    <w:rsid w:val="1634315E"/>
    <w:rsid w:val="1638506E"/>
    <w:rsid w:val="164B29A8"/>
    <w:rsid w:val="16566EE8"/>
    <w:rsid w:val="165E6E30"/>
    <w:rsid w:val="16637E80"/>
    <w:rsid w:val="16755999"/>
    <w:rsid w:val="16756B9D"/>
    <w:rsid w:val="16781B2D"/>
    <w:rsid w:val="16856FBA"/>
    <w:rsid w:val="169101E7"/>
    <w:rsid w:val="16943349"/>
    <w:rsid w:val="16A27AAD"/>
    <w:rsid w:val="16A63AAA"/>
    <w:rsid w:val="16AD3796"/>
    <w:rsid w:val="16AD6B48"/>
    <w:rsid w:val="16B428A1"/>
    <w:rsid w:val="16B548DC"/>
    <w:rsid w:val="16BC24DE"/>
    <w:rsid w:val="16BD3C48"/>
    <w:rsid w:val="16C230EE"/>
    <w:rsid w:val="16C36660"/>
    <w:rsid w:val="16CA293E"/>
    <w:rsid w:val="16E439F2"/>
    <w:rsid w:val="16E912AD"/>
    <w:rsid w:val="16FB2779"/>
    <w:rsid w:val="16FC7D31"/>
    <w:rsid w:val="170A05A4"/>
    <w:rsid w:val="170C5DA0"/>
    <w:rsid w:val="17153F61"/>
    <w:rsid w:val="171C594E"/>
    <w:rsid w:val="172467C4"/>
    <w:rsid w:val="172C39BB"/>
    <w:rsid w:val="17336B37"/>
    <w:rsid w:val="1737707F"/>
    <w:rsid w:val="173B6FF4"/>
    <w:rsid w:val="173D20DC"/>
    <w:rsid w:val="17451620"/>
    <w:rsid w:val="175D2CDC"/>
    <w:rsid w:val="176162B9"/>
    <w:rsid w:val="17642DB1"/>
    <w:rsid w:val="17683E61"/>
    <w:rsid w:val="176E54FB"/>
    <w:rsid w:val="177F012F"/>
    <w:rsid w:val="177F3716"/>
    <w:rsid w:val="17824D9A"/>
    <w:rsid w:val="178870B7"/>
    <w:rsid w:val="17892202"/>
    <w:rsid w:val="17906FB3"/>
    <w:rsid w:val="17987A46"/>
    <w:rsid w:val="179E1B10"/>
    <w:rsid w:val="179E424B"/>
    <w:rsid w:val="17AF13AF"/>
    <w:rsid w:val="17C07B09"/>
    <w:rsid w:val="17D00756"/>
    <w:rsid w:val="17D15C45"/>
    <w:rsid w:val="17D80F61"/>
    <w:rsid w:val="17D92077"/>
    <w:rsid w:val="17F021D1"/>
    <w:rsid w:val="17FC6A39"/>
    <w:rsid w:val="17FC6DEB"/>
    <w:rsid w:val="17FE51AB"/>
    <w:rsid w:val="18091367"/>
    <w:rsid w:val="182415A8"/>
    <w:rsid w:val="182D3AFB"/>
    <w:rsid w:val="183149D1"/>
    <w:rsid w:val="18404CDD"/>
    <w:rsid w:val="18423EB9"/>
    <w:rsid w:val="18450A85"/>
    <w:rsid w:val="184B1D41"/>
    <w:rsid w:val="18593B69"/>
    <w:rsid w:val="185E46A3"/>
    <w:rsid w:val="186F5A1C"/>
    <w:rsid w:val="18780891"/>
    <w:rsid w:val="187C7006"/>
    <w:rsid w:val="18820C52"/>
    <w:rsid w:val="1884396E"/>
    <w:rsid w:val="188B5D59"/>
    <w:rsid w:val="188D3745"/>
    <w:rsid w:val="18956D06"/>
    <w:rsid w:val="189746FE"/>
    <w:rsid w:val="189809D5"/>
    <w:rsid w:val="189F766A"/>
    <w:rsid w:val="18A201C9"/>
    <w:rsid w:val="18B232E6"/>
    <w:rsid w:val="18B55763"/>
    <w:rsid w:val="18C809C3"/>
    <w:rsid w:val="18D23901"/>
    <w:rsid w:val="18D97ACF"/>
    <w:rsid w:val="18FA6A3B"/>
    <w:rsid w:val="18FB5D84"/>
    <w:rsid w:val="19010962"/>
    <w:rsid w:val="19010AE4"/>
    <w:rsid w:val="19056E47"/>
    <w:rsid w:val="19093637"/>
    <w:rsid w:val="190C50A2"/>
    <w:rsid w:val="19147214"/>
    <w:rsid w:val="191E097B"/>
    <w:rsid w:val="192013DD"/>
    <w:rsid w:val="19205AC7"/>
    <w:rsid w:val="192C3057"/>
    <w:rsid w:val="192D0421"/>
    <w:rsid w:val="19431004"/>
    <w:rsid w:val="19515D47"/>
    <w:rsid w:val="19562FD0"/>
    <w:rsid w:val="195720DF"/>
    <w:rsid w:val="195F54A3"/>
    <w:rsid w:val="19614D0C"/>
    <w:rsid w:val="19632D1C"/>
    <w:rsid w:val="196A55CC"/>
    <w:rsid w:val="1972506F"/>
    <w:rsid w:val="197420F1"/>
    <w:rsid w:val="19773191"/>
    <w:rsid w:val="197F122F"/>
    <w:rsid w:val="19864A9B"/>
    <w:rsid w:val="19880A22"/>
    <w:rsid w:val="19971507"/>
    <w:rsid w:val="19A56D68"/>
    <w:rsid w:val="19AD3FA9"/>
    <w:rsid w:val="19B251F6"/>
    <w:rsid w:val="19B43CAC"/>
    <w:rsid w:val="19B6109B"/>
    <w:rsid w:val="19B8262F"/>
    <w:rsid w:val="19BD62F9"/>
    <w:rsid w:val="19C06F03"/>
    <w:rsid w:val="19CC22A7"/>
    <w:rsid w:val="19CC46A5"/>
    <w:rsid w:val="19D55B92"/>
    <w:rsid w:val="19E070F0"/>
    <w:rsid w:val="19E11276"/>
    <w:rsid w:val="19E464A7"/>
    <w:rsid w:val="19EE0A28"/>
    <w:rsid w:val="19F13033"/>
    <w:rsid w:val="19F73D70"/>
    <w:rsid w:val="19F80142"/>
    <w:rsid w:val="19FF5379"/>
    <w:rsid w:val="1A004DAA"/>
    <w:rsid w:val="1A044015"/>
    <w:rsid w:val="1A0E563E"/>
    <w:rsid w:val="1A264A65"/>
    <w:rsid w:val="1A3664FF"/>
    <w:rsid w:val="1A434D73"/>
    <w:rsid w:val="1A4E703E"/>
    <w:rsid w:val="1A597C5B"/>
    <w:rsid w:val="1A5C3BD1"/>
    <w:rsid w:val="1A5D5A28"/>
    <w:rsid w:val="1A5F749D"/>
    <w:rsid w:val="1A642D06"/>
    <w:rsid w:val="1A646862"/>
    <w:rsid w:val="1A653935"/>
    <w:rsid w:val="1A6769CF"/>
    <w:rsid w:val="1A6F5727"/>
    <w:rsid w:val="1A702B27"/>
    <w:rsid w:val="1A846F04"/>
    <w:rsid w:val="1A8B658E"/>
    <w:rsid w:val="1A8B7B69"/>
    <w:rsid w:val="1A8C6350"/>
    <w:rsid w:val="1A9054A5"/>
    <w:rsid w:val="1AA2034B"/>
    <w:rsid w:val="1AA2738A"/>
    <w:rsid w:val="1AB56DE0"/>
    <w:rsid w:val="1AB570BD"/>
    <w:rsid w:val="1ABE75CB"/>
    <w:rsid w:val="1AC347C0"/>
    <w:rsid w:val="1ACB42F5"/>
    <w:rsid w:val="1AD10806"/>
    <w:rsid w:val="1AE26DE6"/>
    <w:rsid w:val="1AE62C92"/>
    <w:rsid w:val="1AEF2FCF"/>
    <w:rsid w:val="1AFC2F3E"/>
    <w:rsid w:val="1B1A33C4"/>
    <w:rsid w:val="1B2B3354"/>
    <w:rsid w:val="1B2E7CC9"/>
    <w:rsid w:val="1B3063A9"/>
    <w:rsid w:val="1B331726"/>
    <w:rsid w:val="1B336244"/>
    <w:rsid w:val="1B360520"/>
    <w:rsid w:val="1B376183"/>
    <w:rsid w:val="1B380197"/>
    <w:rsid w:val="1B3B2335"/>
    <w:rsid w:val="1B420535"/>
    <w:rsid w:val="1B4836B9"/>
    <w:rsid w:val="1B497D34"/>
    <w:rsid w:val="1B4B4C3F"/>
    <w:rsid w:val="1B4C1DF3"/>
    <w:rsid w:val="1B4D40AA"/>
    <w:rsid w:val="1B4E7442"/>
    <w:rsid w:val="1B6E63D9"/>
    <w:rsid w:val="1B744B1E"/>
    <w:rsid w:val="1B75360E"/>
    <w:rsid w:val="1B8454BF"/>
    <w:rsid w:val="1B903172"/>
    <w:rsid w:val="1B924EEE"/>
    <w:rsid w:val="1B9C13E9"/>
    <w:rsid w:val="1B9D5A81"/>
    <w:rsid w:val="1BA1210E"/>
    <w:rsid w:val="1BA656CD"/>
    <w:rsid w:val="1BA7727A"/>
    <w:rsid w:val="1BC01FAE"/>
    <w:rsid w:val="1BC21F3A"/>
    <w:rsid w:val="1BC42CED"/>
    <w:rsid w:val="1BC81F7A"/>
    <w:rsid w:val="1BC9751D"/>
    <w:rsid w:val="1BD00138"/>
    <w:rsid w:val="1BD6591B"/>
    <w:rsid w:val="1BDC3FB1"/>
    <w:rsid w:val="1BE742D8"/>
    <w:rsid w:val="1BE82A33"/>
    <w:rsid w:val="1BED615B"/>
    <w:rsid w:val="1BFD427D"/>
    <w:rsid w:val="1C0C5403"/>
    <w:rsid w:val="1C1678EA"/>
    <w:rsid w:val="1C3B2AED"/>
    <w:rsid w:val="1C3E60E6"/>
    <w:rsid w:val="1C3F19FC"/>
    <w:rsid w:val="1C437F8E"/>
    <w:rsid w:val="1C4E753B"/>
    <w:rsid w:val="1C4F207E"/>
    <w:rsid w:val="1C522DBD"/>
    <w:rsid w:val="1C550865"/>
    <w:rsid w:val="1C5A50E2"/>
    <w:rsid w:val="1C5D7C28"/>
    <w:rsid w:val="1C6413F5"/>
    <w:rsid w:val="1C6B7B6B"/>
    <w:rsid w:val="1C6E3EFD"/>
    <w:rsid w:val="1C70347F"/>
    <w:rsid w:val="1C717650"/>
    <w:rsid w:val="1C81143B"/>
    <w:rsid w:val="1C820E51"/>
    <w:rsid w:val="1C8D2144"/>
    <w:rsid w:val="1C996555"/>
    <w:rsid w:val="1CA77BB5"/>
    <w:rsid w:val="1CB57848"/>
    <w:rsid w:val="1CD25ED7"/>
    <w:rsid w:val="1CE41EDC"/>
    <w:rsid w:val="1CFB1D20"/>
    <w:rsid w:val="1CFF1EF0"/>
    <w:rsid w:val="1D014845"/>
    <w:rsid w:val="1D022291"/>
    <w:rsid w:val="1D0A16C9"/>
    <w:rsid w:val="1D0D1432"/>
    <w:rsid w:val="1D110EBE"/>
    <w:rsid w:val="1D164A50"/>
    <w:rsid w:val="1D17581C"/>
    <w:rsid w:val="1D1F045E"/>
    <w:rsid w:val="1D213B1B"/>
    <w:rsid w:val="1D253E1E"/>
    <w:rsid w:val="1D2D048E"/>
    <w:rsid w:val="1D2F544A"/>
    <w:rsid w:val="1D376363"/>
    <w:rsid w:val="1D3833BB"/>
    <w:rsid w:val="1D3B0769"/>
    <w:rsid w:val="1D3B191F"/>
    <w:rsid w:val="1D3D48A2"/>
    <w:rsid w:val="1D3E783E"/>
    <w:rsid w:val="1D461A90"/>
    <w:rsid w:val="1D47259A"/>
    <w:rsid w:val="1D4E761A"/>
    <w:rsid w:val="1D613B34"/>
    <w:rsid w:val="1D660B43"/>
    <w:rsid w:val="1D73406B"/>
    <w:rsid w:val="1D742F5E"/>
    <w:rsid w:val="1D743260"/>
    <w:rsid w:val="1D836ACD"/>
    <w:rsid w:val="1D8A33CD"/>
    <w:rsid w:val="1DA33071"/>
    <w:rsid w:val="1DA67191"/>
    <w:rsid w:val="1DA83270"/>
    <w:rsid w:val="1DA91516"/>
    <w:rsid w:val="1DAA62AF"/>
    <w:rsid w:val="1DB41B6C"/>
    <w:rsid w:val="1DB8309F"/>
    <w:rsid w:val="1DDC468F"/>
    <w:rsid w:val="1DE33BE3"/>
    <w:rsid w:val="1DFA2EEC"/>
    <w:rsid w:val="1E0002E7"/>
    <w:rsid w:val="1E050709"/>
    <w:rsid w:val="1E0761DE"/>
    <w:rsid w:val="1E1A63DC"/>
    <w:rsid w:val="1E2975D1"/>
    <w:rsid w:val="1E2C58E8"/>
    <w:rsid w:val="1E360515"/>
    <w:rsid w:val="1E4528F0"/>
    <w:rsid w:val="1E4A5132"/>
    <w:rsid w:val="1E552528"/>
    <w:rsid w:val="1E596C65"/>
    <w:rsid w:val="1E682698"/>
    <w:rsid w:val="1E7471CA"/>
    <w:rsid w:val="1E7A1400"/>
    <w:rsid w:val="1E803E86"/>
    <w:rsid w:val="1E8623B9"/>
    <w:rsid w:val="1E8A6352"/>
    <w:rsid w:val="1E917CE4"/>
    <w:rsid w:val="1E967206"/>
    <w:rsid w:val="1E996CBA"/>
    <w:rsid w:val="1E9A6CF6"/>
    <w:rsid w:val="1EA33EEF"/>
    <w:rsid w:val="1EA731C1"/>
    <w:rsid w:val="1EAA2F56"/>
    <w:rsid w:val="1EAD17CE"/>
    <w:rsid w:val="1EB15DEE"/>
    <w:rsid w:val="1EB92A6D"/>
    <w:rsid w:val="1EB9385D"/>
    <w:rsid w:val="1EB96829"/>
    <w:rsid w:val="1EBC3647"/>
    <w:rsid w:val="1EBE1E7A"/>
    <w:rsid w:val="1EC45B21"/>
    <w:rsid w:val="1EC84699"/>
    <w:rsid w:val="1ECD279E"/>
    <w:rsid w:val="1ECE03E2"/>
    <w:rsid w:val="1ECE258E"/>
    <w:rsid w:val="1EE86582"/>
    <w:rsid w:val="1EF12CF5"/>
    <w:rsid w:val="1EFB6F68"/>
    <w:rsid w:val="1EFC3ECF"/>
    <w:rsid w:val="1F0A7B49"/>
    <w:rsid w:val="1F0B7BF4"/>
    <w:rsid w:val="1F16411F"/>
    <w:rsid w:val="1F164A81"/>
    <w:rsid w:val="1F170346"/>
    <w:rsid w:val="1F1D5884"/>
    <w:rsid w:val="1F217CB6"/>
    <w:rsid w:val="1F3538B2"/>
    <w:rsid w:val="1F393B2D"/>
    <w:rsid w:val="1F3C7736"/>
    <w:rsid w:val="1F4C0A9E"/>
    <w:rsid w:val="1F4F6E6B"/>
    <w:rsid w:val="1F5B3B76"/>
    <w:rsid w:val="1F5F24B7"/>
    <w:rsid w:val="1F626FCC"/>
    <w:rsid w:val="1F7633FF"/>
    <w:rsid w:val="1F812A9C"/>
    <w:rsid w:val="1F8810C4"/>
    <w:rsid w:val="1F8E5F3F"/>
    <w:rsid w:val="1F930BF6"/>
    <w:rsid w:val="1F940113"/>
    <w:rsid w:val="1F98048D"/>
    <w:rsid w:val="1FA15E62"/>
    <w:rsid w:val="1FA523E1"/>
    <w:rsid w:val="1FA637CF"/>
    <w:rsid w:val="1FA76CBA"/>
    <w:rsid w:val="1FB0425B"/>
    <w:rsid w:val="1FCC2608"/>
    <w:rsid w:val="1FCD59B1"/>
    <w:rsid w:val="1FD10DE4"/>
    <w:rsid w:val="1FD54B45"/>
    <w:rsid w:val="1FD705C3"/>
    <w:rsid w:val="1FE2419D"/>
    <w:rsid w:val="1FF22BDC"/>
    <w:rsid w:val="1FF55919"/>
    <w:rsid w:val="1FFF2C37"/>
    <w:rsid w:val="200B11CC"/>
    <w:rsid w:val="20286583"/>
    <w:rsid w:val="20291B61"/>
    <w:rsid w:val="203321CB"/>
    <w:rsid w:val="20365D56"/>
    <w:rsid w:val="203C2102"/>
    <w:rsid w:val="203C539B"/>
    <w:rsid w:val="20404BE3"/>
    <w:rsid w:val="204D421F"/>
    <w:rsid w:val="204D5FEA"/>
    <w:rsid w:val="20504ACC"/>
    <w:rsid w:val="2054364A"/>
    <w:rsid w:val="205757E4"/>
    <w:rsid w:val="2059498F"/>
    <w:rsid w:val="205A072D"/>
    <w:rsid w:val="205B7E61"/>
    <w:rsid w:val="205D6CF6"/>
    <w:rsid w:val="20653161"/>
    <w:rsid w:val="20665917"/>
    <w:rsid w:val="20725AB2"/>
    <w:rsid w:val="20861D56"/>
    <w:rsid w:val="20943C19"/>
    <w:rsid w:val="20997FF6"/>
    <w:rsid w:val="209C6A73"/>
    <w:rsid w:val="20A47157"/>
    <w:rsid w:val="20AD2AAA"/>
    <w:rsid w:val="20BC4D12"/>
    <w:rsid w:val="20CC3912"/>
    <w:rsid w:val="20DC3542"/>
    <w:rsid w:val="20DE6982"/>
    <w:rsid w:val="20E61B80"/>
    <w:rsid w:val="20F1179A"/>
    <w:rsid w:val="20F42BA7"/>
    <w:rsid w:val="20F600C3"/>
    <w:rsid w:val="20FD670F"/>
    <w:rsid w:val="20FE2E16"/>
    <w:rsid w:val="20FE6FC2"/>
    <w:rsid w:val="21007C59"/>
    <w:rsid w:val="21185B98"/>
    <w:rsid w:val="211A411E"/>
    <w:rsid w:val="2120570B"/>
    <w:rsid w:val="2125160C"/>
    <w:rsid w:val="21257950"/>
    <w:rsid w:val="212A616E"/>
    <w:rsid w:val="2130749E"/>
    <w:rsid w:val="213B1110"/>
    <w:rsid w:val="213B132C"/>
    <w:rsid w:val="213F205E"/>
    <w:rsid w:val="2141194E"/>
    <w:rsid w:val="21442BCB"/>
    <w:rsid w:val="214C3F81"/>
    <w:rsid w:val="215129C8"/>
    <w:rsid w:val="21524DFD"/>
    <w:rsid w:val="2152747A"/>
    <w:rsid w:val="21582719"/>
    <w:rsid w:val="215A2C86"/>
    <w:rsid w:val="216A65E4"/>
    <w:rsid w:val="216B279B"/>
    <w:rsid w:val="21853AAE"/>
    <w:rsid w:val="21893EC3"/>
    <w:rsid w:val="2190421D"/>
    <w:rsid w:val="21905D83"/>
    <w:rsid w:val="2194356B"/>
    <w:rsid w:val="21990FD2"/>
    <w:rsid w:val="219D55F7"/>
    <w:rsid w:val="21A55486"/>
    <w:rsid w:val="21AB3D73"/>
    <w:rsid w:val="21BF1DDF"/>
    <w:rsid w:val="21C019DA"/>
    <w:rsid w:val="21C04243"/>
    <w:rsid w:val="21C32D0E"/>
    <w:rsid w:val="21C549B3"/>
    <w:rsid w:val="21C57181"/>
    <w:rsid w:val="21CD5D43"/>
    <w:rsid w:val="21D20555"/>
    <w:rsid w:val="21D5278B"/>
    <w:rsid w:val="21D97FB3"/>
    <w:rsid w:val="21DB279B"/>
    <w:rsid w:val="21E05641"/>
    <w:rsid w:val="21E32762"/>
    <w:rsid w:val="21F4036B"/>
    <w:rsid w:val="2201521E"/>
    <w:rsid w:val="220832B8"/>
    <w:rsid w:val="2209753C"/>
    <w:rsid w:val="220A6432"/>
    <w:rsid w:val="22106943"/>
    <w:rsid w:val="222B45E5"/>
    <w:rsid w:val="222F3BF9"/>
    <w:rsid w:val="223676CC"/>
    <w:rsid w:val="223E4DFD"/>
    <w:rsid w:val="22426DC7"/>
    <w:rsid w:val="224648EC"/>
    <w:rsid w:val="224A27E1"/>
    <w:rsid w:val="224B3737"/>
    <w:rsid w:val="225638EF"/>
    <w:rsid w:val="2268710B"/>
    <w:rsid w:val="22721D38"/>
    <w:rsid w:val="228D5849"/>
    <w:rsid w:val="2297451F"/>
    <w:rsid w:val="22A01F80"/>
    <w:rsid w:val="22A42B4D"/>
    <w:rsid w:val="22AD30B4"/>
    <w:rsid w:val="22B33F87"/>
    <w:rsid w:val="22B65979"/>
    <w:rsid w:val="22D02CFC"/>
    <w:rsid w:val="22D2270D"/>
    <w:rsid w:val="22D45BCC"/>
    <w:rsid w:val="22DD208E"/>
    <w:rsid w:val="22E03145"/>
    <w:rsid w:val="22E94404"/>
    <w:rsid w:val="22EA64DB"/>
    <w:rsid w:val="22EB7780"/>
    <w:rsid w:val="22FC512B"/>
    <w:rsid w:val="22FC7F13"/>
    <w:rsid w:val="22FD5AA5"/>
    <w:rsid w:val="23023ADE"/>
    <w:rsid w:val="230E7CB2"/>
    <w:rsid w:val="23137077"/>
    <w:rsid w:val="231639EE"/>
    <w:rsid w:val="231A03CA"/>
    <w:rsid w:val="232B2E55"/>
    <w:rsid w:val="2337795E"/>
    <w:rsid w:val="234431F6"/>
    <w:rsid w:val="23443BAE"/>
    <w:rsid w:val="234A3E3C"/>
    <w:rsid w:val="2354531A"/>
    <w:rsid w:val="235544DD"/>
    <w:rsid w:val="23565B6A"/>
    <w:rsid w:val="23611AE3"/>
    <w:rsid w:val="23671171"/>
    <w:rsid w:val="237242EE"/>
    <w:rsid w:val="23856317"/>
    <w:rsid w:val="23872445"/>
    <w:rsid w:val="23880CCC"/>
    <w:rsid w:val="238D08EF"/>
    <w:rsid w:val="239218A1"/>
    <w:rsid w:val="23980576"/>
    <w:rsid w:val="239B47B8"/>
    <w:rsid w:val="23A83C63"/>
    <w:rsid w:val="23A91789"/>
    <w:rsid w:val="23AD3582"/>
    <w:rsid w:val="23B56380"/>
    <w:rsid w:val="23B93C2A"/>
    <w:rsid w:val="23B96E14"/>
    <w:rsid w:val="23BD5235"/>
    <w:rsid w:val="23C04D8B"/>
    <w:rsid w:val="23C56823"/>
    <w:rsid w:val="23D2232D"/>
    <w:rsid w:val="23D43B8C"/>
    <w:rsid w:val="23D60FA7"/>
    <w:rsid w:val="23E735C2"/>
    <w:rsid w:val="23FA48E5"/>
    <w:rsid w:val="23FC620A"/>
    <w:rsid w:val="23FD12B2"/>
    <w:rsid w:val="23FD131F"/>
    <w:rsid w:val="24077797"/>
    <w:rsid w:val="24082954"/>
    <w:rsid w:val="240A7396"/>
    <w:rsid w:val="241D6B0D"/>
    <w:rsid w:val="242606BB"/>
    <w:rsid w:val="24294678"/>
    <w:rsid w:val="242B38C5"/>
    <w:rsid w:val="242C0D17"/>
    <w:rsid w:val="242F451A"/>
    <w:rsid w:val="2431092E"/>
    <w:rsid w:val="245142FB"/>
    <w:rsid w:val="24601B9C"/>
    <w:rsid w:val="2466767A"/>
    <w:rsid w:val="24684DF6"/>
    <w:rsid w:val="246D38BD"/>
    <w:rsid w:val="2474508C"/>
    <w:rsid w:val="247E54A1"/>
    <w:rsid w:val="248324C4"/>
    <w:rsid w:val="248850F5"/>
    <w:rsid w:val="24893FF0"/>
    <w:rsid w:val="249027C5"/>
    <w:rsid w:val="24932DF6"/>
    <w:rsid w:val="24955A4B"/>
    <w:rsid w:val="24996314"/>
    <w:rsid w:val="24B27BB5"/>
    <w:rsid w:val="24B81696"/>
    <w:rsid w:val="24B86781"/>
    <w:rsid w:val="24BD7A81"/>
    <w:rsid w:val="24CA1A30"/>
    <w:rsid w:val="24CC1BD3"/>
    <w:rsid w:val="24CF705E"/>
    <w:rsid w:val="24D22556"/>
    <w:rsid w:val="24D36CC5"/>
    <w:rsid w:val="24D40A88"/>
    <w:rsid w:val="24D42836"/>
    <w:rsid w:val="24D71F91"/>
    <w:rsid w:val="24DC1EBB"/>
    <w:rsid w:val="24EA66E5"/>
    <w:rsid w:val="24EF002E"/>
    <w:rsid w:val="250E1CF4"/>
    <w:rsid w:val="250E3F9A"/>
    <w:rsid w:val="250E6455"/>
    <w:rsid w:val="2516537B"/>
    <w:rsid w:val="251A293E"/>
    <w:rsid w:val="251F7C53"/>
    <w:rsid w:val="25225818"/>
    <w:rsid w:val="252C6E5C"/>
    <w:rsid w:val="25327760"/>
    <w:rsid w:val="2556753A"/>
    <w:rsid w:val="25633A60"/>
    <w:rsid w:val="256A6612"/>
    <w:rsid w:val="256B302A"/>
    <w:rsid w:val="257B78FA"/>
    <w:rsid w:val="257F11CF"/>
    <w:rsid w:val="2582723B"/>
    <w:rsid w:val="25882A0D"/>
    <w:rsid w:val="258B0D9C"/>
    <w:rsid w:val="2591561C"/>
    <w:rsid w:val="259E7266"/>
    <w:rsid w:val="259E7ADC"/>
    <w:rsid w:val="25A540E8"/>
    <w:rsid w:val="25B41EEE"/>
    <w:rsid w:val="25B6492B"/>
    <w:rsid w:val="25C00026"/>
    <w:rsid w:val="25C414C9"/>
    <w:rsid w:val="25C67605"/>
    <w:rsid w:val="25C72C23"/>
    <w:rsid w:val="25CF0660"/>
    <w:rsid w:val="25DB3B3E"/>
    <w:rsid w:val="25E440BC"/>
    <w:rsid w:val="25F95A0C"/>
    <w:rsid w:val="25FB4BB2"/>
    <w:rsid w:val="260B212E"/>
    <w:rsid w:val="260D4AFC"/>
    <w:rsid w:val="26105B11"/>
    <w:rsid w:val="26163DB1"/>
    <w:rsid w:val="261E020C"/>
    <w:rsid w:val="262970DD"/>
    <w:rsid w:val="262C04D2"/>
    <w:rsid w:val="262E0C37"/>
    <w:rsid w:val="26322E81"/>
    <w:rsid w:val="263B192D"/>
    <w:rsid w:val="26413B52"/>
    <w:rsid w:val="264178CE"/>
    <w:rsid w:val="26491C79"/>
    <w:rsid w:val="264A7971"/>
    <w:rsid w:val="265B1B1D"/>
    <w:rsid w:val="265D7566"/>
    <w:rsid w:val="2662445F"/>
    <w:rsid w:val="26771023"/>
    <w:rsid w:val="2687726D"/>
    <w:rsid w:val="268F2B83"/>
    <w:rsid w:val="269C55D5"/>
    <w:rsid w:val="269C6FE1"/>
    <w:rsid w:val="26A304EC"/>
    <w:rsid w:val="26B06F5F"/>
    <w:rsid w:val="26BD272A"/>
    <w:rsid w:val="26C50688"/>
    <w:rsid w:val="26C87A9F"/>
    <w:rsid w:val="26D82824"/>
    <w:rsid w:val="26E36A36"/>
    <w:rsid w:val="26EA291E"/>
    <w:rsid w:val="26F4754F"/>
    <w:rsid w:val="26F55B81"/>
    <w:rsid w:val="27026890"/>
    <w:rsid w:val="2706709C"/>
    <w:rsid w:val="270A6969"/>
    <w:rsid w:val="27154BF3"/>
    <w:rsid w:val="2718057C"/>
    <w:rsid w:val="271A65C0"/>
    <w:rsid w:val="271E6B51"/>
    <w:rsid w:val="272C294A"/>
    <w:rsid w:val="272F61C0"/>
    <w:rsid w:val="27373320"/>
    <w:rsid w:val="274300C1"/>
    <w:rsid w:val="27435A51"/>
    <w:rsid w:val="27437A60"/>
    <w:rsid w:val="27445E4C"/>
    <w:rsid w:val="27484E85"/>
    <w:rsid w:val="275F5422"/>
    <w:rsid w:val="27615648"/>
    <w:rsid w:val="2762237B"/>
    <w:rsid w:val="276B4B18"/>
    <w:rsid w:val="277571A0"/>
    <w:rsid w:val="2778783B"/>
    <w:rsid w:val="277E0D9B"/>
    <w:rsid w:val="278A58ED"/>
    <w:rsid w:val="27906DFB"/>
    <w:rsid w:val="27972E4E"/>
    <w:rsid w:val="27A40EA9"/>
    <w:rsid w:val="27AA10CB"/>
    <w:rsid w:val="27AC6861"/>
    <w:rsid w:val="27AE3812"/>
    <w:rsid w:val="27B20251"/>
    <w:rsid w:val="27BA2781"/>
    <w:rsid w:val="27C913EE"/>
    <w:rsid w:val="27C97E1E"/>
    <w:rsid w:val="27CD17D8"/>
    <w:rsid w:val="27D20170"/>
    <w:rsid w:val="27DC037F"/>
    <w:rsid w:val="27E817B8"/>
    <w:rsid w:val="27E97012"/>
    <w:rsid w:val="27ED06EA"/>
    <w:rsid w:val="27F54F9D"/>
    <w:rsid w:val="27FC632B"/>
    <w:rsid w:val="281431DC"/>
    <w:rsid w:val="281C077C"/>
    <w:rsid w:val="28375EDD"/>
    <w:rsid w:val="284F12BA"/>
    <w:rsid w:val="28553C8E"/>
    <w:rsid w:val="285B1081"/>
    <w:rsid w:val="28650880"/>
    <w:rsid w:val="2868356E"/>
    <w:rsid w:val="286D547B"/>
    <w:rsid w:val="2879052A"/>
    <w:rsid w:val="287A3909"/>
    <w:rsid w:val="288822B5"/>
    <w:rsid w:val="288F581D"/>
    <w:rsid w:val="28967540"/>
    <w:rsid w:val="28974D43"/>
    <w:rsid w:val="28A26F93"/>
    <w:rsid w:val="28A330B8"/>
    <w:rsid w:val="28AE4258"/>
    <w:rsid w:val="28AE4E0B"/>
    <w:rsid w:val="28B164C1"/>
    <w:rsid w:val="28B507C2"/>
    <w:rsid w:val="28B63965"/>
    <w:rsid w:val="28B848DF"/>
    <w:rsid w:val="28C15E9D"/>
    <w:rsid w:val="28C16DDC"/>
    <w:rsid w:val="28C338E2"/>
    <w:rsid w:val="28C45ED0"/>
    <w:rsid w:val="28C72DDD"/>
    <w:rsid w:val="28CB21A2"/>
    <w:rsid w:val="28CC033F"/>
    <w:rsid w:val="28CF512B"/>
    <w:rsid w:val="28D0360C"/>
    <w:rsid w:val="28D04379"/>
    <w:rsid w:val="28D54DA4"/>
    <w:rsid w:val="28D8102E"/>
    <w:rsid w:val="28ED4356"/>
    <w:rsid w:val="28F76899"/>
    <w:rsid w:val="28FE2577"/>
    <w:rsid w:val="290006EE"/>
    <w:rsid w:val="291209CA"/>
    <w:rsid w:val="291A5C34"/>
    <w:rsid w:val="292E4666"/>
    <w:rsid w:val="293205BB"/>
    <w:rsid w:val="294021A5"/>
    <w:rsid w:val="2947525A"/>
    <w:rsid w:val="295451B4"/>
    <w:rsid w:val="2956713B"/>
    <w:rsid w:val="29586018"/>
    <w:rsid w:val="295F3FFC"/>
    <w:rsid w:val="2967011C"/>
    <w:rsid w:val="296E1B85"/>
    <w:rsid w:val="29826D04"/>
    <w:rsid w:val="2987256D"/>
    <w:rsid w:val="29880D68"/>
    <w:rsid w:val="298B1AC7"/>
    <w:rsid w:val="29946A08"/>
    <w:rsid w:val="29B175E9"/>
    <w:rsid w:val="29CC7948"/>
    <w:rsid w:val="29DB3020"/>
    <w:rsid w:val="29E40DA2"/>
    <w:rsid w:val="29E60C58"/>
    <w:rsid w:val="29EE4C36"/>
    <w:rsid w:val="29EF518B"/>
    <w:rsid w:val="29F1040A"/>
    <w:rsid w:val="29F964BC"/>
    <w:rsid w:val="29FE7D15"/>
    <w:rsid w:val="2A0736F7"/>
    <w:rsid w:val="2A097084"/>
    <w:rsid w:val="2A140975"/>
    <w:rsid w:val="2A1B67EB"/>
    <w:rsid w:val="2A2601E9"/>
    <w:rsid w:val="2A27356F"/>
    <w:rsid w:val="2A2D677D"/>
    <w:rsid w:val="2A3D38E0"/>
    <w:rsid w:val="2A4240FA"/>
    <w:rsid w:val="2A50324B"/>
    <w:rsid w:val="2A515B5A"/>
    <w:rsid w:val="2A517D46"/>
    <w:rsid w:val="2A563628"/>
    <w:rsid w:val="2A5644EE"/>
    <w:rsid w:val="2A565592"/>
    <w:rsid w:val="2A634C91"/>
    <w:rsid w:val="2A68264E"/>
    <w:rsid w:val="2A692049"/>
    <w:rsid w:val="2A712234"/>
    <w:rsid w:val="2A7514C9"/>
    <w:rsid w:val="2A855A47"/>
    <w:rsid w:val="2A856041"/>
    <w:rsid w:val="2A8C4739"/>
    <w:rsid w:val="2A905451"/>
    <w:rsid w:val="2A9E2177"/>
    <w:rsid w:val="2A9F4020"/>
    <w:rsid w:val="2A9F7503"/>
    <w:rsid w:val="2AA16039"/>
    <w:rsid w:val="2AB012A8"/>
    <w:rsid w:val="2AC06BF4"/>
    <w:rsid w:val="2ACB58FF"/>
    <w:rsid w:val="2ACB6489"/>
    <w:rsid w:val="2AD11B33"/>
    <w:rsid w:val="2AD52E64"/>
    <w:rsid w:val="2ADF59FE"/>
    <w:rsid w:val="2AF0194B"/>
    <w:rsid w:val="2AF4502B"/>
    <w:rsid w:val="2B051561"/>
    <w:rsid w:val="2B0A6FB1"/>
    <w:rsid w:val="2B0F0041"/>
    <w:rsid w:val="2B205B4B"/>
    <w:rsid w:val="2B21446E"/>
    <w:rsid w:val="2B253DFE"/>
    <w:rsid w:val="2B2B1443"/>
    <w:rsid w:val="2B2B2691"/>
    <w:rsid w:val="2B2D409D"/>
    <w:rsid w:val="2B3664C7"/>
    <w:rsid w:val="2B493977"/>
    <w:rsid w:val="2B4B408B"/>
    <w:rsid w:val="2B4D3342"/>
    <w:rsid w:val="2B586C88"/>
    <w:rsid w:val="2B5D1D05"/>
    <w:rsid w:val="2B6001C3"/>
    <w:rsid w:val="2B6366C1"/>
    <w:rsid w:val="2B64079A"/>
    <w:rsid w:val="2B6950E0"/>
    <w:rsid w:val="2B6C5691"/>
    <w:rsid w:val="2B6D0EA0"/>
    <w:rsid w:val="2B7855D3"/>
    <w:rsid w:val="2B7B2FE9"/>
    <w:rsid w:val="2B7D08B9"/>
    <w:rsid w:val="2B8F395A"/>
    <w:rsid w:val="2B8F4B4C"/>
    <w:rsid w:val="2B9E594C"/>
    <w:rsid w:val="2B9F2DEB"/>
    <w:rsid w:val="2BA410CE"/>
    <w:rsid w:val="2BAD3BC0"/>
    <w:rsid w:val="2BAE1945"/>
    <w:rsid w:val="2BB313F7"/>
    <w:rsid w:val="2BD7116A"/>
    <w:rsid w:val="2BD854F2"/>
    <w:rsid w:val="2BD95763"/>
    <w:rsid w:val="2BDD0DC8"/>
    <w:rsid w:val="2BDD0FC1"/>
    <w:rsid w:val="2BE3325D"/>
    <w:rsid w:val="2BE76383"/>
    <w:rsid w:val="2BEE68D3"/>
    <w:rsid w:val="2BF1365A"/>
    <w:rsid w:val="2BF85161"/>
    <w:rsid w:val="2C0111E1"/>
    <w:rsid w:val="2C034932"/>
    <w:rsid w:val="2C147F9D"/>
    <w:rsid w:val="2C1757B6"/>
    <w:rsid w:val="2C206C33"/>
    <w:rsid w:val="2C2E6013"/>
    <w:rsid w:val="2C3037F5"/>
    <w:rsid w:val="2C380844"/>
    <w:rsid w:val="2C5032E4"/>
    <w:rsid w:val="2C50416D"/>
    <w:rsid w:val="2C540E47"/>
    <w:rsid w:val="2C5524AE"/>
    <w:rsid w:val="2C5715F5"/>
    <w:rsid w:val="2C581756"/>
    <w:rsid w:val="2C6308C7"/>
    <w:rsid w:val="2C696371"/>
    <w:rsid w:val="2C6E6DDC"/>
    <w:rsid w:val="2C76482F"/>
    <w:rsid w:val="2C7C28D1"/>
    <w:rsid w:val="2C7F1213"/>
    <w:rsid w:val="2C862667"/>
    <w:rsid w:val="2C914E0F"/>
    <w:rsid w:val="2C94216B"/>
    <w:rsid w:val="2C9A3797"/>
    <w:rsid w:val="2C9F197B"/>
    <w:rsid w:val="2CB3105A"/>
    <w:rsid w:val="2CB575D6"/>
    <w:rsid w:val="2CB923B6"/>
    <w:rsid w:val="2CC35005"/>
    <w:rsid w:val="2CC41396"/>
    <w:rsid w:val="2CCF0CEE"/>
    <w:rsid w:val="2CD86EBF"/>
    <w:rsid w:val="2CDD1516"/>
    <w:rsid w:val="2CF27133"/>
    <w:rsid w:val="2CF863B2"/>
    <w:rsid w:val="2CF96973"/>
    <w:rsid w:val="2CFF0EF4"/>
    <w:rsid w:val="2D02672F"/>
    <w:rsid w:val="2D062A97"/>
    <w:rsid w:val="2D0637A8"/>
    <w:rsid w:val="2D1954CD"/>
    <w:rsid w:val="2D265975"/>
    <w:rsid w:val="2D284413"/>
    <w:rsid w:val="2D3E73E6"/>
    <w:rsid w:val="2D5E518C"/>
    <w:rsid w:val="2D5F0FE4"/>
    <w:rsid w:val="2D6A01DB"/>
    <w:rsid w:val="2D6F15A4"/>
    <w:rsid w:val="2D787C16"/>
    <w:rsid w:val="2D8C3064"/>
    <w:rsid w:val="2D914409"/>
    <w:rsid w:val="2D925472"/>
    <w:rsid w:val="2DA57465"/>
    <w:rsid w:val="2DAF57BC"/>
    <w:rsid w:val="2DB23573"/>
    <w:rsid w:val="2DB61604"/>
    <w:rsid w:val="2DB75E3E"/>
    <w:rsid w:val="2DC160D1"/>
    <w:rsid w:val="2DD30C9F"/>
    <w:rsid w:val="2DD77501"/>
    <w:rsid w:val="2DF126AA"/>
    <w:rsid w:val="2DF27719"/>
    <w:rsid w:val="2DF40F82"/>
    <w:rsid w:val="2DFB344E"/>
    <w:rsid w:val="2E051CDC"/>
    <w:rsid w:val="2E057CDD"/>
    <w:rsid w:val="2E2024B5"/>
    <w:rsid w:val="2E226BFF"/>
    <w:rsid w:val="2E2C0B86"/>
    <w:rsid w:val="2E3B1B85"/>
    <w:rsid w:val="2E4767B4"/>
    <w:rsid w:val="2E493EAA"/>
    <w:rsid w:val="2E496F10"/>
    <w:rsid w:val="2E4B7D4F"/>
    <w:rsid w:val="2E4E428E"/>
    <w:rsid w:val="2E60579D"/>
    <w:rsid w:val="2E6F2713"/>
    <w:rsid w:val="2E777491"/>
    <w:rsid w:val="2E787C35"/>
    <w:rsid w:val="2E804119"/>
    <w:rsid w:val="2E8E2DBF"/>
    <w:rsid w:val="2E9324EB"/>
    <w:rsid w:val="2E944828"/>
    <w:rsid w:val="2E9A6E9A"/>
    <w:rsid w:val="2EAB73C8"/>
    <w:rsid w:val="2EBD6290"/>
    <w:rsid w:val="2EC305BC"/>
    <w:rsid w:val="2ECC4B2A"/>
    <w:rsid w:val="2ECD27D0"/>
    <w:rsid w:val="2ED02AA4"/>
    <w:rsid w:val="2ED17AE3"/>
    <w:rsid w:val="2ED3654C"/>
    <w:rsid w:val="2ED41616"/>
    <w:rsid w:val="2ED620AF"/>
    <w:rsid w:val="2EE70EEC"/>
    <w:rsid w:val="2EEC62FA"/>
    <w:rsid w:val="2EF410DB"/>
    <w:rsid w:val="2EF562E2"/>
    <w:rsid w:val="2EFE5CEF"/>
    <w:rsid w:val="2F005129"/>
    <w:rsid w:val="2F0106CB"/>
    <w:rsid w:val="2F012812"/>
    <w:rsid w:val="2F0130C4"/>
    <w:rsid w:val="2F051A45"/>
    <w:rsid w:val="2F0D1376"/>
    <w:rsid w:val="2F0D2359"/>
    <w:rsid w:val="2F137577"/>
    <w:rsid w:val="2F141872"/>
    <w:rsid w:val="2F1D0394"/>
    <w:rsid w:val="2F3A740C"/>
    <w:rsid w:val="2F584D72"/>
    <w:rsid w:val="2F596C41"/>
    <w:rsid w:val="2F5E5B1E"/>
    <w:rsid w:val="2F5F0233"/>
    <w:rsid w:val="2F671B2F"/>
    <w:rsid w:val="2F6D49A9"/>
    <w:rsid w:val="2F7140B6"/>
    <w:rsid w:val="2F743F86"/>
    <w:rsid w:val="2F786B12"/>
    <w:rsid w:val="2F7C4B7A"/>
    <w:rsid w:val="2F80430F"/>
    <w:rsid w:val="2F864AA4"/>
    <w:rsid w:val="2F866B86"/>
    <w:rsid w:val="2FA43D42"/>
    <w:rsid w:val="2FA4546D"/>
    <w:rsid w:val="2FAF6379"/>
    <w:rsid w:val="2FB41B47"/>
    <w:rsid w:val="2FB648CE"/>
    <w:rsid w:val="2FB71881"/>
    <w:rsid w:val="2FB831EA"/>
    <w:rsid w:val="2FBD279D"/>
    <w:rsid w:val="2FBF1A62"/>
    <w:rsid w:val="2FC05492"/>
    <w:rsid w:val="2FC14D9A"/>
    <w:rsid w:val="2FC73DD0"/>
    <w:rsid w:val="2FD31894"/>
    <w:rsid w:val="2FD4404C"/>
    <w:rsid w:val="2FD47B8E"/>
    <w:rsid w:val="2FD8539A"/>
    <w:rsid w:val="2FD869C9"/>
    <w:rsid w:val="2FE07E2C"/>
    <w:rsid w:val="2FEE0006"/>
    <w:rsid w:val="2FF33CD5"/>
    <w:rsid w:val="2FFF1DAD"/>
    <w:rsid w:val="301228FF"/>
    <w:rsid w:val="30122F2A"/>
    <w:rsid w:val="302C56FE"/>
    <w:rsid w:val="302D4F9C"/>
    <w:rsid w:val="30397668"/>
    <w:rsid w:val="303D5AA4"/>
    <w:rsid w:val="30422D49"/>
    <w:rsid w:val="304623A9"/>
    <w:rsid w:val="3054468F"/>
    <w:rsid w:val="305667F5"/>
    <w:rsid w:val="305D1582"/>
    <w:rsid w:val="306060E2"/>
    <w:rsid w:val="307D14A0"/>
    <w:rsid w:val="307F557B"/>
    <w:rsid w:val="30896D7C"/>
    <w:rsid w:val="308D18E2"/>
    <w:rsid w:val="3090205D"/>
    <w:rsid w:val="3091782D"/>
    <w:rsid w:val="309232B7"/>
    <w:rsid w:val="30994E7D"/>
    <w:rsid w:val="309A225A"/>
    <w:rsid w:val="309E52B6"/>
    <w:rsid w:val="30A86C6D"/>
    <w:rsid w:val="30D81C76"/>
    <w:rsid w:val="30DD40BB"/>
    <w:rsid w:val="30E62952"/>
    <w:rsid w:val="30ED68FC"/>
    <w:rsid w:val="30EE1F42"/>
    <w:rsid w:val="30EF68A7"/>
    <w:rsid w:val="31077AEF"/>
    <w:rsid w:val="31097D0B"/>
    <w:rsid w:val="31124E12"/>
    <w:rsid w:val="311378D3"/>
    <w:rsid w:val="311C5CD4"/>
    <w:rsid w:val="3120259E"/>
    <w:rsid w:val="31236F27"/>
    <w:rsid w:val="312A0A51"/>
    <w:rsid w:val="31376804"/>
    <w:rsid w:val="31482485"/>
    <w:rsid w:val="314A3755"/>
    <w:rsid w:val="314D0DA6"/>
    <w:rsid w:val="314F3B37"/>
    <w:rsid w:val="317258B0"/>
    <w:rsid w:val="317B515E"/>
    <w:rsid w:val="317D6437"/>
    <w:rsid w:val="31867669"/>
    <w:rsid w:val="3189667E"/>
    <w:rsid w:val="31AC0DC2"/>
    <w:rsid w:val="31B24C07"/>
    <w:rsid w:val="31B961CB"/>
    <w:rsid w:val="31BA6424"/>
    <w:rsid w:val="31BD0342"/>
    <w:rsid w:val="31BE1CC3"/>
    <w:rsid w:val="31CA7F97"/>
    <w:rsid w:val="31CB0551"/>
    <w:rsid w:val="31CD0AD2"/>
    <w:rsid w:val="31D204ED"/>
    <w:rsid w:val="31D23A98"/>
    <w:rsid w:val="31D459F5"/>
    <w:rsid w:val="31D90B17"/>
    <w:rsid w:val="31E724F2"/>
    <w:rsid w:val="31FD161E"/>
    <w:rsid w:val="31FE5396"/>
    <w:rsid w:val="3200110E"/>
    <w:rsid w:val="32022FBA"/>
    <w:rsid w:val="320B73E4"/>
    <w:rsid w:val="3219336D"/>
    <w:rsid w:val="32281D43"/>
    <w:rsid w:val="32313075"/>
    <w:rsid w:val="3233118A"/>
    <w:rsid w:val="323B3786"/>
    <w:rsid w:val="32460B7D"/>
    <w:rsid w:val="324A72E6"/>
    <w:rsid w:val="324F5702"/>
    <w:rsid w:val="3255740B"/>
    <w:rsid w:val="32640735"/>
    <w:rsid w:val="326C1214"/>
    <w:rsid w:val="326E5DE3"/>
    <w:rsid w:val="32736FEB"/>
    <w:rsid w:val="328A5A94"/>
    <w:rsid w:val="328B7310"/>
    <w:rsid w:val="328E2276"/>
    <w:rsid w:val="329A6E6D"/>
    <w:rsid w:val="329E1B73"/>
    <w:rsid w:val="329F22A1"/>
    <w:rsid w:val="32A74AD0"/>
    <w:rsid w:val="32C0264B"/>
    <w:rsid w:val="32C11DAC"/>
    <w:rsid w:val="32C12AB0"/>
    <w:rsid w:val="32C31D81"/>
    <w:rsid w:val="32C739DA"/>
    <w:rsid w:val="32C9627A"/>
    <w:rsid w:val="32CE7FA5"/>
    <w:rsid w:val="32D65664"/>
    <w:rsid w:val="32E62AA6"/>
    <w:rsid w:val="32EC3F54"/>
    <w:rsid w:val="32F04CDF"/>
    <w:rsid w:val="3306343B"/>
    <w:rsid w:val="330F2042"/>
    <w:rsid w:val="332A3255"/>
    <w:rsid w:val="332A5E2B"/>
    <w:rsid w:val="332D4E0C"/>
    <w:rsid w:val="333F17C2"/>
    <w:rsid w:val="33510D04"/>
    <w:rsid w:val="33573921"/>
    <w:rsid w:val="335A0E43"/>
    <w:rsid w:val="33611F04"/>
    <w:rsid w:val="3368435C"/>
    <w:rsid w:val="338630FB"/>
    <w:rsid w:val="338A72B2"/>
    <w:rsid w:val="33924F37"/>
    <w:rsid w:val="3394695D"/>
    <w:rsid w:val="33A07250"/>
    <w:rsid w:val="33A243C1"/>
    <w:rsid w:val="33A41472"/>
    <w:rsid w:val="33A608F7"/>
    <w:rsid w:val="33AD2BD0"/>
    <w:rsid w:val="33AF647E"/>
    <w:rsid w:val="33B05639"/>
    <w:rsid w:val="33B6501C"/>
    <w:rsid w:val="33B65F28"/>
    <w:rsid w:val="33BA52ED"/>
    <w:rsid w:val="33BC6186"/>
    <w:rsid w:val="33C57F19"/>
    <w:rsid w:val="33CA5530"/>
    <w:rsid w:val="33CF2779"/>
    <w:rsid w:val="33CF2B0E"/>
    <w:rsid w:val="33E644B5"/>
    <w:rsid w:val="33E800AC"/>
    <w:rsid w:val="33FE42E4"/>
    <w:rsid w:val="33FF75D3"/>
    <w:rsid w:val="34006D54"/>
    <w:rsid w:val="341A4A78"/>
    <w:rsid w:val="341C2326"/>
    <w:rsid w:val="34254374"/>
    <w:rsid w:val="342716CE"/>
    <w:rsid w:val="343030EC"/>
    <w:rsid w:val="34465867"/>
    <w:rsid w:val="34471631"/>
    <w:rsid w:val="3448394B"/>
    <w:rsid w:val="3453055C"/>
    <w:rsid w:val="345C5604"/>
    <w:rsid w:val="34661FD6"/>
    <w:rsid w:val="34695BBC"/>
    <w:rsid w:val="346F257B"/>
    <w:rsid w:val="347231D0"/>
    <w:rsid w:val="34951ECC"/>
    <w:rsid w:val="349823C9"/>
    <w:rsid w:val="34B36D7A"/>
    <w:rsid w:val="34B9064D"/>
    <w:rsid w:val="34C42D8F"/>
    <w:rsid w:val="34CD754F"/>
    <w:rsid w:val="34CE4D4D"/>
    <w:rsid w:val="34CF7864"/>
    <w:rsid w:val="34D5350A"/>
    <w:rsid w:val="35003CA8"/>
    <w:rsid w:val="350C3484"/>
    <w:rsid w:val="35103416"/>
    <w:rsid w:val="35243AF0"/>
    <w:rsid w:val="352944D8"/>
    <w:rsid w:val="352A3E47"/>
    <w:rsid w:val="352C33C6"/>
    <w:rsid w:val="352C5D76"/>
    <w:rsid w:val="35314379"/>
    <w:rsid w:val="3532356B"/>
    <w:rsid w:val="35411821"/>
    <w:rsid w:val="35476C9C"/>
    <w:rsid w:val="35516956"/>
    <w:rsid w:val="35584DBD"/>
    <w:rsid w:val="35665684"/>
    <w:rsid w:val="356A4E54"/>
    <w:rsid w:val="35791434"/>
    <w:rsid w:val="357A4D33"/>
    <w:rsid w:val="357F2D4D"/>
    <w:rsid w:val="3585008B"/>
    <w:rsid w:val="358766CF"/>
    <w:rsid w:val="358B5193"/>
    <w:rsid w:val="358B6F41"/>
    <w:rsid w:val="358C5887"/>
    <w:rsid w:val="358D68E2"/>
    <w:rsid w:val="35913375"/>
    <w:rsid w:val="35942B73"/>
    <w:rsid w:val="359D00D3"/>
    <w:rsid w:val="35AE53BD"/>
    <w:rsid w:val="35B83AB2"/>
    <w:rsid w:val="35C556EC"/>
    <w:rsid w:val="35D310C0"/>
    <w:rsid w:val="35D31E17"/>
    <w:rsid w:val="35DE6813"/>
    <w:rsid w:val="35E87CE2"/>
    <w:rsid w:val="35F42FA2"/>
    <w:rsid w:val="35F5296F"/>
    <w:rsid w:val="35F54D2A"/>
    <w:rsid w:val="360B08D7"/>
    <w:rsid w:val="3610682D"/>
    <w:rsid w:val="361241C1"/>
    <w:rsid w:val="36124FB3"/>
    <w:rsid w:val="361A52F6"/>
    <w:rsid w:val="363E31A9"/>
    <w:rsid w:val="36402220"/>
    <w:rsid w:val="36402BD1"/>
    <w:rsid w:val="36474749"/>
    <w:rsid w:val="36524AD9"/>
    <w:rsid w:val="36585A5E"/>
    <w:rsid w:val="365E01A7"/>
    <w:rsid w:val="365E778E"/>
    <w:rsid w:val="3664775F"/>
    <w:rsid w:val="36677BA4"/>
    <w:rsid w:val="36730100"/>
    <w:rsid w:val="367A55A4"/>
    <w:rsid w:val="367D417F"/>
    <w:rsid w:val="368207A0"/>
    <w:rsid w:val="3684230E"/>
    <w:rsid w:val="368430D5"/>
    <w:rsid w:val="369D7280"/>
    <w:rsid w:val="36B85B0F"/>
    <w:rsid w:val="36BA614E"/>
    <w:rsid w:val="36BC2303"/>
    <w:rsid w:val="36C97D20"/>
    <w:rsid w:val="36D22260"/>
    <w:rsid w:val="36DD4C24"/>
    <w:rsid w:val="36E146EF"/>
    <w:rsid w:val="36E53546"/>
    <w:rsid w:val="36E85489"/>
    <w:rsid w:val="36F9072B"/>
    <w:rsid w:val="36FA078F"/>
    <w:rsid w:val="36FF00B0"/>
    <w:rsid w:val="37022153"/>
    <w:rsid w:val="37031085"/>
    <w:rsid w:val="370474C4"/>
    <w:rsid w:val="37076983"/>
    <w:rsid w:val="370A494B"/>
    <w:rsid w:val="370D6D1C"/>
    <w:rsid w:val="37107771"/>
    <w:rsid w:val="37194AE4"/>
    <w:rsid w:val="37217556"/>
    <w:rsid w:val="37282E4D"/>
    <w:rsid w:val="37305BEE"/>
    <w:rsid w:val="37345351"/>
    <w:rsid w:val="37362159"/>
    <w:rsid w:val="373A10D2"/>
    <w:rsid w:val="373A3985"/>
    <w:rsid w:val="373A6BEE"/>
    <w:rsid w:val="37461CC7"/>
    <w:rsid w:val="3752110A"/>
    <w:rsid w:val="375F395F"/>
    <w:rsid w:val="376D19A4"/>
    <w:rsid w:val="376E6B1A"/>
    <w:rsid w:val="37753A04"/>
    <w:rsid w:val="37757CAE"/>
    <w:rsid w:val="377E29CE"/>
    <w:rsid w:val="377F173F"/>
    <w:rsid w:val="37864043"/>
    <w:rsid w:val="378972AA"/>
    <w:rsid w:val="37907470"/>
    <w:rsid w:val="37956E1E"/>
    <w:rsid w:val="379674DE"/>
    <w:rsid w:val="379931AC"/>
    <w:rsid w:val="37A40276"/>
    <w:rsid w:val="37B11812"/>
    <w:rsid w:val="37BC0171"/>
    <w:rsid w:val="37C34F87"/>
    <w:rsid w:val="37C54ED4"/>
    <w:rsid w:val="37E02662"/>
    <w:rsid w:val="37E13885"/>
    <w:rsid w:val="37E43E64"/>
    <w:rsid w:val="37EB5AA5"/>
    <w:rsid w:val="37F05781"/>
    <w:rsid w:val="37F37919"/>
    <w:rsid w:val="37F610EC"/>
    <w:rsid w:val="37FE1C8F"/>
    <w:rsid w:val="37FF0EE9"/>
    <w:rsid w:val="38002785"/>
    <w:rsid w:val="38027437"/>
    <w:rsid w:val="381E6B8B"/>
    <w:rsid w:val="382E5A86"/>
    <w:rsid w:val="38393CBE"/>
    <w:rsid w:val="383B100E"/>
    <w:rsid w:val="383E2933"/>
    <w:rsid w:val="384773FA"/>
    <w:rsid w:val="38534F76"/>
    <w:rsid w:val="385400A4"/>
    <w:rsid w:val="385E26EA"/>
    <w:rsid w:val="385E6B8E"/>
    <w:rsid w:val="38627EBF"/>
    <w:rsid w:val="386944B7"/>
    <w:rsid w:val="386A6760"/>
    <w:rsid w:val="386B536C"/>
    <w:rsid w:val="386F22BE"/>
    <w:rsid w:val="38700B10"/>
    <w:rsid w:val="387908EC"/>
    <w:rsid w:val="387D6A4B"/>
    <w:rsid w:val="38837A5F"/>
    <w:rsid w:val="38860F6F"/>
    <w:rsid w:val="388E33E2"/>
    <w:rsid w:val="389D21C1"/>
    <w:rsid w:val="38A105E1"/>
    <w:rsid w:val="38A44D6C"/>
    <w:rsid w:val="38AD57F7"/>
    <w:rsid w:val="38B0594D"/>
    <w:rsid w:val="38B97114"/>
    <w:rsid w:val="38BA44C1"/>
    <w:rsid w:val="38BD4296"/>
    <w:rsid w:val="38BF0184"/>
    <w:rsid w:val="38BF31DA"/>
    <w:rsid w:val="38C11303"/>
    <w:rsid w:val="38C51488"/>
    <w:rsid w:val="38CA5A36"/>
    <w:rsid w:val="38D40064"/>
    <w:rsid w:val="38D74259"/>
    <w:rsid w:val="38D974EF"/>
    <w:rsid w:val="38E057E7"/>
    <w:rsid w:val="38E3026B"/>
    <w:rsid w:val="38E3039D"/>
    <w:rsid w:val="38E82845"/>
    <w:rsid w:val="38EB2781"/>
    <w:rsid w:val="38ED3A6E"/>
    <w:rsid w:val="38F26E38"/>
    <w:rsid w:val="38FD7EC6"/>
    <w:rsid w:val="390D076F"/>
    <w:rsid w:val="391A35C4"/>
    <w:rsid w:val="391B571B"/>
    <w:rsid w:val="39243048"/>
    <w:rsid w:val="392B56E0"/>
    <w:rsid w:val="39301A51"/>
    <w:rsid w:val="39306001"/>
    <w:rsid w:val="393B3EAE"/>
    <w:rsid w:val="393F354E"/>
    <w:rsid w:val="39431198"/>
    <w:rsid w:val="394B156F"/>
    <w:rsid w:val="395C1C6E"/>
    <w:rsid w:val="395D2DC0"/>
    <w:rsid w:val="39641A4F"/>
    <w:rsid w:val="39674750"/>
    <w:rsid w:val="396747A2"/>
    <w:rsid w:val="397860D8"/>
    <w:rsid w:val="397A3554"/>
    <w:rsid w:val="397C31B3"/>
    <w:rsid w:val="397D39AE"/>
    <w:rsid w:val="398921AF"/>
    <w:rsid w:val="398B0B61"/>
    <w:rsid w:val="398B39B3"/>
    <w:rsid w:val="398C5807"/>
    <w:rsid w:val="399E79A0"/>
    <w:rsid w:val="39B822CE"/>
    <w:rsid w:val="39BF490D"/>
    <w:rsid w:val="39C2409D"/>
    <w:rsid w:val="39CC47C0"/>
    <w:rsid w:val="39CE6632"/>
    <w:rsid w:val="39D32019"/>
    <w:rsid w:val="39D864CC"/>
    <w:rsid w:val="39E44E71"/>
    <w:rsid w:val="39E632EA"/>
    <w:rsid w:val="39F03816"/>
    <w:rsid w:val="39F07CBA"/>
    <w:rsid w:val="3A271BF8"/>
    <w:rsid w:val="3A2831C5"/>
    <w:rsid w:val="3A2C431E"/>
    <w:rsid w:val="3A456755"/>
    <w:rsid w:val="3A504A96"/>
    <w:rsid w:val="3A52613F"/>
    <w:rsid w:val="3A6305F9"/>
    <w:rsid w:val="3A670157"/>
    <w:rsid w:val="3A761B85"/>
    <w:rsid w:val="3A767FF6"/>
    <w:rsid w:val="3A88165C"/>
    <w:rsid w:val="3A926C66"/>
    <w:rsid w:val="3A972A8C"/>
    <w:rsid w:val="3AA0523C"/>
    <w:rsid w:val="3AA756D0"/>
    <w:rsid w:val="3AB2418F"/>
    <w:rsid w:val="3AB4249C"/>
    <w:rsid w:val="3ABB6BAF"/>
    <w:rsid w:val="3AC67EC1"/>
    <w:rsid w:val="3ACD0E75"/>
    <w:rsid w:val="3ACD3B57"/>
    <w:rsid w:val="3AD03CFE"/>
    <w:rsid w:val="3AD13648"/>
    <w:rsid w:val="3ADE18CF"/>
    <w:rsid w:val="3ADF016A"/>
    <w:rsid w:val="3AE27B2A"/>
    <w:rsid w:val="3AE4135E"/>
    <w:rsid w:val="3AF46A99"/>
    <w:rsid w:val="3AF563E8"/>
    <w:rsid w:val="3B144BD5"/>
    <w:rsid w:val="3B153143"/>
    <w:rsid w:val="3B1629D9"/>
    <w:rsid w:val="3B207D23"/>
    <w:rsid w:val="3B2319C9"/>
    <w:rsid w:val="3B2D62FA"/>
    <w:rsid w:val="3B355022"/>
    <w:rsid w:val="3B357CA1"/>
    <w:rsid w:val="3B3F5839"/>
    <w:rsid w:val="3B4941FD"/>
    <w:rsid w:val="3B4E490B"/>
    <w:rsid w:val="3B4F27BE"/>
    <w:rsid w:val="3B591C6B"/>
    <w:rsid w:val="3B5C5C74"/>
    <w:rsid w:val="3B691806"/>
    <w:rsid w:val="3B695AF9"/>
    <w:rsid w:val="3B7C1836"/>
    <w:rsid w:val="3B8A152F"/>
    <w:rsid w:val="3BAE7072"/>
    <w:rsid w:val="3BB050D9"/>
    <w:rsid w:val="3BB52F69"/>
    <w:rsid w:val="3BB77080"/>
    <w:rsid w:val="3BBE3DDF"/>
    <w:rsid w:val="3BC1546A"/>
    <w:rsid w:val="3BCC0557"/>
    <w:rsid w:val="3BDC465A"/>
    <w:rsid w:val="3BDE7F69"/>
    <w:rsid w:val="3BED1FD5"/>
    <w:rsid w:val="3BF619FB"/>
    <w:rsid w:val="3C044A5B"/>
    <w:rsid w:val="3C0A7C6C"/>
    <w:rsid w:val="3C184476"/>
    <w:rsid w:val="3C1C47B8"/>
    <w:rsid w:val="3C2C30D4"/>
    <w:rsid w:val="3C2C3AC7"/>
    <w:rsid w:val="3C335C3C"/>
    <w:rsid w:val="3C4128CA"/>
    <w:rsid w:val="3C42529E"/>
    <w:rsid w:val="3C4815A4"/>
    <w:rsid w:val="3C485B8B"/>
    <w:rsid w:val="3C4A1903"/>
    <w:rsid w:val="3C4F3C83"/>
    <w:rsid w:val="3C544530"/>
    <w:rsid w:val="3C6A3D54"/>
    <w:rsid w:val="3C6F4603"/>
    <w:rsid w:val="3C7544A7"/>
    <w:rsid w:val="3C797AF3"/>
    <w:rsid w:val="3C846C6E"/>
    <w:rsid w:val="3C865ADA"/>
    <w:rsid w:val="3C8A7F52"/>
    <w:rsid w:val="3C907695"/>
    <w:rsid w:val="3C9C7653"/>
    <w:rsid w:val="3C9D7AAA"/>
    <w:rsid w:val="3C9E038D"/>
    <w:rsid w:val="3C9E17A5"/>
    <w:rsid w:val="3C9E79F6"/>
    <w:rsid w:val="3CA10A32"/>
    <w:rsid w:val="3CA91743"/>
    <w:rsid w:val="3CBF47BD"/>
    <w:rsid w:val="3CCA64FB"/>
    <w:rsid w:val="3CCF4B38"/>
    <w:rsid w:val="3CD35005"/>
    <w:rsid w:val="3CD35B4C"/>
    <w:rsid w:val="3CE369A7"/>
    <w:rsid w:val="3CE97BAF"/>
    <w:rsid w:val="3CFA5D8B"/>
    <w:rsid w:val="3CFB0894"/>
    <w:rsid w:val="3CFC0461"/>
    <w:rsid w:val="3D0372A5"/>
    <w:rsid w:val="3D0E664C"/>
    <w:rsid w:val="3D170310"/>
    <w:rsid w:val="3D2E4D81"/>
    <w:rsid w:val="3D342352"/>
    <w:rsid w:val="3D347D13"/>
    <w:rsid w:val="3D3E2EF3"/>
    <w:rsid w:val="3D4262AC"/>
    <w:rsid w:val="3D426717"/>
    <w:rsid w:val="3D5338E7"/>
    <w:rsid w:val="3D5F1FBE"/>
    <w:rsid w:val="3D617450"/>
    <w:rsid w:val="3D657D67"/>
    <w:rsid w:val="3D683A1B"/>
    <w:rsid w:val="3D8B2468"/>
    <w:rsid w:val="3D9B7F3D"/>
    <w:rsid w:val="3D9D6114"/>
    <w:rsid w:val="3DA20DE3"/>
    <w:rsid w:val="3DA90A55"/>
    <w:rsid w:val="3DAC3EF8"/>
    <w:rsid w:val="3DB07048"/>
    <w:rsid w:val="3DB82D12"/>
    <w:rsid w:val="3DC012DD"/>
    <w:rsid w:val="3DC06A79"/>
    <w:rsid w:val="3DC60F96"/>
    <w:rsid w:val="3DD17372"/>
    <w:rsid w:val="3DD47C23"/>
    <w:rsid w:val="3DE4750C"/>
    <w:rsid w:val="3DE6740A"/>
    <w:rsid w:val="3DFA0DA5"/>
    <w:rsid w:val="3E0C337B"/>
    <w:rsid w:val="3E0F1ECC"/>
    <w:rsid w:val="3E1C3052"/>
    <w:rsid w:val="3E26460A"/>
    <w:rsid w:val="3E293B4B"/>
    <w:rsid w:val="3E330175"/>
    <w:rsid w:val="3E34514D"/>
    <w:rsid w:val="3E3C4FA8"/>
    <w:rsid w:val="3E4339F5"/>
    <w:rsid w:val="3E505EC7"/>
    <w:rsid w:val="3E5500EC"/>
    <w:rsid w:val="3E55633E"/>
    <w:rsid w:val="3E5E5039"/>
    <w:rsid w:val="3E616C3C"/>
    <w:rsid w:val="3E6C0944"/>
    <w:rsid w:val="3E7B7A4A"/>
    <w:rsid w:val="3E803654"/>
    <w:rsid w:val="3E850EE4"/>
    <w:rsid w:val="3E8A329B"/>
    <w:rsid w:val="3E8D4E4D"/>
    <w:rsid w:val="3E8F332C"/>
    <w:rsid w:val="3E986F7F"/>
    <w:rsid w:val="3EA55699"/>
    <w:rsid w:val="3EA771AC"/>
    <w:rsid w:val="3EAD147B"/>
    <w:rsid w:val="3EB05890"/>
    <w:rsid w:val="3EB13807"/>
    <w:rsid w:val="3EB412B6"/>
    <w:rsid w:val="3ED2798E"/>
    <w:rsid w:val="3EDB3BA3"/>
    <w:rsid w:val="3EE03ADE"/>
    <w:rsid w:val="3EE64179"/>
    <w:rsid w:val="3EE76937"/>
    <w:rsid w:val="3EF06066"/>
    <w:rsid w:val="3EF87FF7"/>
    <w:rsid w:val="3EFD33A8"/>
    <w:rsid w:val="3F0406FC"/>
    <w:rsid w:val="3F055FB6"/>
    <w:rsid w:val="3F066DAB"/>
    <w:rsid w:val="3F136CC1"/>
    <w:rsid w:val="3F17452F"/>
    <w:rsid w:val="3F180037"/>
    <w:rsid w:val="3F1D32FF"/>
    <w:rsid w:val="3F2301EA"/>
    <w:rsid w:val="3F2820E7"/>
    <w:rsid w:val="3F2B0856"/>
    <w:rsid w:val="3F2B6F52"/>
    <w:rsid w:val="3F2F3033"/>
    <w:rsid w:val="3F387E59"/>
    <w:rsid w:val="3F422C2A"/>
    <w:rsid w:val="3F47356A"/>
    <w:rsid w:val="3F4C1C0E"/>
    <w:rsid w:val="3F4E463E"/>
    <w:rsid w:val="3F5E56C6"/>
    <w:rsid w:val="3F63679C"/>
    <w:rsid w:val="3F6938D0"/>
    <w:rsid w:val="3F6F3081"/>
    <w:rsid w:val="3F700117"/>
    <w:rsid w:val="3F7D389E"/>
    <w:rsid w:val="3F7E1708"/>
    <w:rsid w:val="3F860670"/>
    <w:rsid w:val="3F86100E"/>
    <w:rsid w:val="3F8A1534"/>
    <w:rsid w:val="3F8E4254"/>
    <w:rsid w:val="3FA2254A"/>
    <w:rsid w:val="3FA96941"/>
    <w:rsid w:val="3FAA0DF6"/>
    <w:rsid w:val="3FB4734E"/>
    <w:rsid w:val="3FC2768D"/>
    <w:rsid w:val="3FC36CCA"/>
    <w:rsid w:val="3FC87792"/>
    <w:rsid w:val="3FCB7F2A"/>
    <w:rsid w:val="3FCE5530"/>
    <w:rsid w:val="3FCF772F"/>
    <w:rsid w:val="3FDA4D4C"/>
    <w:rsid w:val="3FE254CD"/>
    <w:rsid w:val="3FE756FC"/>
    <w:rsid w:val="3FEA491F"/>
    <w:rsid w:val="3FF44E78"/>
    <w:rsid w:val="40172062"/>
    <w:rsid w:val="40213D69"/>
    <w:rsid w:val="402740A5"/>
    <w:rsid w:val="404C52BF"/>
    <w:rsid w:val="404F5D4D"/>
    <w:rsid w:val="40632F94"/>
    <w:rsid w:val="40655023"/>
    <w:rsid w:val="4077259B"/>
    <w:rsid w:val="40792843"/>
    <w:rsid w:val="407A591A"/>
    <w:rsid w:val="407E37B5"/>
    <w:rsid w:val="4082243C"/>
    <w:rsid w:val="40883CF7"/>
    <w:rsid w:val="408B5473"/>
    <w:rsid w:val="40910B41"/>
    <w:rsid w:val="40995956"/>
    <w:rsid w:val="409A38F5"/>
    <w:rsid w:val="409B5FA7"/>
    <w:rsid w:val="409F5F96"/>
    <w:rsid w:val="40A330DF"/>
    <w:rsid w:val="40A531CE"/>
    <w:rsid w:val="40AE7F87"/>
    <w:rsid w:val="40B75094"/>
    <w:rsid w:val="40BA4DA1"/>
    <w:rsid w:val="40BB5E6A"/>
    <w:rsid w:val="40D13A3D"/>
    <w:rsid w:val="40D17E11"/>
    <w:rsid w:val="40E32101"/>
    <w:rsid w:val="40E40EF4"/>
    <w:rsid w:val="40E46DC7"/>
    <w:rsid w:val="40EC10BD"/>
    <w:rsid w:val="40EE1542"/>
    <w:rsid w:val="40EF4827"/>
    <w:rsid w:val="40FA025A"/>
    <w:rsid w:val="40FD49C1"/>
    <w:rsid w:val="41123EF6"/>
    <w:rsid w:val="411A40CF"/>
    <w:rsid w:val="41220EC5"/>
    <w:rsid w:val="41230975"/>
    <w:rsid w:val="412D03F3"/>
    <w:rsid w:val="412D2AD6"/>
    <w:rsid w:val="412F3A20"/>
    <w:rsid w:val="41343398"/>
    <w:rsid w:val="413B0248"/>
    <w:rsid w:val="414508EB"/>
    <w:rsid w:val="414C68E6"/>
    <w:rsid w:val="414D52B4"/>
    <w:rsid w:val="414F3518"/>
    <w:rsid w:val="4151202E"/>
    <w:rsid w:val="415463EF"/>
    <w:rsid w:val="415524D3"/>
    <w:rsid w:val="415E1819"/>
    <w:rsid w:val="416845DA"/>
    <w:rsid w:val="4174141B"/>
    <w:rsid w:val="4179082C"/>
    <w:rsid w:val="417A4F93"/>
    <w:rsid w:val="417E5BAB"/>
    <w:rsid w:val="417F1258"/>
    <w:rsid w:val="41864B84"/>
    <w:rsid w:val="4188751C"/>
    <w:rsid w:val="41A53138"/>
    <w:rsid w:val="41A8033B"/>
    <w:rsid w:val="41B1307E"/>
    <w:rsid w:val="41B70AB0"/>
    <w:rsid w:val="41C769D0"/>
    <w:rsid w:val="41CF0ACA"/>
    <w:rsid w:val="41D03057"/>
    <w:rsid w:val="41DD0B24"/>
    <w:rsid w:val="41DE2A77"/>
    <w:rsid w:val="41E03253"/>
    <w:rsid w:val="41E36E19"/>
    <w:rsid w:val="41EF7623"/>
    <w:rsid w:val="41F13C0E"/>
    <w:rsid w:val="41F22F96"/>
    <w:rsid w:val="41F75F41"/>
    <w:rsid w:val="41F86466"/>
    <w:rsid w:val="41FB5A0C"/>
    <w:rsid w:val="420B1267"/>
    <w:rsid w:val="420C3DA2"/>
    <w:rsid w:val="42286908"/>
    <w:rsid w:val="422C4451"/>
    <w:rsid w:val="423069EF"/>
    <w:rsid w:val="4235735D"/>
    <w:rsid w:val="423E37F0"/>
    <w:rsid w:val="42475603"/>
    <w:rsid w:val="42485C95"/>
    <w:rsid w:val="425012F6"/>
    <w:rsid w:val="4250179E"/>
    <w:rsid w:val="425044D7"/>
    <w:rsid w:val="42535C32"/>
    <w:rsid w:val="425857DD"/>
    <w:rsid w:val="426923B8"/>
    <w:rsid w:val="4272493C"/>
    <w:rsid w:val="428972EF"/>
    <w:rsid w:val="428F4443"/>
    <w:rsid w:val="428F4A31"/>
    <w:rsid w:val="429147FE"/>
    <w:rsid w:val="429F227D"/>
    <w:rsid w:val="42A1213C"/>
    <w:rsid w:val="42A51CE1"/>
    <w:rsid w:val="42A55B7D"/>
    <w:rsid w:val="42A61769"/>
    <w:rsid w:val="42AA1A7C"/>
    <w:rsid w:val="42AE5932"/>
    <w:rsid w:val="42C00537"/>
    <w:rsid w:val="42D73F52"/>
    <w:rsid w:val="42D77361"/>
    <w:rsid w:val="42D77C69"/>
    <w:rsid w:val="42D93D29"/>
    <w:rsid w:val="42DB6CD5"/>
    <w:rsid w:val="42DC011C"/>
    <w:rsid w:val="42E601EB"/>
    <w:rsid w:val="42EF570C"/>
    <w:rsid w:val="42F531B5"/>
    <w:rsid w:val="42FB6F61"/>
    <w:rsid w:val="42FE76C1"/>
    <w:rsid w:val="42FF4ACA"/>
    <w:rsid w:val="43095949"/>
    <w:rsid w:val="43097C2D"/>
    <w:rsid w:val="43122A4F"/>
    <w:rsid w:val="43124F36"/>
    <w:rsid w:val="4318588E"/>
    <w:rsid w:val="431F579B"/>
    <w:rsid w:val="4326360C"/>
    <w:rsid w:val="432C2555"/>
    <w:rsid w:val="43335CC1"/>
    <w:rsid w:val="433C558B"/>
    <w:rsid w:val="433F136A"/>
    <w:rsid w:val="43451340"/>
    <w:rsid w:val="434A5D69"/>
    <w:rsid w:val="435E5395"/>
    <w:rsid w:val="4367241D"/>
    <w:rsid w:val="436A01AC"/>
    <w:rsid w:val="436C4500"/>
    <w:rsid w:val="43712B1F"/>
    <w:rsid w:val="437309AD"/>
    <w:rsid w:val="43784FA8"/>
    <w:rsid w:val="437A0E68"/>
    <w:rsid w:val="437A2A1A"/>
    <w:rsid w:val="437C611B"/>
    <w:rsid w:val="43805C0B"/>
    <w:rsid w:val="438300AB"/>
    <w:rsid w:val="4387343D"/>
    <w:rsid w:val="438C0A54"/>
    <w:rsid w:val="438D4EE7"/>
    <w:rsid w:val="43962210"/>
    <w:rsid w:val="439756A0"/>
    <w:rsid w:val="439F03A2"/>
    <w:rsid w:val="43A5544E"/>
    <w:rsid w:val="43B34911"/>
    <w:rsid w:val="43BE4F53"/>
    <w:rsid w:val="43E77793"/>
    <w:rsid w:val="43F16B09"/>
    <w:rsid w:val="43F46015"/>
    <w:rsid w:val="44107D29"/>
    <w:rsid w:val="441724BF"/>
    <w:rsid w:val="441B5BDA"/>
    <w:rsid w:val="441D64AE"/>
    <w:rsid w:val="4429100B"/>
    <w:rsid w:val="442A1CD7"/>
    <w:rsid w:val="44325AB9"/>
    <w:rsid w:val="44360E78"/>
    <w:rsid w:val="4436451B"/>
    <w:rsid w:val="44397325"/>
    <w:rsid w:val="444063F8"/>
    <w:rsid w:val="44494ED1"/>
    <w:rsid w:val="444D12A5"/>
    <w:rsid w:val="444D5B1E"/>
    <w:rsid w:val="44535B24"/>
    <w:rsid w:val="44567E06"/>
    <w:rsid w:val="445B0426"/>
    <w:rsid w:val="445C19F0"/>
    <w:rsid w:val="446612A5"/>
    <w:rsid w:val="446B2339"/>
    <w:rsid w:val="44731FB5"/>
    <w:rsid w:val="44763C6C"/>
    <w:rsid w:val="44895C8F"/>
    <w:rsid w:val="448A5567"/>
    <w:rsid w:val="449B3DEF"/>
    <w:rsid w:val="44B41773"/>
    <w:rsid w:val="44C6048B"/>
    <w:rsid w:val="44C73BF6"/>
    <w:rsid w:val="44CE765E"/>
    <w:rsid w:val="44E54353"/>
    <w:rsid w:val="44E94013"/>
    <w:rsid w:val="44F60784"/>
    <w:rsid w:val="45010FCD"/>
    <w:rsid w:val="45085062"/>
    <w:rsid w:val="45101705"/>
    <w:rsid w:val="45144E81"/>
    <w:rsid w:val="45156827"/>
    <w:rsid w:val="45196317"/>
    <w:rsid w:val="4532572C"/>
    <w:rsid w:val="453F684C"/>
    <w:rsid w:val="45466C3C"/>
    <w:rsid w:val="455B255E"/>
    <w:rsid w:val="456F24BD"/>
    <w:rsid w:val="4579509E"/>
    <w:rsid w:val="458A4B5F"/>
    <w:rsid w:val="458B6AE9"/>
    <w:rsid w:val="458F4ED8"/>
    <w:rsid w:val="45982883"/>
    <w:rsid w:val="45A007E6"/>
    <w:rsid w:val="45AF3AE3"/>
    <w:rsid w:val="45B16408"/>
    <w:rsid w:val="45C3019F"/>
    <w:rsid w:val="45C35270"/>
    <w:rsid w:val="45CD1B48"/>
    <w:rsid w:val="45D87B89"/>
    <w:rsid w:val="45D95AA6"/>
    <w:rsid w:val="45DD4366"/>
    <w:rsid w:val="45E207C2"/>
    <w:rsid w:val="45E33344"/>
    <w:rsid w:val="45E776AD"/>
    <w:rsid w:val="45F11042"/>
    <w:rsid w:val="45FD4705"/>
    <w:rsid w:val="46020B59"/>
    <w:rsid w:val="460D6EC7"/>
    <w:rsid w:val="46166FEB"/>
    <w:rsid w:val="46183931"/>
    <w:rsid w:val="462058C9"/>
    <w:rsid w:val="463732FC"/>
    <w:rsid w:val="46492715"/>
    <w:rsid w:val="46673204"/>
    <w:rsid w:val="466A136C"/>
    <w:rsid w:val="466C3B0D"/>
    <w:rsid w:val="4674757D"/>
    <w:rsid w:val="46760BE9"/>
    <w:rsid w:val="468227A7"/>
    <w:rsid w:val="468E0F18"/>
    <w:rsid w:val="469103E8"/>
    <w:rsid w:val="4696498F"/>
    <w:rsid w:val="46A05EBD"/>
    <w:rsid w:val="46A70AC9"/>
    <w:rsid w:val="46AC6D17"/>
    <w:rsid w:val="46B958F9"/>
    <w:rsid w:val="46BF1CA7"/>
    <w:rsid w:val="46BF6A4A"/>
    <w:rsid w:val="46C1776A"/>
    <w:rsid w:val="46C36253"/>
    <w:rsid w:val="46C829AE"/>
    <w:rsid w:val="46C978C9"/>
    <w:rsid w:val="46E464B1"/>
    <w:rsid w:val="46EE10DD"/>
    <w:rsid w:val="46F007AC"/>
    <w:rsid w:val="46F2560F"/>
    <w:rsid w:val="470A42C1"/>
    <w:rsid w:val="470F0E67"/>
    <w:rsid w:val="473206F8"/>
    <w:rsid w:val="473F13A0"/>
    <w:rsid w:val="47486A40"/>
    <w:rsid w:val="474A6661"/>
    <w:rsid w:val="47511C78"/>
    <w:rsid w:val="475968AA"/>
    <w:rsid w:val="475A5281"/>
    <w:rsid w:val="47614DEB"/>
    <w:rsid w:val="47694A19"/>
    <w:rsid w:val="47715FBE"/>
    <w:rsid w:val="47731789"/>
    <w:rsid w:val="47780883"/>
    <w:rsid w:val="477B3852"/>
    <w:rsid w:val="478038C5"/>
    <w:rsid w:val="478543C7"/>
    <w:rsid w:val="4788558B"/>
    <w:rsid w:val="478B7226"/>
    <w:rsid w:val="4790525E"/>
    <w:rsid w:val="479532A0"/>
    <w:rsid w:val="479C1DFE"/>
    <w:rsid w:val="47A45408"/>
    <w:rsid w:val="47A8634D"/>
    <w:rsid w:val="47B01496"/>
    <w:rsid w:val="47B72AD2"/>
    <w:rsid w:val="47C045EA"/>
    <w:rsid w:val="47C06F1E"/>
    <w:rsid w:val="47C071CB"/>
    <w:rsid w:val="47C15BE1"/>
    <w:rsid w:val="47CD0003"/>
    <w:rsid w:val="47D01AE2"/>
    <w:rsid w:val="47E10C42"/>
    <w:rsid w:val="47EB5507"/>
    <w:rsid w:val="47FB61A8"/>
    <w:rsid w:val="48016B9F"/>
    <w:rsid w:val="480A3013"/>
    <w:rsid w:val="480D7228"/>
    <w:rsid w:val="480E3E8E"/>
    <w:rsid w:val="48220A7D"/>
    <w:rsid w:val="482B1D2A"/>
    <w:rsid w:val="48356DAD"/>
    <w:rsid w:val="483F781D"/>
    <w:rsid w:val="484237C1"/>
    <w:rsid w:val="485660FA"/>
    <w:rsid w:val="48573D14"/>
    <w:rsid w:val="48580B3E"/>
    <w:rsid w:val="48677BD4"/>
    <w:rsid w:val="486A1469"/>
    <w:rsid w:val="487727EE"/>
    <w:rsid w:val="488100EE"/>
    <w:rsid w:val="48816311"/>
    <w:rsid w:val="488426E1"/>
    <w:rsid w:val="488605B9"/>
    <w:rsid w:val="488B56F9"/>
    <w:rsid w:val="4893370A"/>
    <w:rsid w:val="48967529"/>
    <w:rsid w:val="48971DA8"/>
    <w:rsid w:val="489E1954"/>
    <w:rsid w:val="48A759E8"/>
    <w:rsid w:val="48CB0ECB"/>
    <w:rsid w:val="48CC1E1C"/>
    <w:rsid w:val="48D16F09"/>
    <w:rsid w:val="48E84978"/>
    <w:rsid w:val="48EB658B"/>
    <w:rsid w:val="48EF14DD"/>
    <w:rsid w:val="48FB05DA"/>
    <w:rsid w:val="49127F8A"/>
    <w:rsid w:val="491C59B7"/>
    <w:rsid w:val="492E7EB7"/>
    <w:rsid w:val="494D7D40"/>
    <w:rsid w:val="494E5DA2"/>
    <w:rsid w:val="495415AB"/>
    <w:rsid w:val="49555444"/>
    <w:rsid w:val="4959091E"/>
    <w:rsid w:val="496076FB"/>
    <w:rsid w:val="49724248"/>
    <w:rsid w:val="49773F2A"/>
    <w:rsid w:val="497A1087"/>
    <w:rsid w:val="497A30FC"/>
    <w:rsid w:val="497A5D59"/>
    <w:rsid w:val="498015D8"/>
    <w:rsid w:val="498B3623"/>
    <w:rsid w:val="49952A14"/>
    <w:rsid w:val="49AE2C0E"/>
    <w:rsid w:val="49AF722C"/>
    <w:rsid w:val="49B00826"/>
    <w:rsid w:val="49B77683"/>
    <w:rsid w:val="49BA081D"/>
    <w:rsid w:val="49C53B27"/>
    <w:rsid w:val="49CC7DFC"/>
    <w:rsid w:val="49CE3C72"/>
    <w:rsid w:val="49DA604F"/>
    <w:rsid w:val="49DD3CAB"/>
    <w:rsid w:val="49E2225F"/>
    <w:rsid w:val="49E535B6"/>
    <w:rsid w:val="49E61B6B"/>
    <w:rsid w:val="49F100AA"/>
    <w:rsid w:val="4A045B8F"/>
    <w:rsid w:val="4A0D1B5B"/>
    <w:rsid w:val="4A160C38"/>
    <w:rsid w:val="4A1B033C"/>
    <w:rsid w:val="4A1C07CF"/>
    <w:rsid w:val="4A2203F9"/>
    <w:rsid w:val="4A243738"/>
    <w:rsid w:val="4A293A30"/>
    <w:rsid w:val="4A296BD1"/>
    <w:rsid w:val="4A2E6652"/>
    <w:rsid w:val="4A3B0ADD"/>
    <w:rsid w:val="4A3D0F90"/>
    <w:rsid w:val="4A4617C1"/>
    <w:rsid w:val="4A461E39"/>
    <w:rsid w:val="4A48504D"/>
    <w:rsid w:val="4A4E14BC"/>
    <w:rsid w:val="4A532BEB"/>
    <w:rsid w:val="4A602249"/>
    <w:rsid w:val="4A607706"/>
    <w:rsid w:val="4A6A6D04"/>
    <w:rsid w:val="4A6C10C5"/>
    <w:rsid w:val="4A720863"/>
    <w:rsid w:val="4A783AE0"/>
    <w:rsid w:val="4A7C3BA7"/>
    <w:rsid w:val="4A820A8A"/>
    <w:rsid w:val="4A875443"/>
    <w:rsid w:val="4A8A736F"/>
    <w:rsid w:val="4AA8492D"/>
    <w:rsid w:val="4AAB610E"/>
    <w:rsid w:val="4AAE704D"/>
    <w:rsid w:val="4AB23A41"/>
    <w:rsid w:val="4AB328F1"/>
    <w:rsid w:val="4ABE624A"/>
    <w:rsid w:val="4AC94B13"/>
    <w:rsid w:val="4ACA1875"/>
    <w:rsid w:val="4ACC5BD9"/>
    <w:rsid w:val="4AD53E40"/>
    <w:rsid w:val="4ADF6F8E"/>
    <w:rsid w:val="4AE74C26"/>
    <w:rsid w:val="4AEC622E"/>
    <w:rsid w:val="4AED5845"/>
    <w:rsid w:val="4AFE6296"/>
    <w:rsid w:val="4B0576BF"/>
    <w:rsid w:val="4B057C08"/>
    <w:rsid w:val="4B08322B"/>
    <w:rsid w:val="4B0A0D76"/>
    <w:rsid w:val="4B121D62"/>
    <w:rsid w:val="4B170486"/>
    <w:rsid w:val="4B182BCD"/>
    <w:rsid w:val="4B1845A2"/>
    <w:rsid w:val="4B203CF3"/>
    <w:rsid w:val="4B212BF1"/>
    <w:rsid w:val="4B2B4D5F"/>
    <w:rsid w:val="4B32699A"/>
    <w:rsid w:val="4B45672F"/>
    <w:rsid w:val="4B49547C"/>
    <w:rsid w:val="4B4C1A2C"/>
    <w:rsid w:val="4B5F2826"/>
    <w:rsid w:val="4B647BC0"/>
    <w:rsid w:val="4B6C5A11"/>
    <w:rsid w:val="4B722C20"/>
    <w:rsid w:val="4B755995"/>
    <w:rsid w:val="4B773D97"/>
    <w:rsid w:val="4B890AEE"/>
    <w:rsid w:val="4B897627"/>
    <w:rsid w:val="4B8A64F1"/>
    <w:rsid w:val="4BA74443"/>
    <w:rsid w:val="4BA94D35"/>
    <w:rsid w:val="4BB42DD8"/>
    <w:rsid w:val="4BBA13F6"/>
    <w:rsid w:val="4BBD734A"/>
    <w:rsid w:val="4BBE5B28"/>
    <w:rsid w:val="4BD11041"/>
    <w:rsid w:val="4BD26DED"/>
    <w:rsid w:val="4BD51AA2"/>
    <w:rsid w:val="4BD601FC"/>
    <w:rsid w:val="4BD82EBA"/>
    <w:rsid w:val="4BDA4326"/>
    <w:rsid w:val="4BDA4C07"/>
    <w:rsid w:val="4BDF30B8"/>
    <w:rsid w:val="4BE02CCD"/>
    <w:rsid w:val="4BE921C8"/>
    <w:rsid w:val="4BEB6179"/>
    <w:rsid w:val="4BF54CBC"/>
    <w:rsid w:val="4BF55D76"/>
    <w:rsid w:val="4BFC7993"/>
    <w:rsid w:val="4C0013B8"/>
    <w:rsid w:val="4C002EF6"/>
    <w:rsid w:val="4C075D87"/>
    <w:rsid w:val="4C1A3887"/>
    <w:rsid w:val="4C2C2803"/>
    <w:rsid w:val="4C3103EA"/>
    <w:rsid w:val="4C365A00"/>
    <w:rsid w:val="4C39108E"/>
    <w:rsid w:val="4C3A2F7D"/>
    <w:rsid w:val="4C446BD2"/>
    <w:rsid w:val="4C4736CA"/>
    <w:rsid w:val="4C55041D"/>
    <w:rsid w:val="4C553FE1"/>
    <w:rsid w:val="4C6F5242"/>
    <w:rsid w:val="4C76404F"/>
    <w:rsid w:val="4C823B88"/>
    <w:rsid w:val="4C891777"/>
    <w:rsid w:val="4C9963CB"/>
    <w:rsid w:val="4CA340DD"/>
    <w:rsid w:val="4CA70C74"/>
    <w:rsid w:val="4CB360F6"/>
    <w:rsid w:val="4CB722F1"/>
    <w:rsid w:val="4CBA03DF"/>
    <w:rsid w:val="4CBA47CC"/>
    <w:rsid w:val="4CBD0B0B"/>
    <w:rsid w:val="4CBE1552"/>
    <w:rsid w:val="4CC823D1"/>
    <w:rsid w:val="4CDD0BFD"/>
    <w:rsid w:val="4D0B0C06"/>
    <w:rsid w:val="4D12605C"/>
    <w:rsid w:val="4D137215"/>
    <w:rsid w:val="4D1544C6"/>
    <w:rsid w:val="4D1B3128"/>
    <w:rsid w:val="4D2E0579"/>
    <w:rsid w:val="4D34499A"/>
    <w:rsid w:val="4D3A7F4B"/>
    <w:rsid w:val="4D3D1547"/>
    <w:rsid w:val="4D4B7B8F"/>
    <w:rsid w:val="4D5227EE"/>
    <w:rsid w:val="4D554FA5"/>
    <w:rsid w:val="4D637517"/>
    <w:rsid w:val="4D762B36"/>
    <w:rsid w:val="4D7740CC"/>
    <w:rsid w:val="4D7D31BB"/>
    <w:rsid w:val="4D7F73A8"/>
    <w:rsid w:val="4D8D5D58"/>
    <w:rsid w:val="4D991531"/>
    <w:rsid w:val="4DA13774"/>
    <w:rsid w:val="4DA204FD"/>
    <w:rsid w:val="4DA92B1D"/>
    <w:rsid w:val="4DAC4932"/>
    <w:rsid w:val="4DB25BEC"/>
    <w:rsid w:val="4DB4595F"/>
    <w:rsid w:val="4DC4528E"/>
    <w:rsid w:val="4DCB3F26"/>
    <w:rsid w:val="4DE04078"/>
    <w:rsid w:val="4DE76342"/>
    <w:rsid w:val="4DE82D2A"/>
    <w:rsid w:val="4DEA4DA3"/>
    <w:rsid w:val="4E0B73FE"/>
    <w:rsid w:val="4E0D390F"/>
    <w:rsid w:val="4E1B26C5"/>
    <w:rsid w:val="4E213BDF"/>
    <w:rsid w:val="4E2803C3"/>
    <w:rsid w:val="4E3A1F90"/>
    <w:rsid w:val="4E48034E"/>
    <w:rsid w:val="4E56346D"/>
    <w:rsid w:val="4E5A1A27"/>
    <w:rsid w:val="4E5C1022"/>
    <w:rsid w:val="4E646F24"/>
    <w:rsid w:val="4E6507D7"/>
    <w:rsid w:val="4E675B1D"/>
    <w:rsid w:val="4E6E362C"/>
    <w:rsid w:val="4E802F63"/>
    <w:rsid w:val="4E81125C"/>
    <w:rsid w:val="4E83599C"/>
    <w:rsid w:val="4E853A3B"/>
    <w:rsid w:val="4E8B1C34"/>
    <w:rsid w:val="4E92461E"/>
    <w:rsid w:val="4E9626BE"/>
    <w:rsid w:val="4E9638A9"/>
    <w:rsid w:val="4E992D10"/>
    <w:rsid w:val="4EA05357"/>
    <w:rsid w:val="4EA16FF3"/>
    <w:rsid w:val="4EA66A18"/>
    <w:rsid w:val="4EA73413"/>
    <w:rsid w:val="4EA86C97"/>
    <w:rsid w:val="4EAF2B00"/>
    <w:rsid w:val="4EB22038"/>
    <w:rsid w:val="4EB27BCE"/>
    <w:rsid w:val="4EB74D36"/>
    <w:rsid w:val="4EB90EA2"/>
    <w:rsid w:val="4EBC7D13"/>
    <w:rsid w:val="4EBE4412"/>
    <w:rsid w:val="4EE3576F"/>
    <w:rsid w:val="4EEE1F94"/>
    <w:rsid w:val="4EEE400B"/>
    <w:rsid w:val="4F053468"/>
    <w:rsid w:val="4F0B065C"/>
    <w:rsid w:val="4F1A33B7"/>
    <w:rsid w:val="4F1E5992"/>
    <w:rsid w:val="4F385770"/>
    <w:rsid w:val="4F3E2A4C"/>
    <w:rsid w:val="4F4915A7"/>
    <w:rsid w:val="4F4F0B87"/>
    <w:rsid w:val="4F5166AD"/>
    <w:rsid w:val="4F5E25CD"/>
    <w:rsid w:val="4F604F02"/>
    <w:rsid w:val="4F701D58"/>
    <w:rsid w:val="4F7C79F6"/>
    <w:rsid w:val="4F863125"/>
    <w:rsid w:val="4F876573"/>
    <w:rsid w:val="4F8A042C"/>
    <w:rsid w:val="4F8B0FDD"/>
    <w:rsid w:val="4F8B7E11"/>
    <w:rsid w:val="4FB37368"/>
    <w:rsid w:val="4FB76E58"/>
    <w:rsid w:val="4FCD6809"/>
    <w:rsid w:val="4FCE520D"/>
    <w:rsid w:val="4FD223C2"/>
    <w:rsid w:val="4FD673E7"/>
    <w:rsid w:val="4FD907AF"/>
    <w:rsid w:val="4FD90845"/>
    <w:rsid w:val="4FEB3717"/>
    <w:rsid w:val="4FED0CF6"/>
    <w:rsid w:val="4FEF6637"/>
    <w:rsid w:val="4FFB2FE8"/>
    <w:rsid w:val="4FFF0BC5"/>
    <w:rsid w:val="500719AA"/>
    <w:rsid w:val="50075771"/>
    <w:rsid w:val="500C0B92"/>
    <w:rsid w:val="501716A5"/>
    <w:rsid w:val="502C203B"/>
    <w:rsid w:val="502C3EA9"/>
    <w:rsid w:val="502C67FC"/>
    <w:rsid w:val="50430A48"/>
    <w:rsid w:val="50461F8A"/>
    <w:rsid w:val="504F1365"/>
    <w:rsid w:val="505B3C87"/>
    <w:rsid w:val="505E5B99"/>
    <w:rsid w:val="506718B7"/>
    <w:rsid w:val="5071746A"/>
    <w:rsid w:val="50852092"/>
    <w:rsid w:val="50923421"/>
    <w:rsid w:val="50925DCF"/>
    <w:rsid w:val="509E52BC"/>
    <w:rsid w:val="50A23644"/>
    <w:rsid w:val="50AA5EA2"/>
    <w:rsid w:val="50B45F81"/>
    <w:rsid w:val="50BA1FBE"/>
    <w:rsid w:val="50BB0C9C"/>
    <w:rsid w:val="50C66322"/>
    <w:rsid w:val="50D87AFB"/>
    <w:rsid w:val="50DF3C0F"/>
    <w:rsid w:val="50E33F5F"/>
    <w:rsid w:val="50E439FF"/>
    <w:rsid w:val="50EB59D2"/>
    <w:rsid w:val="50F04C12"/>
    <w:rsid w:val="50F25C6E"/>
    <w:rsid w:val="50F375E2"/>
    <w:rsid w:val="50FB7701"/>
    <w:rsid w:val="50FF1DB6"/>
    <w:rsid w:val="51002139"/>
    <w:rsid w:val="510406E8"/>
    <w:rsid w:val="51085492"/>
    <w:rsid w:val="511E3AD4"/>
    <w:rsid w:val="512F31FF"/>
    <w:rsid w:val="51305306"/>
    <w:rsid w:val="513137CC"/>
    <w:rsid w:val="51403F9F"/>
    <w:rsid w:val="514209A3"/>
    <w:rsid w:val="51537D70"/>
    <w:rsid w:val="51570F01"/>
    <w:rsid w:val="515E0FB5"/>
    <w:rsid w:val="515F19E9"/>
    <w:rsid w:val="51607CBB"/>
    <w:rsid w:val="516605CF"/>
    <w:rsid w:val="518A5C2E"/>
    <w:rsid w:val="518A5EA7"/>
    <w:rsid w:val="51A1454B"/>
    <w:rsid w:val="51A84767"/>
    <w:rsid w:val="51AA65F7"/>
    <w:rsid w:val="51B62397"/>
    <w:rsid w:val="51BC1787"/>
    <w:rsid w:val="51C21AE4"/>
    <w:rsid w:val="51C86B8E"/>
    <w:rsid w:val="51CC069A"/>
    <w:rsid w:val="51CF4532"/>
    <w:rsid w:val="51D804B4"/>
    <w:rsid w:val="51E422CB"/>
    <w:rsid w:val="51E43809"/>
    <w:rsid w:val="51E8060F"/>
    <w:rsid w:val="51EC765F"/>
    <w:rsid w:val="51F16B3D"/>
    <w:rsid w:val="51F229FE"/>
    <w:rsid w:val="51F53573"/>
    <w:rsid w:val="521E1349"/>
    <w:rsid w:val="521E66F5"/>
    <w:rsid w:val="523B4D85"/>
    <w:rsid w:val="523C02B0"/>
    <w:rsid w:val="524D3AE9"/>
    <w:rsid w:val="526823F0"/>
    <w:rsid w:val="527502CA"/>
    <w:rsid w:val="527554BB"/>
    <w:rsid w:val="527C0749"/>
    <w:rsid w:val="528A2602"/>
    <w:rsid w:val="52905870"/>
    <w:rsid w:val="52926822"/>
    <w:rsid w:val="52A130F6"/>
    <w:rsid w:val="52A22D11"/>
    <w:rsid w:val="52A766E1"/>
    <w:rsid w:val="52AC0709"/>
    <w:rsid w:val="52BD6729"/>
    <w:rsid w:val="52C41E12"/>
    <w:rsid w:val="52E16972"/>
    <w:rsid w:val="52E92F1C"/>
    <w:rsid w:val="52EE25D7"/>
    <w:rsid w:val="52F065CF"/>
    <w:rsid w:val="52FB4A47"/>
    <w:rsid w:val="5301764C"/>
    <w:rsid w:val="53052068"/>
    <w:rsid w:val="531613D5"/>
    <w:rsid w:val="532531DA"/>
    <w:rsid w:val="5326485D"/>
    <w:rsid w:val="53341322"/>
    <w:rsid w:val="534B24DD"/>
    <w:rsid w:val="534E163E"/>
    <w:rsid w:val="53502F7D"/>
    <w:rsid w:val="535C3F95"/>
    <w:rsid w:val="535D4DF7"/>
    <w:rsid w:val="5361584A"/>
    <w:rsid w:val="536746F1"/>
    <w:rsid w:val="5370077C"/>
    <w:rsid w:val="53703479"/>
    <w:rsid w:val="5380799B"/>
    <w:rsid w:val="53901715"/>
    <w:rsid w:val="53966D85"/>
    <w:rsid w:val="539A0F3A"/>
    <w:rsid w:val="539B2198"/>
    <w:rsid w:val="53B84F4D"/>
    <w:rsid w:val="53BB339A"/>
    <w:rsid w:val="53C061B3"/>
    <w:rsid w:val="53D036E8"/>
    <w:rsid w:val="53D76D45"/>
    <w:rsid w:val="53DE1FD4"/>
    <w:rsid w:val="53E82F40"/>
    <w:rsid w:val="53F06A6C"/>
    <w:rsid w:val="53F52DB0"/>
    <w:rsid w:val="53F65113"/>
    <w:rsid w:val="53F82370"/>
    <w:rsid w:val="53FB3425"/>
    <w:rsid w:val="542125F0"/>
    <w:rsid w:val="54275D91"/>
    <w:rsid w:val="54280325"/>
    <w:rsid w:val="543E778F"/>
    <w:rsid w:val="54422A68"/>
    <w:rsid w:val="546A180E"/>
    <w:rsid w:val="546F7D17"/>
    <w:rsid w:val="54795F47"/>
    <w:rsid w:val="547A0E33"/>
    <w:rsid w:val="547A5773"/>
    <w:rsid w:val="547E786A"/>
    <w:rsid w:val="547F6359"/>
    <w:rsid w:val="548E5CAE"/>
    <w:rsid w:val="54947D3B"/>
    <w:rsid w:val="549534E0"/>
    <w:rsid w:val="549D5884"/>
    <w:rsid w:val="54A54836"/>
    <w:rsid w:val="54A73AC0"/>
    <w:rsid w:val="54B03E76"/>
    <w:rsid w:val="54B03FC7"/>
    <w:rsid w:val="54C1169C"/>
    <w:rsid w:val="54C35E18"/>
    <w:rsid w:val="54EA2131"/>
    <w:rsid w:val="54EA382C"/>
    <w:rsid w:val="54EB309E"/>
    <w:rsid w:val="54EC5A2D"/>
    <w:rsid w:val="54EE5FDC"/>
    <w:rsid w:val="54F04376"/>
    <w:rsid w:val="54F71AA5"/>
    <w:rsid w:val="55004CFF"/>
    <w:rsid w:val="55012092"/>
    <w:rsid w:val="550F3F02"/>
    <w:rsid w:val="55114ABC"/>
    <w:rsid w:val="551279F4"/>
    <w:rsid w:val="55157DA7"/>
    <w:rsid w:val="55174095"/>
    <w:rsid w:val="5521003C"/>
    <w:rsid w:val="552606F6"/>
    <w:rsid w:val="552705DC"/>
    <w:rsid w:val="55330309"/>
    <w:rsid w:val="5533455A"/>
    <w:rsid w:val="55424A71"/>
    <w:rsid w:val="555B2624"/>
    <w:rsid w:val="555E2C46"/>
    <w:rsid w:val="557506AA"/>
    <w:rsid w:val="55794CF5"/>
    <w:rsid w:val="55794E5A"/>
    <w:rsid w:val="557F21C6"/>
    <w:rsid w:val="55853E2D"/>
    <w:rsid w:val="558730FA"/>
    <w:rsid w:val="55920E89"/>
    <w:rsid w:val="55960A33"/>
    <w:rsid w:val="55A529D5"/>
    <w:rsid w:val="55A65FE6"/>
    <w:rsid w:val="55B26E6C"/>
    <w:rsid w:val="55BB555F"/>
    <w:rsid w:val="55C5261B"/>
    <w:rsid w:val="55C57888"/>
    <w:rsid w:val="55CE2580"/>
    <w:rsid w:val="55DD1A43"/>
    <w:rsid w:val="55E71B19"/>
    <w:rsid w:val="55E77D6B"/>
    <w:rsid w:val="55F51012"/>
    <w:rsid w:val="55FE75D7"/>
    <w:rsid w:val="5600532A"/>
    <w:rsid w:val="56013494"/>
    <w:rsid w:val="56040F00"/>
    <w:rsid w:val="56083103"/>
    <w:rsid w:val="56163E85"/>
    <w:rsid w:val="561A0FDF"/>
    <w:rsid w:val="561D378D"/>
    <w:rsid w:val="561F17C7"/>
    <w:rsid w:val="56212E8F"/>
    <w:rsid w:val="562667B6"/>
    <w:rsid w:val="562C73F2"/>
    <w:rsid w:val="563B176E"/>
    <w:rsid w:val="56503B63"/>
    <w:rsid w:val="56561399"/>
    <w:rsid w:val="565F6008"/>
    <w:rsid w:val="5660068D"/>
    <w:rsid w:val="56647D13"/>
    <w:rsid w:val="567D5FDA"/>
    <w:rsid w:val="56852406"/>
    <w:rsid w:val="5687056D"/>
    <w:rsid w:val="568775D5"/>
    <w:rsid w:val="569C7C97"/>
    <w:rsid w:val="56AA567C"/>
    <w:rsid w:val="56AD2853"/>
    <w:rsid w:val="56C80005"/>
    <w:rsid w:val="56CA65C8"/>
    <w:rsid w:val="56D22F37"/>
    <w:rsid w:val="56D60EA0"/>
    <w:rsid w:val="56DD1AD8"/>
    <w:rsid w:val="56E245C2"/>
    <w:rsid w:val="56EA1190"/>
    <w:rsid w:val="56ED0E2F"/>
    <w:rsid w:val="56F95FA8"/>
    <w:rsid w:val="56FB6596"/>
    <w:rsid w:val="57010C56"/>
    <w:rsid w:val="57030BD5"/>
    <w:rsid w:val="570A4191"/>
    <w:rsid w:val="571726E9"/>
    <w:rsid w:val="571A00D6"/>
    <w:rsid w:val="572365D7"/>
    <w:rsid w:val="57250B4B"/>
    <w:rsid w:val="572A0857"/>
    <w:rsid w:val="572B370A"/>
    <w:rsid w:val="573265F8"/>
    <w:rsid w:val="573B7A5B"/>
    <w:rsid w:val="574229C5"/>
    <w:rsid w:val="574878C7"/>
    <w:rsid w:val="575C50F4"/>
    <w:rsid w:val="575D1138"/>
    <w:rsid w:val="576B22D6"/>
    <w:rsid w:val="57771C26"/>
    <w:rsid w:val="57787490"/>
    <w:rsid w:val="57814C70"/>
    <w:rsid w:val="57872519"/>
    <w:rsid w:val="57980FE9"/>
    <w:rsid w:val="579A4AF6"/>
    <w:rsid w:val="57A525D9"/>
    <w:rsid w:val="57BB325E"/>
    <w:rsid w:val="57C425DC"/>
    <w:rsid w:val="57CC454B"/>
    <w:rsid w:val="57CF0AB7"/>
    <w:rsid w:val="57E24C8E"/>
    <w:rsid w:val="57E75D50"/>
    <w:rsid w:val="57F17208"/>
    <w:rsid w:val="57F66835"/>
    <w:rsid w:val="58081DB3"/>
    <w:rsid w:val="58274155"/>
    <w:rsid w:val="58294241"/>
    <w:rsid w:val="584049B3"/>
    <w:rsid w:val="58420208"/>
    <w:rsid w:val="58464847"/>
    <w:rsid w:val="584E26C1"/>
    <w:rsid w:val="58572CD8"/>
    <w:rsid w:val="586559A8"/>
    <w:rsid w:val="586629DA"/>
    <w:rsid w:val="58733F5C"/>
    <w:rsid w:val="58767185"/>
    <w:rsid w:val="588308A8"/>
    <w:rsid w:val="58845740"/>
    <w:rsid w:val="58871392"/>
    <w:rsid w:val="589351A4"/>
    <w:rsid w:val="5896551B"/>
    <w:rsid w:val="58B309F1"/>
    <w:rsid w:val="58B72279"/>
    <w:rsid w:val="58B74741"/>
    <w:rsid w:val="58B83CE2"/>
    <w:rsid w:val="58C51515"/>
    <w:rsid w:val="58C6010C"/>
    <w:rsid w:val="58C62E27"/>
    <w:rsid w:val="58C919AA"/>
    <w:rsid w:val="58E5041D"/>
    <w:rsid w:val="58F1294A"/>
    <w:rsid w:val="58FB73D6"/>
    <w:rsid w:val="58FD7D58"/>
    <w:rsid w:val="59061A27"/>
    <w:rsid w:val="590F5C65"/>
    <w:rsid w:val="591853E8"/>
    <w:rsid w:val="591B2843"/>
    <w:rsid w:val="59210EB4"/>
    <w:rsid w:val="593947E3"/>
    <w:rsid w:val="593C5048"/>
    <w:rsid w:val="59457283"/>
    <w:rsid w:val="59515238"/>
    <w:rsid w:val="59657D3C"/>
    <w:rsid w:val="596E38D3"/>
    <w:rsid w:val="597D1E7D"/>
    <w:rsid w:val="5982004F"/>
    <w:rsid w:val="59895F1F"/>
    <w:rsid w:val="59980CDE"/>
    <w:rsid w:val="59B826D3"/>
    <w:rsid w:val="59BC7E7B"/>
    <w:rsid w:val="59C535A6"/>
    <w:rsid w:val="59CC1752"/>
    <w:rsid w:val="59D157B0"/>
    <w:rsid w:val="59DF2CD6"/>
    <w:rsid w:val="59F45FF0"/>
    <w:rsid w:val="59FB5146"/>
    <w:rsid w:val="59FD4598"/>
    <w:rsid w:val="5A023854"/>
    <w:rsid w:val="5A0A679F"/>
    <w:rsid w:val="5A160C1F"/>
    <w:rsid w:val="5A1A74F8"/>
    <w:rsid w:val="5A1B4BEB"/>
    <w:rsid w:val="5A247B70"/>
    <w:rsid w:val="5A383ED2"/>
    <w:rsid w:val="5A5B300B"/>
    <w:rsid w:val="5A652B20"/>
    <w:rsid w:val="5A6849F3"/>
    <w:rsid w:val="5A7032C1"/>
    <w:rsid w:val="5A714292"/>
    <w:rsid w:val="5A88242E"/>
    <w:rsid w:val="5A8B5837"/>
    <w:rsid w:val="5A92448B"/>
    <w:rsid w:val="5A930B37"/>
    <w:rsid w:val="5AAE70AA"/>
    <w:rsid w:val="5AB0697E"/>
    <w:rsid w:val="5AB45025"/>
    <w:rsid w:val="5ACB2013"/>
    <w:rsid w:val="5ACD6D46"/>
    <w:rsid w:val="5AD563E4"/>
    <w:rsid w:val="5ADA0D47"/>
    <w:rsid w:val="5ADC54EF"/>
    <w:rsid w:val="5AE14981"/>
    <w:rsid w:val="5AE62F81"/>
    <w:rsid w:val="5AE825BC"/>
    <w:rsid w:val="5AEA0FA7"/>
    <w:rsid w:val="5AED47E5"/>
    <w:rsid w:val="5AFD0BF1"/>
    <w:rsid w:val="5B112B5D"/>
    <w:rsid w:val="5B124F65"/>
    <w:rsid w:val="5B1D5854"/>
    <w:rsid w:val="5B2500E8"/>
    <w:rsid w:val="5B2863B2"/>
    <w:rsid w:val="5B2F70E1"/>
    <w:rsid w:val="5B303F63"/>
    <w:rsid w:val="5B381E17"/>
    <w:rsid w:val="5B3B0A0E"/>
    <w:rsid w:val="5B400EA9"/>
    <w:rsid w:val="5B4052D8"/>
    <w:rsid w:val="5B461CBE"/>
    <w:rsid w:val="5B522D0F"/>
    <w:rsid w:val="5B5352EA"/>
    <w:rsid w:val="5B553ED0"/>
    <w:rsid w:val="5B6360E6"/>
    <w:rsid w:val="5B727555"/>
    <w:rsid w:val="5B765E19"/>
    <w:rsid w:val="5B7751B8"/>
    <w:rsid w:val="5B7C14C7"/>
    <w:rsid w:val="5B7E649B"/>
    <w:rsid w:val="5B91427C"/>
    <w:rsid w:val="5B9938E2"/>
    <w:rsid w:val="5B9F67CE"/>
    <w:rsid w:val="5BA1276A"/>
    <w:rsid w:val="5BB84E1A"/>
    <w:rsid w:val="5BC16F37"/>
    <w:rsid w:val="5BC858E5"/>
    <w:rsid w:val="5BD159CA"/>
    <w:rsid w:val="5BD936B8"/>
    <w:rsid w:val="5BE1525E"/>
    <w:rsid w:val="5BF0675E"/>
    <w:rsid w:val="5BF6163A"/>
    <w:rsid w:val="5C084598"/>
    <w:rsid w:val="5C0F71CB"/>
    <w:rsid w:val="5C10491C"/>
    <w:rsid w:val="5C1729EF"/>
    <w:rsid w:val="5C2F3BCB"/>
    <w:rsid w:val="5C3234EE"/>
    <w:rsid w:val="5C3435DF"/>
    <w:rsid w:val="5C3758D9"/>
    <w:rsid w:val="5C3F21BC"/>
    <w:rsid w:val="5C401896"/>
    <w:rsid w:val="5C4E7ED9"/>
    <w:rsid w:val="5C526FA0"/>
    <w:rsid w:val="5C544E2F"/>
    <w:rsid w:val="5C776B3C"/>
    <w:rsid w:val="5C891B7C"/>
    <w:rsid w:val="5C932710"/>
    <w:rsid w:val="5CA02A22"/>
    <w:rsid w:val="5CA2391C"/>
    <w:rsid w:val="5CAD3EE6"/>
    <w:rsid w:val="5CBB032F"/>
    <w:rsid w:val="5CCC318E"/>
    <w:rsid w:val="5CCD3D2B"/>
    <w:rsid w:val="5CD83FC0"/>
    <w:rsid w:val="5CF6611B"/>
    <w:rsid w:val="5CFB1C4A"/>
    <w:rsid w:val="5CFE1DA8"/>
    <w:rsid w:val="5D1D170E"/>
    <w:rsid w:val="5D2F526A"/>
    <w:rsid w:val="5D342320"/>
    <w:rsid w:val="5D3D6D53"/>
    <w:rsid w:val="5D4641F2"/>
    <w:rsid w:val="5D465377"/>
    <w:rsid w:val="5D53182F"/>
    <w:rsid w:val="5D556264"/>
    <w:rsid w:val="5D63417B"/>
    <w:rsid w:val="5D6366B7"/>
    <w:rsid w:val="5D6A3693"/>
    <w:rsid w:val="5D6A7100"/>
    <w:rsid w:val="5D712654"/>
    <w:rsid w:val="5D727799"/>
    <w:rsid w:val="5D787B5F"/>
    <w:rsid w:val="5D81050F"/>
    <w:rsid w:val="5D853D32"/>
    <w:rsid w:val="5D884EF0"/>
    <w:rsid w:val="5D8873B0"/>
    <w:rsid w:val="5D8F74AA"/>
    <w:rsid w:val="5D925BC6"/>
    <w:rsid w:val="5DA24FAA"/>
    <w:rsid w:val="5DAD0543"/>
    <w:rsid w:val="5DAE1001"/>
    <w:rsid w:val="5DB46388"/>
    <w:rsid w:val="5DB76491"/>
    <w:rsid w:val="5DC067DE"/>
    <w:rsid w:val="5DC12664"/>
    <w:rsid w:val="5DC343A0"/>
    <w:rsid w:val="5DEF3C61"/>
    <w:rsid w:val="5DFF6B4C"/>
    <w:rsid w:val="5E083166"/>
    <w:rsid w:val="5E0E68B4"/>
    <w:rsid w:val="5E100F70"/>
    <w:rsid w:val="5E1562B7"/>
    <w:rsid w:val="5E1F0DAB"/>
    <w:rsid w:val="5E1F5164"/>
    <w:rsid w:val="5E37599B"/>
    <w:rsid w:val="5E3B3833"/>
    <w:rsid w:val="5E3D4CD3"/>
    <w:rsid w:val="5E440547"/>
    <w:rsid w:val="5E5432D4"/>
    <w:rsid w:val="5E5C6A0A"/>
    <w:rsid w:val="5E5D48AD"/>
    <w:rsid w:val="5E5E21CA"/>
    <w:rsid w:val="5E60056F"/>
    <w:rsid w:val="5E6401CE"/>
    <w:rsid w:val="5E67188D"/>
    <w:rsid w:val="5E68139B"/>
    <w:rsid w:val="5E6F4DA2"/>
    <w:rsid w:val="5E6F658B"/>
    <w:rsid w:val="5E70701B"/>
    <w:rsid w:val="5E745B1D"/>
    <w:rsid w:val="5E77539D"/>
    <w:rsid w:val="5E7A5C08"/>
    <w:rsid w:val="5E862351"/>
    <w:rsid w:val="5E8720EC"/>
    <w:rsid w:val="5E88370B"/>
    <w:rsid w:val="5E8E5D32"/>
    <w:rsid w:val="5E9003D3"/>
    <w:rsid w:val="5E932C34"/>
    <w:rsid w:val="5E97180C"/>
    <w:rsid w:val="5E9D36BD"/>
    <w:rsid w:val="5EA1722C"/>
    <w:rsid w:val="5EA356D3"/>
    <w:rsid w:val="5EA4254B"/>
    <w:rsid w:val="5EB3484C"/>
    <w:rsid w:val="5EBF461E"/>
    <w:rsid w:val="5EC21586"/>
    <w:rsid w:val="5EC330C6"/>
    <w:rsid w:val="5EC45060"/>
    <w:rsid w:val="5EC651E1"/>
    <w:rsid w:val="5ED22713"/>
    <w:rsid w:val="5EDD6435"/>
    <w:rsid w:val="5EDE7697"/>
    <w:rsid w:val="5EE309A0"/>
    <w:rsid w:val="5EE62DDD"/>
    <w:rsid w:val="5EEF475F"/>
    <w:rsid w:val="5EF3439D"/>
    <w:rsid w:val="5EF57055"/>
    <w:rsid w:val="5EF84D97"/>
    <w:rsid w:val="5F053CC6"/>
    <w:rsid w:val="5F054751"/>
    <w:rsid w:val="5F076D88"/>
    <w:rsid w:val="5F133964"/>
    <w:rsid w:val="5F1A0ED2"/>
    <w:rsid w:val="5F2711D9"/>
    <w:rsid w:val="5F2C2DD7"/>
    <w:rsid w:val="5F3B47FA"/>
    <w:rsid w:val="5F3C70AC"/>
    <w:rsid w:val="5F3F173B"/>
    <w:rsid w:val="5F504366"/>
    <w:rsid w:val="5F565C8E"/>
    <w:rsid w:val="5F5D70D4"/>
    <w:rsid w:val="5F6366B5"/>
    <w:rsid w:val="5F6651C6"/>
    <w:rsid w:val="5F6B4B06"/>
    <w:rsid w:val="5F6E3889"/>
    <w:rsid w:val="5F797E26"/>
    <w:rsid w:val="5F93686E"/>
    <w:rsid w:val="5F9A5D5A"/>
    <w:rsid w:val="5FAC312F"/>
    <w:rsid w:val="5FB436E6"/>
    <w:rsid w:val="5FB47D88"/>
    <w:rsid w:val="5FD046D2"/>
    <w:rsid w:val="5FD16B14"/>
    <w:rsid w:val="5FDA3307"/>
    <w:rsid w:val="5FDC0215"/>
    <w:rsid w:val="5FE82BDB"/>
    <w:rsid w:val="5FEA0D0D"/>
    <w:rsid w:val="5FEB708B"/>
    <w:rsid w:val="5FF27A39"/>
    <w:rsid w:val="5FFB6A69"/>
    <w:rsid w:val="600E1CE0"/>
    <w:rsid w:val="601075D4"/>
    <w:rsid w:val="601259E5"/>
    <w:rsid w:val="601B2655"/>
    <w:rsid w:val="601C4DD6"/>
    <w:rsid w:val="60227434"/>
    <w:rsid w:val="60235E44"/>
    <w:rsid w:val="6028345A"/>
    <w:rsid w:val="602E7B97"/>
    <w:rsid w:val="602F37F0"/>
    <w:rsid w:val="602F6FCC"/>
    <w:rsid w:val="60397415"/>
    <w:rsid w:val="604832F8"/>
    <w:rsid w:val="60687291"/>
    <w:rsid w:val="606B4B2E"/>
    <w:rsid w:val="606F2B11"/>
    <w:rsid w:val="60795F5E"/>
    <w:rsid w:val="608367B3"/>
    <w:rsid w:val="60896DC4"/>
    <w:rsid w:val="60911000"/>
    <w:rsid w:val="60940E4B"/>
    <w:rsid w:val="60986577"/>
    <w:rsid w:val="60A44C40"/>
    <w:rsid w:val="60B44395"/>
    <w:rsid w:val="60B76980"/>
    <w:rsid w:val="60BB5514"/>
    <w:rsid w:val="60BF2298"/>
    <w:rsid w:val="60C211B9"/>
    <w:rsid w:val="60C45B59"/>
    <w:rsid w:val="60CB2763"/>
    <w:rsid w:val="60CC2BD4"/>
    <w:rsid w:val="60D01214"/>
    <w:rsid w:val="60D14934"/>
    <w:rsid w:val="60DB03EA"/>
    <w:rsid w:val="60E45AA4"/>
    <w:rsid w:val="60E4661B"/>
    <w:rsid w:val="60EF684A"/>
    <w:rsid w:val="60F3445D"/>
    <w:rsid w:val="60F64ECC"/>
    <w:rsid w:val="60FF5652"/>
    <w:rsid w:val="61060DD4"/>
    <w:rsid w:val="6107453E"/>
    <w:rsid w:val="61150E4A"/>
    <w:rsid w:val="611512FD"/>
    <w:rsid w:val="61163E52"/>
    <w:rsid w:val="61213C4E"/>
    <w:rsid w:val="61266794"/>
    <w:rsid w:val="61334BB7"/>
    <w:rsid w:val="61352A72"/>
    <w:rsid w:val="613A5FAD"/>
    <w:rsid w:val="614044CD"/>
    <w:rsid w:val="614A0F6E"/>
    <w:rsid w:val="61503B58"/>
    <w:rsid w:val="61545938"/>
    <w:rsid w:val="61575DC7"/>
    <w:rsid w:val="61587D6F"/>
    <w:rsid w:val="61614E76"/>
    <w:rsid w:val="616664C6"/>
    <w:rsid w:val="616B66BF"/>
    <w:rsid w:val="616B7AA3"/>
    <w:rsid w:val="616F7C09"/>
    <w:rsid w:val="61727B24"/>
    <w:rsid w:val="61842E12"/>
    <w:rsid w:val="618565DC"/>
    <w:rsid w:val="619863BE"/>
    <w:rsid w:val="619F14FA"/>
    <w:rsid w:val="61A302D5"/>
    <w:rsid w:val="61A40368"/>
    <w:rsid w:val="61B77AEA"/>
    <w:rsid w:val="61BB6F13"/>
    <w:rsid w:val="61C25B90"/>
    <w:rsid w:val="61C64CD9"/>
    <w:rsid w:val="61CA08A4"/>
    <w:rsid w:val="61D01DDB"/>
    <w:rsid w:val="61DB30CE"/>
    <w:rsid w:val="61E87DF3"/>
    <w:rsid w:val="61EE0D8E"/>
    <w:rsid w:val="61F21367"/>
    <w:rsid w:val="61F77BB4"/>
    <w:rsid w:val="61FA4F1A"/>
    <w:rsid w:val="620052C2"/>
    <w:rsid w:val="62035322"/>
    <w:rsid w:val="62073450"/>
    <w:rsid w:val="62107F74"/>
    <w:rsid w:val="621407D1"/>
    <w:rsid w:val="62245CAC"/>
    <w:rsid w:val="622B22BF"/>
    <w:rsid w:val="62312A9A"/>
    <w:rsid w:val="623A7F0D"/>
    <w:rsid w:val="62481023"/>
    <w:rsid w:val="625652D7"/>
    <w:rsid w:val="62570027"/>
    <w:rsid w:val="62672946"/>
    <w:rsid w:val="62682234"/>
    <w:rsid w:val="62726C0F"/>
    <w:rsid w:val="628127F7"/>
    <w:rsid w:val="62864468"/>
    <w:rsid w:val="6294595B"/>
    <w:rsid w:val="629D06DB"/>
    <w:rsid w:val="62A82833"/>
    <w:rsid w:val="62AB2539"/>
    <w:rsid w:val="62AB7A9B"/>
    <w:rsid w:val="62AD7D0A"/>
    <w:rsid w:val="62BB05B6"/>
    <w:rsid w:val="62BB0E57"/>
    <w:rsid w:val="62C254BA"/>
    <w:rsid w:val="62D17319"/>
    <w:rsid w:val="62EB5DDE"/>
    <w:rsid w:val="62F37498"/>
    <w:rsid w:val="62FA5B7C"/>
    <w:rsid w:val="630F0F2F"/>
    <w:rsid w:val="631440C1"/>
    <w:rsid w:val="63162AF8"/>
    <w:rsid w:val="63190F4D"/>
    <w:rsid w:val="63212E44"/>
    <w:rsid w:val="63284D90"/>
    <w:rsid w:val="63331F51"/>
    <w:rsid w:val="633B5253"/>
    <w:rsid w:val="63423EAF"/>
    <w:rsid w:val="634443BF"/>
    <w:rsid w:val="634A2AAD"/>
    <w:rsid w:val="635949BB"/>
    <w:rsid w:val="635A7520"/>
    <w:rsid w:val="63681FEF"/>
    <w:rsid w:val="63684C79"/>
    <w:rsid w:val="636A7C60"/>
    <w:rsid w:val="636E2999"/>
    <w:rsid w:val="63722C81"/>
    <w:rsid w:val="637F15E3"/>
    <w:rsid w:val="63871FB1"/>
    <w:rsid w:val="638D18B5"/>
    <w:rsid w:val="63974F0E"/>
    <w:rsid w:val="639E7175"/>
    <w:rsid w:val="63A00324"/>
    <w:rsid w:val="63A64DC2"/>
    <w:rsid w:val="63A86F94"/>
    <w:rsid w:val="63A94710"/>
    <w:rsid w:val="63B12FC8"/>
    <w:rsid w:val="63B16ED0"/>
    <w:rsid w:val="63B604D3"/>
    <w:rsid w:val="63B74BFC"/>
    <w:rsid w:val="63B769BE"/>
    <w:rsid w:val="63C514FE"/>
    <w:rsid w:val="63C67212"/>
    <w:rsid w:val="63C9590E"/>
    <w:rsid w:val="63CA37C1"/>
    <w:rsid w:val="63CC7E35"/>
    <w:rsid w:val="63CE7F9C"/>
    <w:rsid w:val="63D80965"/>
    <w:rsid w:val="63DA2F49"/>
    <w:rsid w:val="63E36016"/>
    <w:rsid w:val="63F35CDD"/>
    <w:rsid w:val="63FC144A"/>
    <w:rsid w:val="640E217D"/>
    <w:rsid w:val="6410048D"/>
    <w:rsid w:val="6412457D"/>
    <w:rsid w:val="641439B8"/>
    <w:rsid w:val="64177A6E"/>
    <w:rsid w:val="6419287B"/>
    <w:rsid w:val="6421014D"/>
    <w:rsid w:val="642524AD"/>
    <w:rsid w:val="6428289B"/>
    <w:rsid w:val="64282D32"/>
    <w:rsid w:val="64393E88"/>
    <w:rsid w:val="643C17A9"/>
    <w:rsid w:val="643F7F1D"/>
    <w:rsid w:val="64493961"/>
    <w:rsid w:val="644C2A6B"/>
    <w:rsid w:val="6452542F"/>
    <w:rsid w:val="64526CF8"/>
    <w:rsid w:val="645309CE"/>
    <w:rsid w:val="6459255F"/>
    <w:rsid w:val="645C6208"/>
    <w:rsid w:val="645E4FA4"/>
    <w:rsid w:val="646130A5"/>
    <w:rsid w:val="64640945"/>
    <w:rsid w:val="646D0FA9"/>
    <w:rsid w:val="64736522"/>
    <w:rsid w:val="649B1FDE"/>
    <w:rsid w:val="649D0CB3"/>
    <w:rsid w:val="64A53464"/>
    <w:rsid w:val="64AC77A1"/>
    <w:rsid w:val="64B135E4"/>
    <w:rsid w:val="64C056AD"/>
    <w:rsid w:val="64CB1E9E"/>
    <w:rsid w:val="64CE7EDF"/>
    <w:rsid w:val="64D01668"/>
    <w:rsid w:val="64DE1C66"/>
    <w:rsid w:val="64E44F97"/>
    <w:rsid w:val="64E9512F"/>
    <w:rsid w:val="64F7097C"/>
    <w:rsid w:val="6506106A"/>
    <w:rsid w:val="650A1380"/>
    <w:rsid w:val="651913A0"/>
    <w:rsid w:val="65194D3B"/>
    <w:rsid w:val="651D58A9"/>
    <w:rsid w:val="651E7559"/>
    <w:rsid w:val="652136BF"/>
    <w:rsid w:val="65296516"/>
    <w:rsid w:val="65467FE1"/>
    <w:rsid w:val="654E1F59"/>
    <w:rsid w:val="654F52B0"/>
    <w:rsid w:val="65562818"/>
    <w:rsid w:val="65602800"/>
    <w:rsid w:val="65613696"/>
    <w:rsid w:val="65646CE3"/>
    <w:rsid w:val="656746D9"/>
    <w:rsid w:val="656F15F5"/>
    <w:rsid w:val="6579617E"/>
    <w:rsid w:val="6582071E"/>
    <w:rsid w:val="65831BCB"/>
    <w:rsid w:val="65962ECE"/>
    <w:rsid w:val="6596696B"/>
    <w:rsid w:val="65A426FD"/>
    <w:rsid w:val="65A5089B"/>
    <w:rsid w:val="65A67989"/>
    <w:rsid w:val="65AD686D"/>
    <w:rsid w:val="65B30CAE"/>
    <w:rsid w:val="65B720A3"/>
    <w:rsid w:val="65B860E0"/>
    <w:rsid w:val="65BD2897"/>
    <w:rsid w:val="65D14DF5"/>
    <w:rsid w:val="65D30121"/>
    <w:rsid w:val="65D4545B"/>
    <w:rsid w:val="65D8139D"/>
    <w:rsid w:val="65D86313"/>
    <w:rsid w:val="65DB1699"/>
    <w:rsid w:val="65F535B0"/>
    <w:rsid w:val="65F659DE"/>
    <w:rsid w:val="66063232"/>
    <w:rsid w:val="6607054B"/>
    <w:rsid w:val="66225DBB"/>
    <w:rsid w:val="6623525B"/>
    <w:rsid w:val="66236086"/>
    <w:rsid w:val="66446E11"/>
    <w:rsid w:val="6646710C"/>
    <w:rsid w:val="6648014C"/>
    <w:rsid w:val="6650425B"/>
    <w:rsid w:val="665223E0"/>
    <w:rsid w:val="6654729F"/>
    <w:rsid w:val="66583A7F"/>
    <w:rsid w:val="665A12BF"/>
    <w:rsid w:val="66646185"/>
    <w:rsid w:val="66664D12"/>
    <w:rsid w:val="666B5D82"/>
    <w:rsid w:val="66780A70"/>
    <w:rsid w:val="66793559"/>
    <w:rsid w:val="668D4AB9"/>
    <w:rsid w:val="669224A5"/>
    <w:rsid w:val="669F61DE"/>
    <w:rsid w:val="66A90602"/>
    <w:rsid w:val="66AE07F8"/>
    <w:rsid w:val="66AF1021"/>
    <w:rsid w:val="66B13929"/>
    <w:rsid w:val="66BF0A5B"/>
    <w:rsid w:val="66CE79C0"/>
    <w:rsid w:val="66D25CFD"/>
    <w:rsid w:val="66D32372"/>
    <w:rsid w:val="66D82788"/>
    <w:rsid w:val="66D922C3"/>
    <w:rsid w:val="66D96279"/>
    <w:rsid w:val="66DB4D83"/>
    <w:rsid w:val="66DE2AC5"/>
    <w:rsid w:val="66E1262B"/>
    <w:rsid w:val="66E71ABD"/>
    <w:rsid w:val="66E75DEE"/>
    <w:rsid w:val="66ED0F5A"/>
    <w:rsid w:val="66F347C2"/>
    <w:rsid w:val="66F34B58"/>
    <w:rsid w:val="66F44BDB"/>
    <w:rsid w:val="66F83B86"/>
    <w:rsid w:val="66FE0665"/>
    <w:rsid w:val="66FE2549"/>
    <w:rsid w:val="671208E9"/>
    <w:rsid w:val="67135F1D"/>
    <w:rsid w:val="6714103F"/>
    <w:rsid w:val="6714194D"/>
    <w:rsid w:val="67265CDC"/>
    <w:rsid w:val="672666A7"/>
    <w:rsid w:val="67381B0F"/>
    <w:rsid w:val="67423054"/>
    <w:rsid w:val="6743073E"/>
    <w:rsid w:val="67466FE0"/>
    <w:rsid w:val="67474811"/>
    <w:rsid w:val="674A1574"/>
    <w:rsid w:val="6754503C"/>
    <w:rsid w:val="675868CA"/>
    <w:rsid w:val="675B2D96"/>
    <w:rsid w:val="675F3335"/>
    <w:rsid w:val="6760172C"/>
    <w:rsid w:val="67684CF1"/>
    <w:rsid w:val="67694EFC"/>
    <w:rsid w:val="677A61FA"/>
    <w:rsid w:val="677A674A"/>
    <w:rsid w:val="677E25B5"/>
    <w:rsid w:val="6780592A"/>
    <w:rsid w:val="678F4858"/>
    <w:rsid w:val="67942C3E"/>
    <w:rsid w:val="6794765D"/>
    <w:rsid w:val="6796134A"/>
    <w:rsid w:val="679C2ADC"/>
    <w:rsid w:val="679C2E98"/>
    <w:rsid w:val="67B55275"/>
    <w:rsid w:val="67B64A13"/>
    <w:rsid w:val="67C021CA"/>
    <w:rsid w:val="67C64163"/>
    <w:rsid w:val="67C66BF9"/>
    <w:rsid w:val="67C779FD"/>
    <w:rsid w:val="67CC4DBC"/>
    <w:rsid w:val="67D17C87"/>
    <w:rsid w:val="67D4452A"/>
    <w:rsid w:val="67D57A24"/>
    <w:rsid w:val="67D63DC0"/>
    <w:rsid w:val="67E47666"/>
    <w:rsid w:val="67EB36EB"/>
    <w:rsid w:val="67F65BEC"/>
    <w:rsid w:val="67FC76A6"/>
    <w:rsid w:val="68073446"/>
    <w:rsid w:val="68074E07"/>
    <w:rsid w:val="681D2E1D"/>
    <w:rsid w:val="682228BE"/>
    <w:rsid w:val="6844709F"/>
    <w:rsid w:val="684A5999"/>
    <w:rsid w:val="685343B1"/>
    <w:rsid w:val="685930B7"/>
    <w:rsid w:val="685B6D45"/>
    <w:rsid w:val="68691C3F"/>
    <w:rsid w:val="68884493"/>
    <w:rsid w:val="688E447B"/>
    <w:rsid w:val="68937494"/>
    <w:rsid w:val="689478CC"/>
    <w:rsid w:val="68A15687"/>
    <w:rsid w:val="68A56FCD"/>
    <w:rsid w:val="68B85265"/>
    <w:rsid w:val="68BA0542"/>
    <w:rsid w:val="68BA4E6C"/>
    <w:rsid w:val="68BF4F15"/>
    <w:rsid w:val="68C35433"/>
    <w:rsid w:val="68C7047F"/>
    <w:rsid w:val="68C71B3A"/>
    <w:rsid w:val="68CB2C21"/>
    <w:rsid w:val="68D569E2"/>
    <w:rsid w:val="68EA39A3"/>
    <w:rsid w:val="68EC6F68"/>
    <w:rsid w:val="68ED5551"/>
    <w:rsid w:val="68F225B9"/>
    <w:rsid w:val="68F611F9"/>
    <w:rsid w:val="68F93E51"/>
    <w:rsid w:val="68FA00B9"/>
    <w:rsid w:val="68FD36D6"/>
    <w:rsid w:val="690226D1"/>
    <w:rsid w:val="69027DAB"/>
    <w:rsid w:val="69112CDD"/>
    <w:rsid w:val="691F1681"/>
    <w:rsid w:val="692549DB"/>
    <w:rsid w:val="692D0D23"/>
    <w:rsid w:val="693F33BE"/>
    <w:rsid w:val="6945225B"/>
    <w:rsid w:val="69481456"/>
    <w:rsid w:val="694A61EF"/>
    <w:rsid w:val="69502321"/>
    <w:rsid w:val="695B0F3D"/>
    <w:rsid w:val="696077C1"/>
    <w:rsid w:val="69617E6A"/>
    <w:rsid w:val="69625E7A"/>
    <w:rsid w:val="696D6626"/>
    <w:rsid w:val="696D67D9"/>
    <w:rsid w:val="69705BD2"/>
    <w:rsid w:val="69766FE4"/>
    <w:rsid w:val="69784515"/>
    <w:rsid w:val="697D323A"/>
    <w:rsid w:val="69840A8A"/>
    <w:rsid w:val="6991506C"/>
    <w:rsid w:val="69943536"/>
    <w:rsid w:val="69973FA1"/>
    <w:rsid w:val="69995E25"/>
    <w:rsid w:val="699B2EEF"/>
    <w:rsid w:val="69A00347"/>
    <w:rsid w:val="69A03414"/>
    <w:rsid w:val="69A75296"/>
    <w:rsid w:val="69A929C0"/>
    <w:rsid w:val="69B1626F"/>
    <w:rsid w:val="69B91076"/>
    <w:rsid w:val="69BD41C0"/>
    <w:rsid w:val="69CE02FF"/>
    <w:rsid w:val="69D47718"/>
    <w:rsid w:val="69E15F06"/>
    <w:rsid w:val="69E67380"/>
    <w:rsid w:val="69F04FE9"/>
    <w:rsid w:val="6A0B1F97"/>
    <w:rsid w:val="6A0E6CF5"/>
    <w:rsid w:val="6A162110"/>
    <w:rsid w:val="6A22367A"/>
    <w:rsid w:val="6A3E71E7"/>
    <w:rsid w:val="6A44338D"/>
    <w:rsid w:val="6A4B0792"/>
    <w:rsid w:val="6A4B30FC"/>
    <w:rsid w:val="6A4F62B4"/>
    <w:rsid w:val="6A503CD9"/>
    <w:rsid w:val="6A523496"/>
    <w:rsid w:val="6A561F71"/>
    <w:rsid w:val="6A5639FE"/>
    <w:rsid w:val="6A5B38C4"/>
    <w:rsid w:val="6A605021"/>
    <w:rsid w:val="6A611A43"/>
    <w:rsid w:val="6A707ED8"/>
    <w:rsid w:val="6A7E0FDC"/>
    <w:rsid w:val="6A8A4933"/>
    <w:rsid w:val="6A9112E3"/>
    <w:rsid w:val="6A9516EC"/>
    <w:rsid w:val="6A9F05FC"/>
    <w:rsid w:val="6A9F18DB"/>
    <w:rsid w:val="6AA44600"/>
    <w:rsid w:val="6AB26742"/>
    <w:rsid w:val="6AB5089E"/>
    <w:rsid w:val="6AB525A4"/>
    <w:rsid w:val="6AB92437"/>
    <w:rsid w:val="6ABA55F7"/>
    <w:rsid w:val="6AC41FD2"/>
    <w:rsid w:val="6AC96A9C"/>
    <w:rsid w:val="6AD14F6B"/>
    <w:rsid w:val="6AD761A9"/>
    <w:rsid w:val="6ADF2055"/>
    <w:rsid w:val="6AE23B06"/>
    <w:rsid w:val="6AE7123E"/>
    <w:rsid w:val="6AEF2B67"/>
    <w:rsid w:val="6AF35C51"/>
    <w:rsid w:val="6B0038E6"/>
    <w:rsid w:val="6B1373D5"/>
    <w:rsid w:val="6B1443DF"/>
    <w:rsid w:val="6B160A7F"/>
    <w:rsid w:val="6B192BC3"/>
    <w:rsid w:val="6B203733"/>
    <w:rsid w:val="6B217943"/>
    <w:rsid w:val="6B2C7085"/>
    <w:rsid w:val="6B2F58A5"/>
    <w:rsid w:val="6B3B1FCE"/>
    <w:rsid w:val="6B3C600C"/>
    <w:rsid w:val="6B3E2E33"/>
    <w:rsid w:val="6B446834"/>
    <w:rsid w:val="6B452688"/>
    <w:rsid w:val="6B4F3F91"/>
    <w:rsid w:val="6B5C1197"/>
    <w:rsid w:val="6B7259E5"/>
    <w:rsid w:val="6B780A27"/>
    <w:rsid w:val="6B800185"/>
    <w:rsid w:val="6B8623F3"/>
    <w:rsid w:val="6B8B6173"/>
    <w:rsid w:val="6B926346"/>
    <w:rsid w:val="6B9320D0"/>
    <w:rsid w:val="6B942C4E"/>
    <w:rsid w:val="6B946861"/>
    <w:rsid w:val="6BA03644"/>
    <w:rsid w:val="6BA1289B"/>
    <w:rsid w:val="6BAA54B8"/>
    <w:rsid w:val="6BAB2B5F"/>
    <w:rsid w:val="6BAE5F40"/>
    <w:rsid w:val="6BAF247F"/>
    <w:rsid w:val="6BB45ADF"/>
    <w:rsid w:val="6BBD6413"/>
    <w:rsid w:val="6BC95AF1"/>
    <w:rsid w:val="6BD015B5"/>
    <w:rsid w:val="6BDC1495"/>
    <w:rsid w:val="6BDC3264"/>
    <w:rsid w:val="6BE05AB1"/>
    <w:rsid w:val="6BE912C4"/>
    <w:rsid w:val="6BF145C6"/>
    <w:rsid w:val="6BFA2174"/>
    <w:rsid w:val="6BFA6FD0"/>
    <w:rsid w:val="6C011475"/>
    <w:rsid w:val="6C0238B4"/>
    <w:rsid w:val="6C050FB1"/>
    <w:rsid w:val="6C0E6DCA"/>
    <w:rsid w:val="6C14591F"/>
    <w:rsid w:val="6C150D37"/>
    <w:rsid w:val="6C193B35"/>
    <w:rsid w:val="6C2064A4"/>
    <w:rsid w:val="6C25560F"/>
    <w:rsid w:val="6C2E56EA"/>
    <w:rsid w:val="6C334E24"/>
    <w:rsid w:val="6C365E6D"/>
    <w:rsid w:val="6C3F3C55"/>
    <w:rsid w:val="6C4912D3"/>
    <w:rsid w:val="6C52541B"/>
    <w:rsid w:val="6C546D1F"/>
    <w:rsid w:val="6C575A7A"/>
    <w:rsid w:val="6C586E75"/>
    <w:rsid w:val="6C5D623A"/>
    <w:rsid w:val="6C765D59"/>
    <w:rsid w:val="6C7B2D65"/>
    <w:rsid w:val="6C827675"/>
    <w:rsid w:val="6C8533B1"/>
    <w:rsid w:val="6C8C4BD1"/>
    <w:rsid w:val="6C8F59CB"/>
    <w:rsid w:val="6C912945"/>
    <w:rsid w:val="6C9511F7"/>
    <w:rsid w:val="6C981586"/>
    <w:rsid w:val="6C9B02FC"/>
    <w:rsid w:val="6C9D0227"/>
    <w:rsid w:val="6CA12B54"/>
    <w:rsid w:val="6CA336C0"/>
    <w:rsid w:val="6CA65E33"/>
    <w:rsid w:val="6CB41D19"/>
    <w:rsid w:val="6CB97B51"/>
    <w:rsid w:val="6CD5756A"/>
    <w:rsid w:val="6CDE668B"/>
    <w:rsid w:val="6CE8644B"/>
    <w:rsid w:val="6CEA4C7C"/>
    <w:rsid w:val="6CED6D6B"/>
    <w:rsid w:val="6CF3063D"/>
    <w:rsid w:val="6D082DA5"/>
    <w:rsid w:val="6D196943"/>
    <w:rsid w:val="6D1E1650"/>
    <w:rsid w:val="6D205016"/>
    <w:rsid w:val="6D245781"/>
    <w:rsid w:val="6D2709D4"/>
    <w:rsid w:val="6D302451"/>
    <w:rsid w:val="6D4D57B0"/>
    <w:rsid w:val="6D5614B8"/>
    <w:rsid w:val="6D57586C"/>
    <w:rsid w:val="6D5910F7"/>
    <w:rsid w:val="6D5D1C2A"/>
    <w:rsid w:val="6D636EF8"/>
    <w:rsid w:val="6D6F43BC"/>
    <w:rsid w:val="6D741A8D"/>
    <w:rsid w:val="6D834D21"/>
    <w:rsid w:val="6D85324E"/>
    <w:rsid w:val="6D866B2D"/>
    <w:rsid w:val="6D944860"/>
    <w:rsid w:val="6D950C87"/>
    <w:rsid w:val="6D970FE2"/>
    <w:rsid w:val="6DA07883"/>
    <w:rsid w:val="6DA4757A"/>
    <w:rsid w:val="6DA804F1"/>
    <w:rsid w:val="6DAD4F9F"/>
    <w:rsid w:val="6DB13C9F"/>
    <w:rsid w:val="6DB77D5B"/>
    <w:rsid w:val="6DC5678C"/>
    <w:rsid w:val="6DCD0235"/>
    <w:rsid w:val="6DD30A22"/>
    <w:rsid w:val="6DDA2349"/>
    <w:rsid w:val="6DDB3069"/>
    <w:rsid w:val="6DE80D3A"/>
    <w:rsid w:val="6DEA5F78"/>
    <w:rsid w:val="6DEC3D19"/>
    <w:rsid w:val="6DEF21E8"/>
    <w:rsid w:val="6DFD5F26"/>
    <w:rsid w:val="6E00654C"/>
    <w:rsid w:val="6E0C32F2"/>
    <w:rsid w:val="6E144CA1"/>
    <w:rsid w:val="6E1F54D7"/>
    <w:rsid w:val="6E2C60B3"/>
    <w:rsid w:val="6E354149"/>
    <w:rsid w:val="6E405E13"/>
    <w:rsid w:val="6E442113"/>
    <w:rsid w:val="6E470F4F"/>
    <w:rsid w:val="6E4A465D"/>
    <w:rsid w:val="6E4E0530"/>
    <w:rsid w:val="6E573FAB"/>
    <w:rsid w:val="6E582B38"/>
    <w:rsid w:val="6E602011"/>
    <w:rsid w:val="6E694CD0"/>
    <w:rsid w:val="6E6B0F66"/>
    <w:rsid w:val="6E6C4E5A"/>
    <w:rsid w:val="6E9A5B29"/>
    <w:rsid w:val="6E9E28D6"/>
    <w:rsid w:val="6EA36708"/>
    <w:rsid w:val="6EAD16FA"/>
    <w:rsid w:val="6EB439C0"/>
    <w:rsid w:val="6EB6081F"/>
    <w:rsid w:val="6EC52322"/>
    <w:rsid w:val="6EC7120B"/>
    <w:rsid w:val="6ED004C6"/>
    <w:rsid w:val="6ED51FDD"/>
    <w:rsid w:val="6EEB5FA6"/>
    <w:rsid w:val="6EED6CC7"/>
    <w:rsid w:val="6F017EFA"/>
    <w:rsid w:val="6F05414A"/>
    <w:rsid w:val="6F0D637B"/>
    <w:rsid w:val="6F0F60B4"/>
    <w:rsid w:val="6F144095"/>
    <w:rsid w:val="6F1A66A7"/>
    <w:rsid w:val="6F1C23DC"/>
    <w:rsid w:val="6F1C2B0D"/>
    <w:rsid w:val="6F1F05A3"/>
    <w:rsid w:val="6F2100BF"/>
    <w:rsid w:val="6F2710D1"/>
    <w:rsid w:val="6F320729"/>
    <w:rsid w:val="6F332D37"/>
    <w:rsid w:val="6F412301"/>
    <w:rsid w:val="6F52268C"/>
    <w:rsid w:val="6F554414"/>
    <w:rsid w:val="6F5E13B7"/>
    <w:rsid w:val="6F614293"/>
    <w:rsid w:val="6F6500C5"/>
    <w:rsid w:val="6F664907"/>
    <w:rsid w:val="6F690DC9"/>
    <w:rsid w:val="6F6C6215"/>
    <w:rsid w:val="6F777009"/>
    <w:rsid w:val="6F793669"/>
    <w:rsid w:val="6F7A112D"/>
    <w:rsid w:val="6F88247E"/>
    <w:rsid w:val="6F914CD2"/>
    <w:rsid w:val="6F9B0CF2"/>
    <w:rsid w:val="6FA02AB1"/>
    <w:rsid w:val="6FA227A6"/>
    <w:rsid w:val="6FA348AB"/>
    <w:rsid w:val="6FA550AA"/>
    <w:rsid w:val="6FAA5C3A"/>
    <w:rsid w:val="6FAC091D"/>
    <w:rsid w:val="6FAD572A"/>
    <w:rsid w:val="6FB645DF"/>
    <w:rsid w:val="6FDC7F1A"/>
    <w:rsid w:val="6FE27182"/>
    <w:rsid w:val="6FE4739E"/>
    <w:rsid w:val="6FE50A20"/>
    <w:rsid w:val="6FF17504"/>
    <w:rsid w:val="6FF4279F"/>
    <w:rsid w:val="6FF50F52"/>
    <w:rsid w:val="6FF84BF7"/>
    <w:rsid w:val="6FF878A8"/>
    <w:rsid w:val="6FFB756A"/>
    <w:rsid w:val="70125CB8"/>
    <w:rsid w:val="70134828"/>
    <w:rsid w:val="70135497"/>
    <w:rsid w:val="702D30C1"/>
    <w:rsid w:val="7040659E"/>
    <w:rsid w:val="70422331"/>
    <w:rsid w:val="70493772"/>
    <w:rsid w:val="705F6E5C"/>
    <w:rsid w:val="7068391A"/>
    <w:rsid w:val="707004B4"/>
    <w:rsid w:val="707B2EC7"/>
    <w:rsid w:val="707F65AE"/>
    <w:rsid w:val="708027A9"/>
    <w:rsid w:val="70804832"/>
    <w:rsid w:val="7086468A"/>
    <w:rsid w:val="708910C4"/>
    <w:rsid w:val="70903F76"/>
    <w:rsid w:val="70942FC3"/>
    <w:rsid w:val="7099023F"/>
    <w:rsid w:val="709A03B2"/>
    <w:rsid w:val="70AC2AD2"/>
    <w:rsid w:val="70B62690"/>
    <w:rsid w:val="70B97901"/>
    <w:rsid w:val="70BC4C44"/>
    <w:rsid w:val="70C1264D"/>
    <w:rsid w:val="70C27393"/>
    <w:rsid w:val="70C552CF"/>
    <w:rsid w:val="70C6369C"/>
    <w:rsid w:val="70C96594"/>
    <w:rsid w:val="70CD53B1"/>
    <w:rsid w:val="70CD5D88"/>
    <w:rsid w:val="70DC5B67"/>
    <w:rsid w:val="70E818F8"/>
    <w:rsid w:val="70EA3A34"/>
    <w:rsid w:val="70ED7A5B"/>
    <w:rsid w:val="70F3716D"/>
    <w:rsid w:val="70FE3CD5"/>
    <w:rsid w:val="71035409"/>
    <w:rsid w:val="711728BA"/>
    <w:rsid w:val="7125055F"/>
    <w:rsid w:val="712C7B45"/>
    <w:rsid w:val="713C7B16"/>
    <w:rsid w:val="714906DE"/>
    <w:rsid w:val="7157340C"/>
    <w:rsid w:val="71593474"/>
    <w:rsid w:val="71607BBF"/>
    <w:rsid w:val="716912C3"/>
    <w:rsid w:val="716A5681"/>
    <w:rsid w:val="716E66B2"/>
    <w:rsid w:val="71736AD7"/>
    <w:rsid w:val="71797CF7"/>
    <w:rsid w:val="717C509C"/>
    <w:rsid w:val="7185632B"/>
    <w:rsid w:val="71885B9B"/>
    <w:rsid w:val="71907704"/>
    <w:rsid w:val="71942336"/>
    <w:rsid w:val="71AB6052"/>
    <w:rsid w:val="71AB7A05"/>
    <w:rsid w:val="71B2527A"/>
    <w:rsid w:val="71B83EDC"/>
    <w:rsid w:val="71C16605"/>
    <w:rsid w:val="71C62BFA"/>
    <w:rsid w:val="71C845F4"/>
    <w:rsid w:val="71CB1E97"/>
    <w:rsid w:val="71CC0B71"/>
    <w:rsid w:val="71DA16B2"/>
    <w:rsid w:val="71DD5934"/>
    <w:rsid w:val="71E779D2"/>
    <w:rsid w:val="71F079EC"/>
    <w:rsid w:val="71F2002E"/>
    <w:rsid w:val="720700A8"/>
    <w:rsid w:val="721B3F9B"/>
    <w:rsid w:val="721D0BF5"/>
    <w:rsid w:val="72227B1E"/>
    <w:rsid w:val="722817C1"/>
    <w:rsid w:val="722A534B"/>
    <w:rsid w:val="72304256"/>
    <w:rsid w:val="72333FFC"/>
    <w:rsid w:val="72352C57"/>
    <w:rsid w:val="7237543C"/>
    <w:rsid w:val="72496314"/>
    <w:rsid w:val="724F4877"/>
    <w:rsid w:val="725B41FD"/>
    <w:rsid w:val="725E26DC"/>
    <w:rsid w:val="725E4ABA"/>
    <w:rsid w:val="72600832"/>
    <w:rsid w:val="72603BD9"/>
    <w:rsid w:val="72655C1C"/>
    <w:rsid w:val="72664955"/>
    <w:rsid w:val="72756900"/>
    <w:rsid w:val="7278770A"/>
    <w:rsid w:val="72975208"/>
    <w:rsid w:val="72A16FB9"/>
    <w:rsid w:val="72A37C7A"/>
    <w:rsid w:val="72A9551B"/>
    <w:rsid w:val="72B4526A"/>
    <w:rsid w:val="72B46D90"/>
    <w:rsid w:val="72B56654"/>
    <w:rsid w:val="72B65991"/>
    <w:rsid w:val="72CB389A"/>
    <w:rsid w:val="72CC587C"/>
    <w:rsid w:val="72D07F54"/>
    <w:rsid w:val="72E2279F"/>
    <w:rsid w:val="72E326E7"/>
    <w:rsid w:val="72FE6E08"/>
    <w:rsid w:val="7310643B"/>
    <w:rsid w:val="731F5C56"/>
    <w:rsid w:val="73245FBB"/>
    <w:rsid w:val="73371C8E"/>
    <w:rsid w:val="733C129F"/>
    <w:rsid w:val="734C2B9F"/>
    <w:rsid w:val="73504D4A"/>
    <w:rsid w:val="735719AE"/>
    <w:rsid w:val="735F5C3D"/>
    <w:rsid w:val="736A22CE"/>
    <w:rsid w:val="736A6527"/>
    <w:rsid w:val="73774085"/>
    <w:rsid w:val="737B52FA"/>
    <w:rsid w:val="737C68B6"/>
    <w:rsid w:val="73807941"/>
    <w:rsid w:val="73807ED8"/>
    <w:rsid w:val="738570DA"/>
    <w:rsid w:val="739A6E64"/>
    <w:rsid w:val="739B4217"/>
    <w:rsid w:val="739E44D2"/>
    <w:rsid w:val="73A06A1D"/>
    <w:rsid w:val="73A62BBC"/>
    <w:rsid w:val="73A846D2"/>
    <w:rsid w:val="73AF18BC"/>
    <w:rsid w:val="73B862F9"/>
    <w:rsid w:val="73BA3855"/>
    <w:rsid w:val="73D268B9"/>
    <w:rsid w:val="73DA72B0"/>
    <w:rsid w:val="73DB32D2"/>
    <w:rsid w:val="73F27BAF"/>
    <w:rsid w:val="73FA7827"/>
    <w:rsid w:val="73FF4EBF"/>
    <w:rsid w:val="74137961"/>
    <w:rsid w:val="7417358A"/>
    <w:rsid w:val="741D3891"/>
    <w:rsid w:val="743226BB"/>
    <w:rsid w:val="74377E9F"/>
    <w:rsid w:val="743D1CBB"/>
    <w:rsid w:val="743E5EB2"/>
    <w:rsid w:val="74411AFC"/>
    <w:rsid w:val="74536EDA"/>
    <w:rsid w:val="74564796"/>
    <w:rsid w:val="74590680"/>
    <w:rsid w:val="74597CAE"/>
    <w:rsid w:val="745B7503"/>
    <w:rsid w:val="745F14B9"/>
    <w:rsid w:val="74681FAB"/>
    <w:rsid w:val="746C1710"/>
    <w:rsid w:val="74710B53"/>
    <w:rsid w:val="74721E30"/>
    <w:rsid w:val="747A6F05"/>
    <w:rsid w:val="74A92CFB"/>
    <w:rsid w:val="74BE55AB"/>
    <w:rsid w:val="74C46C63"/>
    <w:rsid w:val="74C50E20"/>
    <w:rsid w:val="74C8338A"/>
    <w:rsid w:val="74CC16B7"/>
    <w:rsid w:val="74D5564D"/>
    <w:rsid w:val="74E869CD"/>
    <w:rsid w:val="74F0447C"/>
    <w:rsid w:val="75041024"/>
    <w:rsid w:val="7507768A"/>
    <w:rsid w:val="75082E7D"/>
    <w:rsid w:val="750B32D5"/>
    <w:rsid w:val="750E6CC7"/>
    <w:rsid w:val="751547AD"/>
    <w:rsid w:val="751F6782"/>
    <w:rsid w:val="75204CA3"/>
    <w:rsid w:val="75204E50"/>
    <w:rsid w:val="75225360"/>
    <w:rsid w:val="75330480"/>
    <w:rsid w:val="75454A9D"/>
    <w:rsid w:val="754D4BA4"/>
    <w:rsid w:val="754E2D05"/>
    <w:rsid w:val="75545832"/>
    <w:rsid w:val="75610B49"/>
    <w:rsid w:val="756E3CE0"/>
    <w:rsid w:val="7575333D"/>
    <w:rsid w:val="757545F4"/>
    <w:rsid w:val="75806DDD"/>
    <w:rsid w:val="75822B5B"/>
    <w:rsid w:val="75826B03"/>
    <w:rsid w:val="75887F13"/>
    <w:rsid w:val="759251A6"/>
    <w:rsid w:val="759929C6"/>
    <w:rsid w:val="759A04FF"/>
    <w:rsid w:val="759B1320"/>
    <w:rsid w:val="75A07E04"/>
    <w:rsid w:val="75A153E9"/>
    <w:rsid w:val="75AB4EDB"/>
    <w:rsid w:val="75AE6414"/>
    <w:rsid w:val="75B351A3"/>
    <w:rsid w:val="75BD2D8A"/>
    <w:rsid w:val="75D00F6C"/>
    <w:rsid w:val="75DA776A"/>
    <w:rsid w:val="75DE1C4C"/>
    <w:rsid w:val="75E55862"/>
    <w:rsid w:val="75F46EB3"/>
    <w:rsid w:val="75F51BD0"/>
    <w:rsid w:val="75F776FF"/>
    <w:rsid w:val="760F3667"/>
    <w:rsid w:val="760F758B"/>
    <w:rsid w:val="76132237"/>
    <w:rsid w:val="76157602"/>
    <w:rsid w:val="761F01A1"/>
    <w:rsid w:val="763444AF"/>
    <w:rsid w:val="763F10D1"/>
    <w:rsid w:val="764566BC"/>
    <w:rsid w:val="76486327"/>
    <w:rsid w:val="764C745F"/>
    <w:rsid w:val="764E61F5"/>
    <w:rsid w:val="76544EE5"/>
    <w:rsid w:val="76565AFB"/>
    <w:rsid w:val="76651DB4"/>
    <w:rsid w:val="76694922"/>
    <w:rsid w:val="76847D6D"/>
    <w:rsid w:val="768674A9"/>
    <w:rsid w:val="768679E3"/>
    <w:rsid w:val="768C42EB"/>
    <w:rsid w:val="76AA0E1A"/>
    <w:rsid w:val="76B33626"/>
    <w:rsid w:val="76CC5603"/>
    <w:rsid w:val="76CE79D9"/>
    <w:rsid w:val="76CF71B8"/>
    <w:rsid w:val="76D12ECB"/>
    <w:rsid w:val="76E75011"/>
    <w:rsid w:val="76EE77E0"/>
    <w:rsid w:val="76F63F8E"/>
    <w:rsid w:val="76F80D89"/>
    <w:rsid w:val="76F93C3C"/>
    <w:rsid w:val="76FB0AD5"/>
    <w:rsid w:val="76FE764D"/>
    <w:rsid w:val="770277DC"/>
    <w:rsid w:val="770328B6"/>
    <w:rsid w:val="77075720"/>
    <w:rsid w:val="770C334A"/>
    <w:rsid w:val="770D21AF"/>
    <w:rsid w:val="771050FA"/>
    <w:rsid w:val="771441F7"/>
    <w:rsid w:val="771816DB"/>
    <w:rsid w:val="771C15D3"/>
    <w:rsid w:val="772B6D84"/>
    <w:rsid w:val="772D491D"/>
    <w:rsid w:val="772E1815"/>
    <w:rsid w:val="77334767"/>
    <w:rsid w:val="773369AF"/>
    <w:rsid w:val="77340758"/>
    <w:rsid w:val="773A3491"/>
    <w:rsid w:val="774D4AD7"/>
    <w:rsid w:val="77533EB7"/>
    <w:rsid w:val="775546DD"/>
    <w:rsid w:val="775C5A5F"/>
    <w:rsid w:val="776D680A"/>
    <w:rsid w:val="7771303E"/>
    <w:rsid w:val="77744282"/>
    <w:rsid w:val="778A2AFA"/>
    <w:rsid w:val="778B00FF"/>
    <w:rsid w:val="77962B4B"/>
    <w:rsid w:val="77A35CE7"/>
    <w:rsid w:val="77B44177"/>
    <w:rsid w:val="77BE2E53"/>
    <w:rsid w:val="77BF249E"/>
    <w:rsid w:val="77D13000"/>
    <w:rsid w:val="77D53A70"/>
    <w:rsid w:val="77DF1E38"/>
    <w:rsid w:val="77E22DCB"/>
    <w:rsid w:val="77E43CB3"/>
    <w:rsid w:val="77E6269E"/>
    <w:rsid w:val="77E85551"/>
    <w:rsid w:val="77F04406"/>
    <w:rsid w:val="77FE2E80"/>
    <w:rsid w:val="77FF14D5"/>
    <w:rsid w:val="7803507F"/>
    <w:rsid w:val="780845AB"/>
    <w:rsid w:val="780A042C"/>
    <w:rsid w:val="781B5927"/>
    <w:rsid w:val="782C0F4C"/>
    <w:rsid w:val="782C1E01"/>
    <w:rsid w:val="782C7B34"/>
    <w:rsid w:val="7835702F"/>
    <w:rsid w:val="784309DA"/>
    <w:rsid w:val="784A4DB6"/>
    <w:rsid w:val="784B3FA9"/>
    <w:rsid w:val="784C6FB2"/>
    <w:rsid w:val="784D2B54"/>
    <w:rsid w:val="78607BF2"/>
    <w:rsid w:val="786D440C"/>
    <w:rsid w:val="788634A2"/>
    <w:rsid w:val="788C5EC8"/>
    <w:rsid w:val="788E7586"/>
    <w:rsid w:val="788F0C0F"/>
    <w:rsid w:val="7894594B"/>
    <w:rsid w:val="7897292F"/>
    <w:rsid w:val="78980E16"/>
    <w:rsid w:val="78A2428D"/>
    <w:rsid w:val="78B96EEE"/>
    <w:rsid w:val="78BA3DBC"/>
    <w:rsid w:val="78CA7AAD"/>
    <w:rsid w:val="78D336A5"/>
    <w:rsid w:val="78E44E39"/>
    <w:rsid w:val="78F14461"/>
    <w:rsid w:val="790464D7"/>
    <w:rsid w:val="79222925"/>
    <w:rsid w:val="79225AAF"/>
    <w:rsid w:val="79287E69"/>
    <w:rsid w:val="792B1A7F"/>
    <w:rsid w:val="7942791E"/>
    <w:rsid w:val="794A55C0"/>
    <w:rsid w:val="794C1B10"/>
    <w:rsid w:val="795358FF"/>
    <w:rsid w:val="79543099"/>
    <w:rsid w:val="795E7D01"/>
    <w:rsid w:val="79611FC8"/>
    <w:rsid w:val="79630889"/>
    <w:rsid w:val="79634040"/>
    <w:rsid w:val="796B6FFF"/>
    <w:rsid w:val="79766925"/>
    <w:rsid w:val="7979203A"/>
    <w:rsid w:val="797C3333"/>
    <w:rsid w:val="79806605"/>
    <w:rsid w:val="79806DC3"/>
    <w:rsid w:val="79886B7E"/>
    <w:rsid w:val="79A25BD4"/>
    <w:rsid w:val="79A656C4"/>
    <w:rsid w:val="79AE27CB"/>
    <w:rsid w:val="79B11037"/>
    <w:rsid w:val="79B269B8"/>
    <w:rsid w:val="79DD5BA3"/>
    <w:rsid w:val="79E17A24"/>
    <w:rsid w:val="79F63A97"/>
    <w:rsid w:val="7A011223"/>
    <w:rsid w:val="7A0A3BFE"/>
    <w:rsid w:val="7A0F45B0"/>
    <w:rsid w:val="7A1F5183"/>
    <w:rsid w:val="7A2C3558"/>
    <w:rsid w:val="7A322349"/>
    <w:rsid w:val="7A3556B0"/>
    <w:rsid w:val="7A3849A1"/>
    <w:rsid w:val="7A461D6A"/>
    <w:rsid w:val="7A4739FC"/>
    <w:rsid w:val="7A486495"/>
    <w:rsid w:val="7A4908A0"/>
    <w:rsid w:val="7A6115EB"/>
    <w:rsid w:val="7A747431"/>
    <w:rsid w:val="7A760764"/>
    <w:rsid w:val="7A7C15FD"/>
    <w:rsid w:val="7A7E40F3"/>
    <w:rsid w:val="7A886B78"/>
    <w:rsid w:val="7A8C48BA"/>
    <w:rsid w:val="7AA13B41"/>
    <w:rsid w:val="7AAB525B"/>
    <w:rsid w:val="7ABD18C3"/>
    <w:rsid w:val="7ABE264C"/>
    <w:rsid w:val="7AC17AE8"/>
    <w:rsid w:val="7AC94CF2"/>
    <w:rsid w:val="7ACA0656"/>
    <w:rsid w:val="7ACA15A3"/>
    <w:rsid w:val="7ACC077A"/>
    <w:rsid w:val="7ACD6C80"/>
    <w:rsid w:val="7AD87870"/>
    <w:rsid w:val="7ADD0951"/>
    <w:rsid w:val="7AE43FB6"/>
    <w:rsid w:val="7AE45E3A"/>
    <w:rsid w:val="7AE55E53"/>
    <w:rsid w:val="7AEF70D4"/>
    <w:rsid w:val="7AF44DD6"/>
    <w:rsid w:val="7AF63F86"/>
    <w:rsid w:val="7AF979BF"/>
    <w:rsid w:val="7AFA20B3"/>
    <w:rsid w:val="7B03008F"/>
    <w:rsid w:val="7B0956F9"/>
    <w:rsid w:val="7B1A64C6"/>
    <w:rsid w:val="7B272834"/>
    <w:rsid w:val="7B2E0BFB"/>
    <w:rsid w:val="7B393027"/>
    <w:rsid w:val="7B410DC9"/>
    <w:rsid w:val="7B487137"/>
    <w:rsid w:val="7B4909FD"/>
    <w:rsid w:val="7B4D5238"/>
    <w:rsid w:val="7B533D44"/>
    <w:rsid w:val="7B5E3A94"/>
    <w:rsid w:val="7B716641"/>
    <w:rsid w:val="7B752618"/>
    <w:rsid w:val="7B795381"/>
    <w:rsid w:val="7B7953E4"/>
    <w:rsid w:val="7B7D3E61"/>
    <w:rsid w:val="7B804DE6"/>
    <w:rsid w:val="7B845591"/>
    <w:rsid w:val="7B8B4B71"/>
    <w:rsid w:val="7B99184F"/>
    <w:rsid w:val="7BA16B42"/>
    <w:rsid w:val="7BA358A1"/>
    <w:rsid w:val="7BB12AF5"/>
    <w:rsid w:val="7BB51E04"/>
    <w:rsid w:val="7BC42470"/>
    <w:rsid w:val="7BC82375"/>
    <w:rsid w:val="7BCD703F"/>
    <w:rsid w:val="7BCE3599"/>
    <w:rsid w:val="7BD07EF3"/>
    <w:rsid w:val="7BD27829"/>
    <w:rsid w:val="7BDD71DF"/>
    <w:rsid w:val="7BDF57BA"/>
    <w:rsid w:val="7BE65DB6"/>
    <w:rsid w:val="7BF6256C"/>
    <w:rsid w:val="7C06244A"/>
    <w:rsid w:val="7C072066"/>
    <w:rsid w:val="7C083926"/>
    <w:rsid w:val="7C0B048F"/>
    <w:rsid w:val="7C120F4C"/>
    <w:rsid w:val="7C23046D"/>
    <w:rsid w:val="7C3921ED"/>
    <w:rsid w:val="7C3A20F4"/>
    <w:rsid w:val="7C3D4797"/>
    <w:rsid w:val="7C415893"/>
    <w:rsid w:val="7C583651"/>
    <w:rsid w:val="7C683105"/>
    <w:rsid w:val="7C690BD8"/>
    <w:rsid w:val="7C787809"/>
    <w:rsid w:val="7C8B758D"/>
    <w:rsid w:val="7C90709B"/>
    <w:rsid w:val="7C914BF2"/>
    <w:rsid w:val="7C966F7F"/>
    <w:rsid w:val="7C9A1469"/>
    <w:rsid w:val="7CA00D23"/>
    <w:rsid w:val="7CA05191"/>
    <w:rsid w:val="7CA4790C"/>
    <w:rsid w:val="7CA61423"/>
    <w:rsid w:val="7CA62F7C"/>
    <w:rsid w:val="7CC360BE"/>
    <w:rsid w:val="7CCA4D8E"/>
    <w:rsid w:val="7CCD4526"/>
    <w:rsid w:val="7CD662C0"/>
    <w:rsid w:val="7CE84A6C"/>
    <w:rsid w:val="7CEB743D"/>
    <w:rsid w:val="7CEB7D32"/>
    <w:rsid w:val="7CF925E8"/>
    <w:rsid w:val="7CFD3397"/>
    <w:rsid w:val="7D081B82"/>
    <w:rsid w:val="7D0C4F0F"/>
    <w:rsid w:val="7D11554A"/>
    <w:rsid w:val="7D132F88"/>
    <w:rsid w:val="7D16490F"/>
    <w:rsid w:val="7D17270A"/>
    <w:rsid w:val="7D1C17B3"/>
    <w:rsid w:val="7D1C525A"/>
    <w:rsid w:val="7D1F7C67"/>
    <w:rsid w:val="7D2B20F5"/>
    <w:rsid w:val="7D3568A4"/>
    <w:rsid w:val="7D3A7028"/>
    <w:rsid w:val="7D4328AE"/>
    <w:rsid w:val="7D4633F9"/>
    <w:rsid w:val="7D465481"/>
    <w:rsid w:val="7D6375C9"/>
    <w:rsid w:val="7D682343"/>
    <w:rsid w:val="7D6C493D"/>
    <w:rsid w:val="7D71385A"/>
    <w:rsid w:val="7D791E17"/>
    <w:rsid w:val="7D7B29C4"/>
    <w:rsid w:val="7D7D04EA"/>
    <w:rsid w:val="7D9657DE"/>
    <w:rsid w:val="7DA120C5"/>
    <w:rsid w:val="7DB01C13"/>
    <w:rsid w:val="7DB10C38"/>
    <w:rsid w:val="7DB348A5"/>
    <w:rsid w:val="7DBE0C79"/>
    <w:rsid w:val="7DCB7AA6"/>
    <w:rsid w:val="7DD32800"/>
    <w:rsid w:val="7DD866B6"/>
    <w:rsid w:val="7DD94633"/>
    <w:rsid w:val="7DE3633C"/>
    <w:rsid w:val="7DEB18F7"/>
    <w:rsid w:val="7DFC3CD7"/>
    <w:rsid w:val="7E067BD1"/>
    <w:rsid w:val="7E27319D"/>
    <w:rsid w:val="7E3009BA"/>
    <w:rsid w:val="7E374874"/>
    <w:rsid w:val="7E3859A5"/>
    <w:rsid w:val="7E4250A6"/>
    <w:rsid w:val="7E5020A2"/>
    <w:rsid w:val="7E567FDE"/>
    <w:rsid w:val="7E584AB3"/>
    <w:rsid w:val="7E5A6AFE"/>
    <w:rsid w:val="7E6D5296"/>
    <w:rsid w:val="7E77083C"/>
    <w:rsid w:val="7E8458A8"/>
    <w:rsid w:val="7E8D4EBE"/>
    <w:rsid w:val="7E9E6FF8"/>
    <w:rsid w:val="7EA2001C"/>
    <w:rsid w:val="7EA90DDD"/>
    <w:rsid w:val="7EAA04C4"/>
    <w:rsid w:val="7EB20D50"/>
    <w:rsid w:val="7EB513C1"/>
    <w:rsid w:val="7EB67459"/>
    <w:rsid w:val="7EB91778"/>
    <w:rsid w:val="7EB96523"/>
    <w:rsid w:val="7EBC2869"/>
    <w:rsid w:val="7EC32874"/>
    <w:rsid w:val="7EC65EC0"/>
    <w:rsid w:val="7ECB1729"/>
    <w:rsid w:val="7ECD20A5"/>
    <w:rsid w:val="7ED700CE"/>
    <w:rsid w:val="7ED80060"/>
    <w:rsid w:val="7EEC1DCB"/>
    <w:rsid w:val="7EF72651"/>
    <w:rsid w:val="7F0215EE"/>
    <w:rsid w:val="7F02610B"/>
    <w:rsid w:val="7F037E14"/>
    <w:rsid w:val="7F041851"/>
    <w:rsid w:val="7F0E5803"/>
    <w:rsid w:val="7F1A0A36"/>
    <w:rsid w:val="7F1F1620"/>
    <w:rsid w:val="7F2350C1"/>
    <w:rsid w:val="7F296462"/>
    <w:rsid w:val="7F2D113B"/>
    <w:rsid w:val="7F3020E7"/>
    <w:rsid w:val="7F313331"/>
    <w:rsid w:val="7F3506F8"/>
    <w:rsid w:val="7F390848"/>
    <w:rsid w:val="7F4250D4"/>
    <w:rsid w:val="7F4F2B0C"/>
    <w:rsid w:val="7F530C7F"/>
    <w:rsid w:val="7F5A1FB5"/>
    <w:rsid w:val="7F643544"/>
    <w:rsid w:val="7F685621"/>
    <w:rsid w:val="7F692316"/>
    <w:rsid w:val="7F726CF0"/>
    <w:rsid w:val="7F7F5C9C"/>
    <w:rsid w:val="7F9C2535"/>
    <w:rsid w:val="7F9D6BE3"/>
    <w:rsid w:val="7FA71013"/>
    <w:rsid w:val="7FAD6F19"/>
    <w:rsid w:val="7FB7777E"/>
    <w:rsid w:val="7FB937DA"/>
    <w:rsid w:val="7FBD76BB"/>
    <w:rsid w:val="7FC6103A"/>
    <w:rsid w:val="7FD757ED"/>
    <w:rsid w:val="7FD77C55"/>
    <w:rsid w:val="7FD84C83"/>
    <w:rsid w:val="7FDC2EB2"/>
    <w:rsid w:val="7FE80D89"/>
    <w:rsid w:val="7FEA47F6"/>
    <w:rsid w:val="7FEC78CF"/>
    <w:rsid w:val="7FF44EFD"/>
    <w:rsid w:val="7FF640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uiPriority="39" w:semiHidden="0" w:name="toc 5"/>
    <w:lsdException w:qFormat="1" w:uiPriority="39" w:semiHidden="0" w:name="toc 6"/>
    <w:lsdException w:uiPriority="39" w:semiHidden="0" w:name="toc 7"/>
    <w:lsdException w:uiPriority="39" w:semiHidden="0" w:name="toc 8"/>
    <w:lsdException w:qFormat="1" w:uiPriority="39" w:semiHidden="0"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qFormat="1" w:unhideWhenUsed="0" w:uiPriority="0" w:semiHidden="0" w:name="Salutation"/>
    <w:lsdException w:qFormat="1" w:uiPriority="0" w:semiHidden="0" w:name="Date"/>
    <w:lsdException w:qFormat="1" w:unhideWhenUsed="0" w:uiPriority="0" w:semiHidden="0" w:name="Body Text First Indent"/>
    <w:lsdException w:qFormat="1" w:uiPriority="99" w:semiHidden="0" w:name="Body Text First Indent 2"/>
    <w:lsdException w:uiPriority="99" w:name="Note Heading"/>
    <w:lsdException w:unhideWhenUsed="0" w:uiPriority="0" w:semiHidden="0" w:name="Body Text 2"/>
    <w:lsdException w:uiPriority="99" w:name="Body Text 3"/>
    <w:lsdException w:unhideWhenUsed="0" w:uiPriority="0" w:semiHidden="0" w:name="Body Text Indent 2"/>
    <w:lsdException w:qFormat="1"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39" w:semiHidden="0" w:name="Table Grid"/>
    <w:lsdException w:uiPriority="99" w:name="Table Theme"/>
    <w:lsdException w:qFormat="1" w:unhideWhenUsed="0"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200" w:firstLineChars="200"/>
      <w:jc w:val="both"/>
    </w:pPr>
    <w:rPr>
      <w:rFonts w:ascii="Times New Roman" w:hAnsi="Times New Roman" w:eastAsia="宋体" w:cstheme="minorBidi"/>
      <w:snapToGrid w:val="0"/>
      <w:sz w:val="24"/>
      <w:szCs w:val="21"/>
      <w:lang w:val="en-US" w:eastAsia="zh-CN" w:bidi="ar-SA"/>
    </w:rPr>
  </w:style>
  <w:style w:type="paragraph" w:styleId="3">
    <w:name w:val="heading 1"/>
    <w:basedOn w:val="1"/>
    <w:next w:val="1"/>
    <w:link w:val="66"/>
    <w:autoRedefine/>
    <w:qFormat/>
    <w:uiPriority w:val="0"/>
    <w:pPr>
      <w:tabs>
        <w:tab w:val="left" w:pos="0"/>
      </w:tabs>
      <w:spacing w:before="50" w:beforeLines="50"/>
      <w:jc w:val="left"/>
      <w:outlineLvl w:val="0"/>
    </w:pPr>
    <w:rPr>
      <w:b/>
      <w:bCs/>
      <w:sz w:val="28"/>
      <w:szCs w:val="44"/>
    </w:rPr>
  </w:style>
  <w:style w:type="paragraph" w:styleId="4">
    <w:name w:val="heading 2"/>
    <w:basedOn w:val="1"/>
    <w:next w:val="1"/>
    <w:link w:val="67"/>
    <w:autoRedefine/>
    <w:unhideWhenUsed/>
    <w:qFormat/>
    <w:uiPriority w:val="0"/>
    <w:pPr>
      <w:ind w:firstLine="0" w:firstLineChars="0"/>
      <w:outlineLvl w:val="1"/>
    </w:pPr>
    <w:rPr>
      <w:rFonts w:eastAsia="黑体" w:cstheme="majorBidi"/>
      <w:bCs/>
      <w:szCs w:val="32"/>
    </w:rPr>
  </w:style>
  <w:style w:type="paragraph" w:styleId="5">
    <w:name w:val="heading 3"/>
    <w:basedOn w:val="1"/>
    <w:next w:val="1"/>
    <w:link w:val="117"/>
    <w:autoRedefine/>
    <w:unhideWhenUsed/>
    <w:qFormat/>
    <w:uiPriority w:val="0"/>
    <w:pPr>
      <w:ind w:firstLine="0" w:firstLineChars="0"/>
      <w:outlineLvl w:val="2"/>
    </w:pPr>
    <w:rPr>
      <w:rFonts w:eastAsia="黑体"/>
      <w:bCs/>
      <w:snapToGrid/>
      <w:szCs w:val="32"/>
    </w:rPr>
  </w:style>
  <w:style w:type="paragraph" w:styleId="6">
    <w:name w:val="heading 4"/>
    <w:basedOn w:val="1"/>
    <w:next w:val="1"/>
    <w:link w:val="68"/>
    <w:autoRedefine/>
    <w:unhideWhenUsed/>
    <w:qFormat/>
    <w:uiPriority w:val="9"/>
    <w:pPr>
      <w:keepNext/>
      <w:keepLines/>
      <w:adjustRightInd w:val="0"/>
      <w:snapToGrid w:val="0"/>
      <w:spacing w:line="480" w:lineRule="exact"/>
      <w:ind w:firstLine="0" w:firstLineChars="0"/>
      <w:outlineLvl w:val="3"/>
    </w:pPr>
    <w:rPr>
      <w:rFonts w:cstheme="majorBidi"/>
      <w:bCs/>
      <w:szCs w:val="28"/>
    </w:rPr>
  </w:style>
  <w:style w:type="paragraph" w:styleId="7">
    <w:name w:val="heading 5"/>
    <w:basedOn w:val="8"/>
    <w:next w:val="1"/>
    <w:link w:val="108"/>
    <w:autoRedefine/>
    <w:qFormat/>
    <w:uiPriority w:val="9"/>
    <w:pPr>
      <w:keepNext/>
      <w:keepLines/>
      <w:widowControl/>
      <w:ind w:firstLine="0" w:firstLineChars="0"/>
      <w:jc w:val="left"/>
      <w:outlineLvl w:val="4"/>
    </w:pPr>
    <w:rPr>
      <w:rFonts w:cs="Times New Roman"/>
      <w:b/>
      <w:bCs/>
      <w:szCs w:val="28"/>
    </w:rPr>
  </w:style>
  <w:style w:type="paragraph" w:styleId="9">
    <w:name w:val="heading 6"/>
    <w:basedOn w:val="1"/>
    <w:next w:val="1"/>
    <w:link w:val="109"/>
    <w:autoRedefine/>
    <w:qFormat/>
    <w:uiPriority w:val="9"/>
    <w:pPr>
      <w:keepNext/>
      <w:keepLines/>
      <w:widowControl/>
      <w:spacing w:before="240" w:after="64" w:line="320" w:lineRule="auto"/>
      <w:ind w:left="1152" w:hanging="1152"/>
      <w:jc w:val="left"/>
      <w:outlineLvl w:val="5"/>
    </w:pPr>
    <w:rPr>
      <w:rFonts w:ascii="Calibri Light" w:hAnsi="Calibri Light" w:cs="Times New Roman"/>
      <w:b/>
      <w:bCs/>
      <w:szCs w:val="24"/>
    </w:rPr>
  </w:style>
  <w:style w:type="paragraph" w:styleId="10">
    <w:name w:val="heading 7"/>
    <w:basedOn w:val="1"/>
    <w:next w:val="1"/>
    <w:link w:val="110"/>
    <w:autoRedefine/>
    <w:qFormat/>
    <w:uiPriority w:val="9"/>
    <w:pPr>
      <w:keepNext/>
      <w:keepLines/>
      <w:widowControl/>
      <w:spacing w:before="240" w:after="64" w:line="320" w:lineRule="auto"/>
      <w:ind w:left="1296" w:hanging="1296"/>
      <w:jc w:val="left"/>
      <w:outlineLvl w:val="6"/>
    </w:pPr>
    <w:rPr>
      <w:rFonts w:cs="Times New Roman"/>
      <w:b/>
      <w:bCs/>
      <w:szCs w:val="24"/>
    </w:rPr>
  </w:style>
  <w:style w:type="paragraph" w:styleId="11">
    <w:name w:val="heading 8"/>
    <w:basedOn w:val="1"/>
    <w:next w:val="1"/>
    <w:link w:val="111"/>
    <w:autoRedefine/>
    <w:qFormat/>
    <w:uiPriority w:val="9"/>
    <w:pPr>
      <w:keepNext/>
      <w:keepLines/>
      <w:widowControl/>
      <w:spacing w:before="240" w:after="64" w:line="320" w:lineRule="auto"/>
      <w:ind w:left="1440" w:hanging="1440"/>
      <w:jc w:val="left"/>
      <w:outlineLvl w:val="7"/>
    </w:pPr>
    <w:rPr>
      <w:rFonts w:ascii="Calibri Light" w:hAnsi="Calibri Light" w:cs="Times New Roman"/>
      <w:szCs w:val="24"/>
    </w:rPr>
  </w:style>
  <w:style w:type="paragraph" w:styleId="12">
    <w:name w:val="heading 9"/>
    <w:basedOn w:val="1"/>
    <w:next w:val="1"/>
    <w:link w:val="112"/>
    <w:autoRedefine/>
    <w:qFormat/>
    <w:uiPriority w:val="9"/>
    <w:pPr>
      <w:keepNext/>
      <w:keepLines/>
      <w:widowControl/>
      <w:spacing w:before="240" w:after="64" w:line="320" w:lineRule="auto"/>
      <w:ind w:left="1584" w:hanging="1584"/>
      <w:jc w:val="left"/>
      <w:outlineLvl w:val="8"/>
    </w:pPr>
    <w:rPr>
      <w:rFonts w:ascii="Calibri Light" w:hAnsi="Calibri Light" w:cs="Times New Roman"/>
    </w:rPr>
  </w:style>
  <w:style w:type="character" w:default="1" w:styleId="41">
    <w:name w:val="Default Paragraph Font"/>
    <w:autoRedefine/>
    <w:semiHidden/>
    <w:unhideWhenUsed/>
    <w:qFormat/>
    <w:uiPriority w:val="1"/>
  </w:style>
  <w:style w:type="table" w:default="1" w:styleId="39">
    <w:name w:val="Normal Table"/>
    <w:autoRedefine/>
    <w:semiHidden/>
    <w:unhideWhenUsed/>
    <w:qFormat/>
    <w:uiPriority w:val="99"/>
    <w:tblPr>
      <w:tblCellMar>
        <w:top w:w="0" w:type="dxa"/>
        <w:left w:w="108" w:type="dxa"/>
        <w:bottom w:w="0" w:type="dxa"/>
        <w:right w:w="108" w:type="dxa"/>
      </w:tblCellMar>
    </w:tblPr>
  </w:style>
  <w:style w:type="paragraph" w:styleId="2">
    <w:name w:val="toc 2"/>
    <w:basedOn w:val="1"/>
    <w:next w:val="1"/>
    <w:autoRedefine/>
    <w:unhideWhenUsed/>
    <w:qFormat/>
    <w:uiPriority w:val="39"/>
    <w:pPr>
      <w:tabs>
        <w:tab w:val="right" w:leader="dot" w:pos="9060"/>
      </w:tabs>
      <w:ind w:left="482" w:leftChars="200" w:firstLine="0" w:firstLineChars="0"/>
    </w:pPr>
    <w:rPr>
      <w:rFonts w:eastAsia="楷体"/>
    </w:rPr>
  </w:style>
  <w:style w:type="paragraph" w:customStyle="1" w:styleId="8">
    <w:name w:val="HJ-正文"/>
    <w:basedOn w:val="1"/>
    <w:autoRedefine/>
    <w:qFormat/>
    <w:uiPriority w:val="0"/>
    <w:pPr>
      <w:ind w:firstLine="480"/>
    </w:pPr>
    <w:rPr>
      <w:szCs w:val="24"/>
    </w:rPr>
  </w:style>
  <w:style w:type="paragraph" w:styleId="13">
    <w:name w:val="Normal Indent"/>
    <w:basedOn w:val="1"/>
    <w:autoRedefine/>
    <w:qFormat/>
    <w:uiPriority w:val="0"/>
    <w:pPr>
      <w:topLinePunct/>
      <w:adjustRightInd w:val="0"/>
      <w:snapToGrid w:val="0"/>
      <w:ind w:firstLine="420"/>
    </w:pPr>
    <w:rPr>
      <w:rFonts w:ascii="宋体" w:hAnsi="宋体"/>
      <w:szCs w:val="20"/>
    </w:rPr>
  </w:style>
  <w:style w:type="paragraph" w:styleId="14">
    <w:name w:val="caption"/>
    <w:basedOn w:val="1"/>
    <w:next w:val="1"/>
    <w:autoRedefine/>
    <w:qFormat/>
    <w:uiPriority w:val="99"/>
    <w:rPr>
      <w:rFonts w:ascii="Arial" w:hAnsi="Arial" w:eastAsia="黑体"/>
      <w:sz w:val="20"/>
    </w:rPr>
  </w:style>
  <w:style w:type="paragraph" w:styleId="15">
    <w:name w:val="Document Map"/>
    <w:basedOn w:val="1"/>
    <w:link w:val="91"/>
    <w:autoRedefine/>
    <w:unhideWhenUsed/>
    <w:qFormat/>
    <w:uiPriority w:val="99"/>
    <w:rPr>
      <w:rFonts w:ascii="宋体" w:cs="Times New Roman"/>
      <w:sz w:val="18"/>
      <w:szCs w:val="18"/>
    </w:rPr>
  </w:style>
  <w:style w:type="paragraph" w:styleId="16">
    <w:name w:val="annotation text"/>
    <w:basedOn w:val="1"/>
    <w:link w:val="86"/>
    <w:autoRedefine/>
    <w:unhideWhenUsed/>
    <w:qFormat/>
    <w:uiPriority w:val="99"/>
    <w:pPr>
      <w:jc w:val="left"/>
    </w:pPr>
  </w:style>
  <w:style w:type="paragraph" w:styleId="17">
    <w:name w:val="Salutation"/>
    <w:basedOn w:val="1"/>
    <w:next w:val="1"/>
    <w:autoRedefine/>
    <w:qFormat/>
    <w:uiPriority w:val="0"/>
    <w:rPr>
      <w:rFonts w:ascii="宋体" w:hAnsi="华文宋体"/>
      <w:sz w:val="28"/>
    </w:rPr>
  </w:style>
  <w:style w:type="paragraph" w:styleId="18">
    <w:name w:val="Body Text"/>
    <w:basedOn w:val="1"/>
    <w:link w:val="98"/>
    <w:autoRedefine/>
    <w:unhideWhenUsed/>
    <w:qFormat/>
    <w:uiPriority w:val="99"/>
    <w:pPr>
      <w:spacing w:after="120"/>
    </w:pPr>
  </w:style>
  <w:style w:type="paragraph" w:styleId="19">
    <w:name w:val="Body Text Indent"/>
    <w:basedOn w:val="1"/>
    <w:next w:val="20"/>
    <w:link w:val="99"/>
    <w:autoRedefine/>
    <w:qFormat/>
    <w:uiPriority w:val="99"/>
    <w:pPr>
      <w:spacing w:after="120"/>
      <w:ind w:left="420" w:leftChars="200"/>
    </w:pPr>
    <w:rPr>
      <w:rFonts w:cs="Times New Roman"/>
      <w:szCs w:val="24"/>
    </w:rPr>
  </w:style>
  <w:style w:type="paragraph" w:styleId="20">
    <w:name w:val="Body Text First Indent"/>
    <w:basedOn w:val="18"/>
    <w:next w:val="1"/>
    <w:autoRedefine/>
    <w:qFormat/>
    <w:uiPriority w:val="0"/>
    <w:pPr>
      <w:ind w:firstLine="420" w:firstLineChars="100"/>
    </w:pPr>
  </w:style>
  <w:style w:type="paragraph" w:styleId="21">
    <w:name w:val="toc 3"/>
    <w:basedOn w:val="1"/>
    <w:next w:val="1"/>
    <w:autoRedefine/>
    <w:unhideWhenUsed/>
    <w:qFormat/>
    <w:uiPriority w:val="39"/>
    <w:pPr>
      <w:ind w:left="840" w:leftChars="400"/>
    </w:pPr>
  </w:style>
  <w:style w:type="paragraph" w:styleId="22">
    <w:name w:val="Plain Text"/>
    <w:basedOn w:val="1"/>
    <w:next w:val="17"/>
    <w:autoRedefine/>
    <w:unhideWhenUsed/>
    <w:qFormat/>
    <w:uiPriority w:val="0"/>
    <w:rPr>
      <w:rFonts w:ascii="宋体" w:hAnsi="Courier New" w:cs="Times New Roman"/>
      <w:sz w:val="21"/>
      <w:szCs w:val="20"/>
    </w:rPr>
  </w:style>
  <w:style w:type="paragraph" w:styleId="23">
    <w:name w:val="Date"/>
    <w:basedOn w:val="1"/>
    <w:next w:val="1"/>
    <w:link w:val="89"/>
    <w:autoRedefine/>
    <w:unhideWhenUsed/>
    <w:qFormat/>
    <w:uiPriority w:val="0"/>
    <w:pPr>
      <w:ind w:left="100" w:leftChars="2500"/>
    </w:pPr>
  </w:style>
  <w:style w:type="paragraph" w:styleId="24">
    <w:name w:val="Balloon Text"/>
    <w:basedOn w:val="1"/>
    <w:link w:val="85"/>
    <w:autoRedefine/>
    <w:unhideWhenUsed/>
    <w:qFormat/>
    <w:uiPriority w:val="0"/>
    <w:rPr>
      <w:sz w:val="18"/>
      <w:szCs w:val="18"/>
    </w:rPr>
  </w:style>
  <w:style w:type="paragraph" w:styleId="25">
    <w:name w:val="footer"/>
    <w:basedOn w:val="1"/>
    <w:link w:val="93"/>
    <w:autoRedefine/>
    <w:unhideWhenUsed/>
    <w:qFormat/>
    <w:uiPriority w:val="99"/>
    <w:pPr>
      <w:tabs>
        <w:tab w:val="center" w:pos="4153"/>
        <w:tab w:val="right" w:pos="8306"/>
      </w:tabs>
      <w:snapToGrid w:val="0"/>
      <w:jc w:val="left"/>
    </w:pPr>
    <w:rPr>
      <w:sz w:val="18"/>
      <w:szCs w:val="18"/>
    </w:rPr>
  </w:style>
  <w:style w:type="paragraph" w:styleId="26">
    <w:name w:val="header"/>
    <w:basedOn w:val="1"/>
    <w:next w:val="27"/>
    <w:link w:val="94"/>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27">
    <w:name w:val="样式5"/>
    <w:basedOn w:val="28"/>
    <w:autoRedefine/>
    <w:qFormat/>
    <w:uiPriority w:val="0"/>
    <w:pPr>
      <w:snapToGrid w:val="0"/>
      <w:ind w:firstLine="510"/>
    </w:pPr>
  </w:style>
  <w:style w:type="paragraph" w:customStyle="1" w:styleId="28">
    <w:name w:val="正文1"/>
    <w:basedOn w:val="1"/>
    <w:autoRedefine/>
    <w:qFormat/>
    <w:uiPriority w:val="0"/>
    <w:pPr>
      <w:widowControl/>
      <w:jc w:val="left"/>
    </w:pPr>
    <w:rPr>
      <w:rFonts w:ascii="仿宋_GB2312" w:hAnsi="仿宋_GB2312" w:cs="宋体"/>
    </w:rPr>
  </w:style>
  <w:style w:type="paragraph" w:styleId="29">
    <w:name w:val="toc 1"/>
    <w:basedOn w:val="1"/>
    <w:next w:val="1"/>
    <w:autoRedefine/>
    <w:unhideWhenUsed/>
    <w:qFormat/>
    <w:uiPriority w:val="39"/>
    <w:pPr>
      <w:ind w:firstLine="0" w:firstLineChars="0"/>
    </w:pPr>
    <w:rPr>
      <w:rFonts w:eastAsia="楷体"/>
      <w:b/>
    </w:rPr>
  </w:style>
  <w:style w:type="paragraph" w:styleId="30">
    <w:name w:val="toc 4"/>
    <w:basedOn w:val="1"/>
    <w:next w:val="1"/>
    <w:autoRedefine/>
    <w:unhideWhenUsed/>
    <w:qFormat/>
    <w:uiPriority w:val="39"/>
    <w:pPr>
      <w:ind w:left="1260" w:leftChars="600"/>
    </w:pPr>
  </w:style>
  <w:style w:type="paragraph" w:styleId="31">
    <w:name w:val="List"/>
    <w:basedOn w:val="1"/>
    <w:autoRedefine/>
    <w:qFormat/>
    <w:uiPriority w:val="0"/>
    <w:pPr>
      <w:ind w:left="200" w:hanging="200" w:hangingChars="200"/>
      <w:jc w:val="center"/>
    </w:pPr>
  </w:style>
  <w:style w:type="paragraph" w:styleId="32">
    <w:name w:val="toc 6"/>
    <w:basedOn w:val="1"/>
    <w:next w:val="1"/>
    <w:autoRedefine/>
    <w:unhideWhenUsed/>
    <w:qFormat/>
    <w:uiPriority w:val="39"/>
    <w:pPr>
      <w:ind w:left="2100" w:leftChars="1000"/>
    </w:pPr>
  </w:style>
  <w:style w:type="paragraph" w:styleId="33">
    <w:name w:val="Body Text Indent 3"/>
    <w:basedOn w:val="1"/>
    <w:link w:val="100"/>
    <w:autoRedefine/>
    <w:semiHidden/>
    <w:unhideWhenUsed/>
    <w:qFormat/>
    <w:uiPriority w:val="99"/>
    <w:pPr>
      <w:spacing w:after="120"/>
      <w:ind w:left="420" w:leftChars="200"/>
    </w:pPr>
    <w:rPr>
      <w:rFonts w:cs="Times New Roman"/>
      <w:sz w:val="16"/>
      <w:szCs w:val="16"/>
    </w:rPr>
  </w:style>
  <w:style w:type="paragraph" w:styleId="34">
    <w:name w:val="toc 9"/>
    <w:basedOn w:val="1"/>
    <w:next w:val="1"/>
    <w:autoRedefine/>
    <w:unhideWhenUsed/>
    <w:qFormat/>
    <w:uiPriority w:val="39"/>
    <w:pPr>
      <w:ind w:left="3360" w:leftChars="1600"/>
    </w:pPr>
    <w:rPr>
      <w:rFonts w:cs="Times New Roman"/>
      <w:szCs w:val="20"/>
    </w:rPr>
  </w:style>
  <w:style w:type="paragraph" w:styleId="35">
    <w:name w:val="Normal (Web)"/>
    <w:basedOn w:val="1"/>
    <w:autoRedefine/>
    <w:unhideWhenUsed/>
    <w:qFormat/>
    <w:uiPriority w:val="99"/>
    <w:pPr>
      <w:widowControl/>
      <w:spacing w:before="100" w:beforeAutospacing="1" w:after="100" w:afterAutospacing="1" w:line="240" w:lineRule="auto"/>
      <w:ind w:firstLine="0" w:firstLineChars="0"/>
      <w:jc w:val="left"/>
    </w:pPr>
    <w:rPr>
      <w:rFonts w:ascii="宋体" w:hAnsi="宋体" w:cs="宋体"/>
      <w:snapToGrid/>
      <w:szCs w:val="24"/>
    </w:rPr>
  </w:style>
  <w:style w:type="paragraph" w:styleId="36">
    <w:name w:val="Title"/>
    <w:basedOn w:val="1"/>
    <w:next w:val="1"/>
    <w:autoRedefine/>
    <w:qFormat/>
    <w:uiPriority w:val="0"/>
    <w:pPr>
      <w:spacing w:before="240" w:after="60"/>
      <w:jc w:val="center"/>
      <w:outlineLvl w:val="0"/>
    </w:pPr>
    <w:rPr>
      <w:rFonts w:ascii="Cambria" w:hAnsi="Cambria" w:cs="Times New Roman"/>
      <w:b/>
      <w:bCs/>
      <w:sz w:val="32"/>
      <w:szCs w:val="32"/>
    </w:rPr>
  </w:style>
  <w:style w:type="paragraph" w:styleId="37">
    <w:name w:val="annotation subject"/>
    <w:basedOn w:val="16"/>
    <w:next w:val="16"/>
    <w:link w:val="88"/>
    <w:autoRedefine/>
    <w:unhideWhenUsed/>
    <w:qFormat/>
    <w:uiPriority w:val="99"/>
    <w:rPr>
      <w:b/>
      <w:bCs/>
    </w:rPr>
  </w:style>
  <w:style w:type="paragraph" w:styleId="38">
    <w:name w:val="Body Text First Indent 2"/>
    <w:basedOn w:val="19"/>
    <w:next w:val="1"/>
    <w:link w:val="107"/>
    <w:autoRedefine/>
    <w:unhideWhenUsed/>
    <w:qFormat/>
    <w:uiPriority w:val="99"/>
    <w:pPr>
      <w:ind w:firstLine="420"/>
    </w:pPr>
    <w:rPr>
      <w:rFonts w:cstheme="minorBidi"/>
      <w:szCs w:val="21"/>
    </w:rPr>
  </w:style>
  <w:style w:type="table" w:styleId="40">
    <w:name w:val="Table Grid"/>
    <w:basedOn w:val="39"/>
    <w:autoRedefine/>
    <w:qFormat/>
    <w:uiPriority w:val="39"/>
    <w:rPr>
      <w:rFonts w:asciiTheme="minorHAnsi" w:hAnsiTheme="minorHAnsi" w:eastAsiaTheme="minorEastAsia" w:cstheme="minorBidi"/>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Strong"/>
    <w:basedOn w:val="41"/>
    <w:autoRedefine/>
    <w:qFormat/>
    <w:uiPriority w:val="22"/>
    <w:rPr>
      <w:b/>
      <w:bCs/>
    </w:rPr>
  </w:style>
  <w:style w:type="character" w:styleId="43">
    <w:name w:val="FollowedHyperlink"/>
    <w:basedOn w:val="41"/>
    <w:autoRedefine/>
    <w:semiHidden/>
    <w:unhideWhenUsed/>
    <w:qFormat/>
    <w:uiPriority w:val="99"/>
    <w:rPr>
      <w:color w:val="333333"/>
      <w:u w:val="none"/>
    </w:rPr>
  </w:style>
  <w:style w:type="character" w:styleId="44">
    <w:name w:val="Emphasis"/>
    <w:basedOn w:val="41"/>
    <w:autoRedefine/>
    <w:qFormat/>
    <w:uiPriority w:val="20"/>
  </w:style>
  <w:style w:type="character" w:styleId="45">
    <w:name w:val="Hyperlink"/>
    <w:autoRedefine/>
    <w:unhideWhenUsed/>
    <w:qFormat/>
    <w:uiPriority w:val="99"/>
    <w:rPr>
      <w:color w:val="0000FF"/>
      <w:u w:val="single"/>
    </w:rPr>
  </w:style>
  <w:style w:type="character" w:styleId="46">
    <w:name w:val="HTML Code"/>
    <w:basedOn w:val="41"/>
    <w:autoRedefine/>
    <w:semiHidden/>
    <w:unhideWhenUsed/>
    <w:qFormat/>
    <w:uiPriority w:val="99"/>
    <w:rPr>
      <w:rFonts w:ascii="Courier New" w:hAnsi="Courier New"/>
      <w:sz w:val="20"/>
    </w:rPr>
  </w:style>
  <w:style w:type="character" w:styleId="47">
    <w:name w:val="annotation reference"/>
    <w:basedOn w:val="41"/>
    <w:autoRedefine/>
    <w:unhideWhenUsed/>
    <w:qFormat/>
    <w:uiPriority w:val="99"/>
    <w:rPr>
      <w:sz w:val="21"/>
      <w:szCs w:val="21"/>
    </w:rPr>
  </w:style>
  <w:style w:type="paragraph" w:customStyle="1" w:styleId="48">
    <w:name w:val="xl27"/>
    <w:basedOn w:val="1"/>
    <w:autoRedefine/>
    <w:qFormat/>
    <w:uiPriority w:val="0"/>
    <w:pPr>
      <w:widowControl/>
      <w:pBdr>
        <w:bottom w:val="single" w:color="auto" w:sz="12" w:space="0"/>
      </w:pBdr>
      <w:spacing w:before="100" w:after="100"/>
      <w:jc w:val="center"/>
    </w:pPr>
    <w:rPr>
      <w:rFonts w:ascii="宋体" w:hAnsi="宋体"/>
      <w:szCs w:val="20"/>
    </w:rPr>
  </w:style>
  <w:style w:type="paragraph" w:customStyle="1" w:styleId="49">
    <w:name w:val="Default"/>
    <w:basedOn w:val="50"/>
    <w:next w:val="1"/>
    <w:autoRedefine/>
    <w:qFormat/>
    <w:uiPriority w:val="0"/>
    <w:pPr>
      <w:tabs>
        <w:tab w:val="left" w:pos="1021"/>
      </w:tabs>
      <w:autoSpaceDE w:val="0"/>
      <w:autoSpaceDN w:val="0"/>
    </w:pPr>
    <w:rPr>
      <w:rFonts w:ascii="Times New Roman" w:hAnsi="Times New Roman" w:cs="宋体"/>
      <w:color w:val="000000"/>
      <w:szCs w:val="24"/>
    </w:rPr>
  </w:style>
  <w:style w:type="paragraph" w:customStyle="1" w:styleId="50">
    <w:name w:val="纯文本1"/>
    <w:basedOn w:val="1"/>
    <w:autoRedefine/>
    <w:qFormat/>
    <w:uiPriority w:val="0"/>
    <w:pPr>
      <w:tabs>
        <w:tab w:val="left" w:pos="1021"/>
      </w:tabs>
      <w:adjustRightInd w:val="0"/>
      <w:textAlignment w:val="baseline"/>
    </w:pPr>
    <w:rPr>
      <w:rFonts w:ascii="宋体" w:hAnsi="Courier New"/>
    </w:rPr>
  </w:style>
  <w:style w:type="paragraph" w:customStyle="1" w:styleId="51">
    <w:name w:val="Date1"/>
    <w:basedOn w:val="1"/>
    <w:next w:val="1"/>
    <w:autoRedefine/>
    <w:qFormat/>
    <w:uiPriority w:val="0"/>
    <w:pPr>
      <w:adjustRightInd w:val="0"/>
      <w:jc w:val="left"/>
      <w:textAlignment w:val="baseline"/>
    </w:pPr>
    <w:rPr>
      <w:rFonts w:ascii="宋体" w:hAnsi="宋体"/>
      <w:sz w:val="28"/>
      <w:szCs w:val="20"/>
    </w:rPr>
  </w:style>
  <w:style w:type="paragraph" w:customStyle="1" w:styleId="52">
    <w:name w:val="_Style 1"/>
    <w:basedOn w:val="1"/>
    <w:next w:val="1"/>
    <w:autoRedefine/>
    <w:qFormat/>
    <w:uiPriority w:val="0"/>
    <w:pPr>
      <w:ind w:firstLine="420" w:firstLineChars="200"/>
    </w:pPr>
    <w:rPr>
      <w:rFonts w:ascii="Calibri" w:hAnsi="Calibri" w:eastAsia="宋体" w:cs="Times New Roman"/>
      <w:szCs w:val="22"/>
    </w:rPr>
  </w:style>
  <w:style w:type="paragraph" w:customStyle="1" w:styleId="53">
    <w:name w:val="样式 样式 首行缩进:  2 字符 + 首行缩进:  2 字符"/>
    <w:basedOn w:val="1"/>
    <w:next w:val="29"/>
    <w:autoRedefine/>
    <w:qFormat/>
    <w:uiPriority w:val="0"/>
    <w:pPr>
      <w:snapToGrid w:val="0"/>
      <w:spacing w:line="360" w:lineRule="auto"/>
      <w:ind w:firstLine="560" w:firstLineChars="200"/>
    </w:pPr>
    <w:rPr>
      <w:spacing w:val="0"/>
      <w:sz w:val="28"/>
    </w:rPr>
  </w:style>
  <w:style w:type="paragraph" w:customStyle="1" w:styleId="54">
    <w:name w:val="Default1"/>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55">
    <w:name w:val="_Style 2"/>
    <w:next w:val="1"/>
    <w:autoRedefine/>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56">
    <w:name w:val="lh-表题-报告书正文"/>
    <w:next w:val="57"/>
    <w:link w:val="58"/>
    <w:autoRedefine/>
    <w:qFormat/>
    <w:uiPriority w:val="0"/>
    <w:pPr>
      <w:keepNext/>
      <w:numPr>
        <w:ilvl w:val="3"/>
        <w:numId w:val="1"/>
      </w:numPr>
      <w:adjustRightInd w:val="0"/>
      <w:snapToGrid w:val="0"/>
      <w:ind w:left="0"/>
      <w:jc w:val="center"/>
    </w:pPr>
    <w:rPr>
      <w:rFonts w:ascii="Times New Roman" w:hAnsi="Times New Roman" w:eastAsia="宋体" w:cstheme="minorBidi"/>
      <w:b/>
      <w:snapToGrid w:val="0"/>
      <w:sz w:val="21"/>
      <w:lang w:val="en-US" w:eastAsia="zh-CN" w:bidi="ar-SA"/>
    </w:rPr>
  </w:style>
  <w:style w:type="paragraph" w:customStyle="1" w:styleId="57">
    <w:name w:val="lh-表格文字-报告书"/>
    <w:link w:val="70"/>
    <w:autoRedefine/>
    <w:qFormat/>
    <w:uiPriority w:val="0"/>
    <w:pPr>
      <w:pBdr>
        <w:top w:val="none" w:color="auto" w:sz="0" w:space="1"/>
        <w:left w:val="none" w:color="auto" w:sz="0" w:space="2"/>
        <w:bottom w:val="none" w:color="auto" w:sz="0" w:space="1"/>
        <w:right w:val="none" w:color="auto" w:sz="0" w:space="2"/>
      </w:pBdr>
      <w:jc w:val="center"/>
    </w:pPr>
    <w:rPr>
      <w:rFonts w:ascii="Times New Roman" w:hAnsi="Times New Roman" w:eastAsia="宋体" w:cstheme="minorBidi"/>
      <w:snapToGrid w:val="0"/>
      <w:sz w:val="21"/>
      <w:szCs w:val="24"/>
      <w:lang w:val="en-US" w:eastAsia="zh-CN" w:bidi="ar-SA"/>
    </w:rPr>
  </w:style>
  <w:style w:type="character" w:customStyle="1" w:styleId="58">
    <w:name w:val="lh-表题-报告书正文 Char"/>
    <w:basedOn w:val="41"/>
    <w:link w:val="56"/>
    <w:autoRedefine/>
    <w:qFormat/>
    <w:uiPriority w:val="0"/>
    <w:rPr>
      <w:rFonts w:ascii="Times New Roman" w:hAnsi="Times New Roman" w:eastAsia="宋体" w:cstheme="minorBidi"/>
      <w:b/>
      <w:snapToGrid w:val="0"/>
      <w:sz w:val="21"/>
    </w:rPr>
  </w:style>
  <w:style w:type="paragraph" w:customStyle="1" w:styleId="59">
    <w:name w:val="lh-1级标题报告书"/>
    <w:next w:val="1"/>
    <w:link w:val="71"/>
    <w:autoRedefine/>
    <w:qFormat/>
    <w:uiPriority w:val="0"/>
    <w:pPr>
      <w:keepNext/>
      <w:pageBreakBefore/>
      <w:numPr>
        <w:ilvl w:val="0"/>
        <w:numId w:val="1"/>
      </w:numPr>
      <w:spacing w:line="480" w:lineRule="auto"/>
      <w:outlineLvl w:val="0"/>
    </w:pPr>
    <w:rPr>
      <w:rFonts w:ascii="Times New Roman" w:hAnsi="Times New Roman" w:eastAsia="黑体" w:cstheme="minorBidi"/>
      <w:b/>
      <w:bCs/>
      <w:snapToGrid w:val="0"/>
      <w:sz w:val="24"/>
      <w:szCs w:val="44"/>
      <w:lang w:val="en-US" w:eastAsia="zh-CN" w:bidi="ar-SA"/>
    </w:rPr>
  </w:style>
  <w:style w:type="paragraph" w:customStyle="1" w:styleId="60">
    <w:name w:val="lh-2级标题-报告书"/>
    <w:next w:val="1"/>
    <w:link w:val="72"/>
    <w:autoRedefine/>
    <w:qFormat/>
    <w:uiPriority w:val="0"/>
    <w:pPr>
      <w:keepNext/>
      <w:numPr>
        <w:ilvl w:val="1"/>
        <w:numId w:val="1"/>
      </w:numPr>
      <w:spacing w:line="360" w:lineRule="auto"/>
      <w:outlineLvl w:val="1"/>
    </w:pPr>
    <w:rPr>
      <w:rFonts w:ascii="Times New Roman" w:hAnsi="Times New Roman" w:eastAsia="黑体" w:cstheme="minorBidi"/>
      <w:b/>
      <w:bCs/>
      <w:sz w:val="24"/>
      <w:szCs w:val="32"/>
      <w:lang w:val="en-US" w:eastAsia="zh-CN" w:bidi="ar-SA"/>
    </w:rPr>
  </w:style>
  <w:style w:type="paragraph" w:customStyle="1" w:styleId="61">
    <w:name w:val="lh-3级标题报告书"/>
    <w:next w:val="1"/>
    <w:link w:val="73"/>
    <w:autoRedefine/>
    <w:qFormat/>
    <w:uiPriority w:val="0"/>
    <w:pPr>
      <w:keepNext/>
      <w:numPr>
        <w:ilvl w:val="2"/>
        <w:numId w:val="1"/>
      </w:numPr>
      <w:spacing w:line="360" w:lineRule="auto"/>
      <w:outlineLvl w:val="2"/>
    </w:pPr>
    <w:rPr>
      <w:rFonts w:ascii="Times New Roman" w:hAnsi="Times New Roman" w:eastAsia="黑体" w:cs="Times New Roman"/>
      <w:b/>
      <w:sz w:val="24"/>
      <w:szCs w:val="24"/>
      <w:lang w:val="en-US" w:eastAsia="zh-CN" w:bidi="ar-SA"/>
    </w:rPr>
  </w:style>
  <w:style w:type="paragraph" w:customStyle="1" w:styleId="62">
    <w:name w:val="lh-4级标题-报告书"/>
    <w:next w:val="63"/>
    <w:link w:val="74"/>
    <w:autoRedefine/>
    <w:qFormat/>
    <w:uiPriority w:val="0"/>
    <w:pPr>
      <w:numPr>
        <w:ilvl w:val="4"/>
        <w:numId w:val="1"/>
      </w:numPr>
      <w:spacing w:line="360" w:lineRule="auto"/>
      <w:outlineLvl w:val="3"/>
    </w:pPr>
    <w:rPr>
      <w:rFonts w:ascii="Times New Roman" w:hAnsi="Times New Roman" w:eastAsia="宋体" w:cstheme="minorBidi"/>
      <w:b/>
      <w:snapToGrid w:val="0"/>
      <w:sz w:val="24"/>
      <w:szCs w:val="21"/>
      <w:lang w:val="en-US" w:eastAsia="zh-CN" w:bidi="ar-SA"/>
    </w:rPr>
  </w:style>
  <w:style w:type="paragraph" w:customStyle="1" w:styleId="63">
    <w:name w:val="lh-正文-报告书"/>
    <w:link w:val="145"/>
    <w:autoRedefine/>
    <w:qFormat/>
    <w:uiPriority w:val="0"/>
    <w:pPr>
      <w:widowControl w:val="0"/>
      <w:spacing w:line="360" w:lineRule="auto"/>
      <w:ind w:firstLine="200" w:firstLineChars="200"/>
      <w:jc w:val="both"/>
    </w:pPr>
    <w:rPr>
      <w:rFonts w:ascii="Times New Roman" w:hAnsi="Times New Roman" w:eastAsia="宋体" w:cs="Times New Roman"/>
      <w:snapToGrid w:val="0"/>
      <w:sz w:val="24"/>
      <w:szCs w:val="21"/>
      <w:lang w:val="en-GB" w:eastAsia="zh-CN" w:bidi="ar-SA"/>
    </w:rPr>
  </w:style>
  <w:style w:type="paragraph" w:customStyle="1" w:styleId="64">
    <w:name w:val="lh-图题-报告书正文"/>
    <w:next w:val="1"/>
    <w:link w:val="81"/>
    <w:autoRedefine/>
    <w:qFormat/>
    <w:uiPriority w:val="0"/>
    <w:pPr>
      <w:numPr>
        <w:ilvl w:val="5"/>
        <w:numId w:val="1"/>
      </w:numPr>
      <w:spacing w:line="360" w:lineRule="auto"/>
      <w:jc w:val="center"/>
    </w:pPr>
    <w:rPr>
      <w:rFonts w:ascii="Times New Roman" w:hAnsi="Times New Roman" w:eastAsia="宋体" w:cstheme="minorBidi"/>
      <w:b/>
      <w:sz w:val="21"/>
      <w:szCs w:val="21"/>
      <w:lang w:val="en-US" w:eastAsia="zh-CN" w:bidi="ar-SA"/>
    </w:rPr>
  </w:style>
  <w:style w:type="character" w:customStyle="1" w:styleId="65">
    <w:name w:val="标题 3 字符"/>
    <w:basedOn w:val="41"/>
    <w:autoRedefine/>
    <w:qFormat/>
    <w:uiPriority w:val="0"/>
    <w:rPr>
      <w:rFonts w:eastAsia="黑体" w:cstheme="minorBidi"/>
      <w:bCs/>
      <w:sz w:val="24"/>
      <w:szCs w:val="32"/>
    </w:rPr>
  </w:style>
  <w:style w:type="character" w:customStyle="1" w:styleId="66">
    <w:name w:val="标题 1 字符"/>
    <w:basedOn w:val="41"/>
    <w:link w:val="3"/>
    <w:autoRedefine/>
    <w:qFormat/>
    <w:uiPriority w:val="0"/>
    <w:rPr>
      <w:rFonts w:cstheme="minorBidi"/>
      <w:b/>
      <w:bCs/>
      <w:snapToGrid w:val="0"/>
      <w:sz w:val="28"/>
      <w:szCs w:val="44"/>
    </w:rPr>
  </w:style>
  <w:style w:type="character" w:customStyle="1" w:styleId="67">
    <w:name w:val="标题 2 字符"/>
    <w:basedOn w:val="41"/>
    <w:link w:val="4"/>
    <w:autoRedefine/>
    <w:qFormat/>
    <w:uiPriority w:val="0"/>
    <w:rPr>
      <w:rFonts w:eastAsia="黑体" w:cstheme="majorBidi"/>
      <w:bCs/>
      <w:snapToGrid w:val="0"/>
      <w:sz w:val="24"/>
      <w:szCs w:val="32"/>
    </w:rPr>
  </w:style>
  <w:style w:type="character" w:customStyle="1" w:styleId="68">
    <w:name w:val="标题 4 字符"/>
    <w:basedOn w:val="41"/>
    <w:link w:val="6"/>
    <w:autoRedefine/>
    <w:qFormat/>
    <w:uiPriority w:val="9"/>
    <w:rPr>
      <w:rFonts w:cstheme="majorBidi"/>
      <w:bCs/>
      <w:snapToGrid w:val="0"/>
      <w:sz w:val="24"/>
      <w:szCs w:val="28"/>
    </w:rPr>
  </w:style>
  <w:style w:type="paragraph" w:customStyle="1" w:styleId="69">
    <w:name w:val="表头"/>
    <w:basedOn w:val="22"/>
    <w:next w:val="1"/>
    <w:autoRedefine/>
    <w:qFormat/>
    <w:uiPriority w:val="0"/>
    <w:pPr>
      <w:adjustRightInd w:val="0"/>
      <w:snapToGrid w:val="0"/>
      <w:spacing w:line="480" w:lineRule="exact"/>
      <w:ind w:firstLine="2048" w:firstLineChars="850"/>
    </w:pPr>
    <w:rPr>
      <w:rFonts w:hAnsi="宋体" w:eastAsia="Times New Roman"/>
      <w:b/>
      <w:color w:val="000000"/>
      <w:kern w:val="2"/>
      <w:sz w:val="24"/>
      <w:szCs w:val="24"/>
    </w:rPr>
  </w:style>
  <w:style w:type="character" w:customStyle="1" w:styleId="70">
    <w:name w:val="lh-表格文字-报告书 Char"/>
    <w:basedOn w:val="41"/>
    <w:link w:val="57"/>
    <w:autoRedefine/>
    <w:qFormat/>
    <w:uiPriority w:val="0"/>
    <w:rPr>
      <w:rFonts w:ascii="Times New Roman" w:hAnsi="Times New Roman" w:eastAsia="宋体" w:cstheme="minorBidi"/>
      <w:snapToGrid w:val="0"/>
      <w:sz w:val="21"/>
      <w:szCs w:val="24"/>
    </w:rPr>
  </w:style>
  <w:style w:type="character" w:customStyle="1" w:styleId="71">
    <w:name w:val="lh-1级标题报告书 Char"/>
    <w:basedOn w:val="41"/>
    <w:link w:val="59"/>
    <w:autoRedefine/>
    <w:qFormat/>
    <w:uiPriority w:val="0"/>
    <w:rPr>
      <w:rFonts w:eastAsia="黑体" w:cstheme="minorBidi"/>
      <w:b/>
      <w:bCs/>
      <w:snapToGrid w:val="0"/>
      <w:sz w:val="24"/>
      <w:szCs w:val="44"/>
    </w:rPr>
  </w:style>
  <w:style w:type="character" w:customStyle="1" w:styleId="72">
    <w:name w:val="lh-2级标题-报告书 Char"/>
    <w:basedOn w:val="41"/>
    <w:link w:val="60"/>
    <w:autoRedefine/>
    <w:qFormat/>
    <w:uiPriority w:val="0"/>
    <w:rPr>
      <w:rFonts w:eastAsia="黑体" w:cstheme="minorBidi"/>
      <w:b/>
      <w:bCs/>
      <w:sz w:val="24"/>
      <w:szCs w:val="32"/>
    </w:rPr>
  </w:style>
  <w:style w:type="character" w:customStyle="1" w:styleId="73">
    <w:name w:val="lh-3级标题报告书 Char"/>
    <w:basedOn w:val="41"/>
    <w:link w:val="61"/>
    <w:autoRedefine/>
    <w:qFormat/>
    <w:uiPriority w:val="0"/>
    <w:rPr>
      <w:rFonts w:eastAsia="黑体"/>
      <w:b/>
      <w:sz w:val="24"/>
      <w:szCs w:val="24"/>
    </w:rPr>
  </w:style>
  <w:style w:type="character" w:customStyle="1" w:styleId="74">
    <w:name w:val="lh-4级标题-报告书 Char"/>
    <w:basedOn w:val="41"/>
    <w:link w:val="62"/>
    <w:autoRedefine/>
    <w:qFormat/>
    <w:uiPriority w:val="0"/>
    <w:rPr>
      <w:rFonts w:ascii="Times New Roman" w:hAnsi="Times New Roman" w:eastAsia="宋体" w:cstheme="minorBidi"/>
      <w:b/>
      <w:snapToGrid w:val="0"/>
      <w:sz w:val="24"/>
      <w:szCs w:val="21"/>
    </w:rPr>
  </w:style>
  <w:style w:type="paragraph" w:customStyle="1" w:styleId="75">
    <w:name w:val="lh-表注"/>
    <w:link w:val="76"/>
    <w:autoRedefine/>
    <w:qFormat/>
    <w:uiPriority w:val="0"/>
    <w:pPr>
      <w:textAlignment w:val="baseline"/>
    </w:pPr>
    <w:rPr>
      <w:rFonts w:ascii="Times New Roman" w:hAnsi="Times New Roman" w:eastAsia="宋体" w:cstheme="minorBidi"/>
      <w:snapToGrid w:val="0"/>
      <w:sz w:val="21"/>
      <w:szCs w:val="21"/>
      <w:lang w:val="en-US" w:eastAsia="zh-CN" w:bidi="ar-SA"/>
    </w:rPr>
  </w:style>
  <w:style w:type="character" w:customStyle="1" w:styleId="76">
    <w:name w:val="lh-表注 Char"/>
    <w:basedOn w:val="41"/>
    <w:link w:val="75"/>
    <w:autoRedefine/>
    <w:qFormat/>
    <w:uiPriority w:val="0"/>
    <w:rPr>
      <w:rFonts w:cstheme="minorBidi"/>
      <w:snapToGrid w:val="0"/>
      <w:sz w:val="21"/>
      <w:szCs w:val="21"/>
    </w:rPr>
  </w:style>
  <w:style w:type="paragraph" w:customStyle="1" w:styleId="77">
    <w:name w:val="lh-概述5级标题"/>
    <w:next w:val="1"/>
    <w:link w:val="78"/>
    <w:autoRedefine/>
    <w:qFormat/>
    <w:uiPriority w:val="0"/>
    <w:pPr>
      <w:keepNext/>
      <w:numPr>
        <w:ilvl w:val="0"/>
        <w:numId w:val="2"/>
      </w:numPr>
      <w:spacing w:line="360" w:lineRule="auto"/>
      <w:outlineLvl w:val="1"/>
    </w:pPr>
    <w:rPr>
      <w:rFonts w:ascii="Times New Roman" w:hAnsi="Times New Roman" w:eastAsia="宋体" w:cstheme="minorBidi"/>
      <w:b/>
      <w:snapToGrid w:val="0"/>
      <w:sz w:val="24"/>
      <w:szCs w:val="21"/>
      <w:lang w:val="en-US" w:eastAsia="zh-CN" w:bidi="ar-SA"/>
    </w:rPr>
  </w:style>
  <w:style w:type="character" w:customStyle="1" w:styleId="78">
    <w:name w:val="lh-概述1级标题 Char"/>
    <w:basedOn w:val="41"/>
    <w:link w:val="77"/>
    <w:autoRedefine/>
    <w:qFormat/>
    <w:uiPriority w:val="0"/>
    <w:rPr>
      <w:rFonts w:ascii="Times New Roman" w:hAnsi="Times New Roman" w:eastAsia="宋体" w:cstheme="minorBidi"/>
      <w:b/>
      <w:snapToGrid w:val="0"/>
      <w:sz w:val="24"/>
      <w:szCs w:val="21"/>
    </w:rPr>
  </w:style>
  <w:style w:type="paragraph" w:customStyle="1" w:styleId="79">
    <w:name w:val="lh-概述2级标题"/>
    <w:next w:val="1"/>
    <w:link w:val="80"/>
    <w:autoRedefine/>
    <w:qFormat/>
    <w:uiPriority w:val="0"/>
    <w:pPr>
      <w:numPr>
        <w:ilvl w:val="1"/>
        <w:numId w:val="2"/>
      </w:numPr>
      <w:spacing w:line="360" w:lineRule="auto"/>
      <w:outlineLvl w:val="2"/>
    </w:pPr>
    <w:rPr>
      <w:rFonts w:ascii="Times New Roman" w:hAnsi="Times New Roman" w:eastAsia="黑体" w:cstheme="minorBidi"/>
      <w:snapToGrid w:val="0"/>
      <w:sz w:val="24"/>
      <w:szCs w:val="21"/>
      <w:lang w:val="en-US" w:eastAsia="zh-CN" w:bidi="ar-SA"/>
    </w:rPr>
  </w:style>
  <w:style w:type="character" w:customStyle="1" w:styleId="80">
    <w:name w:val="lh-概述2级标题 Char"/>
    <w:basedOn w:val="41"/>
    <w:link w:val="79"/>
    <w:autoRedefine/>
    <w:qFormat/>
    <w:uiPriority w:val="0"/>
    <w:rPr>
      <w:rFonts w:eastAsia="黑体" w:cstheme="minorBidi"/>
      <w:snapToGrid w:val="0"/>
      <w:sz w:val="24"/>
      <w:szCs w:val="21"/>
    </w:rPr>
  </w:style>
  <w:style w:type="character" w:customStyle="1" w:styleId="81">
    <w:name w:val="lh-图题-报告书正文 Char"/>
    <w:basedOn w:val="41"/>
    <w:link w:val="64"/>
    <w:autoRedefine/>
    <w:qFormat/>
    <w:uiPriority w:val="0"/>
    <w:rPr>
      <w:rFonts w:ascii="Times New Roman" w:hAnsi="Times New Roman" w:eastAsia="宋体" w:cstheme="minorBidi"/>
      <w:b/>
      <w:sz w:val="21"/>
      <w:szCs w:val="21"/>
    </w:rPr>
  </w:style>
  <w:style w:type="character" w:customStyle="1" w:styleId="82">
    <w:name w:val="不明显强调1"/>
    <w:basedOn w:val="41"/>
    <w:autoRedefine/>
    <w:qFormat/>
    <w:uiPriority w:val="19"/>
    <w:rPr>
      <w:i/>
      <w:iCs/>
      <w:color w:val="404040" w:themeColor="text1" w:themeTint="BF"/>
      <w14:textFill>
        <w14:solidFill>
          <w14:schemeClr w14:val="tx1">
            <w14:lumMod w14:val="75000"/>
            <w14:lumOff w14:val="25000"/>
          </w14:schemeClr>
        </w14:solidFill>
      </w14:textFill>
    </w:rPr>
  </w:style>
  <w:style w:type="paragraph" w:styleId="83">
    <w:name w:val="List Paragraph"/>
    <w:basedOn w:val="1"/>
    <w:link w:val="84"/>
    <w:autoRedefine/>
    <w:qFormat/>
    <w:uiPriority w:val="34"/>
    <w:pPr>
      <w:widowControl/>
      <w:spacing w:line="240" w:lineRule="auto"/>
      <w:ind w:firstLine="420"/>
      <w:jc w:val="left"/>
    </w:pPr>
    <w:rPr>
      <w:rFonts w:cs="Times New Roman"/>
      <w:snapToGrid/>
      <w:kern w:val="2"/>
      <w:sz w:val="21"/>
      <w:szCs w:val="24"/>
    </w:rPr>
  </w:style>
  <w:style w:type="character" w:customStyle="1" w:styleId="84">
    <w:name w:val="列表段落 字符"/>
    <w:basedOn w:val="41"/>
    <w:link w:val="83"/>
    <w:autoRedefine/>
    <w:qFormat/>
    <w:uiPriority w:val="34"/>
    <w:rPr>
      <w:kern w:val="2"/>
      <w:sz w:val="21"/>
      <w:szCs w:val="24"/>
    </w:rPr>
  </w:style>
  <w:style w:type="character" w:customStyle="1" w:styleId="85">
    <w:name w:val="批注框文本 字符"/>
    <w:basedOn w:val="41"/>
    <w:link w:val="24"/>
    <w:autoRedefine/>
    <w:qFormat/>
    <w:uiPriority w:val="0"/>
    <w:rPr>
      <w:rFonts w:cstheme="minorBidi"/>
      <w:snapToGrid w:val="0"/>
      <w:sz w:val="18"/>
      <w:szCs w:val="18"/>
    </w:rPr>
  </w:style>
  <w:style w:type="character" w:customStyle="1" w:styleId="86">
    <w:name w:val="批注文字 字符"/>
    <w:basedOn w:val="41"/>
    <w:link w:val="16"/>
    <w:autoRedefine/>
    <w:qFormat/>
    <w:uiPriority w:val="99"/>
    <w:rPr>
      <w:rFonts w:cstheme="minorBidi"/>
      <w:snapToGrid w:val="0"/>
      <w:sz w:val="24"/>
      <w:szCs w:val="21"/>
    </w:rPr>
  </w:style>
  <w:style w:type="character" w:customStyle="1" w:styleId="87">
    <w:name w:val="批注文字 Char1"/>
    <w:basedOn w:val="41"/>
    <w:autoRedefine/>
    <w:semiHidden/>
    <w:qFormat/>
    <w:uiPriority w:val="99"/>
  </w:style>
  <w:style w:type="character" w:customStyle="1" w:styleId="88">
    <w:name w:val="批注主题 字符"/>
    <w:basedOn w:val="86"/>
    <w:link w:val="37"/>
    <w:autoRedefine/>
    <w:qFormat/>
    <w:uiPriority w:val="99"/>
    <w:rPr>
      <w:rFonts w:cstheme="minorBidi"/>
      <w:b/>
      <w:bCs/>
      <w:snapToGrid w:val="0"/>
      <w:sz w:val="24"/>
      <w:szCs w:val="21"/>
    </w:rPr>
  </w:style>
  <w:style w:type="character" w:customStyle="1" w:styleId="89">
    <w:name w:val="日期 字符"/>
    <w:basedOn w:val="41"/>
    <w:link w:val="23"/>
    <w:autoRedefine/>
    <w:qFormat/>
    <w:uiPriority w:val="0"/>
    <w:rPr>
      <w:rFonts w:cstheme="minorBidi"/>
      <w:snapToGrid w:val="0"/>
      <w:sz w:val="24"/>
      <w:szCs w:val="21"/>
    </w:rPr>
  </w:style>
  <w:style w:type="table" w:customStyle="1" w:styleId="90">
    <w:name w:val="网格型1"/>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1">
    <w:name w:val="文档结构图 字符"/>
    <w:basedOn w:val="41"/>
    <w:link w:val="15"/>
    <w:autoRedefine/>
    <w:qFormat/>
    <w:uiPriority w:val="99"/>
    <w:rPr>
      <w:rFonts w:ascii="宋体"/>
      <w:snapToGrid w:val="0"/>
      <w:sz w:val="18"/>
      <w:szCs w:val="18"/>
    </w:rPr>
  </w:style>
  <w:style w:type="table" w:customStyle="1" w:styleId="92">
    <w:name w:val="样式1"/>
    <w:basedOn w:val="39"/>
    <w:autoRedefine/>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Pr>
    <w:tcPr>
      <w:vAlign w:val="center"/>
    </w:tcPr>
    <w:tblStylePr w:type="firstRow">
      <w:tcPr>
        <w:tcBorders>
          <w:top w:val="single" w:color="auto" w:sz="12" w:space="0"/>
        </w:tcBorders>
      </w:tcPr>
    </w:tblStylePr>
    <w:tblStylePr w:type="lastRow">
      <w:pPr>
        <w:jc w:val="center"/>
      </w:pPr>
      <w:rPr>
        <w:rFonts w:ascii="Times New Roman" w:hAnsi="Times New Roman" w:eastAsia="宋体"/>
      </w:rPr>
      <w:tcPr>
        <w:tcBorders>
          <w:top w:val="nil"/>
          <w:bottom w:val="single" w:color="auto" w:sz="12" w:space="0"/>
        </w:tcBorders>
      </w:tcPr>
    </w:tblStylePr>
  </w:style>
  <w:style w:type="character" w:customStyle="1" w:styleId="93">
    <w:name w:val="页脚 字符"/>
    <w:basedOn w:val="41"/>
    <w:link w:val="25"/>
    <w:autoRedefine/>
    <w:qFormat/>
    <w:uiPriority w:val="99"/>
    <w:rPr>
      <w:rFonts w:cstheme="minorBidi"/>
      <w:snapToGrid w:val="0"/>
      <w:sz w:val="18"/>
      <w:szCs w:val="18"/>
    </w:rPr>
  </w:style>
  <w:style w:type="character" w:customStyle="1" w:styleId="94">
    <w:name w:val="页眉 字符"/>
    <w:basedOn w:val="41"/>
    <w:link w:val="26"/>
    <w:autoRedefine/>
    <w:qFormat/>
    <w:uiPriority w:val="99"/>
    <w:rPr>
      <w:rFonts w:cstheme="minorBidi"/>
      <w:snapToGrid w:val="0"/>
      <w:sz w:val="18"/>
      <w:szCs w:val="18"/>
    </w:rPr>
  </w:style>
  <w:style w:type="paragraph" w:styleId="95">
    <w:name w:val="Quote"/>
    <w:basedOn w:val="1"/>
    <w:next w:val="1"/>
    <w:link w:val="96"/>
    <w:autoRedefine/>
    <w:qFormat/>
    <w:uiPriority w:val="29"/>
    <w:pPr>
      <w:spacing w:before="200" w:after="160"/>
      <w:ind w:left="864" w:right="864"/>
      <w:jc w:val="center"/>
    </w:pPr>
    <w:rPr>
      <w:i/>
      <w:iCs/>
      <w:snapToGrid/>
      <w:color w:val="404040" w:themeColor="text1" w:themeTint="BF"/>
      <w14:textFill>
        <w14:solidFill>
          <w14:schemeClr w14:val="tx1">
            <w14:lumMod w14:val="75000"/>
            <w14:lumOff w14:val="25000"/>
          </w14:schemeClr>
        </w14:solidFill>
      </w14:textFill>
    </w:rPr>
  </w:style>
  <w:style w:type="character" w:customStyle="1" w:styleId="96">
    <w:name w:val="引用 字符"/>
    <w:basedOn w:val="41"/>
    <w:link w:val="95"/>
    <w:autoRedefine/>
    <w:qFormat/>
    <w:uiPriority w:val="29"/>
    <w:rPr>
      <w:rFonts w:cstheme="minorBidi"/>
      <w:i/>
      <w:iCs/>
      <w:color w:val="404040" w:themeColor="text1" w:themeTint="BF"/>
      <w:sz w:val="24"/>
      <w:szCs w:val="21"/>
      <w14:textFill>
        <w14:solidFill>
          <w14:schemeClr w14:val="tx1">
            <w14:lumMod w14:val="75000"/>
            <w14:lumOff w14:val="25000"/>
          </w14:schemeClr>
        </w14:solidFill>
      </w14:textFill>
    </w:rPr>
  </w:style>
  <w:style w:type="character" w:styleId="97">
    <w:name w:val="Placeholder Text"/>
    <w:basedOn w:val="41"/>
    <w:autoRedefine/>
    <w:qFormat/>
    <w:uiPriority w:val="99"/>
    <w:rPr>
      <w:color w:val="808080"/>
    </w:rPr>
  </w:style>
  <w:style w:type="character" w:customStyle="1" w:styleId="98">
    <w:name w:val="正文文本 字符"/>
    <w:basedOn w:val="41"/>
    <w:link w:val="18"/>
    <w:autoRedefine/>
    <w:qFormat/>
    <w:uiPriority w:val="99"/>
    <w:rPr>
      <w:rFonts w:cstheme="minorBidi"/>
      <w:snapToGrid w:val="0"/>
      <w:sz w:val="24"/>
      <w:szCs w:val="21"/>
    </w:rPr>
  </w:style>
  <w:style w:type="character" w:customStyle="1" w:styleId="99">
    <w:name w:val="正文文本缩进 字符"/>
    <w:link w:val="19"/>
    <w:autoRedefine/>
    <w:qFormat/>
    <w:uiPriority w:val="99"/>
    <w:rPr>
      <w:snapToGrid w:val="0"/>
      <w:sz w:val="24"/>
      <w:szCs w:val="24"/>
    </w:rPr>
  </w:style>
  <w:style w:type="character" w:customStyle="1" w:styleId="100">
    <w:name w:val="正文文本缩进 3 字符"/>
    <w:basedOn w:val="41"/>
    <w:link w:val="33"/>
    <w:autoRedefine/>
    <w:semiHidden/>
    <w:qFormat/>
    <w:uiPriority w:val="99"/>
    <w:rPr>
      <w:snapToGrid w:val="0"/>
      <w:sz w:val="16"/>
      <w:szCs w:val="16"/>
    </w:rPr>
  </w:style>
  <w:style w:type="character" w:customStyle="1" w:styleId="101">
    <w:name w:val="正文文本缩进 Char"/>
    <w:basedOn w:val="41"/>
    <w:autoRedefine/>
    <w:semiHidden/>
    <w:qFormat/>
    <w:uiPriority w:val="99"/>
  </w:style>
  <w:style w:type="character" w:customStyle="1" w:styleId="102">
    <w:name w:val="正文-游 字符"/>
    <w:link w:val="103"/>
    <w:autoRedefine/>
    <w:qFormat/>
    <w:uiPriority w:val="0"/>
    <w:rPr>
      <w:rFonts w:ascii="Times New Roman" w:hAnsi="Times New Roman" w:eastAsia="宋体"/>
      <w:bCs/>
      <w:color w:val="C45911"/>
      <w:sz w:val="24"/>
    </w:rPr>
  </w:style>
  <w:style w:type="paragraph" w:customStyle="1" w:styleId="103">
    <w:name w:val="正文-毛"/>
    <w:basedOn w:val="18"/>
    <w:link w:val="102"/>
    <w:autoRedefine/>
    <w:semiHidden/>
    <w:qFormat/>
    <w:uiPriority w:val="0"/>
    <w:pPr>
      <w:adjustRightInd w:val="0"/>
      <w:snapToGrid w:val="0"/>
      <w:spacing w:after="0" w:line="360" w:lineRule="auto"/>
      <w:ind w:right="0" w:firstLine="200" w:firstLineChars="200"/>
    </w:pPr>
    <w:rPr>
      <w:rFonts w:ascii="Times New Roman" w:hAnsi="Times New Roman" w:eastAsia="宋体"/>
      <w:bCs/>
      <w:color w:val="C45911"/>
      <w:sz w:val="24"/>
    </w:rPr>
  </w:style>
  <w:style w:type="table" w:customStyle="1" w:styleId="104">
    <w:name w:val="yeti"/>
    <w:basedOn w:val="39"/>
    <w:autoRedefine/>
    <w:qFormat/>
    <w:uiPriority w:val="0"/>
    <w:pPr>
      <w:spacing w:line="360" w:lineRule="exact"/>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05">
    <w:name w:val="yp格式"/>
    <w:basedOn w:val="39"/>
    <w:autoRedefine/>
    <w:qFormat/>
    <w:uiPriority w:val="0"/>
    <w:pPr>
      <w:adjustRightInd w:val="0"/>
      <w:snapToGrid w:val="0"/>
      <w:jc w:val="center"/>
    </w:pPr>
    <w:rPr>
      <w:sz w:val="21"/>
    </w:rPr>
    <w:tblPr>
      <w:tblBorders>
        <w:top w:val="single" w:color="000000" w:sz="12" w:space="0"/>
        <w:bottom w:val="single" w:color="000000" w:sz="12" w:space="0"/>
        <w:insideH w:val="single" w:color="000000" w:sz="6" w:space="0"/>
        <w:insideV w:val="single" w:color="000000" w:sz="6" w:space="0"/>
      </w:tblBorders>
    </w:tblPr>
    <w:tcPr>
      <w:tcMar>
        <w:left w:w="28" w:type="dxa"/>
        <w:right w:w="28" w:type="dxa"/>
      </w:tcMar>
      <w:vAlign w:val="center"/>
    </w:tcPr>
    <w:tblStylePr w:type="firstRow">
      <w:tcPr>
        <w:tcBorders>
          <w:top w:val="single" w:color="000000" w:sz="12" w:space="0"/>
          <w:left w:val="nil"/>
          <w:bottom w:val="single" w:color="000000" w:sz="2" w:space="0"/>
          <w:right w:val="nil"/>
          <w:insideH w:val="nil"/>
          <w:insideV w:val="single" w:sz="2" w:space="0"/>
          <w:tl2br w:val="nil"/>
          <w:tr2bl w:val="nil"/>
        </w:tcBorders>
      </w:tcPr>
    </w:tblStylePr>
  </w:style>
  <w:style w:type="paragraph" w:customStyle="1" w:styleId="106">
    <w:name w:val="Table Paragraph"/>
    <w:basedOn w:val="1"/>
    <w:autoRedefine/>
    <w:qFormat/>
    <w:uiPriority w:val="0"/>
    <w:pPr>
      <w:widowControl/>
      <w:spacing w:line="240" w:lineRule="auto"/>
      <w:ind w:firstLine="0" w:firstLineChars="0"/>
      <w:jc w:val="left"/>
    </w:pPr>
    <w:rPr>
      <w:rFonts w:ascii="Calibri" w:hAnsi="Calibri" w:cs="Calibri"/>
      <w:snapToGrid/>
      <w:sz w:val="22"/>
      <w:szCs w:val="22"/>
    </w:rPr>
  </w:style>
  <w:style w:type="character" w:customStyle="1" w:styleId="107">
    <w:name w:val="正文文本首行缩进 2 字符"/>
    <w:basedOn w:val="99"/>
    <w:link w:val="38"/>
    <w:autoRedefine/>
    <w:qFormat/>
    <w:uiPriority w:val="99"/>
    <w:rPr>
      <w:rFonts w:cstheme="minorBidi"/>
      <w:snapToGrid w:val="0"/>
      <w:sz w:val="24"/>
      <w:szCs w:val="21"/>
    </w:rPr>
  </w:style>
  <w:style w:type="character" w:customStyle="1" w:styleId="108">
    <w:name w:val="标题 5 字符"/>
    <w:basedOn w:val="41"/>
    <w:link w:val="7"/>
    <w:autoRedefine/>
    <w:qFormat/>
    <w:uiPriority w:val="9"/>
    <w:rPr>
      <w:rFonts w:ascii="Times New Roman" w:hAnsi="Times New Roman" w:eastAsia="宋体"/>
      <w:b/>
      <w:bCs/>
      <w:snapToGrid w:val="0"/>
      <w:sz w:val="24"/>
      <w:szCs w:val="28"/>
    </w:rPr>
  </w:style>
  <w:style w:type="character" w:customStyle="1" w:styleId="109">
    <w:name w:val="标题 6 字符"/>
    <w:basedOn w:val="41"/>
    <w:link w:val="9"/>
    <w:autoRedefine/>
    <w:qFormat/>
    <w:uiPriority w:val="9"/>
    <w:rPr>
      <w:rFonts w:ascii="Calibri Light" w:hAnsi="Calibri Light"/>
      <w:b/>
      <w:bCs/>
      <w:snapToGrid w:val="0"/>
      <w:sz w:val="24"/>
      <w:szCs w:val="24"/>
    </w:rPr>
  </w:style>
  <w:style w:type="character" w:customStyle="1" w:styleId="110">
    <w:name w:val="标题 7 字符"/>
    <w:basedOn w:val="41"/>
    <w:link w:val="10"/>
    <w:autoRedefine/>
    <w:qFormat/>
    <w:uiPriority w:val="9"/>
    <w:rPr>
      <w:b/>
      <w:bCs/>
      <w:snapToGrid w:val="0"/>
      <w:sz w:val="24"/>
      <w:szCs w:val="24"/>
    </w:rPr>
  </w:style>
  <w:style w:type="character" w:customStyle="1" w:styleId="111">
    <w:name w:val="标题 8 字符"/>
    <w:basedOn w:val="41"/>
    <w:link w:val="11"/>
    <w:autoRedefine/>
    <w:qFormat/>
    <w:uiPriority w:val="9"/>
    <w:rPr>
      <w:rFonts w:ascii="Calibri Light" w:hAnsi="Calibri Light"/>
      <w:snapToGrid w:val="0"/>
      <w:sz w:val="24"/>
      <w:szCs w:val="24"/>
    </w:rPr>
  </w:style>
  <w:style w:type="character" w:customStyle="1" w:styleId="112">
    <w:name w:val="标题 9 字符"/>
    <w:basedOn w:val="41"/>
    <w:link w:val="12"/>
    <w:autoRedefine/>
    <w:qFormat/>
    <w:uiPriority w:val="9"/>
    <w:rPr>
      <w:rFonts w:ascii="Calibri Light" w:hAnsi="Calibri Light"/>
      <w:snapToGrid w:val="0"/>
      <w:sz w:val="24"/>
      <w:szCs w:val="21"/>
    </w:rPr>
  </w:style>
  <w:style w:type="paragraph" w:customStyle="1" w:styleId="113">
    <w:name w:val="表格文字"/>
    <w:basedOn w:val="20"/>
    <w:next w:val="1"/>
    <w:autoRedefine/>
    <w:qFormat/>
    <w:uiPriority w:val="0"/>
    <w:pPr>
      <w:tabs>
        <w:tab w:val="left" w:pos="1021"/>
      </w:tabs>
      <w:snapToGrid w:val="0"/>
      <w:spacing w:line="360" w:lineRule="atLeast"/>
      <w:jc w:val="center"/>
    </w:pPr>
    <w:rPr>
      <w:rFonts w:ascii="宋体" w:eastAsia="幼圆"/>
      <w:sz w:val="21"/>
      <w:szCs w:val="20"/>
    </w:rPr>
  </w:style>
  <w:style w:type="paragraph" w:customStyle="1" w:styleId="114">
    <w:name w:val="样式 标题 2H2He + 首行缩进:  0.5 字符"/>
    <w:basedOn w:val="4"/>
    <w:autoRedefine/>
    <w:qFormat/>
    <w:uiPriority w:val="0"/>
    <w:pPr>
      <w:tabs>
        <w:tab w:val="left" w:pos="648"/>
      </w:tabs>
      <w:overflowPunct w:val="0"/>
      <w:autoSpaceDE w:val="0"/>
      <w:autoSpaceDN w:val="0"/>
      <w:adjustRightInd w:val="0"/>
      <w:spacing w:before="40" w:after="40" w:line="400" w:lineRule="exact"/>
      <w:ind w:firstLine="50" w:firstLineChars="50"/>
      <w:textAlignment w:val="baseline"/>
    </w:pPr>
    <w:rPr>
      <w:rFonts w:ascii="Wingdings 2" w:eastAsia="Wingdings 2" w:cs="Wingdings 2"/>
      <w:color w:val="000000"/>
      <w:kern w:val="32"/>
      <w:szCs w:val="20"/>
    </w:rPr>
  </w:style>
  <w:style w:type="paragraph" w:customStyle="1" w:styleId="115">
    <w:name w:val="正文6"/>
    <w:autoRedefine/>
    <w:qFormat/>
    <w:uiPriority w:val="0"/>
    <w:pPr>
      <w:jc w:val="both"/>
    </w:pPr>
    <w:rPr>
      <w:rFonts w:ascii="Calibri" w:hAnsi="Calibri" w:eastAsia="宋体" w:cs="宋体"/>
      <w:kern w:val="2"/>
      <w:sz w:val="21"/>
      <w:szCs w:val="21"/>
      <w:lang w:val="en-US" w:eastAsia="zh-CN" w:bidi="ar-SA"/>
    </w:rPr>
  </w:style>
  <w:style w:type="paragraph" w:customStyle="1" w:styleId="116">
    <w:name w:val="表格"/>
    <w:basedOn w:val="31"/>
    <w:next w:val="1"/>
    <w:autoRedefine/>
    <w:qFormat/>
    <w:uiPriority w:val="0"/>
    <w:pPr>
      <w:adjustRightInd w:val="0"/>
      <w:spacing w:before="40" w:after="40"/>
      <w:textAlignment w:val="baseline"/>
    </w:pPr>
    <w:rPr>
      <w:rFonts w:ascii="昆仑仿宋" w:eastAsia="昆仑仿宋" w:cs="Times New Roman"/>
      <w:szCs w:val="20"/>
    </w:rPr>
  </w:style>
  <w:style w:type="character" w:customStyle="1" w:styleId="117">
    <w:name w:val="标题 3 字符1"/>
    <w:basedOn w:val="41"/>
    <w:link w:val="5"/>
    <w:autoRedefine/>
    <w:qFormat/>
    <w:uiPriority w:val="9"/>
    <w:rPr>
      <w:rFonts w:ascii="Times New Roman" w:hAnsi="Times New Roman" w:eastAsia="宋体" w:cs="Times New Roman"/>
      <w:b/>
      <w:kern w:val="2"/>
      <w:sz w:val="24"/>
      <w:szCs w:val="32"/>
    </w:rPr>
  </w:style>
  <w:style w:type="character" w:customStyle="1" w:styleId="118">
    <w:name w:val="font31"/>
    <w:basedOn w:val="41"/>
    <w:autoRedefine/>
    <w:qFormat/>
    <w:uiPriority w:val="0"/>
    <w:rPr>
      <w:rFonts w:hint="eastAsia" w:ascii="宋体" w:hAnsi="宋体" w:eastAsia="宋体" w:cs="宋体"/>
      <w:color w:val="FF0000"/>
      <w:sz w:val="21"/>
      <w:szCs w:val="21"/>
      <w:u w:val="none"/>
    </w:rPr>
  </w:style>
  <w:style w:type="paragraph" w:customStyle="1" w:styleId="119">
    <w:name w:val="博士论文正文"/>
    <w:basedOn w:val="1"/>
    <w:autoRedefine/>
    <w:qFormat/>
    <w:uiPriority w:val="0"/>
    <w:pPr>
      <w:snapToGrid w:val="0"/>
      <w:spacing w:before="20" w:beforeLines="20" w:after="20" w:afterLines="20"/>
      <w:contextualSpacing/>
    </w:pPr>
    <w:rPr>
      <w:szCs w:val="24"/>
    </w:rPr>
  </w:style>
  <w:style w:type="paragraph" w:customStyle="1" w:styleId="120">
    <w:name w:val="正文内容"/>
    <w:basedOn w:val="1"/>
    <w:autoRedefine/>
    <w:qFormat/>
    <w:uiPriority w:val="0"/>
  </w:style>
  <w:style w:type="paragraph" w:customStyle="1" w:styleId="121">
    <w:name w:val="样式 小四 行距: 1.5 倍行距1"/>
    <w:basedOn w:val="1"/>
    <w:autoRedefine/>
    <w:qFormat/>
    <w:uiPriority w:val="0"/>
    <w:pPr>
      <w:adjustRightInd w:val="0"/>
      <w:snapToGrid w:val="0"/>
    </w:pPr>
    <w:rPr>
      <w:rFonts w:cs="宋体"/>
      <w:szCs w:val="20"/>
    </w:rPr>
  </w:style>
  <w:style w:type="paragraph" w:customStyle="1" w:styleId="122">
    <w:name w:val="表格内容"/>
    <w:basedOn w:val="1"/>
    <w:autoRedefine/>
    <w:qFormat/>
    <w:uiPriority w:val="0"/>
    <w:pPr>
      <w:spacing w:line="240" w:lineRule="auto"/>
      <w:ind w:firstLine="0" w:firstLineChars="0"/>
      <w:jc w:val="center"/>
    </w:pPr>
    <w:rPr>
      <w:sz w:val="21"/>
    </w:rPr>
  </w:style>
  <w:style w:type="paragraph" w:customStyle="1" w:styleId="123">
    <w:name w:val="环评正文"/>
    <w:basedOn w:val="1"/>
    <w:autoRedefine/>
    <w:qFormat/>
    <w:uiPriority w:val="0"/>
  </w:style>
  <w:style w:type="paragraph" w:customStyle="1" w:styleId="124">
    <w:name w:val="表 图 内容"/>
    <w:basedOn w:val="125"/>
    <w:autoRedefine/>
    <w:qFormat/>
    <w:uiPriority w:val="0"/>
    <w:pPr>
      <w:spacing w:line="240" w:lineRule="auto"/>
      <w:ind w:firstLine="0" w:firstLineChars="0"/>
      <w:jc w:val="center"/>
    </w:pPr>
    <w:rPr>
      <w:rFonts w:ascii="Calibri" w:hAnsi="Calibri"/>
      <w:color w:val="000000"/>
      <w:sz w:val="21"/>
      <w:szCs w:val="24"/>
    </w:rPr>
  </w:style>
  <w:style w:type="paragraph" w:customStyle="1" w:styleId="125">
    <w:name w:val="正  文"/>
    <w:autoRedefine/>
    <w:qFormat/>
    <w:uiPriority w:val="0"/>
    <w:pPr>
      <w:widowControl w:val="0"/>
      <w:spacing w:line="560" w:lineRule="exact"/>
      <w:ind w:firstLine="200" w:firstLineChars="200"/>
    </w:pPr>
    <w:rPr>
      <w:rFonts w:ascii="Times New Roman" w:hAnsi="Times New Roman" w:eastAsia="宋体" w:cs="Times New Roman"/>
      <w:kern w:val="2"/>
      <w:sz w:val="24"/>
      <w:szCs w:val="28"/>
      <w:lang w:val="en-US" w:eastAsia="zh-CN" w:bidi="ar-SA"/>
    </w:rPr>
  </w:style>
  <w:style w:type="paragraph" w:customStyle="1" w:styleId="126">
    <w:name w:val="表 图 表头"/>
    <w:autoRedefine/>
    <w:qFormat/>
    <w:uiPriority w:val="0"/>
    <w:pPr>
      <w:spacing w:line="480" w:lineRule="exact"/>
      <w:jc w:val="center"/>
    </w:pPr>
    <w:rPr>
      <w:rFonts w:ascii="Times New Roman" w:hAnsi="Times New Roman" w:eastAsia="宋体" w:cs="Times New Roman"/>
      <w:b/>
      <w:kern w:val="2"/>
      <w:sz w:val="24"/>
      <w:lang w:val="en-US" w:eastAsia="zh-CN" w:bidi="ar-SA"/>
    </w:rPr>
  </w:style>
  <w:style w:type="paragraph" w:customStyle="1" w:styleId="127">
    <w:name w:val="正文18"/>
    <w:autoRedefine/>
    <w:qFormat/>
    <w:uiPriority w:val="0"/>
    <w:pPr>
      <w:jc w:val="both"/>
    </w:pPr>
    <w:rPr>
      <w:rFonts w:ascii="Calibri" w:hAnsi="Calibri" w:eastAsia="宋体" w:cs="宋体"/>
      <w:kern w:val="2"/>
      <w:sz w:val="21"/>
      <w:szCs w:val="21"/>
      <w:lang w:val="en-US" w:eastAsia="zh-CN" w:bidi="ar-SA"/>
    </w:rPr>
  </w:style>
  <w:style w:type="paragraph" w:customStyle="1" w:styleId="128">
    <w:name w:val="报告正文"/>
    <w:basedOn w:val="1"/>
    <w:autoRedefine/>
    <w:qFormat/>
    <w:uiPriority w:val="0"/>
    <w:pPr>
      <w:ind w:firstLine="480"/>
    </w:pPr>
    <w:rPr>
      <w:bCs/>
      <w:szCs w:val="24"/>
    </w:rPr>
  </w:style>
  <w:style w:type="paragraph" w:customStyle="1" w:styleId="129">
    <w:name w:val="正文_48"/>
    <w:autoRedefine/>
    <w:qFormat/>
    <w:uiPriority w:val="0"/>
    <w:pPr>
      <w:widowControl w:val="0"/>
      <w:jc w:val="both"/>
    </w:pPr>
    <w:rPr>
      <w:rFonts w:ascii="等线" w:hAnsi="等线" w:eastAsia="等线" w:cs="Times New Roman"/>
      <w:kern w:val="2"/>
      <w:sz w:val="21"/>
      <w:szCs w:val="22"/>
      <w:lang w:val="en-US" w:eastAsia="zh-CN" w:bidi="ar-SA"/>
    </w:rPr>
  </w:style>
  <w:style w:type="paragraph" w:customStyle="1" w:styleId="130">
    <w:name w:val="正文19"/>
    <w:autoRedefine/>
    <w:qFormat/>
    <w:uiPriority w:val="0"/>
    <w:pPr>
      <w:jc w:val="both"/>
    </w:pPr>
    <w:rPr>
      <w:rFonts w:ascii="Calibri" w:hAnsi="Calibri" w:eastAsia="宋体" w:cs="宋体"/>
      <w:kern w:val="2"/>
      <w:sz w:val="21"/>
      <w:szCs w:val="21"/>
      <w:lang w:val="en-US" w:eastAsia="zh-CN" w:bidi="ar-SA"/>
    </w:rPr>
  </w:style>
  <w:style w:type="paragraph" w:customStyle="1" w:styleId="131">
    <w:name w:val="正文 A"/>
    <w:autoRedefine/>
    <w:qFormat/>
    <w:uiPriority w:val="0"/>
    <w:pPr>
      <w:widowControl w:val="0"/>
      <w:jc w:val="both"/>
    </w:pPr>
    <w:rPr>
      <w:rFonts w:ascii="Times New Roman" w:hAnsi="Times New Roman" w:eastAsia="Arial Unicode MS" w:cs="Arial Unicode MS"/>
      <w:color w:val="000000"/>
      <w:kern w:val="2"/>
      <w:sz w:val="21"/>
      <w:szCs w:val="21"/>
      <w:lang w:val="en-US" w:eastAsia="zh-CN" w:bidi="ar-SA"/>
    </w:rPr>
  </w:style>
  <w:style w:type="paragraph" w:customStyle="1" w:styleId="132">
    <w:name w:val="默认 A"/>
    <w:autoRedefine/>
    <w:qFormat/>
    <w:uiPriority w:val="0"/>
    <w:rPr>
      <w:rFonts w:ascii="Helvetica" w:hAnsi="Helvetica" w:eastAsia="Arial Unicode MS" w:cs="Arial Unicode MS"/>
      <w:color w:val="000000"/>
      <w:sz w:val="22"/>
      <w:szCs w:val="22"/>
      <w:lang w:val="en-US" w:eastAsia="zh-CN" w:bidi="ar-SA"/>
    </w:rPr>
  </w:style>
  <w:style w:type="paragraph" w:customStyle="1" w:styleId="133">
    <w:name w:val="本文格式"/>
    <w:autoRedefine/>
    <w:qFormat/>
    <w:uiPriority w:val="0"/>
    <w:pPr>
      <w:widowControl w:val="0"/>
      <w:spacing w:line="360" w:lineRule="exact"/>
      <w:ind w:firstLine="476"/>
      <w:jc w:val="both"/>
    </w:pPr>
    <w:rPr>
      <w:rFonts w:ascii="Arial Unicode MS" w:hAnsi="Arial Unicode MS" w:eastAsia="Arial Unicode MS" w:cs="Arial Unicode MS"/>
      <w:color w:val="000000"/>
      <w:sz w:val="24"/>
      <w:szCs w:val="24"/>
      <w:lang w:val="en-US" w:eastAsia="zh-CN" w:bidi="ar-SA"/>
    </w:rPr>
  </w:style>
  <w:style w:type="paragraph" w:customStyle="1" w:styleId="134">
    <w:name w:val="列表段落1"/>
    <w:autoRedefine/>
    <w:qFormat/>
    <w:uiPriority w:val="0"/>
    <w:pPr>
      <w:widowControl w:val="0"/>
      <w:ind w:firstLine="420"/>
      <w:jc w:val="both"/>
    </w:pPr>
    <w:rPr>
      <w:rFonts w:ascii="Calibri" w:hAnsi="Calibri" w:eastAsia="Calibri" w:cs="Calibri"/>
      <w:color w:val="000000"/>
      <w:kern w:val="2"/>
      <w:sz w:val="21"/>
      <w:szCs w:val="21"/>
      <w:lang w:val="en-US" w:eastAsia="zh-CN" w:bidi="ar-SA"/>
    </w:rPr>
  </w:style>
  <w:style w:type="character" w:customStyle="1" w:styleId="135">
    <w:name w:val="font41"/>
    <w:basedOn w:val="41"/>
    <w:autoRedefine/>
    <w:semiHidden/>
    <w:qFormat/>
    <w:uiPriority w:val="0"/>
    <w:rPr>
      <w:rFonts w:hint="default" w:ascii="Times New Roman" w:hAnsi="Times New Roman" w:cs="Times New Roman"/>
      <w:color w:val="000000"/>
      <w:sz w:val="21"/>
      <w:szCs w:val="21"/>
      <w:u w:val="none"/>
    </w:rPr>
  </w:style>
  <w:style w:type="paragraph" w:customStyle="1" w:styleId="136">
    <w:name w:val="WPSOffice手动目录 1"/>
    <w:autoRedefine/>
    <w:qFormat/>
    <w:uiPriority w:val="0"/>
    <w:rPr>
      <w:rFonts w:ascii="Times New Roman" w:hAnsi="Times New Roman" w:eastAsia="宋体" w:cs="Times New Roman"/>
      <w:lang w:val="en-US" w:eastAsia="zh-CN" w:bidi="ar-SA"/>
    </w:rPr>
  </w:style>
  <w:style w:type="paragraph" w:customStyle="1" w:styleId="137">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138">
    <w:name w:val="注：（正文）"/>
    <w:basedOn w:val="139"/>
    <w:next w:val="140"/>
    <w:autoRedefine/>
    <w:qFormat/>
    <w:uiPriority w:val="0"/>
  </w:style>
  <w:style w:type="paragraph" w:customStyle="1" w:styleId="139">
    <w:name w:val="注："/>
    <w:next w:val="140"/>
    <w:autoRedefine/>
    <w:qFormat/>
    <w:uiPriority w:val="0"/>
    <w:pPr>
      <w:widowControl w:val="0"/>
      <w:numPr>
        <w:ilvl w:val="0"/>
        <w:numId w:val="3"/>
      </w:numPr>
      <w:autoSpaceDE w:val="0"/>
      <w:autoSpaceDN w:val="0"/>
      <w:jc w:val="both"/>
    </w:pPr>
    <w:rPr>
      <w:rFonts w:ascii="宋体" w:hAnsi="Times New Roman" w:eastAsia="宋体" w:cs="Times New Roman"/>
      <w:sz w:val="18"/>
      <w:szCs w:val="18"/>
      <w:lang w:val="en-US" w:eastAsia="zh-CN" w:bidi="ar-SA"/>
    </w:rPr>
  </w:style>
  <w:style w:type="paragraph" w:customStyle="1" w:styleId="140">
    <w:name w:val="段"/>
    <w:autoRedefine/>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table" w:customStyle="1" w:styleId="141">
    <w:name w:val="网格型_9"/>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2">
    <w:name w:val="网格型_8"/>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3">
    <w:name w:val="网格型_5"/>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4">
    <w:name w:val="网格型_2"/>
    <w:basedOn w:val="3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45">
    <w:name w:val="lh-正文-报告书 Char"/>
    <w:link w:val="63"/>
    <w:autoRedefine/>
    <w:qFormat/>
    <w:uiPriority w:val="0"/>
    <w:rPr>
      <w:rFonts w:ascii="Times New Roman" w:hAnsi="Times New Roman" w:eastAsia="宋体" w:cs="Times New Roman"/>
      <w:snapToGrid w:val="0"/>
      <w:sz w:val="24"/>
      <w:szCs w:val="21"/>
      <w:lang w:val="en-GB" w:eastAsia="zh-CN" w:bidi="ar-SA"/>
    </w:rPr>
  </w:style>
  <w:style w:type="paragraph" w:customStyle="1" w:styleId="146">
    <w:name w:val="修订1"/>
    <w:autoRedefine/>
    <w:hidden/>
    <w:semiHidden/>
    <w:qFormat/>
    <w:uiPriority w:val="99"/>
    <w:rPr>
      <w:rFonts w:ascii="Times New Roman" w:hAnsi="Times New Roman" w:eastAsia="宋体" w:cstheme="minorBidi"/>
      <w:snapToGrid w:val="0"/>
      <w:sz w:val="24"/>
      <w:szCs w:val="21"/>
      <w:lang w:val="en-US" w:eastAsia="zh-CN" w:bidi="ar-SA"/>
    </w:rPr>
  </w:style>
  <w:style w:type="paragraph" w:customStyle="1" w:styleId="147">
    <w:name w:val="文章正文样式"/>
    <w:basedOn w:val="1"/>
    <w:autoRedefine/>
    <w:qFormat/>
    <w:uiPriority w:val="0"/>
    <w:pPr>
      <w:spacing w:line="520" w:lineRule="exact"/>
      <w:ind w:firstLine="480"/>
      <w:jc w:val="left"/>
    </w:pPr>
    <w:rPr>
      <w:rFonts w:ascii="宋体" w:hAnsi="宋体" w:cs="宋体"/>
    </w:rPr>
  </w:style>
  <w:style w:type="character" w:customStyle="1" w:styleId="148">
    <w:name w:val="big"/>
    <w:basedOn w:val="41"/>
    <w:autoRedefine/>
    <w:qFormat/>
    <w:uiPriority w:val="0"/>
  </w:style>
  <w:style w:type="paragraph" w:customStyle="1" w:styleId="149">
    <w:name w:val="正文样式1"/>
    <w:basedOn w:val="1"/>
    <w:autoRedefine/>
    <w:qFormat/>
    <w:uiPriority w:val="0"/>
    <w:pPr>
      <w:autoSpaceDE w:val="0"/>
      <w:autoSpaceDN w:val="0"/>
      <w:adjustRightInd w:val="0"/>
      <w:ind w:firstLine="482"/>
    </w:pPr>
    <w:rPr>
      <w:rFonts w:ascii="宋体" w:hAnsi="宋体" w:cs="宋体"/>
      <w:color w:val="000000"/>
      <w:lang w:val="zh-CN"/>
    </w:rPr>
  </w:style>
  <w:style w:type="paragraph" w:customStyle="1" w:styleId="150">
    <w:name w:val="！正文 Alt+0"/>
    <w:basedOn w:val="1"/>
    <w:autoRedefine/>
    <w:qFormat/>
    <w:uiPriority w:val="0"/>
    <w:pPr>
      <w:spacing w:beforeLines="50"/>
    </w:pPr>
    <w:rPr>
      <w:sz w:val="28"/>
      <w:szCs w:val="28"/>
    </w:rPr>
  </w:style>
  <w:style w:type="paragraph" w:customStyle="1" w:styleId="151">
    <w:name w:val="H表格文字"/>
    <w:autoRedefine/>
    <w:qFormat/>
    <w:uiPriority w:val="0"/>
    <w:pPr>
      <w:widowControl w:val="0"/>
      <w:autoSpaceDE w:val="0"/>
      <w:autoSpaceDN w:val="0"/>
      <w:adjustRightInd w:val="0"/>
      <w:jc w:val="center"/>
    </w:pPr>
    <w:rPr>
      <w:rFonts w:ascii="Times New Roman" w:hAnsi="Times New Roman" w:eastAsia="宋体" w:cs="Times New Roman"/>
      <w:sz w:val="21"/>
      <w:szCs w:val="21"/>
      <w:lang w:val="en-US" w:eastAsia="zh-CN" w:bidi="ar-SA"/>
    </w:rPr>
  </w:style>
  <w:style w:type="paragraph" w:customStyle="1" w:styleId="152">
    <w:name w:val="表格正文"/>
    <w:basedOn w:val="1"/>
    <w:autoRedefine/>
    <w:qFormat/>
    <w:uiPriority w:val="0"/>
    <w:pPr>
      <w:spacing w:line="360" w:lineRule="exact"/>
      <w:jc w:val="center"/>
    </w:pPr>
    <w:rPr>
      <w:rFonts w:ascii="Arial" w:hAnsi="Arial"/>
    </w:rPr>
  </w:style>
  <w:style w:type="paragraph" w:customStyle="1" w:styleId="153">
    <w:name w:val="表格文字33"/>
    <w:basedOn w:val="1"/>
    <w:autoRedefine/>
    <w:qFormat/>
    <w:uiPriority w:val="0"/>
    <w:pPr>
      <w:widowControl/>
      <w:jc w:val="center"/>
    </w:pPr>
    <w:rPr>
      <w:rFonts w:ascii="宋体" w:hAnsi="宋体"/>
      <w:color w:val="000000"/>
    </w:rPr>
  </w:style>
  <w:style w:type="paragraph" w:customStyle="1" w:styleId="154">
    <w:name w:val="报告书正文"/>
    <w:basedOn w:val="1"/>
    <w:autoRedefine/>
    <w:semiHidden/>
    <w:qFormat/>
    <w:uiPriority w:val="0"/>
    <w:pPr>
      <w:adjustRightInd w:val="0"/>
      <w:spacing w:after="62" w:afterLines="20" w:line="312" w:lineRule="auto"/>
      <w:jc w:val="left"/>
      <w:textAlignment w:val="baseline"/>
    </w:pPr>
  </w:style>
  <w:style w:type="paragraph" w:customStyle="1" w:styleId="155">
    <w:name w:val="zw"/>
    <w:basedOn w:val="18"/>
    <w:autoRedefine/>
    <w:qFormat/>
    <w:uiPriority w:val="0"/>
    <w:pPr>
      <w:ind w:firstLine="560"/>
    </w:pPr>
    <w:rPr>
      <w:sz w:val="28"/>
    </w:rPr>
  </w:style>
  <w:style w:type="paragraph" w:customStyle="1" w:styleId="156">
    <w:name w:val="lh-表格文字-报告表"/>
    <w:autoRedefine/>
    <w:qFormat/>
    <w:uiPriority w:val="0"/>
    <w:pPr>
      <w:jc w:val="center"/>
    </w:pPr>
    <w:rPr>
      <w:rFonts w:ascii="Times New Roman" w:hAnsi="Times New Roman" w:eastAsia="宋体" w:cs="Times New Roman"/>
      <w:snapToGrid w:val="0"/>
      <w:sz w:val="21"/>
      <w:szCs w:val="24"/>
      <w:lang w:val="en-US" w:eastAsia="zh-CN" w:bidi="ar-SA"/>
    </w:rPr>
  </w:style>
  <w:style w:type="paragraph" w:customStyle="1" w:styleId="157">
    <w:name w:val="HP正文"/>
    <w:basedOn w:val="1"/>
    <w:autoRedefine/>
    <w:qFormat/>
    <w:uiPriority w:val="0"/>
    <w:pPr>
      <w:widowControl/>
      <w:jc w:val="left"/>
    </w:pPr>
  </w:style>
  <w:style w:type="paragraph" w:customStyle="1" w:styleId="158">
    <w:name w:val="7表格文字"/>
    <w:basedOn w:val="1"/>
    <w:autoRedefine/>
    <w:qFormat/>
    <w:uiPriority w:val="0"/>
    <w:pPr>
      <w:jc w:val="center"/>
    </w:pPr>
  </w:style>
  <w:style w:type="paragraph" w:customStyle="1" w:styleId="159">
    <w:name w:val="正文（源通）"/>
    <w:basedOn w:val="1"/>
    <w:autoRedefine/>
    <w:qFormat/>
    <w:uiPriority w:val="0"/>
    <w:pPr>
      <w:spacing w:line="500" w:lineRule="exact"/>
      <w:ind w:firstLine="480"/>
    </w:pPr>
    <w:rPr>
      <w:rFonts w:eastAsia="Times New Roman"/>
      <w:color w:val="FF0000"/>
    </w:rPr>
  </w:style>
  <w:style w:type="paragraph" w:customStyle="1" w:styleId="160">
    <w:name w:val="表格五号字体"/>
    <w:basedOn w:val="1"/>
    <w:autoRedefine/>
    <w:qFormat/>
    <w:uiPriority w:val="0"/>
    <w:pPr>
      <w:autoSpaceDE w:val="0"/>
      <w:autoSpaceDN w:val="0"/>
      <w:jc w:val="center"/>
    </w:pPr>
    <w:rPr>
      <w:color w:val="000000"/>
    </w:rPr>
  </w:style>
  <w:style w:type="paragraph" w:customStyle="1" w:styleId="161">
    <w:name w:val="H图名表头"/>
    <w:basedOn w:val="1"/>
    <w:autoRedefine/>
    <w:qFormat/>
    <w:uiPriority w:val="0"/>
    <w:pPr>
      <w:jc w:val="center"/>
    </w:pPr>
  </w:style>
  <w:style w:type="paragraph" w:customStyle="1" w:styleId="162">
    <w:name w:val="一级标题（源通）"/>
    <w:basedOn w:val="3"/>
    <w:autoRedefine/>
    <w:qFormat/>
    <w:uiPriority w:val="0"/>
    <w:pPr>
      <w:numPr>
        <w:ilvl w:val="0"/>
        <w:numId w:val="4"/>
      </w:numPr>
      <w:spacing w:before="156" w:line="500" w:lineRule="exact"/>
      <w:jc w:val="center"/>
    </w:pPr>
    <w:rPr>
      <w:rFonts w:ascii="宋体" w:hAnsi="宋体"/>
      <w:color w:val="FF0000"/>
    </w:rPr>
  </w:style>
  <w:style w:type="paragraph" w:customStyle="1" w:styleId="163">
    <w:name w:val="报告正文 Char Char"/>
    <w:basedOn w:val="1"/>
    <w:autoRedefine/>
    <w:qFormat/>
    <w:uiPriority w:val="0"/>
    <w:pPr>
      <w:adjustRightInd w:val="0"/>
      <w:snapToGrid w:val="0"/>
    </w:pPr>
    <w:rPr>
      <w:rFonts w:ascii="宋体"/>
      <w:kern w:val="2"/>
      <w:szCs w:val="20"/>
    </w:rPr>
  </w:style>
  <w:style w:type="character" w:customStyle="1" w:styleId="164">
    <w:name w:val="fontstyle01"/>
    <w:autoRedefine/>
    <w:qFormat/>
    <w:uiPriority w:val="0"/>
    <w:rPr>
      <w:rFonts w:hint="eastAsia" w:ascii="宋体" w:hAnsi="宋体" w:eastAsia="宋体"/>
      <w:color w:val="000000"/>
      <w:sz w:val="24"/>
      <w:szCs w:val="24"/>
    </w:rPr>
  </w:style>
  <w:style w:type="paragraph" w:customStyle="1" w:styleId="165">
    <w:name w:val="三级标题（源通）"/>
    <w:basedOn w:val="5"/>
    <w:autoRedefine/>
    <w:qFormat/>
    <w:uiPriority w:val="0"/>
    <w:pPr>
      <w:spacing w:before="156" w:beforeLines="50" w:line="500" w:lineRule="exact"/>
    </w:pPr>
    <w:rPr>
      <w:color w:val="FF0000"/>
      <w:szCs w:val="24"/>
    </w:rPr>
  </w:style>
  <w:style w:type="paragraph" w:customStyle="1" w:styleId="166">
    <w:name w:val="样式 Arial 小四 行距: 1.5 倍行距"/>
    <w:basedOn w:val="1"/>
    <w:autoRedefine/>
    <w:qFormat/>
    <w:uiPriority w:val="0"/>
    <w:pPr>
      <w:tabs>
        <w:tab w:val="left" w:pos="1021"/>
      </w:tabs>
      <w:ind w:firstLine="480"/>
    </w:pPr>
  </w:style>
  <w:style w:type="table" w:customStyle="1" w:styleId="167">
    <w:name w:val="Table Normal"/>
    <w:autoRedefine/>
    <w:semiHidden/>
    <w:unhideWhenUsed/>
    <w:qFormat/>
    <w:uiPriority w:val="0"/>
    <w:tblPr>
      <w:tblCellMar>
        <w:top w:w="0" w:type="dxa"/>
        <w:left w:w="0" w:type="dxa"/>
        <w:bottom w:w="0" w:type="dxa"/>
        <w:right w:w="0" w:type="dxa"/>
      </w:tblCellMar>
    </w:tblPr>
  </w:style>
  <w:style w:type="paragraph" w:customStyle="1" w:styleId="168">
    <w:name w:val="CM1"/>
    <w:basedOn w:val="49"/>
    <w:next w:val="49"/>
    <w:autoRedefine/>
    <w:unhideWhenUsed/>
    <w:qFormat/>
    <w:uiPriority w:val="99"/>
  </w:style>
  <w:style w:type="paragraph" w:customStyle="1" w:styleId="169">
    <w:name w:val="lh-正文-预案"/>
    <w:autoRedefine/>
    <w:qFormat/>
    <w:uiPriority w:val="0"/>
    <w:pPr>
      <w:widowControl w:val="0"/>
      <w:adjustRightInd w:val="0"/>
      <w:snapToGrid w:val="0"/>
      <w:spacing w:line="360" w:lineRule="auto"/>
      <w:ind w:firstLine="200" w:firstLineChars="200"/>
      <w:jc w:val="both"/>
    </w:pPr>
    <w:rPr>
      <w:rFonts w:ascii="Times New Roman" w:hAnsi="Times New Roman" w:eastAsia="仿宋" w:cs="Times New Roman"/>
      <w:snapToGrid w:val="0"/>
      <w:sz w:val="28"/>
      <w:szCs w:val="21"/>
      <w:lang w:val="en-GB" w:eastAsia="zh-CN" w:bidi="ar-SA"/>
    </w:rPr>
  </w:style>
  <w:style w:type="paragraph" w:customStyle="1" w:styleId="170">
    <w:name w:val="Other|1"/>
    <w:basedOn w:val="1"/>
    <w:autoRedefine/>
    <w:qFormat/>
    <w:uiPriority w:val="0"/>
    <w:pPr>
      <w:jc w:val="center"/>
    </w:pPr>
    <w:rPr>
      <w:rFonts w:ascii="宋体" w:hAnsi="宋体" w:cs="宋体"/>
      <w:sz w:val="20"/>
      <w:szCs w:val="20"/>
      <w:lang w:val="zh-TW" w:eastAsia="zh-TW" w:bidi="zh-TW"/>
    </w:rPr>
  </w:style>
  <w:style w:type="character" w:customStyle="1" w:styleId="171">
    <w:name w:val="font21"/>
    <w:basedOn w:val="41"/>
    <w:autoRedefine/>
    <w:qFormat/>
    <w:uiPriority w:val="0"/>
    <w:rPr>
      <w:rFonts w:hint="default" w:ascii="Times New Roman" w:hAnsi="Times New Roman" w:cs="Times New Roman"/>
      <w:color w:val="000000"/>
      <w:sz w:val="21"/>
      <w:szCs w:val="21"/>
      <w:u w:val="none"/>
    </w:rPr>
  </w:style>
  <w:style w:type="character" w:customStyle="1" w:styleId="172">
    <w:name w:val="font01"/>
    <w:basedOn w:val="41"/>
    <w:autoRedefine/>
    <w:qFormat/>
    <w:uiPriority w:val="0"/>
    <w:rPr>
      <w:rFonts w:hint="eastAsia" w:ascii="宋体" w:hAnsi="宋体" w:eastAsia="宋体" w:cs="宋体"/>
      <w:color w:val="000000"/>
      <w:sz w:val="21"/>
      <w:szCs w:val="21"/>
      <w:u w:val="none"/>
    </w:rPr>
  </w:style>
  <w:style w:type="character" w:customStyle="1" w:styleId="173">
    <w:name w:val="font51"/>
    <w:basedOn w:val="41"/>
    <w:autoRedefine/>
    <w:qFormat/>
    <w:uiPriority w:val="0"/>
    <w:rPr>
      <w:rFonts w:hint="default" w:ascii="Times New Roman" w:hAnsi="Times New Roman" w:cs="Times New Roman"/>
      <w:color w:val="000000"/>
      <w:sz w:val="21"/>
      <w:szCs w:val="21"/>
      <w:u w:val="none"/>
      <w:vertAlign w:val="subscript"/>
    </w:rPr>
  </w:style>
  <w:style w:type="paragraph" w:customStyle="1" w:styleId="174">
    <w:name w:val="纯文本2"/>
    <w:basedOn w:val="1"/>
    <w:autoRedefine/>
    <w:qFormat/>
    <w:uiPriority w:val="0"/>
    <w:rPr>
      <w:rFonts w:ascii="宋体" w:hAnsi="Courier New"/>
    </w:rPr>
  </w:style>
  <w:style w:type="character" w:customStyle="1" w:styleId="175">
    <w:name w:val="font71"/>
    <w:basedOn w:val="41"/>
    <w:autoRedefine/>
    <w:qFormat/>
    <w:uiPriority w:val="0"/>
    <w:rPr>
      <w:rFonts w:hint="eastAsia" w:ascii="宋体" w:hAnsi="宋体" w:eastAsia="宋体" w:cs="宋体"/>
      <w:color w:val="000000"/>
      <w:sz w:val="24"/>
      <w:szCs w:val="24"/>
      <w:u w:val="none"/>
    </w:rPr>
  </w:style>
  <w:style w:type="paragraph" w:customStyle="1" w:styleId="176">
    <w:name w:val="Char"/>
    <w:basedOn w:val="1"/>
    <w:autoRedefine/>
    <w:qFormat/>
    <w:uiPriority w:val="0"/>
    <w:pPr>
      <w:tabs>
        <w:tab w:val="left" w:pos="1021"/>
      </w:tabs>
    </w:pPr>
  </w:style>
  <w:style w:type="character" w:customStyle="1" w:styleId="177">
    <w:name w:val="中文报告书样式 Char Char"/>
    <w:basedOn w:val="41"/>
    <w:link w:val="178"/>
    <w:autoRedefine/>
    <w:qFormat/>
    <w:uiPriority w:val="0"/>
    <w:rPr>
      <w:kern w:val="24"/>
      <w:sz w:val="24"/>
    </w:rPr>
  </w:style>
  <w:style w:type="paragraph" w:customStyle="1" w:styleId="178">
    <w:name w:val="中文报告书样式"/>
    <w:basedOn w:val="1"/>
    <w:link w:val="177"/>
    <w:autoRedefine/>
    <w:qFormat/>
    <w:uiPriority w:val="0"/>
    <w:pPr>
      <w:tabs>
        <w:tab w:val="left" w:pos="1021"/>
      </w:tabs>
      <w:adjustRightInd w:val="0"/>
      <w:spacing w:line="480" w:lineRule="atLeast"/>
      <w:ind w:firstLine="482"/>
      <w:textAlignment w:val="baseline"/>
    </w:pPr>
    <w:rPr>
      <w:kern w:val="24"/>
    </w:rPr>
  </w:style>
  <w:style w:type="character" w:customStyle="1" w:styleId="179">
    <w:name w:val="newsimg"/>
    <w:basedOn w:val="41"/>
    <w:autoRedefine/>
    <w:qFormat/>
    <w:uiPriority w:val="0"/>
  </w:style>
  <w:style w:type="character" w:customStyle="1" w:styleId="180">
    <w:name w:val="time"/>
    <w:basedOn w:val="41"/>
    <w:autoRedefine/>
    <w:qFormat/>
    <w:uiPriority w:val="0"/>
    <w:rPr>
      <w:color w:val="999999"/>
      <w:sz w:val="18"/>
      <w:szCs w:val="18"/>
    </w:rPr>
  </w:style>
  <w:style w:type="character" w:customStyle="1" w:styleId="181">
    <w:name w:val="time1"/>
    <w:basedOn w:val="41"/>
    <w:autoRedefine/>
    <w:qFormat/>
    <w:uiPriority w:val="0"/>
    <w:rPr>
      <w:color w:val="333333"/>
      <w:bdr w:val="single" w:color="FFFFFF" w:sz="6" w:space="0"/>
    </w:rPr>
  </w:style>
  <w:style w:type="character" w:customStyle="1" w:styleId="182">
    <w:name w:val="15"/>
    <w:basedOn w:val="41"/>
    <w:autoRedefine/>
    <w:qFormat/>
    <w:uiPriority w:val="0"/>
    <w:rPr>
      <w:rFonts w:hint="default" w:ascii="Times New Roman" w:hAnsi="Times New Roman" w:cs="Times New Roman"/>
      <w:sz w:val="24"/>
      <w:szCs w:val="24"/>
    </w:rPr>
  </w:style>
  <w:style w:type="paragraph" w:customStyle="1" w:styleId="183">
    <w:name w:val="正文（用）"/>
    <w:basedOn w:val="1"/>
    <w:autoRedefine/>
    <w:qFormat/>
    <w:uiPriority w:val="0"/>
    <w:pPr>
      <w:ind w:firstLine="480"/>
      <w:jc w:val="left"/>
    </w:pPr>
    <w:rPr>
      <w:rFonts w:ascii="宋体" w:hAnsi="宋体" w:cs="宋体"/>
      <w:kern w:val="2"/>
      <w:szCs w:val="20"/>
    </w:rPr>
  </w:style>
  <w:style w:type="paragraph" w:customStyle="1" w:styleId="184">
    <w:name w:val="HJ-表格"/>
    <w:basedOn w:val="1"/>
    <w:autoRedefine/>
    <w:qFormat/>
    <w:uiPriority w:val="0"/>
    <w:pPr>
      <w:spacing w:line="240" w:lineRule="auto"/>
      <w:ind w:firstLine="0" w:firstLineChars="0"/>
      <w:jc w:val="center"/>
    </w:pPr>
    <w:rPr>
      <w:rFonts w:cs="Times New Roman"/>
      <w:b/>
      <w:sz w:val="18"/>
      <w:szCs w:val="20"/>
    </w:rPr>
  </w:style>
  <w:style w:type="paragraph" w:customStyle="1" w:styleId="185">
    <w:name w:val="Body text|1"/>
    <w:basedOn w:val="1"/>
    <w:autoRedefine/>
    <w:qFormat/>
    <w:uiPriority w:val="0"/>
    <w:pPr>
      <w:widowControl w:val="0"/>
      <w:shd w:val="clear" w:color="auto" w:fill="auto"/>
      <w:spacing w:line="406" w:lineRule="auto"/>
      <w:ind w:firstLine="400"/>
    </w:pPr>
    <w:rPr>
      <w:rFonts w:ascii="宋体" w:hAnsi="宋体" w:eastAsia="宋体" w:cs="宋体"/>
      <w:u w:val="none"/>
      <w:shd w:val="clear" w:color="auto" w:fill="auto"/>
      <w:lang w:val="zh-TW" w:eastAsia="zh-TW" w:bidi="zh-TW"/>
    </w:rPr>
  </w:style>
  <w:style w:type="paragraph" w:customStyle="1" w:styleId="186">
    <w:name w:val="Heading #4|1"/>
    <w:basedOn w:val="1"/>
    <w:autoRedefine/>
    <w:qFormat/>
    <w:uiPriority w:val="0"/>
    <w:pPr>
      <w:widowControl w:val="0"/>
      <w:shd w:val="clear" w:color="auto" w:fill="auto"/>
      <w:spacing w:line="466" w:lineRule="exact"/>
      <w:ind w:left="620" w:firstLine="320"/>
      <w:outlineLvl w:val="3"/>
    </w:pPr>
    <w:rPr>
      <w:rFonts w:ascii="宋体" w:hAnsi="宋体" w:eastAsia="宋体" w:cs="宋体"/>
      <w:b/>
      <w:bCs/>
      <w:u w:val="none"/>
      <w:shd w:val="clear" w:color="auto" w:fill="auto"/>
      <w:lang w:val="zh-TW" w:eastAsia="zh-TW" w:bidi="zh-TW"/>
    </w:rPr>
  </w:style>
  <w:style w:type="paragraph" w:customStyle="1" w:styleId="187">
    <w:name w:val="正文-2"/>
    <w:autoRedefine/>
    <w:qFormat/>
    <w:uiPriority w:val="0"/>
    <w:pPr>
      <w:widowControl w:val="0"/>
      <w:spacing w:line="440" w:lineRule="exact"/>
      <w:ind w:firstLine="480" w:firstLineChars="200"/>
      <w:jc w:val="both"/>
    </w:pPr>
    <w:rPr>
      <w:rFonts w:ascii="Calibri" w:hAnsi="Calibri" w:eastAsia="Times New Roman" w:cs="Times New Roman"/>
      <w:kern w:val="2"/>
      <w:sz w:val="24"/>
      <w:szCs w:val="24"/>
      <w:lang w:val="en-US" w:eastAsia="zh-CN" w:bidi="ar-SA"/>
    </w:rPr>
  </w:style>
  <w:style w:type="paragraph" w:customStyle="1" w:styleId="188">
    <w:name w:val="Other|2"/>
    <w:basedOn w:val="1"/>
    <w:autoRedefine/>
    <w:qFormat/>
    <w:uiPriority w:val="0"/>
    <w:pPr>
      <w:widowControl w:val="0"/>
      <w:shd w:val="clear" w:color="auto" w:fill="auto"/>
      <w:spacing w:before="160"/>
    </w:pPr>
    <w:rPr>
      <w:rFonts w:ascii="宋体" w:hAnsi="宋体" w:eastAsia="宋体" w:cs="宋体"/>
      <w:sz w:val="20"/>
      <w:szCs w:val="20"/>
      <w:u w:val="none"/>
      <w:shd w:val="clear" w:color="auto" w:fill="auto"/>
      <w:lang w:val="zh-TW" w:eastAsia="zh-TW" w:bidi="zh-TW"/>
    </w:rPr>
  </w:style>
  <w:style w:type="paragraph" w:customStyle="1" w:styleId="189">
    <w:name w:val="Header or footer|1"/>
    <w:basedOn w:val="1"/>
    <w:autoRedefine/>
    <w:qFormat/>
    <w:uiPriority w:val="0"/>
    <w:pPr>
      <w:widowControl w:val="0"/>
      <w:shd w:val="clear" w:color="auto" w:fill="auto"/>
    </w:pPr>
    <w:rPr>
      <w:sz w:val="17"/>
      <w:szCs w:val="17"/>
      <w:u w:val="none"/>
      <w:shd w:val="clear" w:color="auto" w:fill="auto"/>
    </w:rPr>
  </w:style>
  <w:style w:type="paragraph" w:customStyle="1" w:styleId="190">
    <w:name w:val="Body text|4"/>
    <w:basedOn w:val="1"/>
    <w:autoRedefine/>
    <w:qFormat/>
    <w:uiPriority w:val="0"/>
    <w:pPr>
      <w:widowControl w:val="0"/>
      <w:shd w:val="clear" w:color="auto" w:fill="auto"/>
    </w:pPr>
    <w:rPr>
      <w:u w:val="none"/>
      <w:shd w:val="clear" w:color="auto" w:fill="auto"/>
    </w:rPr>
  </w:style>
  <w:style w:type="paragraph" w:styleId="191">
    <w:name w:val="No Spacing"/>
    <w:autoRedefine/>
    <w:qFormat/>
    <w:uiPriority w:val="1"/>
    <w:pPr>
      <w:widowControl w:val="0"/>
      <w:jc w:val="center"/>
    </w:pPr>
    <w:rPr>
      <w:rFonts w:ascii="Calibri" w:hAnsi="Calibri" w:eastAsia="宋体" w:cs="Times New Roman"/>
      <w:kern w:val="2"/>
      <w:sz w:val="21"/>
      <w:szCs w:val="22"/>
      <w:lang w:val="en-US" w:eastAsia="zh-CN" w:bidi="ar-SA"/>
    </w:rPr>
  </w:style>
  <w:style w:type="paragraph" w:customStyle="1" w:styleId="192">
    <w:name w:val="（正文）"/>
    <w:basedOn w:val="22"/>
    <w:autoRedefine/>
    <w:qFormat/>
    <w:uiPriority w:val="0"/>
    <w:pPr>
      <w:ind w:firstLine="200" w:firstLineChars="200"/>
    </w:pPr>
    <w:rPr>
      <w:rFonts w:ascii="Times New Roman" w:hAnsi="Times New Roman"/>
      <w:szCs w:val="20"/>
    </w:rPr>
  </w:style>
  <w:style w:type="paragraph" w:customStyle="1" w:styleId="193">
    <w:name w:val="正文文本缩进1"/>
    <w:basedOn w:val="1"/>
    <w:autoRedefine/>
    <w:qFormat/>
    <w:uiPriority w:val="0"/>
    <w:pPr>
      <w:spacing w:line="560" w:lineRule="exact"/>
      <w:ind w:firstLine="560" w:firstLineChars="200"/>
    </w:pPr>
    <w:rPr>
      <w:rFonts w:ascii="宋体" w:hAnsi="宋体"/>
      <w:sz w:val="28"/>
    </w:rPr>
  </w:style>
  <w:style w:type="paragraph" w:customStyle="1" w:styleId="194">
    <w:name w:val="Table Text"/>
    <w:basedOn w:val="1"/>
    <w:autoRedefine/>
    <w:semiHidden/>
    <w:qFormat/>
    <w:uiPriority w:val="0"/>
    <w:rPr>
      <w:rFonts w:ascii="宋体" w:hAnsi="宋体" w:eastAsia="宋体" w:cs="宋体"/>
      <w:sz w:val="20"/>
      <w:szCs w:val="20"/>
      <w:lang w:val="en-US" w:eastAsia="en-US" w:bidi="ar-SA"/>
    </w:rPr>
  </w:style>
  <w:style w:type="paragraph" w:customStyle="1" w:styleId="195">
    <w:name w:val="lh-正文-报告表"/>
    <w:basedOn w:val="1"/>
    <w:autoRedefine/>
    <w:qFormat/>
    <w:uiPriority w:val="0"/>
    <w:pPr>
      <w:spacing w:line="360" w:lineRule="auto"/>
      <w:ind w:firstLine="480" w:firstLineChars="200"/>
    </w:pPr>
    <w:rPr>
      <w:kern w:val="0"/>
      <w:sz w:val="24"/>
      <w:szCs w:val="21"/>
    </w:rPr>
  </w:style>
  <w:style w:type="paragraph" w:customStyle="1" w:styleId="196">
    <w:name w:val="其他"/>
    <w:basedOn w:val="1"/>
    <w:autoRedefine/>
    <w:qFormat/>
    <w:uiPriority w:val="0"/>
    <w:pPr>
      <w:shd w:val="clear" w:color="auto" w:fill="FFFFFF"/>
      <w:jc w:val="center"/>
    </w:pPr>
    <w:rPr>
      <w:rFonts w:ascii="宋体" w:hAnsi="宋体" w:cs="宋体"/>
      <w:kern w:val="0"/>
      <w:sz w:val="20"/>
      <w:lang w:val="zh-CN" w:bidi="zh-CN"/>
    </w:rPr>
  </w:style>
  <w:style w:type="paragraph" w:customStyle="1" w:styleId="197">
    <w:name w:val="lh-2级标题---报告表"/>
    <w:next w:val="1"/>
    <w:autoRedefine/>
    <w:qFormat/>
    <w:uiPriority w:val="0"/>
    <w:pPr>
      <w:keepNext/>
      <w:numPr>
        <w:ilvl w:val="1"/>
        <w:numId w:val="5"/>
      </w:numPr>
      <w:spacing w:line="360" w:lineRule="auto"/>
      <w:outlineLvl w:val="1"/>
    </w:pPr>
    <w:rPr>
      <w:rFonts w:ascii="Times New Roman" w:hAnsi="Times New Roman" w:eastAsia="黑体" w:cs="Times New Roman"/>
      <w:bCs/>
      <w:sz w:val="24"/>
      <w:szCs w:val="32"/>
      <w:lang w:val="en-US" w:eastAsia="zh-CN" w:bidi="ar-SA"/>
    </w:rPr>
  </w:style>
  <w:style w:type="paragraph" w:customStyle="1" w:styleId="198">
    <w:name w:val="正文文"/>
    <w:basedOn w:val="1"/>
    <w:autoRedefine/>
    <w:qFormat/>
    <w:uiPriority w:val="0"/>
    <w:pPr>
      <w:ind w:firstLine="1441"/>
      <w:jc w:val="left"/>
    </w:pPr>
  </w:style>
  <w:style w:type="paragraph" w:customStyle="1" w:styleId="199">
    <w:name w:val="1正文"/>
    <w:basedOn w:val="1"/>
    <w:autoRedefine/>
    <w:qFormat/>
    <w:uiPriority w:val="0"/>
    <w:pPr>
      <w:spacing w:line="360" w:lineRule="auto"/>
      <w:ind w:firstLine="200" w:firstLineChars="200"/>
    </w:pPr>
    <w:rPr>
      <w:sz w:val="24"/>
      <w:szCs w:val="20"/>
    </w:rPr>
  </w:style>
  <w:style w:type="paragraph" w:customStyle="1" w:styleId="200">
    <w:name w:val="正文-易恒"/>
    <w:basedOn w:val="1"/>
    <w:autoRedefine/>
    <w:qFormat/>
    <w:uiPriority w:val="0"/>
  </w:style>
  <w:style w:type="table" w:customStyle="1" w:styleId="201">
    <w:name w:val="TableGrid"/>
    <w:autoRedefine/>
    <w:qFormat/>
    <w:uiPriority w:val="0"/>
    <w:tblPr>
      <w:tblCellMar>
        <w:top w:w="0" w:type="dxa"/>
        <w:left w:w="0" w:type="dxa"/>
        <w:bottom w:w="0" w:type="dxa"/>
        <w:right w:w="0" w:type="dxa"/>
      </w:tblCellMar>
    </w:tblPr>
  </w:style>
  <w:style w:type="paragraph" w:customStyle="1" w:styleId="202">
    <w:name w:val="表格文字2"/>
    <w:basedOn w:val="1"/>
    <w:autoRedefine/>
    <w:qFormat/>
    <w:uiPriority w:val="0"/>
    <w:pPr>
      <w:adjustRightInd w:val="0"/>
      <w:snapToGrid w:val="0"/>
      <w:jc w:val="center"/>
      <w:textAlignment w:val="center"/>
    </w:pPr>
    <w:rPr>
      <w:kern w:val="0"/>
    </w:rPr>
  </w:style>
  <w:style w:type="paragraph" w:customStyle="1" w:styleId="203">
    <w:name w:val="lh-1级标题--报告表"/>
    <w:next w:val="1"/>
    <w:autoRedefine/>
    <w:qFormat/>
    <w:uiPriority w:val="0"/>
    <w:pPr>
      <w:keepNext/>
      <w:pageBreakBefore/>
      <w:numPr>
        <w:ilvl w:val="0"/>
        <w:numId w:val="6"/>
      </w:numPr>
      <w:spacing w:line="360" w:lineRule="auto"/>
      <w:ind w:left="0"/>
      <w:outlineLvl w:val="0"/>
    </w:pPr>
    <w:rPr>
      <w:rFonts w:ascii="Times New Roman" w:hAnsi="Times New Roman" w:eastAsia="黑体" w:cs="Times New Roman"/>
      <w:bCs/>
      <w:snapToGrid w:val="0"/>
      <w:sz w:val="24"/>
      <w:szCs w:val="44"/>
      <w:lang w:val="en-US" w:eastAsia="zh-CN" w:bidi="ar-SA"/>
    </w:rPr>
  </w:style>
  <w:style w:type="paragraph" w:customStyle="1" w:styleId="204">
    <w:name w:val="1文章"/>
    <w:basedOn w:val="1"/>
    <w:autoRedefine/>
    <w:qFormat/>
    <w:uiPriority w:val="0"/>
    <w:pPr>
      <w:snapToGrid w:val="0"/>
      <w:spacing w:line="360" w:lineRule="auto"/>
      <w:ind w:firstLine="573" w:firstLineChars="0"/>
      <w:jc w:val="both"/>
    </w:pPr>
    <w:rPr>
      <w:rFonts w:eastAsia="仿宋_GB2312"/>
      <w:sz w:val="28"/>
      <w:szCs w:val="20"/>
    </w:rPr>
  </w:style>
  <w:style w:type="paragraph" w:customStyle="1" w:styleId="205">
    <w:name w:val="样式 样式 样式 四号 左侧:  1.53 厘米 + 首行缩进:  2 字符 + 居中 左侧:  2 字符 首行缩进:  2..."/>
    <w:autoRedefine/>
    <w:qFormat/>
    <w:uiPriority w:val="0"/>
    <w:pPr>
      <w:widowControl w:val="0"/>
      <w:adjustRightInd w:val="0"/>
      <w:ind w:left="200" w:leftChars="200"/>
      <w:jc w:val="center"/>
    </w:pPr>
    <w:rPr>
      <w:rFonts w:ascii="Times New Roman" w:hAnsi="Times New Roman" w:eastAsia="宋体" w:cs="Times New Roman"/>
      <w:w w:val="90"/>
      <w:sz w:val="28"/>
      <w:lang w:val="en-US" w:eastAsia="zh-CN" w:bidi="ar-SA"/>
    </w:rPr>
  </w:style>
  <w:style w:type="character" w:customStyle="1" w:styleId="206">
    <w:name w:val="font11"/>
    <w:basedOn w:val="41"/>
    <w:autoRedefine/>
    <w:qFormat/>
    <w:uiPriority w:val="0"/>
    <w:rPr>
      <w:rFonts w:hint="eastAsia" w:ascii="宋体" w:hAnsi="宋体" w:eastAsia="宋体" w:cs="宋体"/>
      <w:color w:val="000000"/>
      <w:sz w:val="21"/>
      <w:szCs w:val="21"/>
      <w:u w:val="single"/>
    </w:rPr>
  </w:style>
  <w:style w:type="character" w:customStyle="1" w:styleId="207">
    <w:name w:val="font81"/>
    <w:basedOn w:val="41"/>
    <w:autoRedefine/>
    <w:qFormat/>
    <w:uiPriority w:val="0"/>
    <w:rPr>
      <w:rFonts w:hint="default" w:ascii="Times New Roman" w:hAnsi="Times New Roman" w:cs="Times New Roman"/>
      <w:color w:val="000000"/>
      <w:sz w:val="21"/>
      <w:szCs w:val="21"/>
      <w:u w:val="single"/>
      <w:vertAlign w:val="subscript"/>
    </w:rPr>
  </w:style>
  <w:style w:type="character" w:customStyle="1" w:styleId="208">
    <w:name w:val="font91"/>
    <w:basedOn w:val="41"/>
    <w:autoRedefine/>
    <w:qFormat/>
    <w:uiPriority w:val="0"/>
    <w:rPr>
      <w:rFonts w:hint="default" w:ascii="Times New Roman" w:hAnsi="Times New Roman" w:cs="Times New Roman"/>
      <w:color w:val="F2BA02"/>
      <w:sz w:val="21"/>
      <w:szCs w:val="21"/>
      <w:u w:val="single"/>
      <w:vertAlign w:val="subscript"/>
    </w:rPr>
  </w:style>
</w:styles>
</file>

<file path=word/_rels/document.xml.rels><?xml version="1.0" encoding="UTF-8" standalone="yes"?>
<Relationships xmlns="http://schemas.openxmlformats.org/package/2006/relationships"><Relationship Id="rId99" Type="http://schemas.openxmlformats.org/officeDocument/2006/relationships/image" Target="media/image75.jpeg"/><Relationship Id="rId98" Type="http://schemas.openxmlformats.org/officeDocument/2006/relationships/image" Target="media/image74.jpeg"/><Relationship Id="rId97" Type="http://schemas.openxmlformats.org/officeDocument/2006/relationships/image" Target="media/image73.jpeg"/><Relationship Id="rId96" Type="http://schemas.openxmlformats.org/officeDocument/2006/relationships/image" Target="media/image72.jpeg"/><Relationship Id="rId95" Type="http://schemas.openxmlformats.org/officeDocument/2006/relationships/image" Target="media/image71.jpeg"/><Relationship Id="rId94" Type="http://schemas.openxmlformats.org/officeDocument/2006/relationships/image" Target="media/image70.jpeg"/><Relationship Id="rId93" Type="http://schemas.openxmlformats.org/officeDocument/2006/relationships/image" Target="media/image69.jpeg"/><Relationship Id="rId92" Type="http://schemas.openxmlformats.org/officeDocument/2006/relationships/image" Target="media/image68.jpeg"/><Relationship Id="rId91" Type="http://schemas.openxmlformats.org/officeDocument/2006/relationships/image" Target="media/image67.jpeg"/><Relationship Id="rId90" Type="http://schemas.openxmlformats.org/officeDocument/2006/relationships/image" Target="media/image66.jpeg"/><Relationship Id="rId9" Type="http://schemas.openxmlformats.org/officeDocument/2006/relationships/footer" Target="footer4.xml"/><Relationship Id="rId89" Type="http://schemas.openxmlformats.org/officeDocument/2006/relationships/image" Target="media/image65.jpeg"/><Relationship Id="rId88" Type="http://schemas.openxmlformats.org/officeDocument/2006/relationships/image" Target="media/image64.jpeg"/><Relationship Id="rId87" Type="http://schemas.openxmlformats.org/officeDocument/2006/relationships/image" Target="media/image63.jpeg"/><Relationship Id="rId86" Type="http://schemas.openxmlformats.org/officeDocument/2006/relationships/image" Target="media/image62.jpeg"/><Relationship Id="rId85" Type="http://schemas.openxmlformats.org/officeDocument/2006/relationships/image" Target="media/image61.jpeg"/><Relationship Id="rId84" Type="http://schemas.openxmlformats.org/officeDocument/2006/relationships/image" Target="media/image60.jpeg"/><Relationship Id="rId83" Type="http://schemas.openxmlformats.org/officeDocument/2006/relationships/image" Target="media/image59.jpeg"/><Relationship Id="rId82" Type="http://schemas.openxmlformats.org/officeDocument/2006/relationships/image" Target="media/image58.jpeg"/><Relationship Id="rId81" Type="http://schemas.openxmlformats.org/officeDocument/2006/relationships/image" Target="media/image57.jpeg"/><Relationship Id="rId80" Type="http://schemas.openxmlformats.org/officeDocument/2006/relationships/image" Target="media/image56.jpeg"/><Relationship Id="rId8" Type="http://schemas.openxmlformats.org/officeDocument/2006/relationships/footer" Target="footer3.xml"/><Relationship Id="rId79" Type="http://schemas.openxmlformats.org/officeDocument/2006/relationships/image" Target="media/image55.jpeg"/><Relationship Id="rId78" Type="http://schemas.openxmlformats.org/officeDocument/2006/relationships/image" Target="media/image54.jpeg"/><Relationship Id="rId77" Type="http://schemas.openxmlformats.org/officeDocument/2006/relationships/image" Target="media/image53.jpeg"/><Relationship Id="rId76" Type="http://schemas.openxmlformats.org/officeDocument/2006/relationships/image" Target="media/image52.jpeg"/><Relationship Id="rId75" Type="http://schemas.openxmlformats.org/officeDocument/2006/relationships/image" Target="media/image51.jpeg"/><Relationship Id="rId74" Type="http://schemas.openxmlformats.org/officeDocument/2006/relationships/image" Target="media/image50.jpeg"/><Relationship Id="rId73" Type="http://schemas.openxmlformats.org/officeDocument/2006/relationships/image" Target="media/image49.jpeg"/><Relationship Id="rId72" Type="http://schemas.openxmlformats.org/officeDocument/2006/relationships/image" Target="media/image48.jpeg"/><Relationship Id="rId71" Type="http://schemas.openxmlformats.org/officeDocument/2006/relationships/image" Target="media/image47.jpeg"/><Relationship Id="rId70" Type="http://schemas.openxmlformats.org/officeDocument/2006/relationships/image" Target="media/image46.jpeg"/><Relationship Id="rId7" Type="http://schemas.openxmlformats.org/officeDocument/2006/relationships/footer" Target="footer2.xml"/><Relationship Id="rId69" Type="http://schemas.openxmlformats.org/officeDocument/2006/relationships/image" Target="media/image45.jpeg"/><Relationship Id="rId68" Type="http://schemas.openxmlformats.org/officeDocument/2006/relationships/image" Target="media/image44.jpeg"/><Relationship Id="rId67" Type="http://schemas.openxmlformats.org/officeDocument/2006/relationships/image" Target="media/image43.jpeg"/><Relationship Id="rId66" Type="http://schemas.openxmlformats.org/officeDocument/2006/relationships/image" Target="media/image42.jpeg"/><Relationship Id="rId65" Type="http://schemas.openxmlformats.org/officeDocument/2006/relationships/image" Target="media/image41.jpeg"/><Relationship Id="rId64" Type="http://schemas.openxmlformats.org/officeDocument/2006/relationships/image" Target="media/image40.jpeg"/><Relationship Id="rId63" Type="http://schemas.openxmlformats.org/officeDocument/2006/relationships/image" Target="media/image39.jpeg"/><Relationship Id="rId62" Type="http://schemas.openxmlformats.org/officeDocument/2006/relationships/image" Target="media/image38.jpeg"/><Relationship Id="rId61" Type="http://schemas.openxmlformats.org/officeDocument/2006/relationships/image" Target="media/image37.jpeg"/><Relationship Id="rId60" Type="http://schemas.openxmlformats.org/officeDocument/2006/relationships/image" Target="media/image36.jpeg"/><Relationship Id="rId6" Type="http://schemas.openxmlformats.org/officeDocument/2006/relationships/footer" Target="footer1.xml"/><Relationship Id="rId59" Type="http://schemas.openxmlformats.org/officeDocument/2006/relationships/image" Target="media/image35.jpeg"/><Relationship Id="rId58" Type="http://schemas.openxmlformats.org/officeDocument/2006/relationships/image" Target="media/image34.jpeg"/><Relationship Id="rId57" Type="http://schemas.openxmlformats.org/officeDocument/2006/relationships/image" Target="media/image33.jpeg"/><Relationship Id="rId56" Type="http://schemas.openxmlformats.org/officeDocument/2006/relationships/image" Target="media/image32.jpeg"/><Relationship Id="rId55" Type="http://schemas.openxmlformats.org/officeDocument/2006/relationships/image" Target="media/image31.jpeg"/><Relationship Id="rId54" Type="http://schemas.openxmlformats.org/officeDocument/2006/relationships/image" Target="media/image30.jpeg"/><Relationship Id="rId53" Type="http://schemas.openxmlformats.org/officeDocument/2006/relationships/image" Target="media/image29.jpeg"/><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jpeg"/><Relationship Id="rId5" Type="http://schemas.openxmlformats.org/officeDocument/2006/relationships/header" Target="header1.xml"/><Relationship Id="rId49" Type="http://schemas.openxmlformats.org/officeDocument/2006/relationships/image" Target="media/image25.jpeg"/><Relationship Id="rId48" Type="http://schemas.openxmlformats.org/officeDocument/2006/relationships/image" Target="media/image24.png"/><Relationship Id="rId47" Type="http://schemas.openxmlformats.org/officeDocument/2006/relationships/image" Target="media/image23.wmf"/><Relationship Id="rId46" Type="http://schemas.openxmlformats.org/officeDocument/2006/relationships/image" Target="media/image22.wmf"/><Relationship Id="rId45" Type="http://schemas.openxmlformats.org/officeDocument/2006/relationships/image" Target="media/image21.wmf"/><Relationship Id="rId44" Type="http://schemas.openxmlformats.org/officeDocument/2006/relationships/image" Target="media/image20.wmf"/><Relationship Id="rId43" Type="http://schemas.openxmlformats.org/officeDocument/2006/relationships/image" Target="media/image19.png"/><Relationship Id="rId42" Type="http://schemas.openxmlformats.org/officeDocument/2006/relationships/image" Target="media/image18.wmf"/><Relationship Id="rId41" Type="http://schemas.openxmlformats.org/officeDocument/2006/relationships/oleObject" Target="embeddings/oleObject10.bin"/><Relationship Id="rId40" Type="http://schemas.openxmlformats.org/officeDocument/2006/relationships/image" Target="media/image17.wmf"/><Relationship Id="rId4" Type="http://schemas.openxmlformats.org/officeDocument/2006/relationships/endnotes" Target="endnotes.xml"/><Relationship Id="rId39" Type="http://schemas.openxmlformats.org/officeDocument/2006/relationships/oleObject" Target="embeddings/oleObject9.bin"/><Relationship Id="rId38" Type="http://schemas.openxmlformats.org/officeDocument/2006/relationships/image" Target="media/image16.wmf"/><Relationship Id="rId37" Type="http://schemas.openxmlformats.org/officeDocument/2006/relationships/oleObject" Target="embeddings/oleObject8.bin"/><Relationship Id="rId36" Type="http://schemas.openxmlformats.org/officeDocument/2006/relationships/image" Target="media/image15.wmf"/><Relationship Id="rId35" Type="http://schemas.openxmlformats.org/officeDocument/2006/relationships/oleObject" Target="embeddings/oleObject7.bin"/><Relationship Id="rId34" Type="http://schemas.openxmlformats.org/officeDocument/2006/relationships/image" Target="media/image14.wmf"/><Relationship Id="rId33" Type="http://schemas.openxmlformats.org/officeDocument/2006/relationships/oleObject" Target="embeddings/oleObject6.bin"/><Relationship Id="rId32" Type="http://schemas.openxmlformats.org/officeDocument/2006/relationships/image" Target="media/image13.wmf"/><Relationship Id="rId31" Type="http://schemas.openxmlformats.org/officeDocument/2006/relationships/oleObject" Target="embeddings/oleObject5.bin"/><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emf"/><Relationship Id="rId28" Type="http://schemas.openxmlformats.org/officeDocument/2006/relationships/oleObject" Target="embeddings/oleObject4.bin"/><Relationship Id="rId27" Type="http://schemas.openxmlformats.org/officeDocument/2006/relationships/image" Target="media/image10.emf"/><Relationship Id="rId26" Type="http://schemas.openxmlformats.org/officeDocument/2006/relationships/oleObject" Target="embeddings/oleObject3.bin"/><Relationship Id="rId25" Type="http://schemas.openxmlformats.org/officeDocument/2006/relationships/image" Target="media/image9.emf"/><Relationship Id="rId24" Type="http://schemas.openxmlformats.org/officeDocument/2006/relationships/oleObject" Target="embeddings/oleObject2.bin"/><Relationship Id="rId23" Type="http://schemas.openxmlformats.org/officeDocument/2006/relationships/image" Target="media/image8.jpeg"/><Relationship Id="rId22" Type="http://schemas.openxmlformats.org/officeDocument/2006/relationships/image" Target="media/image7.png"/><Relationship Id="rId21" Type="http://schemas.openxmlformats.org/officeDocument/2006/relationships/image" Target="media/image6.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7.xml"/><Relationship Id="rId12" Type="http://schemas.openxmlformats.org/officeDocument/2006/relationships/header" Target="header2.xml"/><Relationship Id="rId114" Type="http://schemas.openxmlformats.org/officeDocument/2006/relationships/fontTable" Target="fontTable.xml"/><Relationship Id="rId113" Type="http://schemas.openxmlformats.org/officeDocument/2006/relationships/customXml" Target="../customXml/item2.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86.jpeg"/><Relationship Id="rId11" Type="http://schemas.openxmlformats.org/officeDocument/2006/relationships/footer" Target="footer6.xml"/><Relationship Id="rId109" Type="http://schemas.openxmlformats.org/officeDocument/2006/relationships/image" Target="media/image85.jpeg"/><Relationship Id="rId108" Type="http://schemas.openxmlformats.org/officeDocument/2006/relationships/image" Target="media/image84.jpeg"/><Relationship Id="rId107" Type="http://schemas.openxmlformats.org/officeDocument/2006/relationships/image" Target="media/image83.jpeg"/><Relationship Id="rId106" Type="http://schemas.openxmlformats.org/officeDocument/2006/relationships/image" Target="media/image82.jpeg"/><Relationship Id="rId105" Type="http://schemas.openxmlformats.org/officeDocument/2006/relationships/image" Target="media/image81.jpeg"/><Relationship Id="rId104" Type="http://schemas.openxmlformats.org/officeDocument/2006/relationships/image" Target="media/image80.jpeg"/><Relationship Id="rId103" Type="http://schemas.openxmlformats.org/officeDocument/2006/relationships/image" Target="media/image79.jpeg"/><Relationship Id="rId102" Type="http://schemas.openxmlformats.org/officeDocument/2006/relationships/image" Target="media/image78.jpeg"/><Relationship Id="rId101" Type="http://schemas.openxmlformats.org/officeDocument/2006/relationships/image" Target="media/image77.jpeg"/><Relationship Id="rId100" Type="http://schemas.openxmlformats.org/officeDocument/2006/relationships/image" Target="media/image76.jpe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D0FDB0-1F51-4BB4-A5AB-FE6B5AAACB98}">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129</Pages>
  <Words>41167</Words>
  <Characters>46746</Characters>
  <Lines>1196</Lines>
  <Paragraphs>336</Paragraphs>
  <TotalTime>57</TotalTime>
  <ScaleCrop>false</ScaleCrop>
  <LinksUpToDate>false</LinksUpToDate>
  <CharactersWithSpaces>47222</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2020-11-11T09:06:00Z</dcterms:created>
  <dc:creator>微软用户</dc:creator>
  <cp:lastModifiedBy>M. *^_^*</cp:lastModifiedBy>
  <cp:lastPrinted>2024-05-17T01:12:00Z</cp:lastPrinted>
  <dcterms:modified xsi:type="dcterms:W3CDTF">2024-05-20T02:09:20Z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15166E3DB1DC4B5797066E69B7B905E2_13</vt:lpwstr>
  </property>
</Properties>
</file>