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lang w:eastAsia="zh-CN"/>
        </w:rPr>
      </w:pPr>
    </w:p>
    <w:p>
      <w:pPr>
        <w:pStyle w:val="9"/>
        <w:keepNext w:val="0"/>
        <w:keepLines w:val="0"/>
        <w:pageBreakBefore w:val="0"/>
        <w:widowControl w:val="0"/>
        <w:kinsoku/>
        <w:wordWrap/>
        <w:overflowPunct/>
        <w:topLinePunct w:val="0"/>
        <w:autoSpaceDE/>
        <w:autoSpaceDN/>
        <w:bidi w:val="0"/>
        <w:adjustRightInd/>
        <w:snapToGrid/>
        <w:spacing w:after="0" w:line="576" w:lineRule="auto"/>
        <w:ind w:left="0" w:leftChars="0" w:firstLine="0" w:firstLineChars="0"/>
        <w:jc w:val="both"/>
        <w:textAlignment w:val="auto"/>
        <w:outlineLvl w:val="0"/>
        <w:rPr>
          <w:rFonts w:hint="eastAsia" w:ascii="仿宋" w:hAnsi="仿宋" w:eastAsia="仿宋" w:cs="仿宋"/>
          <w:sz w:val="32"/>
          <w:szCs w:val="32"/>
          <w:lang w:eastAsia="zh-CN"/>
        </w:rPr>
      </w:pPr>
    </w:p>
    <w:p>
      <w:pPr>
        <w:pStyle w:val="9"/>
        <w:spacing w:after="0" w:line="360" w:lineRule="auto"/>
        <w:ind w:left="1280"/>
        <w:jc w:val="right"/>
        <w:outlineLvl w:val="0"/>
        <w:rPr>
          <w:rFonts w:hint="eastAsia" w:ascii="仿宋" w:hAnsi="仿宋" w:eastAsia="仿宋" w:cs="仿宋"/>
          <w:sz w:val="32"/>
          <w:szCs w:val="32"/>
        </w:rPr>
      </w:pPr>
      <w:r>
        <w:rPr>
          <w:rFonts w:hint="eastAsia" w:ascii="仿宋" w:hAnsi="仿宋" w:eastAsia="仿宋" w:cs="仿宋"/>
          <w:sz w:val="32"/>
          <w:szCs w:val="32"/>
          <w:lang w:eastAsia="zh-CN"/>
        </w:rPr>
        <w:t>益赫</w:t>
      </w:r>
      <w:r>
        <w:rPr>
          <w:rFonts w:hint="eastAsia" w:ascii="仿宋" w:hAnsi="仿宋" w:eastAsia="仿宋" w:cs="仿宋"/>
          <w:sz w:val="32"/>
          <w:szCs w:val="32"/>
        </w:rPr>
        <w:t>环评表</w:t>
      </w:r>
      <w:r>
        <w:rPr>
          <w:rFonts w:hint="eastAsia"/>
          <w:sz w:val="32"/>
          <w:szCs w:val="32"/>
          <w:lang w:val="en-US" w:eastAsia="zh-CN"/>
        </w:rPr>
        <w:t>〔</w:t>
      </w:r>
      <w:r>
        <w:rPr>
          <w:rFonts w:hint="eastAsia" w:ascii="仿宋" w:hAnsi="仿宋" w:eastAsia="仿宋" w:cs="仿宋"/>
          <w:sz w:val="32"/>
          <w:szCs w:val="32"/>
          <w:lang w:val="en-US" w:eastAsia="zh-CN" w:bidi="en-US"/>
        </w:rPr>
        <w:t>2023</w:t>
      </w:r>
      <w:r>
        <w:rPr>
          <w:rFonts w:hint="eastAsia"/>
          <w:sz w:val="32"/>
          <w:szCs w:val="32"/>
          <w:lang w:val="en-US" w:eastAsia="zh-CN" w:bidi="en-US"/>
        </w:rPr>
        <w:t>〕14</w:t>
      </w:r>
      <w:r>
        <w:rPr>
          <w:rFonts w:hint="eastAsia" w:ascii="仿宋" w:hAnsi="仿宋" w:eastAsia="仿宋" w:cs="仿宋"/>
          <w:sz w:val="32"/>
          <w:szCs w:val="32"/>
          <w:lang w:val="en-US" w:eastAsia="zh-CN" w:bidi="en-US"/>
        </w:rPr>
        <w:t xml:space="preserve"> </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eastAsia="zh-CN" w:bidi="ar-SA"/>
        </w:rPr>
        <w:t>益阳市生态环境局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kern w:val="2"/>
          <w:sz w:val="44"/>
          <w:szCs w:val="44"/>
          <w:lang w:eastAsia="zh-CN" w:bidi="ar-SA"/>
        </w:rPr>
      </w:pPr>
      <w:r>
        <w:rPr>
          <w:rFonts w:ascii="方正小标宋简体" w:hAnsi="方正小标宋简体" w:eastAsia="方正小标宋简体" w:cs="方正小标宋简体"/>
          <w:kern w:val="2"/>
          <w:sz w:val="44"/>
          <w:szCs w:val="44"/>
          <w:lang w:eastAsia="zh-CN" w:bidi="ar-SA"/>
        </w:rPr>
        <w:t>关于</w:t>
      </w:r>
      <w:bookmarkStart w:id="0" w:name="_GoBack"/>
      <w:r>
        <w:rPr>
          <w:rFonts w:hint="eastAsia" w:ascii="方正小标宋简体" w:hAnsi="方正小标宋简体" w:eastAsia="方正小标宋简体" w:cs="方正小标宋简体"/>
          <w:kern w:val="2"/>
          <w:sz w:val="44"/>
          <w:szCs w:val="44"/>
          <w:lang w:eastAsia="zh-CN" w:bidi="ar-SA"/>
        </w:rPr>
        <w:t>益阳医学高等专科学校建设项目</w:t>
      </w:r>
      <w:r>
        <w:rPr>
          <w:rFonts w:ascii="方正小标宋简体" w:hAnsi="方正小标宋简体" w:eastAsia="方正小标宋简体" w:cs="方正小标宋简体"/>
          <w:kern w:val="2"/>
          <w:sz w:val="44"/>
          <w:szCs w:val="44"/>
          <w:lang w:eastAsia="zh-CN" w:bidi="ar-SA"/>
        </w:rPr>
        <w:t>环境影响报告表的批复</w:t>
      </w:r>
      <w:bookmarkEnd w:id="0"/>
    </w:p>
    <w:p>
      <w:pPr>
        <w:spacing w:line="360" w:lineRule="auto"/>
        <w:jc w:val="both"/>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益阳医学高等专科学校：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你单位</w:t>
      </w:r>
      <w:r>
        <w:rPr>
          <w:rFonts w:hint="eastAsia" w:ascii="仿宋" w:hAnsi="仿宋" w:eastAsia="仿宋" w:cs="仿宋"/>
          <w:bCs/>
          <w:sz w:val="32"/>
          <w:szCs w:val="40"/>
          <w:lang w:eastAsia="zh-CN"/>
        </w:rPr>
        <w:t>呈报</w:t>
      </w:r>
      <w:r>
        <w:rPr>
          <w:rFonts w:hint="eastAsia" w:ascii="仿宋" w:hAnsi="仿宋" w:eastAsia="仿宋" w:cs="仿宋"/>
          <w:color w:val="auto"/>
          <w:sz w:val="32"/>
          <w:szCs w:val="32"/>
          <w:lang w:eastAsia="zh-CN"/>
        </w:rPr>
        <w:t>的《益阳医学高等专科学校建设项目环境影响报告表》（以下简称《报告表》）及有关材料收悉。经研究、审查，批复如下：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一、益阳医学高等专科学校前身为益阳卫生学校，经湖南省人民政府和教育部批准，于2007年3月升格为益阳医学高等专科学校。学校位于益阳市赫山区迎宾东路</w:t>
      </w:r>
      <w:r>
        <w:rPr>
          <w:rFonts w:ascii="仿宋" w:hAnsi="仿宋" w:eastAsia="仿宋" w:cs="仿宋"/>
          <w:color w:val="auto"/>
          <w:sz w:val="32"/>
          <w:szCs w:val="32"/>
          <w:lang w:eastAsia="zh-CN"/>
        </w:rPr>
        <w:t xml:space="preserve"> 516 </w:t>
      </w:r>
      <w:r>
        <w:rPr>
          <w:rFonts w:hint="eastAsia" w:ascii="仿宋" w:hAnsi="仿宋" w:eastAsia="仿宋" w:cs="仿宋"/>
          <w:color w:val="auto"/>
          <w:sz w:val="32"/>
          <w:szCs w:val="32"/>
          <w:lang w:eastAsia="zh-CN"/>
        </w:rPr>
        <w:t>号，总占地面积</w:t>
      </w:r>
      <w:r>
        <w:rPr>
          <w:rFonts w:ascii="仿宋" w:hAnsi="仿宋" w:eastAsia="仿宋" w:cs="仿宋"/>
          <w:color w:val="auto"/>
          <w:sz w:val="32"/>
          <w:szCs w:val="32"/>
          <w:lang w:eastAsia="zh-CN"/>
        </w:rPr>
        <w:t>285694.37</w:t>
      </w:r>
      <w:r>
        <w:rPr>
          <w:rFonts w:hint="eastAsia" w:ascii="仿宋" w:hAnsi="仿宋" w:eastAsia="仿宋" w:cs="仿宋"/>
          <w:color w:val="auto"/>
          <w:sz w:val="32"/>
          <w:szCs w:val="32"/>
          <w:lang w:eastAsia="zh-CN"/>
        </w:rPr>
        <w:t>m</w:t>
      </w:r>
      <w:r>
        <w:rPr>
          <w:rFonts w:hint="eastAsia" w:ascii="仿宋" w:hAnsi="仿宋" w:eastAsia="仿宋" w:cs="仿宋"/>
          <w:color w:val="auto"/>
          <w:sz w:val="32"/>
          <w:szCs w:val="32"/>
          <w:vertAlign w:val="superscript"/>
          <w:lang w:eastAsia="zh-CN"/>
        </w:rPr>
        <w:t>2</w:t>
      </w:r>
      <w:r>
        <w:rPr>
          <w:rFonts w:hint="eastAsia" w:ascii="仿宋" w:hAnsi="仿宋" w:eastAsia="仿宋" w:cs="仿宋"/>
          <w:color w:val="auto"/>
          <w:sz w:val="32"/>
          <w:szCs w:val="32"/>
          <w:lang w:eastAsia="zh-CN"/>
        </w:rPr>
        <w:t>，主要建设内容包括3栋教学楼、3栋实验楼、1栋康养大楼（康养实训中心）、2栋产教融合中心，配套建设2座食堂、8栋学生公寓、1座图书馆、1栋行政楼、健康活动中心等相关工程。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项目符合国家产业政策，</w:t>
      </w:r>
      <w:r>
        <w:rPr>
          <w:rFonts w:hint="eastAsia" w:ascii="仿宋" w:hAnsi="仿宋" w:eastAsia="仿宋" w:cs="仿宋"/>
          <w:sz w:val="32"/>
          <w:szCs w:val="32"/>
          <w:lang w:eastAsia="zh-CN"/>
        </w:rPr>
        <w:t>符合益阳市“三线一单”生态环境总体管控要求和</w:t>
      </w:r>
      <w:r>
        <w:rPr>
          <w:rFonts w:hint="eastAsia" w:ascii="仿宋" w:hAnsi="仿宋" w:eastAsia="仿宋" w:cs="仿宋"/>
          <w:color w:val="auto"/>
          <w:sz w:val="32"/>
          <w:szCs w:val="32"/>
          <w:lang w:eastAsia="zh-CN"/>
        </w:rPr>
        <w:t>益阳市赫山区龙光桥街道</w:t>
      </w:r>
      <w:r>
        <w:rPr>
          <w:rFonts w:hint="eastAsia" w:ascii="仿宋" w:hAnsi="仿宋" w:eastAsia="仿宋" w:cs="仿宋"/>
          <w:sz w:val="32"/>
          <w:szCs w:val="32"/>
          <w:lang w:eastAsia="zh-CN"/>
        </w:rPr>
        <w:t>环境管控单元生态环境准入清单要求</w:t>
      </w:r>
      <w:r>
        <w:rPr>
          <w:rFonts w:hint="eastAsia" w:ascii="仿宋" w:hAnsi="仿宋" w:eastAsia="仿宋" w:cs="仿宋"/>
          <w:color w:val="auto"/>
          <w:sz w:val="32"/>
          <w:szCs w:val="32"/>
          <w:lang w:eastAsia="zh-CN"/>
        </w:rPr>
        <w:t>。</w:t>
      </w:r>
      <w:r>
        <w:rPr>
          <w:rFonts w:ascii="仿宋" w:hAnsi="仿宋" w:eastAsia="仿宋" w:cs="仿宋"/>
          <w:color w:val="auto"/>
          <w:sz w:val="32"/>
          <w:szCs w:val="32"/>
          <w:lang w:eastAsia="zh-CN"/>
        </w:rPr>
        <w:t>根据</w:t>
      </w:r>
      <w:r>
        <w:rPr>
          <w:rFonts w:hint="eastAsia" w:ascii="仿宋" w:hAnsi="仿宋" w:eastAsia="仿宋" w:cs="仿宋"/>
          <w:color w:val="auto"/>
          <w:sz w:val="32"/>
          <w:szCs w:val="32"/>
          <w:lang w:eastAsia="zh-CN"/>
        </w:rPr>
        <w:t>环境保护部《关于加强“未批先建”建设项目环境影响评价管理工作的通知》（环办环评〔</w:t>
      </w:r>
      <w:r>
        <w:rPr>
          <w:rFonts w:ascii="仿宋" w:hAnsi="仿宋" w:eastAsia="仿宋" w:cs="仿宋"/>
          <w:color w:val="auto"/>
          <w:sz w:val="32"/>
          <w:szCs w:val="32"/>
          <w:lang w:eastAsia="zh-CN"/>
        </w:rPr>
        <w:t>2018</w:t>
      </w:r>
      <w:r>
        <w:rPr>
          <w:rFonts w:hint="eastAsia" w:ascii="仿宋" w:hAnsi="仿宋" w:eastAsia="仿宋" w:cs="仿宋"/>
          <w:color w:val="auto"/>
          <w:sz w:val="32"/>
          <w:szCs w:val="32"/>
          <w:lang w:eastAsia="zh-CN"/>
        </w:rPr>
        <w:t>〕</w:t>
      </w:r>
      <w:r>
        <w:rPr>
          <w:rFonts w:ascii="仿宋" w:hAnsi="仿宋" w:eastAsia="仿宋" w:cs="仿宋"/>
          <w:color w:val="auto"/>
          <w:sz w:val="32"/>
          <w:szCs w:val="32"/>
          <w:lang w:eastAsia="zh-CN"/>
        </w:rPr>
        <w:t>18</w:t>
      </w:r>
      <w:r>
        <w:rPr>
          <w:rFonts w:hint="eastAsia" w:ascii="仿宋" w:hAnsi="仿宋" w:eastAsia="仿宋" w:cs="仿宋"/>
          <w:color w:val="auto"/>
          <w:sz w:val="32"/>
          <w:szCs w:val="32"/>
          <w:lang w:eastAsia="zh-CN"/>
        </w:rPr>
        <w:t>号）和《关于建设项目“未批先建”违法行为法律适用问题的意见》（环政法函〔</w:t>
      </w:r>
      <w:r>
        <w:rPr>
          <w:rFonts w:ascii="仿宋" w:hAnsi="仿宋" w:eastAsia="仿宋" w:cs="仿宋"/>
          <w:color w:val="auto"/>
          <w:sz w:val="32"/>
          <w:szCs w:val="32"/>
          <w:lang w:eastAsia="zh-CN"/>
        </w:rPr>
        <w:t>2018</w:t>
      </w:r>
      <w:r>
        <w:rPr>
          <w:rFonts w:hint="eastAsia" w:ascii="仿宋" w:hAnsi="仿宋" w:eastAsia="仿宋" w:cs="仿宋"/>
          <w:color w:val="auto"/>
          <w:sz w:val="32"/>
          <w:szCs w:val="32"/>
          <w:lang w:eastAsia="zh-CN"/>
        </w:rPr>
        <w:t>〕</w:t>
      </w:r>
      <w:r>
        <w:rPr>
          <w:rFonts w:ascii="仿宋" w:hAnsi="仿宋" w:eastAsia="仿宋" w:cs="仿宋"/>
          <w:color w:val="auto"/>
          <w:sz w:val="32"/>
          <w:szCs w:val="32"/>
          <w:lang w:eastAsia="zh-CN"/>
        </w:rPr>
        <w:t>31</w:t>
      </w:r>
      <w:r>
        <w:rPr>
          <w:rFonts w:hint="eastAsia" w:ascii="仿宋" w:hAnsi="仿宋" w:eastAsia="仿宋" w:cs="仿宋"/>
          <w:color w:val="auto"/>
          <w:sz w:val="32"/>
          <w:szCs w:val="32"/>
          <w:lang w:eastAsia="zh-CN"/>
        </w:rPr>
        <w:t>号）文件精神及</w:t>
      </w:r>
      <w:r>
        <w:rPr>
          <w:rFonts w:ascii="仿宋" w:hAnsi="仿宋" w:eastAsia="仿宋" w:cs="仿宋"/>
          <w:color w:val="auto"/>
          <w:sz w:val="32"/>
          <w:szCs w:val="32"/>
          <w:lang w:eastAsia="zh-CN"/>
        </w:rPr>
        <w:t>湖南</w:t>
      </w:r>
      <w:r>
        <w:rPr>
          <w:rFonts w:hint="eastAsia" w:ascii="仿宋" w:hAnsi="仿宋" w:eastAsia="仿宋" w:cs="仿宋"/>
          <w:color w:val="auto"/>
          <w:sz w:val="32"/>
          <w:szCs w:val="32"/>
          <w:lang w:eastAsia="zh-CN"/>
        </w:rPr>
        <w:t>坤宇咨询管理</w:t>
      </w:r>
      <w:r>
        <w:rPr>
          <w:rFonts w:ascii="仿宋" w:hAnsi="仿宋" w:eastAsia="仿宋" w:cs="仿宋"/>
          <w:color w:val="auto"/>
          <w:sz w:val="32"/>
          <w:szCs w:val="32"/>
          <w:lang w:eastAsia="zh-CN"/>
        </w:rPr>
        <w:t>有限公司编制的《报告表》分析结论</w:t>
      </w:r>
      <w:r>
        <w:rPr>
          <w:rFonts w:hint="eastAsia" w:ascii="仿宋" w:hAnsi="仿宋" w:eastAsia="仿宋" w:cs="仿宋"/>
          <w:color w:val="auto"/>
          <w:sz w:val="32"/>
          <w:szCs w:val="32"/>
          <w:lang w:eastAsia="zh-CN"/>
        </w:rPr>
        <w:t>和</w:t>
      </w:r>
      <w:r>
        <w:rPr>
          <w:rFonts w:ascii="仿宋" w:hAnsi="仿宋" w:eastAsia="仿宋" w:cs="仿宋"/>
          <w:color w:val="auto"/>
          <w:sz w:val="32"/>
          <w:szCs w:val="32"/>
          <w:lang w:eastAsia="zh-CN"/>
        </w:rPr>
        <w:t>专家组评审意见</w:t>
      </w:r>
      <w:r>
        <w:rPr>
          <w:rFonts w:hint="eastAsia" w:ascii="仿宋" w:hAnsi="仿宋" w:eastAsia="仿宋" w:cs="仿宋"/>
          <w:color w:val="auto"/>
          <w:sz w:val="32"/>
          <w:szCs w:val="32"/>
          <w:lang w:eastAsia="zh-CN"/>
        </w:rPr>
        <w:t>，</w:t>
      </w:r>
      <w:r>
        <w:rPr>
          <w:rFonts w:ascii="仿宋" w:hAnsi="仿宋" w:eastAsia="仿宋" w:cs="仿宋"/>
          <w:color w:val="auto"/>
          <w:sz w:val="32"/>
          <w:szCs w:val="32"/>
          <w:lang w:eastAsia="zh-CN"/>
        </w:rPr>
        <w:t>在建设单位认真落实《报告表》和本批复提出的各项污染防治措施，确保各项污染物稳定达标排放的前提下，我局同意</w:t>
      </w:r>
      <w:r>
        <w:rPr>
          <w:rFonts w:hint="eastAsia" w:ascii="仿宋" w:hAnsi="仿宋" w:eastAsia="仿宋" w:cs="仿宋"/>
          <w:color w:val="auto"/>
          <w:sz w:val="32"/>
          <w:szCs w:val="32"/>
          <w:lang w:eastAsia="zh-CN"/>
        </w:rPr>
        <w:t>益阳医学高等专科学校建设项目</w:t>
      </w:r>
      <w:r>
        <w:rPr>
          <w:rFonts w:ascii="仿宋" w:hAnsi="仿宋" w:eastAsia="仿宋" w:cs="仿宋"/>
          <w:color w:val="auto"/>
          <w:sz w:val="32"/>
          <w:szCs w:val="32"/>
          <w:lang w:eastAsia="zh-CN"/>
        </w:rPr>
        <w:t>的建设并</w:t>
      </w:r>
      <w:r>
        <w:rPr>
          <w:rFonts w:hint="eastAsia" w:ascii="仿宋" w:hAnsi="仿宋" w:eastAsia="仿宋" w:cs="仿宋"/>
          <w:color w:val="auto"/>
          <w:sz w:val="32"/>
          <w:szCs w:val="32"/>
          <w:lang w:eastAsia="zh-CN"/>
        </w:rPr>
        <w:t>完善</w:t>
      </w:r>
      <w:r>
        <w:rPr>
          <w:rFonts w:ascii="仿宋" w:hAnsi="仿宋" w:eastAsia="仿宋" w:cs="仿宋"/>
          <w:color w:val="auto"/>
          <w:sz w:val="32"/>
          <w:szCs w:val="32"/>
          <w:lang w:eastAsia="zh-CN"/>
        </w:rPr>
        <w:t>环评审批手续。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二、你单位</w:t>
      </w:r>
      <w:r>
        <w:rPr>
          <w:rFonts w:ascii="仿宋" w:hAnsi="仿宋" w:eastAsia="仿宋" w:cs="仿宋"/>
          <w:color w:val="auto"/>
          <w:sz w:val="32"/>
          <w:szCs w:val="32"/>
          <w:lang w:eastAsia="zh-CN"/>
        </w:rPr>
        <w:t>在运营管理中，必须切实落实</w:t>
      </w:r>
      <w:r>
        <w:rPr>
          <w:rFonts w:hint="eastAsia" w:ascii="仿宋" w:hAnsi="仿宋" w:eastAsia="仿宋" w:cs="仿宋"/>
          <w:color w:val="auto"/>
          <w:sz w:val="32"/>
          <w:szCs w:val="32"/>
          <w:lang w:eastAsia="zh-CN"/>
        </w:rPr>
        <w:t>《报告表》</w:t>
      </w:r>
      <w:r>
        <w:rPr>
          <w:rFonts w:ascii="仿宋" w:hAnsi="仿宋" w:eastAsia="仿宋" w:cs="仿宋"/>
          <w:color w:val="auto"/>
          <w:sz w:val="32"/>
          <w:szCs w:val="32"/>
          <w:lang w:eastAsia="zh-CN"/>
        </w:rPr>
        <w:t>提出的各项污染防治和风险防范措施要求，</w:t>
      </w:r>
      <w:r>
        <w:rPr>
          <w:rFonts w:hint="eastAsia" w:ascii="仿宋" w:hAnsi="仿宋" w:eastAsia="仿宋" w:cs="仿宋"/>
          <w:color w:val="auto"/>
          <w:sz w:val="32"/>
          <w:szCs w:val="32"/>
          <w:lang w:eastAsia="zh-CN"/>
        </w:rPr>
        <w:t>确保各污染物达标排放，着重做好以下工作：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ascii="仿宋" w:hAnsi="仿宋" w:eastAsia="仿宋" w:cs="仿宋"/>
          <w:color w:val="auto"/>
          <w:sz w:val="32"/>
          <w:szCs w:val="32"/>
          <w:lang w:eastAsia="zh-CN"/>
        </w:rPr>
        <w:t>严格履行建设单位的环保主体责任，加强环境管理。建立环保规章制度和岗位责任制，配备环保管理人员，定期对污染治理设施进行检查和维修，确保环保设施稳定正常运行和污染物的稳定达标排放。制定环境风险事故应急预案，落实事故风险防范措施，切实防范各类环境风险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（二）落实水污染防治措施。</w:t>
      </w:r>
      <w:r>
        <w:rPr>
          <w:rFonts w:hint="eastAsia" w:ascii="仿宋" w:hAnsi="仿宋" w:eastAsia="仿宋" w:cs="仿宋"/>
          <w:sz w:val="32"/>
          <w:szCs w:val="32"/>
          <w:lang w:eastAsia="zh-CN"/>
        </w:rPr>
        <w:t>按照“雨污分流”的原则建设校区排水系统，认真落实《报告表》提出的废水处理方案。食堂废水、一般实验废水和生活污水分别经隔油池和化粪池预处理后，通过</w:t>
      </w:r>
      <w:r>
        <w:rPr>
          <w:rFonts w:hint="eastAsia" w:ascii="仿宋" w:hAnsi="仿宋" w:eastAsia="仿宋" w:cs="仿宋"/>
          <w:color w:val="auto"/>
          <w:sz w:val="32"/>
          <w:szCs w:val="32"/>
          <w:lang w:eastAsia="zh-CN"/>
        </w:rPr>
        <w:t>市政污水管网排入益阳市城东污水处理厂深度处理，最终达标排入撇洪新河。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ascii="仿宋" w:hAnsi="仿宋" w:eastAsia="仿宋" w:cs="仿宋"/>
          <w:color w:val="auto"/>
          <w:sz w:val="32"/>
          <w:szCs w:val="32"/>
          <w:lang w:eastAsia="zh-CN"/>
        </w:rPr>
        <w:t>（三）</w:t>
      </w:r>
      <w:r>
        <w:rPr>
          <w:rFonts w:hint="eastAsia" w:ascii="仿宋" w:hAnsi="仿宋" w:eastAsia="仿宋" w:cs="仿宋"/>
          <w:color w:val="auto"/>
          <w:sz w:val="32"/>
          <w:szCs w:val="32"/>
          <w:lang w:eastAsia="zh-CN"/>
        </w:rPr>
        <w:t>落实大气污染防治措施。一实验楼化学实验、有机合成实验以及康养实训楼提取实验、液相实验均在通风橱内进行，实验废气通过通风橱和管道收集后引至相应楼顶排放口排放；二、三实验楼实验室分别设置集气罩与集气管道，实验废气引至楼顶排放口排放，各外排大气污染物浓度须满足《大气污染物综合排放标准》（GB16297-1996）表2中二级标准要求；食堂油烟采用静电式高效油烟净化器净化处理，满足《饮食业油烟排放标准（试行）》（GB18483-2001）表</w:t>
      </w:r>
      <w:r>
        <w:rPr>
          <w:rFonts w:ascii="仿宋" w:hAnsi="仿宋" w:eastAsia="仿宋" w:cs="仿宋"/>
          <w:color w:val="auto"/>
          <w:sz w:val="32"/>
          <w:szCs w:val="32"/>
          <w:lang w:eastAsia="zh-CN"/>
        </w:rPr>
        <w:t xml:space="preserve"> 2 </w:t>
      </w:r>
      <w:r>
        <w:rPr>
          <w:rFonts w:hint="eastAsia" w:ascii="仿宋" w:hAnsi="仿宋" w:eastAsia="仿宋" w:cs="仿宋"/>
          <w:color w:val="auto"/>
          <w:sz w:val="32"/>
          <w:szCs w:val="32"/>
          <w:lang w:eastAsia="zh-CN"/>
        </w:rPr>
        <w:t>中大型规模标准要求后引至食堂楼顶排放；垃圾收集站采取加强日常卫生管理、及时清扫、定期喷洒生物除臭剂等措施，确保恶臭污染物满足《恶臭污染物排放标准》（GB14554-93）排放标准要求。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ascii="仿宋" w:hAnsi="仿宋" w:eastAsia="仿宋" w:cs="仿宋"/>
          <w:color w:val="auto"/>
          <w:sz w:val="32"/>
          <w:szCs w:val="32"/>
          <w:lang w:eastAsia="zh-CN"/>
        </w:rPr>
        <w:t>（四）</w:t>
      </w:r>
      <w:r>
        <w:rPr>
          <w:rFonts w:hint="eastAsia" w:ascii="仿宋" w:hAnsi="仿宋" w:eastAsia="仿宋" w:cs="仿宋"/>
          <w:color w:val="auto"/>
          <w:sz w:val="32"/>
          <w:szCs w:val="32"/>
          <w:lang w:eastAsia="zh-CN"/>
        </w:rPr>
        <w:t>落实噪声污染防治措施。</w:t>
      </w:r>
      <w:r>
        <w:rPr>
          <w:rFonts w:ascii="仿宋" w:hAnsi="仿宋" w:eastAsia="仿宋" w:cs="仿宋"/>
          <w:color w:val="auto"/>
          <w:sz w:val="32"/>
          <w:szCs w:val="32"/>
          <w:lang w:eastAsia="zh-CN"/>
        </w:rPr>
        <w:t>加强学校四周绿化和</w:t>
      </w:r>
      <w:r>
        <w:rPr>
          <w:rFonts w:hint="eastAsia" w:ascii="仿宋" w:hAnsi="仿宋" w:eastAsia="仿宋" w:cs="仿宋"/>
          <w:color w:val="auto"/>
          <w:sz w:val="32"/>
          <w:szCs w:val="32"/>
          <w:lang w:eastAsia="zh-CN"/>
        </w:rPr>
        <w:t>区域内车辆行驶管理，</w:t>
      </w:r>
      <w:r>
        <w:rPr>
          <w:rFonts w:ascii="仿宋" w:hAnsi="仿宋" w:eastAsia="仿宋" w:cs="仿宋"/>
          <w:color w:val="auto"/>
          <w:sz w:val="32"/>
          <w:szCs w:val="32"/>
          <w:lang w:eastAsia="zh-CN"/>
        </w:rPr>
        <w:t>选用低噪声设备，对高噪声设备采取隔声、消音、减振等降噪措施，</w:t>
      </w:r>
      <w:r>
        <w:rPr>
          <w:rFonts w:hint="eastAsia" w:ascii="仿宋" w:hAnsi="仿宋" w:eastAsia="仿宋" w:cs="仿宋"/>
          <w:color w:val="auto"/>
          <w:sz w:val="32"/>
          <w:szCs w:val="32"/>
          <w:lang w:eastAsia="zh-CN"/>
        </w:rPr>
        <w:t>确保校界噪声满足《工业企业厂界环境噪声排放标准》（GB12348-2008）2类和4类标准要求。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ascii="仿宋" w:hAnsi="仿宋" w:eastAsia="仿宋" w:cs="仿宋"/>
          <w:color w:val="auto"/>
          <w:sz w:val="32"/>
          <w:szCs w:val="32"/>
          <w:lang w:eastAsia="zh-CN"/>
        </w:rPr>
        <w:t>（五）</w:t>
      </w:r>
      <w:r>
        <w:rPr>
          <w:rFonts w:hint="eastAsia" w:ascii="仿宋" w:hAnsi="仿宋" w:eastAsia="仿宋" w:cs="仿宋"/>
          <w:color w:val="auto"/>
          <w:sz w:val="32"/>
          <w:szCs w:val="32"/>
          <w:lang w:eastAsia="zh-CN"/>
        </w:rPr>
        <w:t>落实固体废物处置措施。严格按照“无害化、减量化、资源化”的原则做好固体废物的综合利用和安全处置工作，严格按规范要求分别设置危废暂存间和一般固废暂存间，其建设、运行和管理应分别满足《危险废物贮存污染控制标准》（</w:t>
      </w:r>
      <w:r>
        <w:rPr>
          <w:rFonts w:ascii="仿宋" w:hAnsi="仿宋" w:eastAsia="仿宋" w:cs="仿宋"/>
          <w:color w:val="auto"/>
          <w:sz w:val="32"/>
          <w:szCs w:val="32"/>
          <w:lang w:eastAsia="zh-CN"/>
        </w:rPr>
        <w:t>GB18597-2001</w:t>
      </w:r>
      <w:r>
        <w:rPr>
          <w:rFonts w:hint="eastAsia" w:ascii="仿宋" w:hAnsi="仿宋" w:eastAsia="仿宋" w:cs="仿宋"/>
          <w:color w:val="auto"/>
          <w:sz w:val="32"/>
          <w:szCs w:val="32"/>
          <w:lang w:eastAsia="zh-CN"/>
        </w:rPr>
        <w:t>）及其修改单要求、《一般工业固体废物贮存和填埋污染控制标准》（</w:t>
      </w:r>
      <w:r>
        <w:rPr>
          <w:rFonts w:ascii="仿宋" w:hAnsi="仿宋" w:eastAsia="仿宋" w:cs="仿宋"/>
          <w:color w:val="auto"/>
          <w:sz w:val="32"/>
          <w:szCs w:val="32"/>
          <w:lang w:eastAsia="zh-CN"/>
        </w:rPr>
        <w:t>GB18599-2020</w:t>
      </w:r>
      <w:r>
        <w:rPr>
          <w:rFonts w:hint="eastAsia" w:ascii="仿宋" w:hAnsi="仿宋" w:eastAsia="仿宋" w:cs="仿宋"/>
          <w:color w:val="auto"/>
          <w:sz w:val="32"/>
          <w:szCs w:val="32"/>
          <w:lang w:eastAsia="zh-CN"/>
        </w:rPr>
        <w:t>）的要求，防止二次污染。废检测样品、动物尸体等医疗废物暂存于医疗废物暂存间，定期交由益阳市特许医疗废物集中处理有限公司外运安全处置；</w:t>
      </w:r>
      <w:r>
        <w:rPr>
          <w:rFonts w:hint="eastAsia" w:ascii="仿宋" w:hAnsi="仿宋" w:eastAsia="仿宋" w:cs="仿宋"/>
          <w:sz w:val="32"/>
          <w:szCs w:val="32"/>
          <w:lang w:eastAsia="zh-CN"/>
        </w:rPr>
        <w:t>高浓度实验废水等危险废物</w:t>
      </w:r>
      <w:r>
        <w:rPr>
          <w:rFonts w:hint="eastAsia" w:ascii="仿宋" w:hAnsi="仿宋" w:eastAsia="仿宋" w:cs="仿宋"/>
          <w:color w:val="auto"/>
          <w:sz w:val="32"/>
          <w:szCs w:val="32"/>
          <w:lang w:eastAsia="zh-CN"/>
        </w:rPr>
        <w:t>暂存于危废暂存间，定期委托有资质的单位安全处置；未受污染的外包装材料外售资源化利用；化粪池污泥和生活垃圾集中收集后由环卫部门统一清运处理；餐厨垃圾、隔油池废油及油渣收集后</w:t>
      </w:r>
      <w:r>
        <w:rPr>
          <w:rFonts w:hint="eastAsia" w:ascii="仿宋" w:hAnsi="仿宋" w:eastAsia="仿宋" w:cs="仿宋"/>
          <w:sz w:val="32"/>
          <w:szCs w:val="32"/>
          <w:lang w:eastAsia="zh-CN"/>
        </w:rPr>
        <w:t>交由相关资质单位处置</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ascii="仿宋" w:hAnsi="仿宋" w:eastAsia="仿宋" w:cs="仿宋"/>
          <w:color w:val="auto"/>
          <w:sz w:val="32"/>
          <w:szCs w:val="32"/>
          <w:lang w:eastAsia="zh-CN"/>
        </w:rPr>
        <w:t>三、</w:t>
      </w:r>
      <w:r>
        <w:rPr>
          <w:rFonts w:hint="eastAsia" w:ascii="仿宋" w:hAnsi="仿宋" w:eastAsia="仿宋" w:cs="仿宋"/>
          <w:color w:val="auto"/>
          <w:sz w:val="32"/>
          <w:szCs w:val="32"/>
          <w:lang w:eastAsia="zh-CN"/>
        </w:rPr>
        <w:t>本项目经批准同意建设后，建设的性质、规模、地点、采用的生产工艺或者防治污染、防止生态破坏的措施发生重大变动的，你单位应当重新报批建设项目的环境影响评价文件。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四</w:t>
      </w:r>
      <w:r>
        <w:rPr>
          <w:rFonts w:ascii="仿宋" w:hAnsi="仿宋" w:eastAsia="仿宋" w:cs="仿宋"/>
          <w:color w:val="auto"/>
          <w:sz w:val="32"/>
          <w:szCs w:val="32"/>
          <w:lang w:eastAsia="zh-CN"/>
        </w:rPr>
        <w:t>、</w:t>
      </w:r>
      <w:r>
        <w:rPr>
          <w:rFonts w:hint="eastAsia" w:ascii="仿宋" w:hAnsi="仿宋" w:eastAsia="仿宋" w:cs="仿宋"/>
          <w:color w:val="auto"/>
          <w:sz w:val="32"/>
          <w:szCs w:val="32"/>
          <w:lang w:eastAsia="zh-CN"/>
        </w:rPr>
        <w:t>你单位在本次环评审批手续后，须按照按《建设项目环境保护管理条例》的有关规定，及时办理项目竣工环保验收手续。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五、你单位应严格执行环境保护制度规定，项目日常环境管理工作由益阳市生态环境局赫山分局负责，环保“三同时”执行情况的监督检查由益阳市生态环境保护综合行政执法支队赫山大队具体负责。</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益阳市生态环境局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2023</w:t>
      </w:r>
      <w:r>
        <w:rPr>
          <w:rFonts w:hint="eastAsia" w:ascii="仿宋" w:hAnsi="仿宋" w:eastAsia="仿宋" w:cs="仿宋"/>
          <w:sz w:val="32"/>
          <w:szCs w:val="32"/>
          <w:lang w:eastAsia="zh-CN"/>
        </w:rPr>
        <w:t>年5月</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日</w:t>
      </w:r>
    </w:p>
    <w:p>
      <w:pPr>
        <w:rPr>
          <w:rFonts w:hint="eastAsia"/>
          <w:lang w:eastAsia="zh-CN"/>
        </w:rPr>
      </w:pPr>
    </w:p>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TRhMGYwOGY0OTA1NTQ2NDkxMmQ5YjFhY2YyNDQifQ=="/>
  </w:docVars>
  <w:rsids>
    <w:rsidRoot w:val="1B91217B"/>
    <w:rsid w:val="1B91217B"/>
    <w:rsid w:val="46866895"/>
    <w:rsid w:val="46D3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paragraph" w:customStyle="1" w:styleId="4">
    <w:name w:val="A正文"/>
    <w:basedOn w:val="1"/>
    <w:qFormat/>
    <w:uiPriority w:val="0"/>
    <w:pPr>
      <w:spacing w:line="360" w:lineRule="auto"/>
      <w:ind w:firstLine="200" w:firstLineChars="2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2"/>
    <w:basedOn w:val="1"/>
    <w:qFormat/>
    <w:uiPriority w:val="0"/>
    <w:pPr>
      <w:widowControl w:val="0"/>
      <w:shd w:val="clear" w:color="auto" w:fill="auto"/>
      <w:spacing w:after="260" w:line="360" w:lineRule="exact"/>
      <w:ind w:left="640"/>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1880</Characters>
  <Lines>0</Lines>
  <Paragraphs>0</Paragraphs>
  <TotalTime>15</TotalTime>
  <ScaleCrop>false</ScaleCrop>
  <LinksUpToDate>false</LinksUpToDate>
  <CharactersWithSpaces>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2023-05-09T08:48:00Z</dcterms:created>
  <dc:creator>仁仁仁</dc:creator>
  <cp:lastModifiedBy>仁仁仁</cp:lastModifiedBy>
  <cp:lastPrinted>2023-05-12T02:27:37Z</cp:lastPrinted>
  <dcterms:modified xsi:type="dcterms:W3CDTF">2023-05-12T02:39:05Z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1A2D208071144B8082943CD5269F2D53_13</vt:lpwstr>
  </property>
</Properties>
</file>