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kern w:val="21"/>
          <w:sz w:val="36"/>
          <w:szCs w:val="36"/>
        </w:rPr>
      </w:pPr>
    </w:p>
    <w:p>
      <w:pPr>
        <w:rPr>
          <w:rFonts w:ascii="仿宋_GB2312" w:hAnsi="仿宋_GB2312" w:eastAsia="仿宋_GB2312" w:cs="仿宋_GB2312"/>
          <w:kern w:val="21"/>
          <w:sz w:val="36"/>
          <w:szCs w:val="36"/>
        </w:rPr>
      </w:pPr>
    </w:p>
    <w:p>
      <w:pPr>
        <w:rPr>
          <w:rFonts w:ascii="仿宋_GB2312" w:hAnsi="仿宋_GB2312" w:eastAsia="仿宋_GB2312" w:cs="仿宋_GB2312"/>
          <w:kern w:val="21"/>
          <w:sz w:val="36"/>
          <w:szCs w:val="36"/>
        </w:rPr>
      </w:pPr>
    </w:p>
    <w:p>
      <w:pPr>
        <w:rPr>
          <w:rFonts w:ascii="仿宋_GB2312" w:hAnsi="仿宋_GB2312" w:eastAsia="仿宋_GB2312" w:cs="仿宋_GB2312"/>
          <w:kern w:val="21"/>
          <w:sz w:val="36"/>
          <w:szCs w:val="36"/>
        </w:rPr>
      </w:pPr>
    </w:p>
    <w:p>
      <w:pPr>
        <w:rPr>
          <w:rFonts w:ascii="仿宋_GB2312" w:hAnsi="仿宋_GB2312" w:eastAsia="仿宋_GB2312" w:cs="仿宋_GB2312"/>
          <w:kern w:val="21"/>
          <w:sz w:val="36"/>
          <w:szCs w:val="36"/>
        </w:rPr>
      </w:pPr>
    </w:p>
    <w:p>
      <w:pPr>
        <w:adjustRightInd w:val="0"/>
        <w:snapToGrid w:val="0"/>
        <w:jc w:val="center"/>
        <w:outlineLvl w:val="0"/>
        <w:rPr>
          <w:rFonts w:ascii="方正小标宋_GBK" w:eastAsia="方正小标宋_GBK"/>
          <w:bCs/>
          <w:kern w:val="21"/>
          <w:sz w:val="72"/>
          <w:szCs w:val="72"/>
        </w:rPr>
      </w:pPr>
      <w:bookmarkStart w:id="0" w:name="_Toc16839"/>
      <w:r>
        <w:rPr>
          <w:rFonts w:hint="eastAsia" w:ascii="方正小标宋_GBK" w:eastAsia="方正小标宋_GBK"/>
          <w:bCs/>
          <w:kern w:val="21"/>
          <w:sz w:val="72"/>
          <w:szCs w:val="72"/>
        </w:rPr>
        <w:t>建设项目环境影响报告表</w:t>
      </w:r>
      <w:bookmarkEnd w:id="0"/>
    </w:p>
    <w:p>
      <w:pPr>
        <w:adjustRightInd w:val="0"/>
        <w:snapToGrid w:val="0"/>
        <w:spacing w:before="192" w:beforeLines="80"/>
        <w:jc w:val="center"/>
        <w:rPr>
          <w:rFonts w:ascii="楷体_GB2312" w:eastAsia="楷体_GB2312"/>
          <w:bCs/>
          <w:kern w:val="21"/>
          <w:sz w:val="48"/>
          <w:szCs w:val="48"/>
        </w:rPr>
      </w:pPr>
      <w:r>
        <w:rPr>
          <w:rFonts w:hint="eastAsia" w:ascii="楷体_GB2312" w:eastAsia="楷体_GB2312"/>
          <w:bCs/>
          <w:kern w:val="21"/>
          <w:sz w:val="48"/>
          <w:szCs w:val="48"/>
        </w:rPr>
        <w:t>（污染影响类）</w:t>
      </w:r>
    </w:p>
    <w:p>
      <w:pPr>
        <w:adjustRightInd w:val="0"/>
        <w:snapToGrid w:val="0"/>
        <w:spacing w:line="288" w:lineRule="auto"/>
        <w:jc w:val="center"/>
        <w:rPr>
          <w:rFonts w:ascii="华文仿宋" w:hAnsi="华文仿宋" w:eastAsia="华文仿宋" w:cs="华文仿宋"/>
          <w:color w:val="000000"/>
          <w:kern w:val="21"/>
          <w:sz w:val="44"/>
          <w:szCs w:val="44"/>
        </w:rPr>
      </w:pPr>
      <w:bookmarkStart w:id="1" w:name="_Toc10092"/>
      <w:r>
        <w:rPr>
          <w:rFonts w:hint="eastAsia" w:ascii="华文仿宋" w:hAnsi="华文仿宋" w:eastAsia="华文仿宋" w:cs="华文仿宋"/>
          <w:color w:val="000000"/>
          <w:kern w:val="21"/>
          <w:sz w:val="44"/>
          <w:szCs w:val="44"/>
          <w:lang w:eastAsia="zh-CN"/>
        </w:rPr>
        <w:t>报批</w:t>
      </w:r>
      <w:r>
        <w:rPr>
          <w:rFonts w:hint="eastAsia" w:ascii="华文仿宋" w:hAnsi="华文仿宋" w:eastAsia="华文仿宋" w:cs="华文仿宋"/>
          <w:color w:val="000000"/>
          <w:kern w:val="21"/>
          <w:sz w:val="44"/>
          <w:szCs w:val="44"/>
        </w:rPr>
        <w:t>稿</w:t>
      </w:r>
      <w:bookmarkEnd w:id="1"/>
    </w:p>
    <w:p>
      <w:pPr>
        <w:ind w:firstLine="1040"/>
        <w:rPr>
          <w:rFonts w:eastAsia="仿宋"/>
          <w:kern w:val="21"/>
          <w:sz w:val="44"/>
          <w:szCs w:val="44"/>
        </w:rPr>
      </w:pPr>
    </w:p>
    <w:p>
      <w:pPr>
        <w:ind w:firstLine="1040"/>
        <w:rPr>
          <w:rFonts w:eastAsia="仿宋"/>
          <w:kern w:val="21"/>
          <w:sz w:val="44"/>
          <w:szCs w:val="44"/>
        </w:rPr>
      </w:pPr>
    </w:p>
    <w:p>
      <w:pPr>
        <w:ind w:firstLine="1040"/>
        <w:rPr>
          <w:rFonts w:eastAsia="仿宋"/>
          <w:kern w:val="21"/>
          <w:sz w:val="44"/>
          <w:szCs w:val="44"/>
        </w:rPr>
      </w:pPr>
    </w:p>
    <w:p>
      <w:pPr>
        <w:ind w:firstLine="1040"/>
        <w:rPr>
          <w:rFonts w:eastAsia="仿宋"/>
          <w:kern w:val="21"/>
          <w:sz w:val="44"/>
          <w:szCs w:val="44"/>
        </w:rPr>
      </w:pPr>
    </w:p>
    <w:p>
      <w:pPr>
        <w:adjustRightInd w:val="0"/>
        <w:snapToGrid w:val="0"/>
        <w:spacing w:line="288" w:lineRule="auto"/>
        <w:ind w:left="1800" w:hanging="1800" w:hangingChars="500"/>
        <w:rPr>
          <w:rFonts w:ascii="宋体" w:hAnsi="宋体" w:cs="宋体"/>
          <w:color w:val="FF0000"/>
          <w:kern w:val="21"/>
          <w:szCs w:val="21"/>
        </w:rPr>
      </w:pPr>
      <w:r>
        <w:rPr>
          <w:rFonts w:hint="eastAsia" w:ascii="仿宋_GB2312" w:eastAsia="仿宋_GB2312"/>
          <w:kern w:val="21"/>
          <w:sz w:val="36"/>
          <w:szCs w:val="36"/>
        </w:rPr>
        <w:t>项目名称：</w:t>
      </w:r>
      <w:r>
        <w:rPr>
          <w:rFonts w:hint="eastAsia" w:ascii="仿宋_GB2312" w:eastAsia="仿宋_GB2312"/>
          <w:kern w:val="21"/>
          <w:sz w:val="36"/>
          <w:szCs w:val="36"/>
          <w:u w:val="single"/>
        </w:rPr>
        <w:t>益阳睿城废旧物资回收有限公司年产</w:t>
      </w:r>
      <w:r>
        <w:rPr>
          <w:rFonts w:hint="eastAsia" w:ascii="仿宋_GB2312" w:eastAsia="仿宋_GB2312"/>
          <w:kern w:val="21"/>
          <w:sz w:val="36"/>
          <w:szCs w:val="36"/>
          <w:u w:val="single"/>
          <w:lang w:val="en-US" w:eastAsia="zh-CN"/>
        </w:rPr>
        <w:t>5000</w:t>
      </w:r>
      <w:r>
        <w:rPr>
          <w:rFonts w:hint="eastAsia" w:ascii="仿宋_GB2312" w:eastAsia="仿宋_GB2312"/>
          <w:kern w:val="21"/>
          <w:sz w:val="36"/>
          <w:szCs w:val="36"/>
          <w:u w:val="single"/>
        </w:rPr>
        <w:t xml:space="preserve">吨再生塑料颗粒建设项目                       </w:t>
      </w:r>
    </w:p>
    <w:p>
      <w:pPr>
        <w:adjustRightInd w:val="0"/>
        <w:snapToGrid w:val="0"/>
        <w:spacing w:line="360" w:lineRule="auto"/>
        <w:rPr>
          <w:rFonts w:ascii="仿宋_GB2312" w:eastAsia="仿宋_GB2312"/>
          <w:color w:val="FF0000"/>
          <w:kern w:val="21"/>
          <w:sz w:val="36"/>
          <w:szCs w:val="36"/>
          <w:u w:val="single"/>
        </w:rPr>
      </w:pPr>
      <w:r>
        <w:rPr>
          <w:rFonts w:hint="eastAsia" w:ascii="仿宋_GB2312" w:eastAsia="仿宋_GB2312"/>
          <w:kern w:val="21"/>
          <w:sz w:val="36"/>
          <w:szCs w:val="36"/>
        </w:rPr>
        <w:t>建设单位（盖章）：</w:t>
      </w:r>
      <w:r>
        <w:rPr>
          <w:rFonts w:hint="eastAsia" w:ascii="仿宋_GB2312" w:eastAsia="仿宋_GB2312"/>
          <w:kern w:val="21"/>
          <w:sz w:val="36"/>
          <w:szCs w:val="36"/>
          <w:u w:val="single"/>
        </w:rPr>
        <w:t xml:space="preserve">益阳睿城废旧物资回收有限公司  </w:t>
      </w:r>
    </w:p>
    <w:p>
      <w:pPr>
        <w:adjustRightInd w:val="0"/>
        <w:snapToGrid w:val="0"/>
        <w:spacing w:line="360" w:lineRule="auto"/>
        <w:rPr>
          <w:rFonts w:ascii="仿宋_GB2312" w:eastAsia="仿宋_GB2312"/>
          <w:kern w:val="21"/>
          <w:sz w:val="36"/>
          <w:szCs w:val="36"/>
          <w:u w:val="single"/>
        </w:rPr>
      </w:pPr>
      <w:r>
        <w:rPr>
          <w:rFonts w:hint="eastAsia" w:ascii="仿宋_GB2312" w:eastAsia="仿宋_GB2312"/>
          <w:kern w:val="21"/>
          <w:sz w:val="36"/>
          <w:szCs w:val="36"/>
        </w:rPr>
        <w:t>编制日期：</w:t>
      </w:r>
      <w:r>
        <w:rPr>
          <w:rFonts w:hint="eastAsia" w:ascii="仿宋_GB2312" w:eastAsia="仿宋_GB2312"/>
          <w:kern w:val="21"/>
          <w:sz w:val="36"/>
          <w:szCs w:val="36"/>
          <w:u w:val="single"/>
        </w:rPr>
        <w:t xml:space="preserve">             202</w:t>
      </w:r>
      <w:r>
        <w:rPr>
          <w:rFonts w:hint="eastAsia" w:ascii="仿宋_GB2312" w:eastAsia="仿宋_GB2312"/>
          <w:kern w:val="21"/>
          <w:sz w:val="36"/>
          <w:szCs w:val="36"/>
          <w:u w:val="single"/>
          <w:lang w:val="en-US" w:eastAsia="zh-CN"/>
        </w:rPr>
        <w:t>2</w:t>
      </w:r>
      <w:r>
        <w:rPr>
          <w:rFonts w:hint="eastAsia" w:ascii="仿宋_GB2312" w:eastAsia="仿宋_GB2312"/>
          <w:kern w:val="21"/>
          <w:sz w:val="36"/>
          <w:szCs w:val="36"/>
          <w:u w:val="single"/>
        </w:rPr>
        <w:t>年</w:t>
      </w:r>
      <w:r>
        <w:rPr>
          <w:rFonts w:hint="eastAsia" w:ascii="仿宋_GB2312" w:eastAsia="仿宋_GB2312"/>
          <w:kern w:val="21"/>
          <w:sz w:val="36"/>
          <w:szCs w:val="36"/>
          <w:u w:val="single"/>
          <w:lang w:val="en-US" w:eastAsia="zh-CN"/>
        </w:rPr>
        <w:t>12</w:t>
      </w:r>
      <w:r>
        <w:rPr>
          <w:rFonts w:hint="eastAsia" w:ascii="仿宋_GB2312" w:eastAsia="仿宋_GB2312"/>
          <w:kern w:val="21"/>
          <w:sz w:val="36"/>
          <w:szCs w:val="36"/>
          <w:u w:val="single"/>
        </w:rPr>
        <w:t xml:space="preserve">月                </w:t>
      </w:r>
    </w:p>
    <w:p>
      <w:pPr>
        <w:adjustRightInd w:val="0"/>
        <w:snapToGrid w:val="0"/>
        <w:spacing w:line="288" w:lineRule="auto"/>
        <w:ind w:firstLine="1040"/>
        <w:rPr>
          <w:rFonts w:ascii="仿宋_GB2312" w:eastAsia="仿宋_GB2312"/>
          <w:kern w:val="21"/>
          <w:sz w:val="36"/>
          <w:szCs w:val="36"/>
          <w:u w:val="single"/>
        </w:rPr>
      </w:pPr>
      <w:bookmarkStart w:id="2" w:name="_Hlk57884087"/>
    </w:p>
    <w:p>
      <w:pPr>
        <w:adjustRightInd w:val="0"/>
        <w:snapToGrid w:val="0"/>
        <w:spacing w:line="288" w:lineRule="auto"/>
        <w:ind w:firstLine="1040"/>
        <w:rPr>
          <w:rFonts w:ascii="仿宋_GB2312" w:eastAsia="仿宋_GB2312"/>
          <w:kern w:val="21"/>
          <w:sz w:val="36"/>
          <w:szCs w:val="36"/>
        </w:rPr>
      </w:pPr>
    </w:p>
    <w:p>
      <w:pPr>
        <w:adjustRightInd w:val="0"/>
        <w:snapToGrid w:val="0"/>
        <w:spacing w:line="288" w:lineRule="auto"/>
        <w:ind w:firstLine="1040"/>
        <w:rPr>
          <w:rFonts w:ascii="仿宋_GB2312" w:eastAsia="仿宋_GB2312"/>
          <w:kern w:val="21"/>
          <w:sz w:val="36"/>
          <w:szCs w:val="36"/>
        </w:rPr>
      </w:pPr>
    </w:p>
    <w:p>
      <w:pPr>
        <w:adjustRightInd w:val="0"/>
        <w:snapToGrid w:val="0"/>
        <w:spacing w:line="288" w:lineRule="auto"/>
        <w:ind w:firstLine="1040"/>
        <w:rPr>
          <w:rFonts w:ascii="仿宋_GB2312" w:eastAsia="仿宋_GB2312"/>
          <w:kern w:val="21"/>
          <w:sz w:val="36"/>
          <w:szCs w:val="36"/>
        </w:rPr>
      </w:pPr>
    </w:p>
    <w:bookmarkEnd w:id="2"/>
    <w:p>
      <w:pPr>
        <w:adjustRightInd w:val="0"/>
        <w:snapToGrid w:val="0"/>
        <w:spacing w:line="288" w:lineRule="auto"/>
        <w:jc w:val="center"/>
        <w:rPr>
          <w:rFonts w:ascii="仿宋_GB2312" w:eastAsia="仿宋_GB2312"/>
          <w:kern w:val="21"/>
          <w:sz w:val="36"/>
          <w:szCs w:val="36"/>
        </w:rPr>
      </w:pPr>
      <w:r>
        <w:rPr>
          <w:rFonts w:hint="eastAsia" w:ascii="楷体_GB2312" w:eastAsia="楷体_GB2312"/>
          <w:kern w:val="21"/>
          <w:sz w:val="36"/>
          <w:szCs w:val="36"/>
        </w:rPr>
        <w:t>中华人民共和国生态环境部制</w:t>
      </w:r>
    </w:p>
    <w:p>
      <w:pPr>
        <w:adjustRightInd w:val="0"/>
        <w:snapToGrid w:val="0"/>
        <w:spacing w:line="288" w:lineRule="auto"/>
        <w:ind w:firstLine="1040"/>
        <w:rPr>
          <w:rFonts w:ascii="仿宋_GB2312" w:eastAsia="仿宋_GB2312"/>
          <w:kern w:val="21"/>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spacing w:line="440" w:lineRule="exact"/>
        <w:jc w:val="center"/>
        <w:rPr>
          <w:b/>
          <w:bCs/>
          <w:kern w:val="21"/>
          <w:sz w:val="28"/>
          <w:szCs w:val="36"/>
        </w:rPr>
      </w:pPr>
      <w:r>
        <w:rPr>
          <w:rFonts w:hint="eastAsia"/>
          <w:b/>
          <w:bCs/>
          <w:kern w:val="21"/>
          <w:sz w:val="28"/>
          <w:szCs w:val="36"/>
        </w:rPr>
        <w:t>目录</w:t>
      </w:r>
    </w:p>
    <w:p>
      <w:pPr>
        <w:pStyle w:val="14"/>
        <w:tabs>
          <w:tab w:val="right" w:leader="dot" w:pos="8844"/>
        </w:tabs>
        <w:spacing w:line="480" w:lineRule="exact"/>
        <w:rPr>
          <w:sz w:val="24"/>
          <w:szCs w:val="32"/>
        </w:rPr>
      </w:pPr>
      <w:r>
        <w:rPr>
          <w:color w:val="FF0000"/>
          <w:kern w:val="21"/>
          <w:sz w:val="24"/>
        </w:rPr>
        <w:fldChar w:fldCharType="begin"/>
      </w:r>
      <w:r>
        <w:rPr>
          <w:color w:val="FF0000"/>
          <w:kern w:val="21"/>
          <w:sz w:val="24"/>
        </w:rPr>
        <w:instrText xml:space="preserve">TOC \o "1-1" \h \u </w:instrText>
      </w:r>
      <w:r>
        <w:rPr>
          <w:color w:val="FF0000"/>
          <w:kern w:val="21"/>
          <w:sz w:val="24"/>
        </w:rPr>
        <w:fldChar w:fldCharType="separate"/>
      </w:r>
      <w:r>
        <w:fldChar w:fldCharType="begin"/>
      </w:r>
      <w:r>
        <w:instrText xml:space="preserve"> HYPERLINK \l "_Toc3770" </w:instrText>
      </w:r>
      <w:r>
        <w:fldChar w:fldCharType="separate"/>
      </w:r>
      <w:r>
        <w:rPr>
          <w:rFonts w:hint="eastAsia"/>
          <w:snapToGrid w:val="0"/>
          <w:kern w:val="21"/>
          <w:sz w:val="24"/>
          <w:szCs w:val="36"/>
        </w:rPr>
        <w:t>一、建设项目基本情况</w:t>
      </w:r>
      <w:r>
        <w:rPr>
          <w:sz w:val="24"/>
          <w:szCs w:val="32"/>
        </w:rPr>
        <w:tab/>
      </w:r>
      <w:r>
        <w:rPr>
          <w:sz w:val="24"/>
          <w:szCs w:val="32"/>
        </w:rPr>
        <w:fldChar w:fldCharType="begin"/>
      </w:r>
      <w:r>
        <w:rPr>
          <w:sz w:val="24"/>
          <w:szCs w:val="32"/>
        </w:rPr>
        <w:instrText xml:space="preserve"> PAGEREF _Toc3770 \h </w:instrText>
      </w:r>
      <w:r>
        <w:rPr>
          <w:sz w:val="24"/>
          <w:szCs w:val="32"/>
        </w:rPr>
        <w:fldChar w:fldCharType="separate"/>
      </w:r>
      <w:r>
        <w:rPr>
          <w:sz w:val="24"/>
          <w:szCs w:val="32"/>
        </w:rPr>
        <w:t>1</w:t>
      </w:r>
      <w:r>
        <w:rPr>
          <w:sz w:val="24"/>
          <w:szCs w:val="32"/>
        </w:rPr>
        <w:fldChar w:fldCharType="end"/>
      </w:r>
      <w:r>
        <w:rPr>
          <w:sz w:val="24"/>
          <w:szCs w:val="32"/>
        </w:rPr>
        <w:fldChar w:fldCharType="end"/>
      </w:r>
    </w:p>
    <w:p>
      <w:pPr>
        <w:pStyle w:val="14"/>
        <w:tabs>
          <w:tab w:val="right" w:leader="dot" w:pos="8844"/>
        </w:tabs>
        <w:spacing w:line="480" w:lineRule="exact"/>
        <w:rPr>
          <w:sz w:val="24"/>
          <w:szCs w:val="32"/>
        </w:rPr>
      </w:pPr>
      <w:r>
        <w:fldChar w:fldCharType="begin"/>
      </w:r>
      <w:r>
        <w:instrText xml:space="preserve"> HYPERLINK \l "_Toc18763" </w:instrText>
      </w:r>
      <w:r>
        <w:fldChar w:fldCharType="separate"/>
      </w:r>
      <w:r>
        <w:rPr>
          <w:rFonts w:hint="eastAsia"/>
          <w:snapToGrid w:val="0"/>
          <w:kern w:val="21"/>
          <w:sz w:val="24"/>
          <w:szCs w:val="36"/>
        </w:rPr>
        <w:t>二、建设项目工程分析</w:t>
      </w:r>
      <w:r>
        <w:rPr>
          <w:sz w:val="24"/>
          <w:szCs w:val="32"/>
        </w:rPr>
        <w:tab/>
      </w:r>
      <w:r>
        <w:rPr>
          <w:sz w:val="24"/>
          <w:szCs w:val="32"/>
        </w:rPr>
        <w:fldChar w:fldCharType="begin"/>
      </w:r>
      <w:r>
        <w:rPr>
          <w:sz w:val="24"/>
          <w:szCs w:val="32"/>
        </w:rPr>
        <w:instrText xml:space="preserve"> PAGEREF _Toc18763 \h </w:instrText>
      </w:r>
      <w:r>
        <w:rPr>
          <w:sz w:val="24"/>
          <w:szCs w:val="32"/>
        </w:rPr>
        <w:fldChar w:fldCharType="separate"/>
      </w:r>
      <w:r>
        <w:rPr>
          <w:sz w:val="24"/>
          <w:szCs w:val="32"/>
        </w:rPr>
        <w:t>16</w:t>
      </w:r>
      <w:r>
        <w:rPr>
          <w:sz w:val="24"/>
          <w:szCs w:val="32"/>
        </w:rPr>
        <w:fldChar w:fldCharType="end"/>
      </w:r>
      <w:r>
        <w:rPr>
          <w:sz w:val="24"/>
          <w:szCs w:val="32"/>
        </w:rPr>
        <w:fldChar w:fldCharType="end"/>
      </w:r>
    </w:p>
    <w:p>
      <w:pPr>
        <w:pStyle w:val="14"/>
        <w:tabs>
          <w:tab w:val="right" w:leader="dot" w:pos="8844"/>
        </w:tabs>
        <w:spacing w:line="480" w:lineRule="exact"/>
        <w:rPr>
          <w:sz w:val="24"/>
          <w:szCs w:val="32"/>
        </w:rPr>
      </w:pPr>
      <w:r>
        <w:fldChar w:fldCharType="begin"/>
      </w:r>
      <w:r>
        <w:instrText xml:space="preserve"> HYPERLINK \l "_Toc23705" </w:instrText>
      </w:r>
      <w:r>
        <w:fldChar w:fldCharType="separate"/>
      </w:r>
      <w:r>
        <w:rPr>
          <w:rFonts w:hint="eastAsia"/>
          <w:snapToGrid w:val="0"/>
          <w:kern w:val="21"/>
          <w:sz w:val="24"/>
          <w:szCs w:val="36"/>
        </w:rPr>
        <w:t>三、区域环境质量现状、环境保护目标及评价标准</w:t>
      </w:r>
      <w:r>
        <w:rPr>
          <w:sz w:val="24"/>
          <w:szCs w:val="32"/>
        </w:rPr>
        <w:tab/>
      </w:r>
      <w:r>
        <w:rPr>
          <w:sz w:val="24"/>
          <w:szCs w:val="32"/>
        </w:rPr>
        <w:fldChar w:fldCharType="begin"/>
      </w:r>
      <w:r>
        <w:rPr>
          <w:sz w:val="24"/>
          <w:szCs w:val="32"/>
        </w:rPr>
        <w:instrText xml:space="preserve"> PAGEREF _Toc23705 \h </w:instrText>
      </w:r>
      <w:r>
        <w:rPr>
          <w:sz w:val="24"/>
          <w:szCs w:val="32"/>
        </w:rPr>
        <w:fldChar w:fldCharType="separate"/>
      </w:r>
      <w:r>
        <w:rPr>
          <w:sz w:val="24"/>
          <w:szCs w:val="32"/>
        </w:rPr>
        <w:t>24</w:t>
      </w:r>
      <w:r>
        <w:rPr>
          <w:sz w:val="24"/>
          <w:szCs w:val="32"/>
        </w:rPr>
        <w:fldChar w:fldCharType="end"/>
      </w:r>
      <w:r>
        <w:rPr>
          <w:sz w:val="24"/>
          <w:szCs w:val="32"/>
        </w:rPr>
        <w:fldChar w:fldCharType="end"/>
      </w:r>
    </w:p>
    <w:p>
      <w:pPr>
        <w:pStyle w:val="14"/>
        <w:tabs>
          <w:tab w:val="right" w:leader="dot" w:pos="8844"/>
        </w:tabs>
        <w:spacing w:line="480" w:lineRule="exact"/>
        <w:rPr>
          <w:sz w:val="24"/>
          <w:szCs w:val="32"/>
        </w:rPr>
      </w:pPr>
      <w:r>
        <w:fldChar w:fldCharType="begin"/>
      </w:r>
      <w:r>
        <w:instrText xml:space="preserve"> HYPERLINK \l "_Toc23645" </w:instrText>
      </w:r>
      <w:r>
        <w:fldChar w:fldCharType="separate"/>
      </w:r>
      <w:r>
        <w:rPr>
          <w:rFonts w:hint="eastAsia"/>
          <w:snapToGrid w:val="0"/>
          <w:kern w:val="21"/>
          <w:sz w:val="24"/>
          <w:szCs w:val="36"/>
        </w:rPr>
        <w:t>四、主要环境影响和保护措施</w:t>
      </w:r>
      <w:r>
        <w:rPr>
          <w:sz w:val="24"/>
          <w:szCs w:val="32"/>
        </w:rPr>
        <w:tab/>
      </w:r>
      <w:r>
        <w:rPr>
          <w:sz w:val="24"/>
          <w:szCs w:val="32"/>
        </w:rPr>
        <w:fldChar w:fldCharType="begin"/>
      </w:r>
      <w:r>
        <w:rPr>
          <w:sz w:val="24"/>
          <w:szCs w:val="32"/>
        </w:rPr>
        <w:instrText xml:space="preserve"> PAGEREF _Toc23645 \h </w:instrText>
      </w:r>
      <w:r>
        <w:rPr>
          <w:sz w:val="24"/>
          <w:szCs w:val="32"/>
        </w:rPr>
        <w:fldChar w:fldCharType="separate"/>
      </w:r>
      <w:r>
        <w:rPr>
          <w:sz w:val="24"/>
          <w:szCs w:val="32"/>
        </w:rPr>
        <w:t>33</w:t>
      </w:r>
      <w:r>
        <w:rPr>
          <w:sz w:val="24"/>
          <w:szCs w:val="32"/>
        </w:rPr>
        <w:fldChar w:fldCharType="end"/>
      </w:r>
      <w:r>
        <w:rPr>
          <w:sz w:val="24"/>
          <w:szCs w:val="32"/>
        </w:rPr>
        <w:fldChar w:fldCharType="end"/>
      </w:r>
    </w:p>
    <w:p>
      <w:pPr>
        <w:pStyle w:val="14"/>
        <w:tabs>
          <w:tab w:val="right" w:leader="dot" w:pos="8844"/>
        </w:tabs>
        <w:spacing w:line="480" w:lineRule="exact"/>
        <w:rPr>
          <w:sz w:val="24"/>
          <w:szCs w:val="32"/>
        </w:rPr>
      </w:pPr>
      <w:r>
        <w:fldChar w:fldCharType="begin"/>
      </w:r>
      <w:r>
        <w:instrText xml:space="preserve"> HYPERLINK \l "_Toc26617" </w:instrText>
      </w:r>
      <w:r>
        <w:fldChar w:fldCharType="separate"/>
      </w:r>
      <w:r>
        <w:rPr>
          <w:rFonts w:hint="eastAsia"/>
          <w:snapToGrid w:val="0"/>
          <w:kern w:val="21"/>
          <w:sz w:val="24"/>
          <w:szCs w:val="36"/>
        </w:rPr>
        <w:t>五、环境保护措施监督检查清单</w:t>
      </w:r>
      <w:r>
        <w:rPr>
          <w:sz w:val="24"/>
          <w:szCs w:val="32"/>
        </w:rPr>
        <w:tab/>
      </w:r>
      <w:r>
        <w:rPr>
          <w:sz w:val="24"/>
          <w:szCs w:val="32"/>
        </w:rPr>
        <w:fldChar w:fldCharType="begin"/>
      </w:r>
      <w:r>
        <w:rPr>
          <w:sz w:val="24"/>
          <w:szCs w:val="32"/>
        </w:rPr>
        <w:instrText xml:space="preserve"> PAGEREF _Toc26617 \h </w:instrText>
      </w:r>
      <w:r>
        <w:rPr>
          <w:sz w:val="24"/>
          <w:szCs w:val="32"/>
        </w:rPr>
        <w:fldChar w:fldCharType="separate"/>
      </w:r>
      <w:r>
        <w:rPr>
          <w:sz w:val="24"/>
          <w:szCs w:val="32"/>
        </w:rPr>
        <w:t>47</w:t>
      </w:r>
      <w:r>
        <w:rPr>
          <w:sz w:val="24"/>
          <w:szCs w:val="32"/>
        </w:rPr>
        <w:fldChar w:fldCharType="end"/>
      </w:r>
      <w:r>
        <w:rPr>
          <w:sz w:val="24"/>
          <w:szCs w:val="32"/>
        </w:rPr>
        <w:fldChar w:fldCharType="end"/>
      </w:r>
    </w:p>
    <w:p>
      <w:pPr>
        <w:pStyle w:val="14"/>
        <w:tabs>
          <w:tab w:val="right" w:leader="dot" w:pos="8844"/>
        </w:tabs>
        <w:spacing w:line="480" w:lineRule="exact"/>
      </w:pPr>
      <w:r>
        <w:fldChar w:fldCharType="begin"/>
      </w:r>
      <w:r>
        <w:instrText xml:space="preserve"> HYPERLINK \l "_Toc15516" </w:instrText>
      </w:r>
      <w:r>
        <w:fldChar w:fldCharType="separate"/>
      </w:r>
      <w:r>
        <w:rPr>
          <w:rFonts w:hint="eastAsia"/>
          <w:snapToGrid w:val="0"/>
          <w:kern w:val="21"/>
          <w:sz w:val="24"/>
          <w:szCs w:val="36"/>
        </w:rPr>
        <w:t>六、结论</w:t>
      </w:r>
      <w:r>
        <w:rPr>
          <w:sz w:val="24"/>
          <w:szCs w:val="32"/>
        </w:rPr>
        <w:tab/>
      </w:r>
      <w:r>
        <w:rPr>
          <w:sz w:val="24"/>
          <w:szCs w:val="32"/>
        </w:rPr>
        <w:fldChar w:fldCharType="begin"/>
      </w:r>
      <w:r>
        <w:rPr>
          <w:sz w:val="24"/>
          <w:szCs w:val="32"/>
        </w:rPr>
        <w:instrText xml:space="preserve"> PAGEREF _Toc15516 \h </w:instrText>
      </w:r>
      <w:r>
        <w:rPr>
          <w:sz w:val="24"/>
          <w:szCs w:val="32"/>
        </w:rPr>
        <w:fldChar w:fldCharType="separate"/>
      </w:r>
      <w:r>
        <w:rPr>
          <w:sz w:val="24"/>
          <w:szCs w:val="32"/>
        </w:rPr>
        <w:t>50</w:t>
      </w:r>
      <w:r>
        <w:rPr>
          <w:sz w:val="24"/>
          <w:szCs w:val="32"/>
        </w:rPr>
        <w:fldChar w:fldCharType="end"/>
      </w:r>
      <w:r>
        <w:rPr>
          <w:sz w:val="24"/>
          <w:szCs w:val="32"/>
        </w:rPr>
        <w:fldChar w:fldCharType="end"/>
      </w:r>
    </w:p>
    <w:p>
      <w:pPr>
        <w:spacing w:line="480" w:lineRule="exact"/>
        <w:rPr>
          <w:color w:val="FF0000"/>
          <w:kern w:val="21"/>
          <w:sz w:val="24"/>
        </w:rPr>
      </w:pPr>
      <w:r>
        <w:rPr>
          <w:color w:val="FF0000"/>
          <w:kern w:val="21"/>
        </w:rPr>
        <w:fldChar w:fldCharType="end"/>
      </w:r>
    </w:p>
    <w:p>
      <w:pPr>
        <w:spacing w:line="360" w:lineRule="exact"/>
        <w:rPr>
          <w:b/>
          <w:sz w:val="28"/>
          <w:szCs w:val="28"/>
        </w:rPr>
      </w:pPr>
    </w:p>
    <w:p>
      <w:pPr>
        <w:spacing w:line="360" w:lineRule="exact"/>
        <w:rPr>
          <w:b/>
          <w:sz w:val="28"/>
          <w:szCs w:val="28"/>
        </w:rPr>
      </w:pPr>
      <w:r>
        <w:rPr>
          <w:b/>
          <w:sz w:val="28"/>
          <w:szCs w:val="28"/>
        </w:rPr>
        <w:t>附图：</w:t>
      </w:r>
    </w:p>
    <w:p>
      <w:pPr>
        <w:spacing w:line="360" w:lineRule="exact"/>
        <w:rPr>
          <w:sz w:val="24"/>
        </w:rPr>
      </w:pPr>
      <w:r>
        <w:rPr>
          <w:sz w:val="24"/>
        </w:rPr>
        <w:t>1、项目地理位置</w:t>
      </w:r>
    </w:p>
    <w:p>
      <w:pPr>
        <w:spacing w:line="360" w:lineRule="exact"/>
        <w:rPr>
          <w:sz w:val="24"/>
        </w:rPr>
      </w:pPr>
      <w:r>
        <w:rPr>
          <w:sz w:val="24"/>
        </w:rPr>
        <w:t>2、项目周边环境保护目标示意图</w:t>
      </w:r>
    </w:p>
    <w:p>
      <w:pPr>
        <w:spacing w:line="360" w:lineRule="exact"/>
        <w:rPr>
          <w:rFonts w:hint="eastAsia"/>
          <w:sz w:val="24"/>
          <w:lang w:val="en-US" w:eastAsia="zh-CN"/>
        </w:rPr>
      </w:pPr>
      <w:r>
        <w:rPr>
          <w:sz w:val="24"/>
        </w:rPr>
        <w:t>3、</w:t>
      </w:r>
      <w:r>
        <w:rPr>
          <w:rFonts w:hint="eastAsia"/>
          <w:sz w:val="24"/>
          <w:lang w:val="en-US" w:eastAsia="zh-CN"/>
        </w:rPr>
        <w:t>厂区平面布置图</w:t>
      </w:r>
    </w:p>
    <w:p>
      <w:pPr>
        <w:pStyle w:val="27"/>
        <w:rPr>
          <w:rFonts w:hint="eastAsia"/>
          <w:sz w:val="24"/>
          <w:lang w:val="en-US" w:eastAsia="zh-CN"/>
        </w:rPr>
      </w:pPr>
      <w:r>
        <w:rPr>
          <w:rFonts w:hint="eastAsia"/>
          <w:sz w:val="24"/>
          <w:lang w:val="en-US" w:eastAsia="zh-CN"/>
        </w:rPr>
        <w:t>4、项目应用监测布点图</w:t>
      </w:r>
    </w:p>
    <w:p>
      <w:pPr>
        <w:pStyle w:val="27"/>
        <w:rPr>
          <w:rFonts w:hint="eastAsia"/>
          <w:sz w:val="24"/>
          <w:lang w:val="en-US" w:eastAsia="zh-CN"/>
        </w:rPr>
      </w:pPr>
      <w:r>
        <w:rPr>
          <w:rFonts w:hint="eastAsia"/>
          <w:sz w:val="24"/>
          <w:lang w:val="en-US" w:eastAsia="zh-CN"/>
        </w:rPr>
        <w:t>5、龙岭工业园土地利用规划图</w:t>
      </w:r>
    </w:p>
    <w:p>
      <w:pPr>
        <w:pStyle w:val="29"/>
        <w:rPr>
          <w:rFonts w:hint="default"/>
          <w:lang w:val="en-US"/>
        </w:rPr>
      </w:pPr>
    </w:p>
    <w:p>
      <w:pPr>
        <w:pStyle w:val="53"/>
        <w:rPr>
          <w:rFonts w:ascii="Times New Roman" w:hAnsi="Times New Roman"/>
        </w:rPr>
      </w:pPr>
    </w:p>
    <w:p>
      <w:pPr>
        <w:pStyle w:val="53"/>
        <w:rPr>
          <w:rFonts w:ascii="Times New Roman" w:hAnsi="Times New Roman"/>
        </w:rPr>
      </w:pPr>
    </w:p>
    <w:p>
      <w:pPr>
        <w:spacing w:line="360" w:lineRule="exact"/>
        <w:rPr>
          <w:b/>
          <w:sz w:val="28"/>
          <w:szCs w:val="28"/>
        </w:rPr>
      </w:pPr>
      <w:r>
        <w:rPr>
          <w:b/>
          <w:sz w:val="28"/>
          <w:szCs w:val="28"/>
        </w:rPr>
        <w:t>附件：</w:t>
      </w:r>
    </w:p>
    <w:p>
      <w:pPr>
        <w:numPr>
          <w:ilvl w:val="0"/>
          <w:numId w:val="1"/>
        </w:numPr>
        <w:spacing w:line="360" w:lineRule="exact"/>
        <w:rPr>
          <w:sz w:val="24"/>
        </w:rPr>
      </w:pPr>
      <w:r>
        <w:rPr>
          <w:sz w:val="24"/>
        </w:rPr>
        <w:t>环评委托函</w:t>
      </w:r>
    </w:p>
    <w:p>
      <w:pPr>
        <w:pStyle w:val="27"/>
        <w:numPr>
          <w:ilvl w:val="0"/>
          <w:numId w:val="1"/>
        </w:numPr>
        <w:rPr>
          <w:rFonts w:ascii="Times New Roman" w:hAnsi="Times New Roman"/>
        </w:rPr>
      </w:pPr>
      <w:r>
        <w:rPr>
          <w:rFonts w:hint="eastAsia" w:ascii="Times New Roman" w:hAnsi="Times New Roman"/>
        </w:rPr>
        <w:t>企业营业执照</w:t>
      </w:r>
    </w:p>
    <w:p>
      <w:pPr>
        <w:spacing w:line="360" w:lineRule="exact"/>
        <w:rPr>
          <w:sz w:val="24"/>
        </w:rPr>
      </w:pPr>
      <w:r>
        <w:rPr>
          <w:rFonts w:hint="eastAsia"/>
          <w:sz w:val="24"/>
        </w:rPr>
        <w:t>3</w:t>
      </w:r>
      <w:r>
        <w:rPr>
          <w:sz w:val="24"/>
        </w:rPr>
        <w:t>、</w:t>
      </w:r>
      <w:r>
        <w:rPr>
          <w:rFonts w:hint="eastAsia"/>
          <w:sz w:val="24"/>
        </w:rPr>
        <w:t>项目用地的证明材料</w:t>
      </w:r>
    </w:p>
    <w:p>
      <w:pPr>
        <w:spacing w:line="360" w:lineRule="exact"/>
        <w:rPr>
          <w:sz w:val="24"/>
        </w:rPr>
      </w:pPr>
      <w:r>
        <w:rPr>
          <w:rFonts w:hint="eastAsia"/>
          <w:sz w:val="24"/>
        </w:rPr>
        <w:t>4、厂房租赁合同</w:t>
      </w:r>
    </w:p>
    <w:p>
      <w:pPr>
        <w:spacing w:line="360" w:lineRule="exact"/>
        <w:rPr>
          <w:sz w:val="24"/>
        </w:rPr>
      </w:pPr>
    </w:p>
    <w:p>
      <w:pPr>
        <w:rPr>
          <w:color w:val="FF0000"/>
          <w:kern w:val="21"/>
        </w:rPr>
        <w:sectPr>
          <w:footerReference r:id="rId5" w:type="default"/>
          <w:footerReference r:id="rId6" w:type="even"/>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7"/>
        <w:adjustRightInd w:val="0"/>
        <w:snapToGrid w:val="0"/>
        <w:jc w:val="center"/>
        <w:outlineLvl w:val="0"/>
        <w:rPr>
          <w:rFonts w:ascii="黑体" w:hAnsi="黑体" w:eastAsia="黑体"/>
          <w:snapToGrid w:val="0"/>
          <w:kern w:val="21"/>
          <w:sz w:val="30"/>
          <w:szCs w:val="30"/>
        </w:rPr>
      </w:pPr>
      <w:bookmarkStart w:id="3" w:name="_Toc3770"/>
      <w:r>
        <w:rPr>
          <w:rFonts w:hint="eastAsia" w:ascii="黑体" w:hAnsi="黑体" w:eastAsia="黑体"/>
          <w:snapToGrid w:val="0"/>
          <w:kern w:val="21"/>
          <w:sz w:val="30"/>
          <w:szCs w:val="30"/>
        </w:rPr>
        <w:t>一、建设项目基本情况</w:t>
      </w:r>
      <w:bookmarkEnd w:id="3"/>
    </w:p>
    <w:tbl>
      <w:tblPr>
        <w:tblStyle w:val="21"/>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19"/>
        <w:gridCol w:w="2252"/>
        <w:gridCol w:w="2005"/>
        <w:gridCol w:w="25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建设项目名称</w:t>
            </w:r>
          </w:p>
        </w:tc>
        <w:tc>
          <w:tcPr>
            <w:tcW w:w="6785" w:type="dxa"/>
            <w:gridSpan w:val="3"/>
            <w:vAlign w:val="center"/>
          </w:tcPr>
          <w:p>
            <w:pPr>
              <w:adjustRightInd w:val="0"/>
              <w:snapToGrid w:val="0"/>
              <w:jc w:val="center"/>
              <w:rPr>
                <w:rFonts w:cs="宋体"/>
                <w:kern w:val="21"/>
                <w:sz w:val="24"/>
                <w:szCs w:val="21"/>
              </w:rPr>
            </w:pPr>
            <w:r>
              <w:rPr>
                <w:rFonts w:cs="宋体"/>
                <w:kern w:val="21"/>
                <w:sz w:val="24"/>
                <w:szCs w:val="21"/>
              </w:rPr>
              <w:t>益阳睿城废旧物资回收有限公司年产</w:t>
            </w:r>
            <w:r>
              <w:rPr>
                <w:rFonts w:hint="eastAsia" w:cs="宋体"/>
                <w:kern w:val="21"/>
                <w:sz w:val="24"/>
                <w:szCs w:val="21"/>
                <w:lang w:val="en-US" w:eastAsia="zh-CN"/>
              </w:rPr>
              <w:t>5000</w:t>
            </w:r>
            <w:r>
              <w:rPr>
                <w:rFonts w:cs="宋体"/>
                <w:kern w:val="21"/>
                <w:sz w:val="24"/>
                <w:szCs w:val="21"/>
              </w:rPr>
              <w:t>吨再生</w:t>
            </w:r>
          </w:p>
          <w:p>
            <w:pPr>
              <w:adjustRightInd w:val="0"/>
              <w:snapToGrid w:val="0"/>
              <w:jc w:val="center"/>
              <w:rPr>
                <w:rFonts w:cs="宋体"/>
                <w:kern w:val="21"/>
                <w:sz w:val="24"/>
                <w:szCs w:val="21"/>
              </w:rPr>
            </w:pPr>
            <w:r>
              <w:rPr>
                <w:rFonts w:cs="宋体"/>
                <w:kern w:val="21"/>
                <w:sz w:val="24"/>
                <w:szCs w:val="21"/>
              </w:rPr>
              <w:t>塑料颗粒建设项目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项目代码</w:t>
            </w:r>
          </w:p>
        </w:tc>
        <w:tc>
          <w:tcPr>
            <w:tcW w:w="6785" w:type="dxa"/>
            <w:gridSpan w:val="3"/>
            <w:vAlign w:val="center"/>
          </w:tcPr>
          <w:p>
            <w:pPr>
              <w:adjustRightInd w:val="0"/>
              <w:snapToGrid w:val="0"/>
              <w:jc w:val="center"/>
              <w:rPr>
                <w:rFonts w:cs="宋体"/>
                <w:kern w:val="21"/>
                <w:sz w:val="24"/>
                <w:szCs w:val="21"/>
              </w:rPr>
            </w:pPr>
            <w:r>
              <w:rPr>
                <w:rFonts w:hint="eastAsia" w:cs="宋体"/>
                <w:kern w:val="21"/>
                <w:sz w:val="24"/>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建设单位联系人</w:t>
            </w:r>
          </w:p>
        </w:tc>
        <w:tc>
          <w:tcPr>
            <w:tcW w:w="2252" w:type="dxa"/>
            <w:vAlign w:val="center"/>
          </w:tcPr>
          <w:p>
            <w:pPr>
              <w:adjustRightInd w:val="0"/>
              <w:snapToGrid w:val="0"/>
              <w:jc w:val="center"/>
              <w:rPr>
                <w:rFonts w:hint="eastAsia" w:eastAsia="宋体" w:cs="宋体"/>
                <w:kern w:val="21"/>
                <w:sz w:val="24"/>
                <w:szCs w:val="21"/>
                <w:lang w:eastAsia="zh-CN"/>
              </w:rPr>
            </w:pPr>
            <w:r>
              <w:rPr>
                <w:rFonts w:hint="eastAsia" w:cs="宋体"/>
                <w:kern w:val="21"/>
                <w:sz w:val="24"/>
                <w:szCs w:val="21"/>
              </w:rPr>
              <w:t>尹</w:t>
            </w:r>
            <w:r>
              <w:rPr>
                <w:rFonts w:hint="eastAsia" w:cs="宋体"/>
                <w:kern w:val="21"/>
                <w:sz w:val="24"/>
                <w:szCs w:val="21"/>
                <w:lang w:val="en-US" w:eastAsia="zh-CN"/>
              </w:rPr>
              <w:t>聪明</w:t>
            </w:r>
          </w:p>
        </w:tc>
        <w:tc>
          <w:tcPr>
            <w:tcW w:w="2005" w:type="dxa"/>
            <w:vAlign w:val="center"/>
          </w:tcPr>
          <w:p>
            <w:pPr>
              <w:adjustRightInd w:val="0"/>
              <w:snapToGrid w:val="0"/>
              <w:jc w:val="center"/>
              <w:rPr>
                <w:rFonts w:cs="宋体"/>
                <w:kern w:val="21"/>
                <w:sz w:val="24"/>
                <w:szCs w:val="21"/>
              </w:rPr>
            </w:pPr>
            <w:r>
              <w:rPr>
                <w:rFonts w:hint="eastAsia" w:cs="宋体"/>
                <w:kern w:val="21"/>
                <w:sz w:val="24"/>
                <w:szCs w:val="21"/>
              </w:rPr>
              <w:t>联系方式</w:t>
            </w:r>
          </w:p>
        </w:tc>
        <w:tc>
          <w:tcPr>
            <w:tcW w:w="2528" w:type="dxa"/>
            <w:vAlign w:val="center"/>
          </w:tcPr>
          <w:p>
            <w:pPr>
              <w:adjustRightInd w:val="0"/>
              <w:snapToGrid w:val="0"/>
              <w:jc w:val="center"/>
              <w:rPr>
                <w:rFonts w:hint="default" w:eastAsia="宋体" w:cs="宋体"/>
                <w:kern w:val="21"/>
                <w:sz w:val="24"/>
                <w:szCs w:val="21"/>
                <w:lang w:val="en-US" w:eastAsia="zh-CN"/>
              </w:rPr>
            </w:pPr>
            <w:r>
              <w:rPr>
                <w:rFonts w:hint="eastAsia" w:cs="宋体"/>
                <w:kern w:val="21"/>
                <w:sz w:val="24"/>
                <w:szCs w:val="21"/>
                <w:lang w:val="en-US" w:eastAsia="zh-CN"/>
              </w:rPr>
              <w:t>17773766683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建设地点</w:t>
            </w:r>
          </w:p>
        </w:tc>
        <w:tc>
          <w:tcPr>
            <w:tcW w:w="6785" w:type="dxa"/>
            <w:gridSpan w:val="3"/>
            <w:vAlign w:val="center"/>
          </w:tcPr>
          <w:p>
            <w:pPr>
              <w:adjustRightInd w:val="0"/>
              <w:snapToGrid w:val="0"/>
              <w:ind w:firstLine="420"/>
              <w:jc w:val="center"/>
              <w:rPr>
                <w:rFonts w:cs="宋体"/>
                <w:kern w:val="21"/>
                <w:sz w:val="24"/>
                <w:szCs w:val="21"/>
              </w:rPr>
            </w:pPr>
            <w:r>
              <w:rPr>
                <w:rFonts w:cs="宋体"/>
                <w:kern w:val="21"/>
                <w:sz w:val="24"/>
                <w:szCs w:val="21"/>
              </w:rPr>
              <w:t>本项目位于湖南省益阳市赫山区龙岭工业园龙舟农机制造有限公司院内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地理坐标</w:t>
            </w:r>
          </w:p>
        </w:tc>
        <w:tc>
          <w:tcPr>
            <w:tcW w:w="6785" w:type="dxa"/>
            <w:gridSpan w:val="3"/>
            <w:vAlign w:val="center"/>
          </w:tcPr>
          <w:p>
            <w:pPr>
              <w:adjustRightInd w:val="0"/>
              <w:snapToGrid w:val="0"/>
              <w:jc w:val="center"/>
              <w:rPr>
                <w:rFonts w:cs="宋体"/>
                <w:color w:val="FF0000"/>
                <w:kern w:val="21"/>
                <w:sz w:val="24"/>
                <w:szCs w:val="21"/>
              </w:rPr>
            </w:pPr>
            <w:r>
              <w:rPr>
                <w:rFonts w:hint="eastAsia" w:cs="宋体"/>
                <w:kern w:val="21"/>
                <w:sz w:val="24"/>
                <w:szCs w:val="21"/>
              </w:rPr>
              <w:t>（</w:t>
            </w:r>
            <w:r>
              <w:rPr>
                <w:rFonts w:hint="eastAsia" w:cs="宋体"/>
                <w:kern w:val="21"/>
                <w:sz w:val="24"/>
                <w:szCs w:val="21"/>
                <w:u w:val="single"/>
              </w:rPr>
              <w:t>112</w:t>
            </w:r>
            <w:r>
              <w:rPr>
                <w:rFonts w:hint="eastAsia" w:cs="宋体"/>
                <w:kern w:val="21"/>
                <w:sz w:val="24"/>
                <w:szCs w:val="21"/>
              </w:rPr>
              <w:t>度</w:t>
            </w:r>
            <w:r>
              <w:rPr>
                <w:rFonts w:hint="eastAsia" w:cs="宋体"/>
                <w:kern w:val="21"/>
                <w:sz w:val="24"/>
                <w:szCs w:val="21"/>
                <w:u w:val="single"/>
              </w:rPr>
              <w:t>23</w:t>
            </w:r>
            <w:r>
              <w:rPr>
                <w:rFonts w:hint="eastAsia" w:cs="宋体"/>
                <w:kern w:val="21"/>
                <w:sz w:val="24"/>
                <w:szCs w:val="21"/>
              </w:rPr>
              <w:t>分</w:t>
            </w:r>
            <w:r>
              <w:rPr>
                <w:rFonts w:hint="eastAsia" w:cs="宋体"/>
                <w:kern w:val="21"/>
                <w:sz w:val="24"/>
                <w:szCs w:val="21"/>
                <w:u w:val="single"/>
              </w:rPr>
              <w:t>35</w:t>
            </w:r>
            <w:r>
              <w:rPr>
                <w:rFonts w:hint="eastAsia" w:cs="宋体"/>
                <w:kern w:val="21"/>
                <w:sz w:val="24"/>
                <w:szCs w:val="21"/>
                <w:u w:val="single"/>
                <w:lang w:val="en-US" w:eastAsia="zh-CN"/>
              </w:rPr>
              <w:t>.054</w:t>
            </w:r>
            <w:r>
              <w:rPr>
                <w:rFonts w:hint="eastAsia" w:cs="宋体"/>
                <w:kern w:val="21"/>
                <w:sz w:val="24"/>
                <w:szCs w:val="21"/>
              </w:rPr>
              <w:t>秒，</w:t>
            </w:r>
            <w:r>
              <w:rPr>
                <w:rFonts w:hint="eastAsia" w:cs="宋体"/>
                <w:kern w:val="21"/>
                <w:sz w:val="24"/>
                <w:szCs w:val="21"/>
                <w:u w:val="single"/>
              </w:rPr>
              <w:t>28</w:t>
            </w:r>
            <w:r>
              <w:rPr>
                <w:rFonts w:hint="eastAsia" w:cs="宋体"/>
                <w:kern w:val="21"/>
                <w:sz w:val="24"/>
                <w:szCs w:val="21"/>
              </w:rPr>
              <w:t>度</w:t>
            </w:r>
            <w:r>
              <w:rPr>
                <w:rFonts w:hint="eastAsia" w:cs="宋体"/>
                <w:kern w:val="21"/>
                <w:sz w:val="24"/>
                <w:szCs w:val="21"/>
                <w:u w:val="single"/>
              </w:rPr>
              <w:t>32</w:t>
            </w:r>
            <w:r>
              <w:rPr>
                <w:rFonts w:hint="eastAsia" w:cs="宋体"/>
                <w:kern w:val="21"/>
                <w:sz w:val="24"/>
                <w:szCs w:val="21"/>
              </w:rPr>
              <w:t>分</w:t>
            </w:r>
            <w:r>
              <w:rPr>
                <w:rFonts w:hint="eastAsia" w:cs="宋体"/>
                <w:kern w:val="21"/>
                <w:sz w:val="24"/>
                <w:szCs w:val="21"/>
                <w:u w:val="single"/>
              </w:rPr>
              <w:t>56</w:t>
            </w:r>
            <w:r>
              <w:rPr>
                <w:rFonts w:hint="eastAsia" w:cs="宋体"/>
                <w:kern w:val="21"/>
                <w:sz w:val="24"/>
                <w:szCs w:val="21"/>
                <w:u w:val="single"/>
                <w:lang w:val="en-US" w:eastAsia="zh-CN"/>
              </w:rPr>
              <w:t>.147</w:t>
            </w:r>
            <w:r>
              <w:rPr>
                <w:rFonts w:hint="eastAsia" w:cs="宋体"/>
                <w:kern w:val="21"/>
                <w:sz w:val="24"/>
                <w:szCs w:val="21"/>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国民经济</w:t>
            </w:r>
          </w:p>
          <w:p>
            <w:pPr>
              <w:adjustRightInd w:val="0"/>
              <w:snapToGrid w:val="0"/>
              <w:jc w:val="center"/>
              <w:rPr>
                <w:rFonts w:cs="宋体"/>
                <w:kern w:val="21"/>
                <w:sz w:val="24"/>
                <w:szCs w:val="21"/>
              </w:rPr>
            </w:pPr>
            <w:r>
              <w:rPr>
                <w:rFonts w:hint="eastAsia" w:cs="宋体"/>
                <w:kern w:val="21"/>
                <w:sz w:val="24"/>
                <w:szCs w:val="21"/>
              </w:rPr>
              <w:t>行业类别</w:t>
            </w:r>
          </w:p>
        </w:tc>
        <w:tc>
          <w:tcPr>
            <w:tcW w:w="2252" w:type="dxa"/>
            <w:vAlign w:val="center"/>
          </w:tcPr>
          <w:p>
            <w:pPr>
              <w:adjustRightInd w:val="0"/>
              <w:snapToGrid w:val="0"/>
              <w:jc w:val="center"/>
              <w:rPr>
                <w:rFonts w:cs="宋体"/>
                <w:kern w:val="21"/>
                <w:sz w:val="24"/>
                <w:szCs w:val="21"/>
              </w:rPr>
            </w:pPr>
            <w:r>
              <w:rPr>
                <w:sz w:val="24"/>
              </w:rPr>
              <w:t>C</w:t>
            </w:r>
            <w:r>
              <w:rPr>
                <w:spacing w:val="-1"/>
                <w:sz w:val="24"/>
              </w:rPr>
              <w:t xml:space="preserve">4220 </w:t>
            </w:r>
            <w:r>
              <w:rPr>
                <w:rFonts w:cs="宋体"/>
                <w:spacing w:val="-1"/>
                <w:sz w:val="24"/>
              </w:rPr>
              <w:t>非金属</w:t>
            </w:r>
            <w:r>
              <w:rPr>
                <w:rFonts w:cs="宋体"/>
                <w:sz w:val="24"/>
              </w:rPr>
              <w:t>废料</w:t>
            </w:r>
            <w:r>
              <w:rPr>
                <w:rFonts w:cs="宋体"/>
                <w:spacing w:val="-2"/>
                <w:sz w:val="24"/>
              </w:rPr>
              <w:t>和碎</w:t>
            </w:r>
            <w:r>
              <w:rPr>
                <w:rFonts w:cs="宋体"/>
                <w:spacing w:val="-1"/>
                <w:sz w:val="24"/>
              </w:rPr>
              <w:t>屑加工处理</w:t>
            </w:r>
          </w:p>
        </w:tc>
        <w:tc>
          <w:tcPr>
            <w:tcW w:w="2005" w:type="dxa"/>
            <w:vAlign w:val="center"/>
          </w:tcPr>
          <w:p>
            <w:pPr>
              <w:adjustRightInd w:val="0"/>
              <w:snapToGrid w:val="0"/>
              <w:jc w:val="center"/>
              <w:rPr>
                <w:rFonts w:cs="宋体"/>
                <w:kern w:val="21"/>
                <w:sz w:val="24"/>
                <w:szCs w:val="21"/>
              </w:rPr>
            </w:pPr>
            <w:bookmarkStart w:id="4" w:name="_Hlk49843745"/>
            <w:r>
              <w:rPr>
                <w:rFonts w:hint="eastAsia" w:cs="宋体"/>
                <w:kern w:val="21"/>
                <w:sz w:val="24"/>
                <w:szCs w:val="21"/>
              </w:rPr>
              <w:t>建设项目</w:t>
            </w:r>
          </w:p>
          <w:p>
            <w:pPr>
              <w:adjustRightInd w:val="0"/>
              <w:snapToGrid w:val="0"/>
              <w:jc w:val="center"/>
              <w:rPr>
                <w:rFonts w:cs="宋体"/>
                <w:kern w:val="21"/>
                <w:sz w:val="24"/>
                <w:szCs w:val="21"/>
              </w:rPr>
            </w:pPr>
            <w:r>
              <w:rPr>
                <w:rFonts w:hint="eastAsia" w:cs="宋体"/>
                <w:kern w:val="21"/>
                <w:sz w:val="24"/>
                <w:szCs w:val="21"/>
              </w:rPr>
              <w:t>行业类别</w:t>
            </w:r>
            <w:bookmarkEnd w:id="4"/>
          </w:p>
        </w:tc>
        <w:tc>
          <w:tcPr>
            <w:tcW w:w="2528" w:type="dxa"/>
            <w:vAlign w:val="center"/>
          </w:tcPr>
          <w:p>
            <w:pPr>
              <w:spacing w:before="45" w:line="220" w:lineRule="auto"/>
              <w:ind w:left="65"/>
              <w:rPr>
                <w:rFonts w:cs="宋体"/>
                <w:kern w:val="21"/>
                <w:sz w:val="24"/>
                <w:szCs w:val="21"/>
              </w:rPr>
            </w:pPr>
            <w:r>
              <w:rPr>
                <w:rFonts w:cs="宋体"/>
                <w:spacing w:val="-1"/>
                <w:sz w:val="24"/>
              </w:rPr>
              <w:t>三十九 废弃资源综</w:t>
            </w:r>
            <w:r>
              <w:rPr>
                <w:rFonts w:cs="宋体"/>
                <w:sz w:val="24"/>
              </w:rPr>
              <w:t>合利</w:t>
            </w:r>
            <w:r>
              <w:rPr>
                <w:rFonts w:cs="宋体"/>
                <w:spacing w:val="-5"/>
                <w:sz w:val="24"/>
              </w:rPr>
              <w:t xml:space="preserve">用业 </w:t>
            </w:r>
            <w:r>
              <w:rPr>
                <w:spacing w:val="-5"/>
                <w:sz w:val="24"/>
              </w:rPr>
              <w:t xml:space="preserve">42 </w:t>
            </w:r>
            <w:r>
              <w:rPr>
                <w:rFonts w:cs="宋体"/>
                <w:spacing w:val="-5"/>
                <w:sz w:val="24"/>
              </w:rPr>
              <w:t>非金属废料和碎</w:t>
            </w:r>
            <w:r>
              <w:rPr>
                <w:rFonts w:cs="宋体"/>
                <w:spacing w:val="-3"/>
                <w:sz w:val="24"/>
              </w:rPr>
              <w:t>屑</w:t>
            </w:r>
            <w:r>
              <w:rPr>
                <w:rFonts w:cs="宋体"/>
                <w:spacing w:val="-2"/>
                <w:sz w:val="24"/>
              </w:rPr>
              <w:t>加工处理</w:t>
            </w:r>
            <w:r>
              <w:rPr>
                <w:rFonts w:hint="eastAsia" w:cs="宋体"/>
                <w:spacing w:val="-2"/>
                <w:sz w:val="24"/>
              </w:rPr>
              <w:t>-废塑料加工处理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建设性质</w:t>
            </w:r>
          </w:p>
        </w:tc>
        <w:tc>
          <w:tcPr>
            <w:tcW w:w="2252" w:type="dxa"/>
            <w:vAlign w:val="center"/>
          </w:tcPr>
          <w:p>
            <w:pPr>
              <w:adjustRightInd w:val="0"/>
              <w:snapToGrid w:val="0"/>
              <w:jc w:val="left"/>
              <w:rPr>
                <w:rFonts w:cs="宋体"/>
                <w:kern w:val="21"/>
                <w:sz w:val="24"/>
                <w:szCs w:val="21"/>
              </w:rPr>
            </w:pPr>
            <w:r>
              <w:rPr>
                <w:rFonts w:hint="eastAsia" w:cs="宋体"/>
                <w:kern w:val="21"/>
                <w:sz w:val="24"/>
                <w:szCs w:val="21"/>
              </w:rPr>
              <w:sym w:font="Wingdings 2" w:char="0052"/>
            </w:r>
            <w:r>
              <w:rPr>
                <w:rFonts w:hint="eastAsia" w:cs="宋体"/>
                <w:kern w:val="21"/>
                <w:sz w:val="24"/>
                <w:szCs w:val="21"/>
              </w:rPr>
              <w:t>新建（迁建）</w:t>
            </w:r>
          </w:p>
          <w:p>
            <w:pPr>
              <w:adjustRightInd w:val="0"/>
              <w:snapToGrid w:val="0"/>
              <w:jc w:val="left"/>
              <w:rPr>
                <w:rFonts w:cs="宋体"/>
                <w:kern w:val="21"/>
                <w:sz w:val="24"/>
                <w:szCs w:val="21"/>
              </w:rPr>
            </w:pPr>
            <w:r>
              <w:rPr>
                <w:rFonts w:hint="eastAsia" w:cs="宋体"/>
                <w:kern w:val="21"/>
                <w:sz w:val="24"/>
                <w:szCs w:val="21"/>
              </w:rPr>
              <w:t>□改建</w:t>
            </w:r>
          </w:p>
          <w:p>
            <w:pPr>
              <w:adjustRightInd w:val="0"/>
              <w:snapToGrid w:val="0"/>
              <w:jc w:val="left"/>
              <w:rPr>
                <w:rFonts w:cs="宋体"/>
                <w:kern w:val="21"/>
                <w:sz w:val="24"/>
                <w:szCs w:val="21"/>
              </w:rPr>
            </w:pPr>
            <w:r>
              <w:rPr>
                <w:rFonts w:hint="eastAsia" w:cs="宋体"/>
                <w:kern w:val="21"/>
                <w:sz w:val="24"/>
                <w:szCs w:val="21"/>
              </w:rPr>
              <w:t>□扩建</w:t>
            </w:r>
          </w:p>
          <w:p>
            <w:pPr>
              <w:adjustRightInd w:val="0"/>
              <w:snapToGrid w:val="0"/>
              <w:jc w:val="left"/>
              <w:rPr>
                <w:rFonts w:cs="宋体"/>
                <w:kern w:val="21"/>
                <w:sz w:val="24"/>
                <w:szCs w:val="21"/>
              </w:rPr>
            </w:pPr>
            <w:r>
              <w:rPr>
                <w:rFonts w:hint="eastAsia" w:cs="宋体"/>
                <w:kern w:val="21"/>
                <w:sz w:val="24"/>
                <w:szCs w:val="21"/>
              </w:rPr>
              <w:t>□技术改造</w:t>
            </w:r>
          </w:p>
        </w:tc>
        <w:tc>
          <w:tcPr>
            <w:tcW w:w="2005" w:type="dxa"/>
            <w:vAlign w:val="center"/>
          </w:tcPr>
          <w:p>
            <w:pPr>
              <w:adjustRightInd w:val="0"/>
              <w:snapToGrid w:val="0"/>
              <w:jc w:val="center"/>
              <w:rPr>
                <w:rFonts w:cs="宋体"/>
                <w:kern w:val="21"/>
                <w:sz w:val="24"/>
                <w:szCs w:val="21"/>
              </w:rPr>
            </w:pPr>
            <w:r>
              <w:rPr>
                <w:rFonts w:hint="eastAsia" w:cs="宋体"/>
                <w:kern w:val="21"/>
                <w:sz w:val="24"/>
                <w:szCs w:val="21"/>
              </w:rPr>
              <w:t>建设项目申报情形</w:t>
            </w:r>
          </w:p>
        </w:tc>
        <w:tc>
          <w:tcPr>
            <w:tcW w:w="2528" w:type="dxa"/>
            <w:vAlign w:val="center"/>
          </w:tcPr>
          <w:p>
            <w:pPr>
              <w:adjustRightInd w:val="0"/>
              <w:snapToGrid w:val="0"/>
              <w:jc w:val="left"/>
              <w:rPr>
                <w:rFonts w:cs="宋体"/>
                <w:kern w:val="21"/>
                <w:sz w:val="24"/>
                <w:szCs w:val="21"/>
              </w:rPr>
            </w:pPr>
            <w:r>
              <w:rPr>
                <w:rFonts w:hint="eastAsia" w:cs="宋体"/>
                <w:kern w:val="21"/>
                <w:sz w:val="24"/>
                <w:szCs w:val="21"/>
              </w:rPr>
              <w:sym w:font="Wingdings 2" w:char="0052"/>
            </w:r>
            <w:r>
              <w:rPr>
                <w:rFonts w:hint="eastAsia" w:cs="宋体"/>
                <w:kern w:val="21"/>
                <w:sz w:val="24"/>
                <w:szCs w:val="21"/>
              </w:rPr>
              <w:t>首次申报项目</w:t>
            </w:r>
          </w:p>
          <w:p>
            <w:pPr>
              <w:adjustRightInd w:val="0"/>
              <w:snapToGrid w:val="0"/>
              <w:jc w:val="left"/>
              <w:rPr>
                <w:rFonts w:cs="宋体"/>
                <w:kern w:val="21"/>
                <w:sz w:val="24"/>
                <w:szCs w:val="21"/>
              </w:rPr>
            </w:pPr>
            <w:r>
              <w:rPr>
                <w:rFonts w:hint="eastAsia" w:cs="宋体"/>
                <w:kern w:val="21"/>
                <w:sz w:val="24"/>
                <w:szCs w:val="21"/>
              </w:rPr>
              <w:t>□不予批准后再次申报项目</w:t>
            </w:r>
          </w:p>
          <w:p>
            <w:pPr>
              <w:adjustRightInd w:val="0"/>
              <w:snapToGrid w:val="0"/>
              <w:jc w:val="left"/>
              <w:rPr>
                <w:rFonts w:cs="宋体"/>
                <w:kern w:val="21"/>
                <w:sz w:val="24"/>
                <w:szCs w:val="21"/>
              </w:rPr>
            </w:pPr>
            <w:r>
              <w:rPr>
                <w:rFonts w:hint="eastAsia" w:cs="宋体"/>
                <w:kern w:val="21"/>
                <w:sz w:val="24"/>
                <w:szCs w:val="21"/>
              </w:rPr>
              <w:t>□超五年重新审核项目</w:t>
            </w:r>
          </w:p>
          <w:p>
            <w:pPr>
              <w:adjustRightInd w:val="0"/>
              <w:snapToGrid w:val="0"/>
              <w:jc w:val="left"/>
              <w:rPr>
                <w:rFonts w:cs="宋体"/>
                <w:kern w:val="21"/>
                <w:sz w:val="24"/>
                <w:szCs w:val="21"/>
              </w:rPr>
            </w:pPr>
            <w:r>
              <w:rPr>
                <w:rFonts w:hint="eastAsia" w:cs="宋体"/>
                <w:kern w:val="21"/>
                <w:sz w:val="24"/>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项目审批（核准</w:t>
            </w:r>
            <w:r>
              <w:rPr>
                <w:rFonts w:cs="宋体"/>
                <w:kern w:val="21"/>
                <w:sz w:val="24"/>
                <w:szCs w:val="21"/>
              </w:rPr>
              <w:t>/</w:t>
            </w:r>
          </w:p>
          <w:p>
            <w:pPr>
              <w:adjustRightInd w:val="0"/>
              <w:snapToGrid w:val="0"/>
              <w:jc w:val="center"/>
              <w:rPr>
                <w:rFonts w:cs="宋体"/>
                <w:kern w:val="21"/>
                <w:sz w:val="24"/>
                <w:szCs w:val="21"/>
              </w:rPr>
            </w:pPr>
            <w:r>
              <w:rPr>
                <w:rFonts w:hint="eastAsia" w:cs="宋体"/>
                <w:kern w:val="21"/>
                <w:sz w:val="24"/>
                <w:szCs w:val="21"/>
              </w:rPr>
              <w:t>备案）部门（选填）</w:t>
            </w:r>
          </w:p>
        </w:tc>
        <w:tc>
          <w:tcPr>
            <w:tcW w:w="2252" w:type="dxa"/>
            <w:vAlign w:val="center"/>
          </w:tcPr>
          <w:p>
            <w:pPr>
              <w:adjustRightInd w:val="0"/>
              <w:snapToGrid w:val="0"/>
              <w:jc w:val="center"/>
              <w:rPr>
                <w:rFonts w:cs="宋体"/>
                <w:kern w:val="21"/>
                <w:sz w:val="24"/>
                <w:szCs w:val="21"/>
              </w:rPr>
            </w:pPr>
            <w:r>
              <w:rPr>
                <w:rFonts w:hint="eastAsia" w:cs="宋体"/>
                <w:kern w:val="21"/>
                <w:sz w:val="24"/>
                <w:szCs w:val="21"/>
              </w:rPr>
              <w:t>/</w:t>
            </w:r>
          </w:p>
        </w:tc>
        <w:tc>
          <w:tcPr>
            <w:tcW w:w="2005" w:type="dxa"/>
            <w:vAlign w:val="center"/>
          </w:tcPr>
          <w:p>
            <w:pPr>
              <w:adjustRightInd w:val="0"/>
              <w:snapToGrid w:val="0"/>
              <w:jc w:val="center"/>
              <w:rPr>
                <w:rFonts w:cs="宋体"/>
                <w:kern w:val="21"/>
                <w:sz w:val="24"/>
                <w:szCs w:val="21"/>
              </w:rPr>
            </w:pPr>
            <w:r>
              <w:rPr>
                <w:rFonts w:hint="eastAsia" w:cs="宋体"/>
                <w:kern w:val="21"/>
                <w:sz w:val="24"/>
                <w:szCs w:val="21"/>
              </w:rPr>
              <w:t>项目审批（核准</w:t>
            </w:r>
            <w:r>
              <w:rPr>
                <w:rFonts w:cs="宋体"/>
                <w:kern w:val="21"/>
                <w:sz w:val="24"/>
                <w:szCs w:val="21"/>
              </w:rPr>
              <w:t>/</w:t>
            </w:r>
          </w:p>
          <w:p>
            <w:pPr>
              <w:adjustRightInd w:val="0"/>
              <w:snapToGrid w:val="0"/>
              <w:jc w:val="center"/>
              <w:rPr>
                <w:rFonts w:cs="宋体"/>
                <w:kern w:val="21"/>
                <w:sz w:val="24"/>
                <w:szCs w:val="21"/>
              </w:rPr>
            </w:pPr>
            <w:r>
              <w:rPr>
                <w:rFonts w:hint="eastAsia" w:cs="宋体"/>
                <w:kern w:val="21"/>
                <w:sz w:val="24"/>
                <w:szCs w:val="21"/>
              </w:rPr>
              <w:t>备案）文号（选填）</w:t>
            </w:r>
          </w:p>
        </w:tc>
        <w:tc>
          <w:tcPr>
            <w:tcW w:w="2528" w:type="dxa"/>
            <w:vAlign w:val="center"/>
          </w:tcPr>
          <w:p>
            <w:pPr>
              <w:adjustRightInd w:val="0"/>
              <w:snapToGrid w:val="0"/>
              <w:jc w:val="center"/>
              <w:rPr>
                <w:rFonts w:cs="宋体"/>
                <w:kern w:val="21"/>
                <w:sz w:val="24"/>
                <w:szCs w:val="21"/>
              </w:rPr>
            </w:pPr>
            <w:r>
              <w:rPr>
                <w:rFonts w:hint="eastAsia" w:cs="宋体"/>
                <w:kern w:val="21"/>
                <w:sz w:val="24"/>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总投资（万元）</w:t>
            </w:r>
          </w:p>
        </w:tc>
        <w:tc>
          <w:tcPr>
            <w:tcW w:w="2252" w:type="dxa"/>
            <w:vAlign w:val="center"/>
          </w:tcPr>
          <w:p>
            <w:pPr>
              <w:adjustRightInd w:val="0"/>
              <w:snapToGrid w:val="0"/>
              <w:jc w:val="center"/>
              <w:rPr>
                <w:rFonts w:cs="宋体"/>
                <w:kern w:val="21"/>
                <w:sz w:val="24"/>
                <w:szCs w:val="21"/>
              </w:rPr>
            </w:pPr>
            <w:r>
              <w:rPr>
                <w:rFonts w:hint="eastAsia" w:cs="宋体"/>
                <w:kern w:val="21"/>
                <w:sz w:val="24"/>
                <w:szCs w:val="21"/>
                <w:lang w:val="en-US" w:eastAsia="zh-CN"/>
              </w:rPr>
              <w:t>10</w:t>
            </w:r>
            <w:r>
              <w:rPr>
                <w:rFonts w:hint="eastAsia" w:cs="宋体"/>
                <w:kern w:val="21"/>
                <w:sz w:val="24"/>
                <w:szCs w:val="21"/>
              </w:rPr>
              <w:t>00</w:t>
            </w:r>
          </w:p>
        </w:tc>
        <w:tc>
          <w:tcPr>
            <w:tcW w:w="2005"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环保投资（万元）</w:t>
            </w:r>
          </w:p>
        </w:tc>
        <w:tc>
          <w:tcPr>
            <w:tcW w:w="2528" w:type="dxa"/>
            <w:vAlign w:val="center"/>
          </w:tcPr>
          <w:p>
            <w:pPr>
              <w:adjustRightInd w:val="0"/>
              <w:snapToGrid w:val="0"/>
              <w:jc w:val="center"/>
              <w:rPr>
                <w:rFonts w:hint="default" w:eastAsia="宋体" w:cs="宋体"/>
                <w:kern w:val="21"/>
                <w:sz w:val="24"/>
                <w:szCs w:val="21"/>
                <w:lang w:val="en-US" w:eastAsia="zh-CN"/>
              </w:rPr>
            </w:pPr>
            <w:r>
              <w:rPr>
                <w:rFonts w:hint="eastAsia" w:cs="宋体"/>
                <w:kern w:val="21"/>
                <w:sz w:val="24"/>
                <w:szCs w:val="21"/>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环保投资占比（</w:t>
            </w:r>
            <w:r>
              <w:rPr>
                <w:rFonts w:cs="宋体"/>
                <w:kern w:val="21"/>
                <w:sz w:val="24"/>
                <w:szCs w:val="21"/>
              </w:rPr>
              <w:t>%</w:t>
            </w:r>
            <w:r>
              <w:rPr>
                <w:rFonts w:hint="eastAsia" w:cs="宋体"/>
                <w:kern w:val="21"/>
                <w:sz w:val="24"/>
                <w:szCs w:val="21"/>
              </w:rPr>
              <w:t>）</w:t>
            </w:r>
          </w:p>
        </w:tc>
        <w:tc>
          <w:tcPr>
            <w:tcW w:w="2252" w:type="dxa"/>
            <w:vAlign w:val="center"/>
          </w:tcPr>
          <w:p>
            <w:pPr>
              <w:adjustRightInd w:val="0"/>
              <w:snapToGrid w:val="0"/>
              <w:jc w:val="center"/>
              <w:rPr>
                <w:rFonts w:hint="default" w:eastAsia="宋体" w:cs="宋体"/>
                <w:kern w:val="21"/>
                <w:sz w:val="24"/>
                <w:szCs w:val="21"/>
                <w:lang w:val="en-US" w:eastAsia="zh-CN"/>
              </w:rPr>
            </w:pPr>
            <w:r>
              <w:rPr>
                <w:rFonts w:hint="eastAsia" w:cs="宋体"/>
                <w:kern w:val="21"/>
                <w:sz w:val="24"/>
                <w:szCs w:val="21"/>
                <w:lang w:val="en-US" w:eastAsia="zh-CN"/>
              </w:rPr>
              <w:t>1.1</w:t>
            </w:r>
          </w:p>
        </w:tc>
        <w:tc>
          <w:tcPr>
            <w:tcW w:w="2005"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施工工期</w:t>
            </w:r>
          </w:p>
        </w:tc>
        <w:tc>
          <w:tcPr>
            <w:tcW w:w="2528" w:type="dxa"/>
            <w:vAlign w:val="center"/>
          </w:tcPr>
          <w:p>
            <w:pPr>
              <w:adjustRightInd w:val="0"/>
              <w:snapToGrid w:val="0"/>
              <w:jc w:val="center"/>
              <w:rPr>
                <w:rFonts w:cs="宋体"/>
                <w:kern w:val="21"/>
                <w:sz w:val="24"/>
                <w:szCs w:val="21"/>
              </w:rPr>
            </w:pPr>
            <w:r>
              <w:rPr>
                <w:rFonts w:hint="eastAsia" w:cs="宋体"/>
                <w:kern w:val="21"/>
                <w:sz w:val="24"/>
                <w:szCs w:val="21"/>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19"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是否开工建设</w:t>
            </w:r>
          </w:p>
        </w:tc>
        <w:tc>
          <w:tcPr>
            <w:tcW w:w="2252" w:type="dxa"/>
            <w:vAlign w:val="center"/>
          </w:tcPr>
          <w:p>
            <w:pPr>
              <w:adjustRightInd w:val="0"/>
              <w:snapToGrid w:val="0"/>
              <w:rPr>
                <w:rFonts w:cs="宋体"/>
                <w:kern w:val="21"/>
                <w:sz w:val="24"/>
                <w:szCs w:val="21"/>
              </w:rPr>
            </w:pPr>
            <w:r>
              <w:rPr>
                <w:rFonts w:hint="eastAsia" w:cs="宋体"/>
                <w:kern w:val="21"/>
                <w:sz w:val="24"/>
                <w:szCs w:val="21"/>
              </w:rPr>
              <w:sym w:font="Wingdings 2" w:char="0052"/>
            </w:r>
            <w:r>
              <w:rPr>
                <w:rFonts w:hint="eastAsia" w:cs="宋体"/>
                <w:kern w:val="21"/>
                <w:sz w:val="24"/>
                <w:szCs w:val="21"/>
              </w:rPr>
              <w:t>否</w:t>
            </w:r>
          </w:p>
          <w:p>
            <w:pPr>
              <w:adjustRightInd w:val="0"/>
              <w:snapToGrid w:val="0"/>
              <w:rPr>
                <w:rFonts w:cs="宋体"/>
                <w:kern w:val="21"/>
                <w:sz w:val="24"/>
                <w:szCs w:val="21"/>
              </w:rPr>
            </w:pPr>
            <w:r>
              <w:rPr>
                <w:rFonts w:hint="eastAsia" w:cs="宋体"/>
                <w:kern w:val="21"/>
                <w:sz w:val="24"/>
                <w:szCs w:val="21"/>
              </w:rPr>
              <w:t>□是</w:t>
            </w:r>
          </w:p>
        </w:tc>
        <w:tc>
          <w:tcPr>
            <w:tcW w:w="2005" w:type="dxa"/>
            <w:tcMar>
              <w:top w:w="16" w:type="dxa"/>
              <w:left w:w="16" w:type="dxa"/>
              <w:right w:w="16" w:type="dxa"/>
            </w:tcMar>
            <w:vAlign w:val="center"/>
          </w:tcPr>
          <w:p>
            <w:pPr>
              <w:adjustRightInd w:val="0"/>
              <w:snapToGrid w:val="0"/>
              <w:jc w:val="center"/>
              <w:rPr>
                <w:rFonts w:cs="宋体"/>
                <w:kern w:val="21"/>
                <w:sz w:val="24"/>
                <w:szCs w:val="21"/>
              </w:rPr>
            </w:pPr>
            <w:r>
              <w:rPr>
                <w:rFonts w:hint="eastAsia" w:cs="宋体"/>
                <w:kern w:val="21"/>
                <w:sz w:val="24"/>
                <w:szCs w:val="21"/>
              </w:rPr>
              <w:t>用地（用海）</w:t>
            </w:r>
          </w:p>
          <w:p>
            <w:pPr>
              <w:adjustRightInd w:val="0"/>
              <w:snapToGrid w:val="0"/>
              <w:jc w:val="center"/>
              <w:rPr>
                <w:rFonts w:cs="宋体"/>
                <w:kern w:val="21"/>
                <w:sz w:val="24"/>
                <w:szCs w:val="21"/>
              </w:rPr>
            </w:pPr>
            <w:r>
              <w:rPr>
                <w:rFonts w:hint="eastAsia" w:cs="宋体"/>
                <w:kern w:val="21"/>
                <w:sz w:val="24"/>
                <w:szCs w:val="21"/>
              </w:rPr>
              <w:t>面积（</w:t>
            </w:r>
            <w:r>
              <w:rPr>
                <w:rFonts w:cs="宋体"/>
                <w:kern w:val="21"/>
                <w:sz w:val="24"/>
                <w:szCs w:val="21"/>
              </w:rPr>
              <w:t>m</w:t>
            </w:r>
            <w:r>
              <w:rPr>
                <w:rFonts w:cs="宋体"/>
                <w:kern w:val="21"/>
                <w:sz w:val="24"/>
                <w:szCs w:val="21"/>
                <w:vertAlign w:val="superscript"/>
              </w:rPr>
              <w:t>2</w:t>
            </w:r>
            <w:r>
              <w:rPr>
                <w:rFonts w:hint="eastAsia" w:cs="宋体"/>
                <w:kern w:val="21"/>
                <w:sz w:val="24"/>
                <w:szCs w:val="21"/>
              </w:rPr>
              <w:t>）</w:t>
            </w:r>
          </w:p>
        </w:tc>
        <w:tc>
          <w:tcPr>
            <w:tcW w:w="2528" w:type="dxa"/>
            <w:vAlign w:val="center"/>
          </w:tcPr>
          <w:p>
            <w:pPr>
              <w:adjustRightInd w:val="0"/>
              <w:snapToGrid w:val="0"/>
              <w:jc w:val="center"/>
              <w:rPr>
                <w:rFonts w:hint="eastAsia" w:eastAsia="宋体" w:cs="宋体"/>
                <w:color w:val="FF0000"/>
                <w:kern w:val="21"/>
                <w:sz w:val="24"/>
                <w:szCs w:val="21"/>
                <w:lang w:eastAsia="zh-CN"/>
              </w:rPr>
            </w:pPr>
            <w:r>
              <w:rPr>
                <w:rFonts w:hint="eastAsia" w:cs="宋体"/>
                <w:kern w:val="21"/>
                <w:sz w:val="24"/>
                <w:szCs w:val="21"/>
              </w:rPr>
              <w:t>900</w:t>
            </w:r>
            <w:r>
              <w:rPr>
                <w:rStyle w:val="26"/>
                <w:rFonts w:hint="eastAsia"/>
                <w:kern w:val="0"/>
                <w:szCs w:val="20"/>
                <w:lang w:eastAsia="zh-CN"/>
              </w:rPr>
              <w:t>（</w:t>
            </w:r>
            <w:r>
              <w:rPr>
                <w:rStyle w:val="26"/>
                <w:rFonts w:hint="eastAsia"/>
                <w:kern w:val="0"/>
                <w:szCs w:val="20"/>
                <w:lang w:val="en-US" w:eastAsia="zh-CN"/>
              </w:rPr>
              <w:t>租用</w:t>
            </w:r>
            <w:r>
              <w:rPr>
                <w:rStyle w:val="26"/>
                <w:rFonts w:hint="eastAsia"/>
                <w:kern w:val="0"/>
                <w:szCs w:val="20"/>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vAlign w:val="center"/>
          </w:tcPr>
          <w:p>
            <w:pPr>
              <w:autoSpaceDE w:val="0"/>
              <w:autoSpaceDN w:val="0"/>
              <w:adjustRightInd w:val="0"/>
              <w:snapToGrid w:val="0"/>
              <w:jc w:val="center"/>
              <w:rPr>
                <w:rFonts w:cs="宋体"/>
                <w:kern w:val="21"/>
                <w:sz w:val="24"/>
                <w:szCs w:val="21"/>
              </w:rPr>
            </w:pPr>
            <w:r>
              <w:rPr>
                <w:rFonts w:hint="eastAsia" w:cs="宋体"/>
                <w:kern w:val="21"/>
                <w:sz w:val="24"/>
                <w:szCs w:val="21"/>
              </w:rPr>
              <w:t>专项评价设置情况</w:t>
            </w:r>
          </w:p>
        </w:tc>
        <w:tc>
          <w:tcPr>
            <w:tcW w:w="6785" w:type="dxa"/>
            <w:gridSpan w:val="3"/>
            <w:vAlign w:val="center"/>
          </w:tcPr>
          <w:p>
            <w:pPr>
              <w:autoSpaceDE w:val="0"/>
              <w:autoSpaceDN w:val="0"/>
              <w:adjustRightInd w:val="0"/>
              <w:snapToGrid w:val="0"/>
              <w:jc w:val="center"/>
              <w:rPr>
                <w:rFonts w:cs="宋体"/>
                <w:kern w:val="21"/>
                <w:sz w:val="24"/>
                <w:szCs w:val="21"/>
                <w:highlight w:val="yellow"/>
              </w:rPr>
            </w:pPr>
            <w:r>
              <w:rPr>
                <w:rFonts w:hint="eastAsia" w:cs="宋体"/>
                <w:kern w:val="21"/>
                <w:sz w:val="24"/>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vAlign w:val="center"/>
          </w:tcPr>
          <w:p>
            <w:pPr>
              <w:autoSpaceDE w:val="0"/>
              <w:autoSpaceDN w:val="0"/>
              <w:adjustRightInd w:val="0"/>
              <w:snapToGrid w:val="0"/>
              <w:jc w:val="center"/>
              <w:rPr>
                <w:rFonts w:cs="宋体"/>
                <w:kern w:val="21"/>
                <w:sz w:val="24"/>
                <w:szCs w:val="21"/>
              </w:rPr>
            </w:pPr>
            <w:r>
              <w:rPr>
                <w:rFonts w:hint="eastAsia" w:cs="宋体"/>
                <w:kern w:val="21"/>
                <w:sz w:val="24"/>
                <w:szCs w:val="21"/>
              </w:rPr>
              <w:t>规划情况</w:t>
            </w:r>
          </w:p>
        </w:tc>
        <w:tc>
          <w:tcPr>
            <w:tcW w:w="6785"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kern w:val="21"/>
                <w:sz w:val="24"/>
                <w:szCs w:val="21"/>
                <w:u w:val="single"/>
              </w:rPr>
            </w:pPr>
            <w:r>
              <w:rPr>
                <w:rFonts w:hint="eastAsia" w:cs="宋体"/>
                <w:kern w:val="21"/>
                <w:sz w:val="24"/>
                <w:szCs w:val="21"/>
                <w:u w:val="single"/>
              </w:rPr>
              <w:t>规划名称：《益阳市龙岭工业集中区产业发展规划（2019-2025）》</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kern w:val="21"/>
                <w:sz w:val="24"/>
                <w:szCs w:val="21"/>
                <w:u w:val="single"/>
              </w:rPr>
            </w:pPr>
            <w:r>
              <w:rPr>
                <w:rFonts w:hint="eastAsia" w:cs="宋体"/>
                <w:kern w:val="21"/>
                <w:sz w:val="24"/>
                <w:szCs w:val="21"/>
                <w:u w:val="single"/>
              </w:rPr>
              <w:t>审批机关：益阳市赫山区人民政府</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cs="宋体"/>
                <w:kern w:val="21"/>
                <w:sz w:val="24"/>
                <w:szCs w:val="21"/>
                <w:u w:val="single"/>
              </w:rPr>
            </w:pPr>
            <w:r>
              <w:rPr>
                <w:rFonts w:hint="eastAsia" w:cs="宋体"/>
                <w:kern w:val="21"/>
                <w:sz w:val="24"/>
                <w:szCs w:val="21"/>
                <w:u w:val="single"/>
              </w:rPr>
              <w:t>审查文件名称及文号：《关于同意益阳市龙岭工业集中区产业发展规划（2019-2025）的批复》（益赫政函〔2019〕37号）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vAlign w:val="center"/>
          </w:tcPr>
          <w:p>
            <w:pPr>
              <w:adjustRightInd w:val="0"/>
              <w:snapToGrid w:val="0"/>
              <w:jc w:val="center"/>
              <w:rPr>
                <w:rFonts w:cs="宋体"/>
                <w:kern w:val="21"/>
                <w:sz w:val="24"/>
                <w:szCs w:val="21"/>
              </w:rPr>
            </w:pPr>
            <w:r>
              <w:rPr>
                <w:rFonts w:hint="eastAsia" w:cs="宋体"/>
                <w:kern w:val="21"/>
                <w:sz w:val="24"/>
                <w:szCs w:val="21"/>
              </w:rPr>
              <w:t>规划环境影响</w:t>
            </w:r>
          </w:p>
          <w:p>
            <w:pPr>
              <w:adjustRightInd w:val="0"/>
              <w:snapToGrid w:val="0"/>
              <w:jc w:val="center"/>
              <w:rPr>
                <w:rFonts w:cs="宋体"/>
                <w:kern w:val="21"/>
                <w:sz w:val="24"/>
                <w:szCs w:val="21"/>
              </w:rPr>
            </w:pPr>
            <w:r>
              <w:rPr>
                <w:rFonts w:hint="eastAsia" w:cs="宋体"/>
                <w:kern w:val="21"/>
                <w:sz w:val="24"/>
                <w:szCs w:val="21"/>
              </w:rPr>
              <w:t>评价情况</w:t>
            </w:r>
          </w:p>
        </w:tc>
        <w:tc>
          <w:tcPr>
            <w:tcW w:w="6785" w:type="dxa"/>
            <w:gridSpan w:val="3"/>
            <w:vAlign w:val="center"/>
          </w:tcPr>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sz w:val="24"/>
                <w:szCs w:val="24"/>
                <w:u w:val="single"/>
                <w:lang w:val="en-US" w:eastAsia="zh-CN"/>
              </w:rPr>
            </w:pPr>
            <w:r>
              <w:rPr>
                <w:rFonts w:hint="eastAsia"/>
                <w:sz w:val="24"/>
                <w:szCs w:val="24"/>
                <w:u w:val="single"/>
                <w:lang w:val="en-US" w:eastAsia="zh-CN"/>
              </w:rPr>
              <w:t>文件名称：《湖南益阳高新技术产业园区环境影响报告书》</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sz w:val="24"/>
                <w:szCs w:val="24"/>
                <w:u w:val="single"/>
                <w:lang w:val="en-US" w:eastAsia="zh-CN"/>
              </w:rPr>
            </w:pPr>
            <w:r>
              <w:rPr>
                <w:rFonts w:hint="eastAsia"/>
                <w:sz w:val="24"/>
                <w:szCs w:val="24"/>
                <w:u w:val="single"/>
                <w:lang w:val="en-US" w:eastAsia="zh-CN"/>
              </w:rPr>
              <w:t>审查机关：湖南省生态环境厅</w:t>
            </w: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hint="eastAsia" w:eastAsia="宋体"/>
                <w:sz w:val="24"/>
                <w:szCs w:val="24"/>
                <w:lang w:eastAsia="zh-CN"/>
              </w:rPr>
            </w:pPr>
            <w:r>
              <w:rPr>
                <w:rFonts w:hint="eastAsia"/>
                <w:sz w:val="24"/>
                <w:szCs w:val="24"/>
                <w:u w:val="single"/>
                <w:lang w:val="en-US" w:eastAsia="zh-CN"/>
              </w:rPr>
              <w:t>审查文件名称及文号：《关于湖南益阳高新技术产业园区环境影响 报告书的批复》（湘环评〔2010〕300号）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vAlign w:val="center"/>
          </w:tcPr>
          <w:p>
            <w:pPr>
              <w:autoSpaceDE w:val="0"/>
              <w:autoSpaceDN w:val="0"/>
              <w:adjustRightInd w:val="0"/>
              <w:snapToGrid w:val="0"/>
              <w:jc w:val="center"/>
              <w:rPr>
                <w:rFonts w:cs="宋体"/>
                <w:kern w:val="21"/>
                <w:sz w:val="24"/>
                <w:szCs w:val="21"/>
              </w:rPr>
            </w:pPr>
            <w:r>
              <w:rPr>
                <w:rFonts w:hint="eastAsia" w:cs="宋体"/>
                <w:kern w:val="21"/>
                <w:sz w:val="24"/>
                <w:szCs w:val="21"/>
              </w:rPr>
              <w:t>规划及规划环境影响评价符合性分析</w:t>
            </w:r>
          </w:p>
        </w:tc>
        <w:tc>
          <w:tcPr>
            <w:tcW w:w="6785"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eastAsia="宋体"/>
                <w:sz w:val="24"/>
                <w:szCs w:val="24"/>
                <w:u w:val="single"/>
                <w:lang w:eastAsia="zh-CN"/>
              </w:rPr>
            </w:pPr>
            <w:r>
              <w:rPr>
                <w:rFonts w:hint="eastAsia"/>
                <w:sz w:val="24"/>
                <w:szCs w:val="24"/>
                <w:u w:val="single"/>
              </w:rPr>
              <w:t>本项目位于</w:t>
            </w:r>
            <w:r>
              <w:rPr>
                <w:rFonts w:cs="宋体"/>
                <w:kern w:val="21"/>
                <w:sz w:val="24"/>
                <w:szCs w:val="21"/>
                <w:u w:val="single"/>
              </w:rPr>
              <w:t>龙岭工业园龙舟农机制造有限公司院内</w:t>
            </w:r>
            <w:r>
              <w:rPr>
                <w:rFonts w:hint="eastAsia"/>
                <w:sz w:val="24"/>
                <w:szCs w:val="24"/>
                <w:u w:val="single"/>
              </w:rPr>
              <w:t>，</w:t>
            </w:r>
            <w:r>
              <w:rPr>
                <w:rFonts w:hint="eastAsia"/>
                <w:sz w:val="24"/>
                <w:szCs w:val="24"/>
                <w:u w:val="single"/>
                <w:lang w:val="en-US" w:eastAsia="zh-CN"/>
              </w:rPr>
              <w:t>项目区域属于《湖南益阳高新技术产业园区环境影响报告书》中龙岭工业园中的范围，</w:t>
            </w:r>
            <w:r>
              <w:rPr>
                <w:rFonts w:hint="eastAsia"/>
                <w:sz w:val="24"/>
                <w:szCs w:val="24"/>
                <w:u w:val="single"/>
              </w:rPr>
              <w:t>根据《湖南益阳高新技术产业园区环境影响报告书》中内容，益阳高新技术产业园区由益阳高新技术产业开发区和益阳市龙岭工业园组成，核准面积19.78km</w:t>
            </w:r>
            <w:r>
              <w:rPr>
                <w:rFonts w:hint="eastAsia"/>
                <w:sz w:val="24"/>
                <w:szCs w:val="24"/>
                <w:u w:val="single"/>
                <w:vertAlign w:val="superscript"/>
              </w:rPr>
              <w:t>2</w:t>
            </w:r>
            <w:r>
              <w:rPr>
                <w:rFonts w:hint="eastAsia"/>
                <w:sz w:val="24"/>
                <w:szCs w:val="24"/>
                <w:u w:val="single"/>
              </w:rPr>
              <w:t>。其中，益阳高新技术产业开发区四至范围为：东至团圆路，南至中山村路，西至益桃公路，北至江海路，规划面积15.80km</w:t>
            </w:r>
            <w:r>
              <w:rPr>
                <w:rFonts w:hint="eastAsia"/>
                <w:sz w:val="24"/>
                <w:szCs w:val="24"/>
                <w:u w:val="single"/>
                <w:vertAlign w:val="superscript"/>
              </w:rPr>
              <w:t>2</w:t>
            </w:r>
            <w:r>
              <w:rPr>
                <w:rFonts w:hint="eastAsia"/>
                <w:sz w:val="24"/>
                <w:szCs w:val="24"/>
                <w:u w:val="single"/>
              </w:rPr>
              <w:t>；益阳市龙岭工业园四至范围为：东至桃花仑东路，南至紫竹路、迎宾路，西至银城大道，北至梓山东路，规划面积3.98km</w:t>
            </w:r>
            <w:r>
              <w:rPr>
                <w:rFonts w:hint="eastAsia"/>
                <w:sz w:val="24"/>
                <w:szCs w:val="24"/>
                <w:u w:val="single"/>
                <w:vertAlign w:val="superscript"/>
              </w:rPr>
              <w:t>2</w:t>
            </w:r>
            <w:r>
              <w:rPr>
                <w:rFonts w:hint="eastAsia"/>
                <w:sz w:val="24"/>
                <w:szCs w:val="24"/>
                <w:u w:val="single"/>
              </w:rPr>
              <w:t>；园区定位为以发展电子信息、装备制造等高新技术产业为主。本项目与规划环境影响评价结论符合性分析如下</w:t>
            </w:r>
            <w:r>
              <w:rPr>
                <w:rFonts w:hint="eastAsia"/>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b/>
                <w:bCs/>
                <w:sz w:val="21"/>
                <w:szCs w:val="21"/>
                <w:u w:val="single"/>
              </w:rPr>
            </w:pPr>
            <w:r>
              <w:rPr>
                <w:rFonts w:hint="eastAsia"/>
                <w:b/>
                <w:bCs/>
                <w:sz w:val="21"/>
                <w:szCs w:val="21"/>
                <w:u w:val="single"/>
              </w:rPr>
              <w:t>表 1-1 本项目与企业入园准入条件符合性分析一览表</w:t>
            </w:r>
          </w:p>
          <w:tbl>
            <w:tblPr>
              <w:tblStyle w:val="22"/>
              <w:tblW w:w="6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3036"/>
              <w:gridCol w:w="154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类型</w:t>
                  </w:r>
                </w:p>
              </w:tc>
              <w:tc>
                <w:tcPr>
                  <w:tcW w:w="303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行业类别</w:t>
                  </w:r>
                </w:p>
              </w:tc>
              <w:tc>
                <w:tcPr>
                  <w:tcW w:w="154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本项目情况</w:t>
                  </w:r>
                </w:p>
              </w:tc>
              <w:tc>
                <w:tcPr>
                  <w:tcW w:w="11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鼓励类</w:t>
                  </w:r>
                </w:p>
              </w:tc>
              <w:tc>
                <w:tcPr>
                  <w:tcW w:w="303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机械制造、电子信息、新能源新材料、食品、医药类一、二类企业。</w:t>
                  </w:r>
                </w:p>
              </w:tc>
              <w:tc>
                <w:tcPr>
                  <w:tcW w:w="1547"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本项目为</w:t>
                  </w:r>
                  <w:r>
                    <w:rPr>
                      <w:rFonts w:hint="default" w:ascii="Times New Roman" w:hAnsi="Times New Roman" w:cs="Times New Roman"/>
                      <w:spacing w:val="-2"/>
                      <w:sz w:val="21"/>
                      <w:szCs w:val="21"/>
                      <w:u w:val="single"/>
                    </w:rPr>
                    <w:t>废塑料加工处理</w:t>
                  </w:r>
                  <w:r>
                    <w:rPr>
                      <w:rFonts w:hint="default" w:ascii="Times New Roman" w:hAnsi="Times New Roman" w:eastAsia="宋体" w:cs="Times New Roman"/>
                      <w:sz w:val="21"/>
                      <w:szCs w:val="21"/>
                      <w:u w:val="single"/>
                    </w:rPr>
                    <w:t>。</w:t>
                  </w:r>
                </w:p>
              </w:tc>
              <w:tc>
                <w:tcPr>
                  <w:tcW w:w="116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不属于鼓励类项目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允许类</w:t>
                  </w:r>
                </w:p>
              </w:tc>
              <w:tc>
                <w:tcPr>
                  <w:tcW w:w="303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排污较少，清洁生产水平较高的其他与主导产业有关的一、二类工业。</w:t>
                  </w:r>
                </w:p>
              </w:tc>
              <w:tc>
                <w:tcPr>
                  <w:tcW w:w="1547"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本项目产品为</w:t>
                  </w:r>
                  <w:r>
                    <w:rPr>
                      <w:rFonts w:hint="default" w:ascii="Times New Roman" w:hAnsi="Times New Roman" w:eastAsia="宋体" w:cs="Times New Roman"/>
                      <w:sz w:val="21"/>
                      <w:szCs w:val="21"/>
                      <w:u w:val="single"/>
                      <w:lang w:val="en-US" w:eastAsia="zh-CN"/>
                    </w:rPr>
                    <w:t>塑料颗粒</w:t>
                  </w:r>
                  <w:r>
                    <w:rPr>
                      <w:rFonts w:hint="default" w:ascii="Times New Roman" w:hAnsi="Times New Roman" w:eastAsia="宋体" w:cs="Times New Roman"/>
                      <w:sz w:val="21"/>
                      <w:szCs w:val="21"/>
                      <w:u w:val="single"/>
                    </w:rPr>
                    <w:t>，且生产过程中排污较少，主要为生产过程中产生的少量无组织有机废气，无生产废水产生。</w:t>
                  </w:r>
                </w:p>
              </w:tc>
              <w:tc>
                <w:tcPr>
                  <w:tcW w:w="116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lang w:val="en-US" w:eastAsia="zh-CN"/>
                    </w:rPr>
                    <w:t>属于允许类项目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限制类</w:t>
                  </w:r>
                </w:p>
              </w:tc>
              <w:tc>
                <w:tcPr>
                  <w:tcW w:w="303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冶金法生产多晶硅原料；机械制 造、电子信息、新能源新材料和食品医药三类企业；电镀工业；食品工业的禽畜初加工(包括屠宰)、味精、发酵酿造；使用含汞、砷、镉、铬、铅、氰化物等为原料的项目；水耗、能耗较高的工业项目；现有生产能力大，市场容量小的项目等。</w:t>
                  </w:r>
                </w:p>
              </w:tc>
              <w:tc>
                <w:tcPr>
                  <w:tcW w:w="1547"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本项目不涉及上述限制类行业类别。</w:t>
                  </w:r>
                </w:p>
              </w:tc>
              <w:tc>
                <w:tcPr>
                  <w:tcW w:w="116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lang w:val="en-US" w:eastAsia="zh-CN"/>
                    </w:rPr>
                    <w:t>不属于限制类项目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lang w:val="en-US" w:eastAsia="zh-CN"/>
                    </w:rPr>
                    <w:t>禁止类</w:t>
                  </w:r>
                </w:p>
              </w:tc>
              <w:tc>
                <w:tcPr>
                  <w:tcW w:w="303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禁止铅、锌、铬等重污染冶炼行业，制革工业；电镀工业；使用含汞、砷、镉、铬、铅、氰化物等为原料的项目；日用化工、造纸、炼油、农药工业；水处理设施不完善的企业禁止开工生产；纺织印染工业；致癌、致畸、致突变产品生产项目；电力工业的小火力发电；国家产业政策明令禁止的项目，以及大量增加 SO</w:t>
                  </w:r>
                  <w:r>
                    <w:rPr>
                      <w:rFonts w:hint="default" w:ascii="Times New Roman" w:hAnsi="Times New Roman" w:eastAsia="宋体" w:cs="Times New Roman"/>
                      <w:sz w:val="21"/>
                      <w:szCs w:val="21"/>
                      <w:u w:val="single"/>
                      <w:vertAlign w:val="subscript"/>
                    </w:rPr>
                    <w:t>2</w:t>
                  </w:r>
                  <w:r>
                    <w:rPr>
                      <w:rFonts w:hint="default" w:ascii="Times New Roman" w:hAnsi="Times New Roman" w:eastAsia="宋体" w:cs="Times New Roman"/>
                      <w:sz w:val="21"/>
                      <w:szCs w:val="21"/>
                      <w:u w:val="single"/>
                    </w:rPr>
                    <w:t>和COD排放的工业项目。</w:t>
                  </w:r>
                </w:p>
              </w:tc>
              <w:tc>
                <w:tcPr>
                  <w:tcW w:w="1547"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本项目不涉及上述禁止类行业类别。</w:t>
                  </w:r>
                </w:p>
              </w:tc>
              <w:tc>
                <w:tcPr>
                  <w:tcW w:w="116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lang w:val="en-US" w:eastAsia="zh-CN"/>
                    </w:rPr>
                    <w:t>不属于禁止类项目</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sz w:val="24"/>
                <w:szCs w:val="24"/>
                <w:u w:val="single"/>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u w:val="single"/>
                <w:lang w:eastAsia="zh-CN"/>
              </w:rPr>
            </w:pPr>
            <w:r>
              <w:rPr>
                <w:rFonts w:hint="default" w:ascii="Times New Roman" w:hAnsi="Times New Roman" w:eastAsia="宋体" w:cs="Times New Roman"/>
                <w:sz w:val="24"/>
                <w:szCs w:val="24"/>
                <w:u w:val="single"/>
              </w:rPr>
              <w:t>根据《关于湖南益阳高新技术产业园区环境影响报告书的批复》（湘环评〔2010〕300 号）中内容，本项目与规划环境影响评价审查意见符合性分析如下</w:t>
            </w:r>
            <w:r>
              <w:rPr>
                <w:rFonts w:hint="default" w:ascii="Times New Roman" w:hAnsi="Times New Roman" w:eastAsia="宋体" w:cs="Times New Roman"/>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b/>
                <w:bCs/>
                <w:sz w:val="21"/>
                <w:szCs w:val="21"/>
                <w:u w:val="single"/>
              </w:rPr>
            </w:pPr>
            <w:r>
              <w:rPr>
                <w:rFonts w:hint="default" w:ascii="Times New Roman" w:hAnsi="Times New Roman" w:eastAsia="宋体" w:cs="Times New Roman"/>
                <w:b/>
                <w:bCs/>
                <w:sz w:val="21"/>
                <w:szCs w:val="21"/>
                <w:u w:val="single"/>
              </w:rPr>
              <w:t>表 1-2 本项目与园区规划环评批复符合性分析一览表</w:t>
            </w:r>
          </w:p>
          <w:tbl>
            <w:tblPr>
              <w:tblStyle w:val="22"/>
              <w:tblW w:w="6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994"/>
              <w:gridCol w:w="1490"/>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序号</w:t>
                  </w:r>
                </w:p>
              </w:tc>
              <w:tc>
                <w:tcPr>
                  <w:tcW w:w="399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湘环评〔2010〕300 号批复要求</w:t>
                  </w:r>
                </w:p>
              </w:tc>
              <w:tc>
                <w:tcPr>
                  <w:tcW w:w="149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本项目情况</w:t>
                  </w:r>
                </w:p>
              </w:tc>
              <w:tc>
                <w:tcPr>
                  <w:tcW w:w="62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一</w:t>
                  </w:r>
                </w:p>
              </w:tc>
              <w:tc>
                <w:tcPr>
                  <w:tcW w:w="399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rPr>
                    <w:t>进一步优化规划布局和功能区设置，园区 内各功能区相对集中，妥善处理好工业、 生活、配套服务等各功能组团的关系，充 分利用自然地形和绿化隔离带使各功能 区隔离，确保园区功能区划明确、产业相 对集中，生态环境优良。</w:t>
                  </w:r>
                </w:p>
              </w:tc>
              <w:tc>
                <w:tcPr>
                  <w:tcW w:w="14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rPr>
                    <w:t>本项目租赁的园区标准化厂房进行生产，符合园区规划布局和功能区设置。</w:t>
                  </w:r>
                </w:p>
              </w:tc>
              <w:tc>
                <w:tcPr>
                  <w:tcW w:w="62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二</w:t>
                  </w:r>
                </w:p>
              </w:tc>
              <w:tc>
                <w:tcPr>
                  <w:tcW w:w="399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rPr>
                    <w:t>严格执行行业、企业准入制度，园区内引 进项目的选址必须符合园区总体发展规 划、环保规划、主导产业定位及拟建地功 能区定位要求，园区鼓励引进环境友好型 企业，优先引进和发展循环经济效益明 显、产品技术含量高，工艺及设备先进， 能耗低、排污少的高新技术企业，完善工 业生态产业链；园区内不得引进国家明令 淘汰和禁止发展的能耗物耗高、环境污染 严重、不符合产业政策的建设项目，防止 污染项目转移落户园区，并严格控制三类 工业建设。</w:t>
                  </w:r>
                </w:p>
              </w:tc>
              <w:tc>
                <w:tcPr>
                  <w:tcW w:w="14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rPr>
                    <w:t>本项目生产过程中排污较少，主要为生产过程中产生的少量有机废气，无生产废水产生，属于允许类项目</w:t>
                  </w:r>
                </w:p>
              </w:tc>
              <w:tc>
                <w:tcPr>
                  <w:tcW w:w="62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eastAsia" w:ascii="Times New Roman" w:hAnsi="Times New Roman" w:eastAsia="宋体" w:cs="Times New Roman"/>
                      <w:sz w:val="21"/>
                      <w:szCs w:val="21"/>
                      <w:u w:val="singl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三</w:t>
                  </w:r>
                </w:p>
              </w:tc>
              <w:tc>
                <w:tcPr>
                  <w:tcW w:w="399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加强引入项目的程序管理。在项目引进的 前期和建设期，必须严格执行建设项目环 境影响评价制度和“三同时”制度，其排污 浓度、总量必须满足达标排放和总量控制 要求，并推行清洁生产工艺。地方政府、 园区管委会应加强对已入园企业的管理， 严格控制其三废排放，对已入园但环保未 达标企业进行限期治理，逐步淘汰现有高 水耗、高污染的生产线，对经核查不符合 园区产业定位的项目应限期搬迁和退出。</w:t>
                  </w:r>
                </w:p>
              </w:tc>
              <w:tc>
                <w:tcPr>
                  <w:tcW w:w="14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rPr>
                    <w:t>本项目生产过程中产生的污染物主要为少量有机废气，无生产废水产生。不属于高污染，高能耗项目。</w:t>
                  </w:r>
                </w:p>
              </w:tc>
              <w:tc>
                <w:tcPr>
                  <w:tcW w:w="62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eastAsia" w:ascii="Times New Roman" w:hAnsi="Times New Roman" w:eastAsia="宋体" w:cs="Times New Roman"/>
                      <w:sz w:val="21"/>
                      <w:szCs w:val="21"/>
                      <w:u w:val="singl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四</w:t>
                  </w:r>
                </w:p>
              </w:tc>
              <w:tc>
                <w:tcPr>
                  <w:tcW w:w="399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园区排水实施雨污分流，按规划的分区排 水规划，加快园区排水管网和区域污水处 理厂等配套基础设施建设进度，截污、排 污管网必须与道路建设及区域开发同步 进行，保障园区污水顺利进入污水集中处 理厂、在园区企业排污纳入污水处理厂 前，企业外排度水必须自行处理达到《污水综合排放标准》(GB8978-1996)一级标 准。污水处理厂建成运营且管网对接工作 完成后，各企业单位废水进行处理满足污 水处理厂进水水质要求后进入污水处理 厂处理。</w:t>
                  </w:r>
                </w:p>
              </w:tc>
              <w:tc>
                <w:tcPr>
                  <w:tcW w:w="14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vertAlign w:val="baseline"/>
                    </w:rPr>
                    <w:t>本项目生活污水经预处理后，通过市政污水管网排入城东污水处理厂进行深度处理。</w:t>
                  </w:r>
                </w:p>
              </w:tc>
              <w:tc>
                <w:tcPr>
                  <w:tcW w:w="62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eastAsia" w:ascii="Times New Roman" w:hAnsi="Times New Roman" w:eastAsia="宋体" w:cs="Times New Roman"/>
                      <w:sz w:val="21"/>
                      <w:szCs w:val="21"/>
                      <w:u w:val="singl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五</w:t>
                  </w:r>
                </w:p>
              </w:tc>
              <w:tc>
                <w:tcPr>
                  <w:tcW w:w="399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园区内必须全面使用清洁能源；做好园区 集中供热供气规划，按照“节能减排”要 求，做好高新区及其周边区域的集中供热 热源整合论证，合理确定高新区集中供热 热电厂的建设规模、装机方案、建设位置 等，热电厂环评必须另行环保审批；根据 高新区用热需求和集中供热实施进展情 况逐步关停淘汰区内小热电，集中供热工 程建成后必须全面替代园区现有的分散 锅炉，减少气型污染物排放。</w:t>
                  </w:r>
                </w:p>
              </w:tc>
              <w:tc>
                <w:tcPr>
                  <w:tcW w:w="14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本项目能源供应采用电能，属于清洁能源。</w:t>
                  </w:r>
                </w:p>
              </w:tc>
              <w:tc>
                <w:tcPr>
                  <w:tcW w:w="62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六</w:t>
                  </w:r>
                </w:p>
              </w:tc>
              <w:tc>
                <w:tcPr>
                  <w:tcW w:w="399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园区应建立统一的固废收集、贮存、运输、 综合利用和安全处置的运营管理体系，做 好工业固体废物和生活垃圾的分类收集、 转运、综合利用和无害化处理。</w:t>
                  </w:r>
                </w:p>
              </w:tc>
              <w:tc>
                <w:tcPr>
                  <w:tcW w:w="14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本项目固废设置有贮存区和合理的处置去向。</w:t>
                  </w:r>
                </w:p>
              </w:tc>
              <w:tc>
                <w:tcPr>
                  <w:tcW w:w="62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七</w:t>
                  </w:r>
                </w:p>
              </w:tc>
              <w:tc>
                <w:tcPr>
                  <w:tcW w:w="399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做好建设期的生态保护和水土保持工作。 园区开发建设过程中，应注意保护好自然 山体、水塘及自然景观；土石方开挖、堆 存及回填要实施围挡、护坡等措施，裸露 地及时恢复植被，防止水土流失。园区在 建设前期应制定拆迁安置方案，落实移民 生产生活安置措施，防止次生环境问题。</w:t>
                  </w:r>
                </w:p>
              </w:tc>
              <w:tc>
                <w:tcPr>
                  <w:tcW w:w="14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本项目租赁的园区已建成的标准化车间厂房。</w:t>
                  </w:r>
                </w:p>
              </w:tc>
              <w:tc>
                <w:tcPr>
                  <w:tcW w:w="62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八</w:t>
                  </w:r>
                </w:p>
              </w:tc>
              <w:tc>
                <w:tcPr>
                  <w:tcW w:w="399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园区要建立环境监督管理机构，建立健全 环境风险事故防范措施和应急预案，严防 环境风险事故发生。</w:t>
                  </w:r>
                </w:p>
              </w:tc>
              <w:tc>
                <w:tcPr>
                  <w:tcW w:w="1490"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本评价要求项目在审批后及时办理应急预案备案和竣工环保验收工作。</w:t>
                  </w:r>
                </w:p>
              </w:tc>
              <w:tc>
                <w:tcPr>
                  <w:tcW w:w="626"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eastAsia" w:ascii="Times New Roman" w:hAnsi="Times New Roman" w:eastAsia="宋体" w:cs="Times New Roman"/>
                      <w:sz w:val="21"/>
                      <w:szCs w:val="21"/>
                      <w:u w:val="single"/>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cs="宋体"/>
                <w:kern w:val="21"/>
                <w:sz w:val="24"/>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9" w:type="dxa"/>
            <w:vAlign w:val="center"/>
          </w:tcPr>
          <w:p>
            <w:pPr>
              <w:autoSpaceDE w:val="0"/>
              <w:autoSpaceDN w:val="0"/>
              <w:adjustRightInd w:val="0"/>
              <w:snapToGrid w:val="0"/>
              <w:jc w:val="center"/>
              <w:rPr>
                <w:rFonts w:cs="宋体"/>
                <w:color w:val="0000FF"/>
                <w:kern w:val="21"/>
                <w:sz w:val="24"/>
                <w:szCs w:val="21"/>
              </w:rPr>
            </w:pPr>
            <w:r>
              <w:rPr>
                <w:rFonts w:hint="eastAsia" w:cs="宋体"/>
                <w:kern w:val="21"/>
                <w:sz w:val="24"/>
                <w:szCs w:val="21"/>
              </w:rPr>
              <w:t>其他符合性分析</w:t>
            </w:r>
          </w:p>
        </w:tc>
        <w:tc>
          <w:tcPr>
            <w:tcW w:w="6785" w:type="dxa"/>
            <w:gridSpan w:val="3"/>
            <w:vAlign w:val="center"/>
          </w:tcPr>
          <w:p>
            <w:pPr>
              <w:autoSpaceDE w:val="0"/>
              <w:autoSpaceDN w:val="0"/>
              <w:adjustRightInd w:val="0"/>
              <w:snapToGrid w:val="0"/>
              <w:spacing w:line="480" w:lineRule="exact"/>
              <w:rPr>
                <w:rFonts w:cs="宋体"/>
                <w:kern w:val="21"/>
                <w:sz w:val="24"/>
                <w:szCs w:val="21"/>
              </w:rPr>
            </w:pPr>
            <w:r>
              <w:rPr>
                <w:rFonts w:hint="eastAsia"/>
                <w:b/>
                <w:sz w:val="24"/>
              </w:rPr>
              <w:t>1.</w:t>
            </w:r>
            <w:r>
              <w:rPr>
                <w:b/>
                <w:sz w:val="24"/>
              </w:rPr>
              <w:t>1、</w:t>
            </w:r>
            <w:r>
              <w:rPr>
                <w:rFonts w:hint="eastAsia"/>
                <w:b/>
                <w:sz w:val="24"/>
              </w:rPr>
              <w:t>项目</w:t>
            </w:r>
            <w:r>
              <w:rPr>
                <w:b/>
                <w:sz w:val="24"/>
              </w:rPr>
              <w:t>与“三线一单”生态环境</w:t>
            </w:r>
            <w:r>
              <w:rPr>
                <w:rFonts w:hint="eastAsia"/>
                <w:b/>
                <w:sz w:val="24"/>
              </w:rPr>
              <w:t>分区</w:t>
            </w:r>
            <w:r>
              <w:rPr>
                <w:b/>
                <w:sz w:val="24"/>
              </w:rPr>
              <w:t>管控</w:t>
            </w:r>
            <w:r>
              <w:rPr>
                <w:rFonts w:hint="eastAsia"/>
                <w:b/>
                <w:sz w:val="24"/>
              </w:rPr>
              <w:t>要求的</w:t>
            </w:r>
            <w:r>
              <w:rPr>
                <w:b/>
                <w:sz w:val="24"/>
              </w:rPr>
              <w:t>符合性分析</w:t>
            </w:r>
          </w:p>
          <w:p>
            <w:pPr>
              <w:autoSpaceDE w:val="0"/>
              <w:autoSpaceDN w:val="0"/>
              <w:adjustRightInd w:val="0"/>
              <w:snapToGrid w:val="0"/>
              <w:spacing w:line="480" w:lineRule="exact"/>
              <w:ind w:firstLine="480" w:firstLineChars="200"/>
              <w:rPr>
                <w:rFonts w:cs="宋体"/>
                <w:kern w:val="21"/>
                <w:sz w:val="24"/>
                <w:szCs w:val="21"/>
              </w:rPr>
            </w:pPr>
            <w:r>
              <w:rPr>
                <w:rFonts w:cs="宋体"/>
                <w:kern w:val="21"/>
                <w:sz w:val="24"/>
                <w:szCs w:val="21"/>
              </w:rPr>
              <w:t>根据环保部发布的《关于以改善环境质量为核心加强环境影响评价管理的通知》(以下简称《通知》)，《通知》要求切实加强环境影响评价管理，落实“生态保护红线、环境质量底线、资源利用上线和环境准入负面清单”约束，建立项目环评审批与规划环评、现有项目环境管理、区域环境质量联动机制，更好地发挥环评制度从源头防范环境污染和生态破坏的作用，加快推进改善环境质量。</w:t>
            </w:r>
          </w:p>
          <w:p>
            <w:pPr>
              <w:autoSpaceDE w:val="0"/>
              <w:autoSpaceDN w:val="0"/>
              <w:adjustRightInd w:val="0"/>
              <w:snapToGrid w:val="0"/>
              <w:spacing w:line="480" w:lineRule="exact"/>
              <w:rPr>
                <w:rFonts w:cs="宋体"/>
                <w:b/>
                <w:bCs/>
                <w:kern w:val="21"/>
                <w:sz w:val="24"/>
                <w:szCs w:val="21"/>
              </w:rPr>
            </w:pPr>
            <w:r>
              <w:rPr>
                <w:rFonts w:hint="eastAsia" w:cs="宋体"/>
                <w:b/>
                <w:bCs/>
                <w:kern w:val="21"/>
                <w:sz w:val="24"/>
                <w:szCs w:val="21"/>
              </w:rPr>
              <w:t>（1）与生态保护红线的相符性分析</w:t>
            </w:r>
          </w:p>
          <w:p>
            <w:pPr>
              <w:autoSpaceDE w:val="0"/>
              <w:autoSpaceDN w:val="0"/>
              <w:adjustRightInd w:val="0"/>
              <w:snapToGrid w:val="0"/>
              <w:spacing w:line="480" w:lineRule="exact"/>
              <w:ind w:firstLine="480" w:firstLineChars="200"/>
              <w:rPr>
                <w:rFonts w:cs="宋体"/>
                <w:color w:val="0000FF"/>
                <w:kern w:val="21"/>
                <w:sz w:val="24"/>
                <w:szCs w:val="21"/>
              </w:rPr>
            </w:pPr>
            <w:r>
              <w:rPr>
                <w:rFonts w:cs="宋体"/>
                <w:kern w:val="21"/>
                <w:sz w:val="24"/>
                <w:szCs w:val="21"/>
              </w:rPr>
              <w:t>该项目位于湖南省益阳市龙岭工业园</w:t>
            </w:r>
            <w:r>
              <w:rPr>
                <w:rFonts w:hint="eastAsia" w:cs="宋体"/>
                <w:kern w:val="21"/>
                <w:sz w:val="24"/>
                <w:szCs w:val="21"/>
              </w:rPr>
              <w:t>内</w:t>
            </w:r>
            <w:r>
              <w:rPr>
                <w:rFonts w:cs="宋体"/>
                <w:kern w:val="21"/>
                <w:sz w:val="24"/>
                <w:szCs w:val="21"/>
              </w:rPr>
              <w:t>，根据《湖南省人民政府关于实施“三线一单”生态环境分区管控的意见》（湘政发［2020］12号）</w:t>
            </w:r>
            <w:r>
              <w:rPr>
                <w:rFonts w:hint="eastAsia" w:cs="宋体"/>
                <w:kern w:val="21"/>
                <w:sz w:val="24"/>
                <w:szCs w:val="21"/>
              </w:rPr>
              <w:t>和《关于实施“三线一单”生态环境分区管控的意见》（衡政发[2020] 9号），</w:t>
            </w:r>
            <w:r>
              <w:rPr>
                <w:rFonts w:cs="宋体"/>
                <w:kern w:val="21"/>
                <w:sz w:val="24"/>
                <w:szCs w:val="21"/>
              </w:rPr>
              <w:t>本项目不在生态保护红线划定范围内</w:t>
            </w:r>
            <w:r>
              <w:rPr>
                <w:rFonts w:hint="eastAsia" w:cs="宋体"/>
                <w:kern w:val="21"/>
                <w:sz w:val="24"/>
                <w:szCs w:val="21"/>
              </w:rPr>
              <w:t>，</w:t>
            </w:r>
            <w:r>
              <w:rPr>
                <w:rFonts w:cs="宋体"/>
                <w:kern w:val="21"/>
                <w:sz w:val="24"/>
                <w:szCs w:val="21"/>
              </w:rPr>
              <w:t>项目选址不涉及自然保护区、风景名胜区、重要湿地、生态公益林、重要自然与人文景观、文物古迹及其他需要特别保护的区域，项目用地红线不在饮用水源保护区范围内。</w:t>
            </w:r>
            <w:r>
              <w:rPr>
                <w:kern w:val="0"/>
                <w:sz w:val="24"/>
              </w:rPr>
              <w:t>因此，项目建设符合生态红线保护要求。</w:t>
            </w:r>
          </w:p>
          <w:p>
            <w:pPr>
              <w:autoSpaceDE w:val="0"/>
              <w:autoSpaceDN w:val="0"/>
              <w:adjustRightInd w:val="0"/>
              <w:snapToGrid w:val="0"/>
              <w:spacing w:line="480" w:lineRule="exact"/>
              <w:rPr>
                <w:rFonts w:cs="宋体"/>
                <w:b/>
                <w:bCs/>
                <w:kern w:val="21"/>
                <w:sz w:val="24"/>
                <w:szCs w:val="21"/>
              </w:rPr>
            </w:pPr>
            <w:r>
              <w:rPr>
                <w:rFonts w:hint="eastAsia" w:cs="宋体"/>
                <w:b/>
                <w:bCs/>
                <w:kern w:val="21"/>
                <w:sz w:val="24"/>
                <w:szCs w:val="21"/>
              </w:rPr>
              <w:t>（2）与环境质量底线的相符性分析</w:t>
            </w:r>
          </w:p>
          <w:p>
            <w:pPr>
              <w:autoSpaceDE w:val="0"/>
              <w:autoSpaceDN w:val="0"/>
              <w:adjustRightInd w:val="0"/>
              <w:snapToGrid w:val="0"/>
              <w:spacing w:line="480" w:lineRule="exact"/>
              <w:ind w:firstLine="480" w:firstLineChars="200"/>
              <w:rPr>
                <w:rFonts w:cs="宋体"/>
                <w:kern w:val="21"/>
                <w:sz w:val="24"/>
                <w:szCs w:val="21"/>
              </w:rPr>
            </w:pPr>
            <w:r>
              <w:rPr>
                <w:rFonts w:cs="宋体"/>
                <w:kern w:val="21"/>
                <w:sz w:val="24"/>
                <w:szCs w:val="21"/>
              </w:rPr>
              <w:t xml:space="preserve">根据环境质量现状调查，项目所在地大气环境中PM </w:t>
            </w:r>
            <w:r>
              <w:rPr>
                <w:rFonts w:cs="宋体"/>
                <w:kern w:val="21"/>
                <w:sz w:val="24"/>
                <w:szCs w:val="21"/>
                <w:vertAlign w:val="subscript"/>
              </w:rPr>
              <w:t>2.5</w:t>
            </w:r>
            <w:r>
              <w:rPr>
                <w:rFonts w:cs="宋体"/>
                <w:kern w:val="21"/>
                <w:sz w:val="24"/>
                <w:szCs w:val="21"/>
              </w:rPr>
              <w:t>出现超标现象，根据导则判定方法判定项目所在区域为不达标区，但在落实大气污染防治措施的情况下，区域环境空气质量可以得到改善；地表水中各监测因子均满足《地表水环境质量标准（GB3838-2002）中的Ⅲ类标准；项目位于工业园区，声环境质量执行《声环境质量标（GB3096-2008）3 类区标准。</w:t>
            </w:r>
          </w:p>
          <w:p>
            <w:pPr>
              <w:autoSpaceDE w:val="0"/>
              <w:autoSpaceDN w:val="0"/>
              <w:adjustRightInd w:val="0"/>
              <w:snapToGrid w:val="0"/>
              <w:spacing w:line="480" w:lineRule="exact"/>
              <w:ind w:firstLine="480" w:firstLineChars="200"/>
              <w:rPr>
                <w:rFonts w:cs="宋体"/>
                <w:kern w:val="21"/>
                <w:sz w:val="24"/>
                <w:szCs w:val="21"/>
              </w:rPr>
            </w:pPr>
            <w:r>
              <w:rPr>
                <w:rFonts w:cs="宋体"/>
                <w:kern w:val="21"/>
                <w:sz w:val="24"/>
                <w:szCs w:val="21"/>
              </w:rPr>
              <w:t>本项目废气、废水和固体废物均能得到有效处理和处置，不会降低区域环境质量现状，项目建设不会对当地环境质量底线造成冲击。</w:t>
            </w:r>
          </w:p>
          <w:p>
            <w:pPr>
              <w:autoSpaceDE w:val="0"/>
              <w:autoSpaceDN w:val="0"/>
              <w:adjustRightInd w:val="0"/>
              <w:snapToGrid w:val="0"/>
              <w:spacing w:line="480" w:lineRule="exact"/>
              <w:rPr>
                <w:rFonts w:cs="宋体"/>
                <w:b/>
                <w:bCs/>
                <w:kern w:val="21"/>
                <w:sz w:val="24"/>
                <w:szCs w:val="21"/>
              </w:rPr>
            </w:pPr>
            <w:r>
              <w:rPr>
                <w:rFonts w:hint="eastAsia" w:cs="宋体"/>
                <w:b/>
                <w:bCs/>
                <w:kern w:val="21"/>
                <w:sz w:val="24"/>
                <w:szCs w:val="21"/>
              </w:rPr>
              <w:t>（3）</w:t>
            </w:r>
            <w:r>
              <w:rPr>
                <w:rFonts w:cs="宋体"/>
                <w:b/>
                <w:bCs/>
                <w:kern w:val="21"/>
                <w:sz w:val="24"/>
                <w:szCs w:val="21"/>
              </w:rPr>
              <w:t>与资源利用</w:t>
            </w:r>
            <w:r>
              <w:rPr>
                <w:rFonts w:hint="eastAsia" w:cs="宋体"/>
                <w:b/>
                <w:bCs/>
                <w:kern w:val="21"/>
                <w:sz w:val="24"/>
                <w:szCs w:val="21"/>
              </w:rPr>
              <w:t>上线</w:t>
            </w:r>
            <w:r>
              <w:rPr>
                <w:rFonts w:cs="宋体"/>
                <w:b/>
                <w:bCs/>
                <w:kern w:val="21"/>
                <w:sz w:val="24"/>
                <w:szCs w:val="21"/>
              </w:rPr>
              <w:t>的</w:t>
            </w:r>
            <w:r>
              <w:rPr>
                <w:rFonts w:hint="eastAsia" w:cs="宋体"/>
                <w:b/>
                <w:bCs/>
                <w:kern w:val="21"/>
                <w:sz w:val="24"/>
                <w:szCs w:val="21"/>
              </w:rPr>
              <w:t>相符性分析</w:t>
            </w:r>
          </w:p>
          <w:p>
            <w:pPr>
              <w:autoSpaceDE w:val="0"/>
              <w:autoSpaceDN w:val="0"/>
              <w:adjustRightInd w:val="0"/>
              <w:snapToGrid w:val="0"/>
              <w:spacing w:line="480" w:lineRule="exact"/>
              <w:ind w:firstLine="480" w:firstLineChars="200"/>
              <w:rPr>
                <w:rFonts w:cs="宋体"/>
                <w:kern w:val="21"/>
                <w:sz w:val="24"/>
                <w:szCs w:val="21"/>
              </w:rPr>
            </w:pPr>
            <w:r>
              <w:rPr>
                <w:kern w:val="0"/>
                <w:sz w:val="24"/>
              </w:rPr>
              <w:t>项目用水依托于市政管网供水系统，用电由市政供电系统统一供电。</w:t>
            </w:r>
            <w:r>
              <w:rPr>
                <w:rFonts w:cs="宋体"/>
                <w:kern w:val="21"/>
                <w:sz w:val="24"/>
                <w:szCs w:val="21"/>
              </w:rPr>
              <w:t>项目运行过程通过内部管理、设备选择、原辅材料的选用和管理、废物回收利用、污染治理等多方面采取合理可行的防治措施，以“节能、降耗、减污”为目标，有效的控制污染。项目的水、</w:t>
            </w:r>
            <w:r>
              <w:rPr>
                <w:rFonts w:hint="eastAsia" w:cs="宋体"/>
                <w:kern w:val="21"/>
                <w:sz w:val="24"/>
                <w:szCs w:val="21"/>
              </w:rPr>
              <w:t>电</w:t>
            </w:r>
            <w:r>
              <w:rPr>
                <w:rFonts w:cs="宋体"/>
                <w:kern w:val="21"/>
                <w:sz w:val="24"/>
                <w:szCs w:val="21"/>
              </w:rPr>
              <w:t>等资源</w:t>
            </w:r>
            <w:r>
              <w:rPr>
                <w:rFonts w:hint="eastAsia" w:cs="宋体"/>
                <w:kern w:val="21"/>
                <w:sz w:val="24"/>
                <w:szCs w:val="21"/>
              </w:rPr>
              <w:t>与能源</w:t>
            </w:r>
            <w:r>
              <w:rPr>
                <w:rFonts w:cs="宋体"/>
                <w:kern w:val="21"/>
                <w:sz w:val="24"/>
                <w:szCs w:val="21"/>
              </w:rPr>
              <w:t>利用不会突破区域的资源利用上线。</w:t>
            </w:r>
          </w:p>
          <w:p>
            <w:pPr>
              <w:autoSpaceDE w:val="0"/>
              <w:autoSpaceDN w:val="0"/>
              <w:adjustRightInd w:val="0"/>
              <w:snapToGrid w:val="0"/>
              <w:spacing w:line="480" w:lineRule="exact"/>
              <w:rPr>
                <w:rFonts w:hint="eastAsia" w:eastAsia="宋体" w:cs="宋体"/>
                <w:kern w:val="21"/>
                <w:sz w:val="24"/>
                <w:szCs w:val="21"/>
                <w:lang w:val="en-US" w:eastAsia="zh-CN"/>
              </w:rPr>
            </w:pPr>
            <w:r>
              <w:rPr>
                <w:rFonts w:hint="eastAsia" w:cs="宋体"/>
                <w:kern w:val="21"/>
                <w:sz w:val="24"/>
                <w:szCs w:val="21"/>
                <w:lang w:val="en-US" w:eastAsia="zh-CN"/>
              </w:rPr>
              <w:t>补充</w:t>
            </w:r>
          </w:p>
          <w:p>
            <w:pPr>
              <w:autoSpaceDE w:val="0"/>
              <w:autoSpaceDN w:val="0"/>
              <w:adjustRightInd w:val="0"/>
              <w:snapToGrid w:val="0"/>
              <w:spacing w:line="480" w:lineRule="exact"/>
              <w:rPr>
                <w:rFonts w:cs="宋体"/>
                <w:b/>
                <w:bCs/>
                <w:kern w:val="21"/>
                <w:sz w:val="24"/>
                <w:szCs w:val="21"/>
                <w:u w:val="single"/>
              </w:rPr>
            </w:pPr>
            <w:r>
              <w:rPr>
                <w:rFonts w:hint="eastAsia" w:cs="宋体"/>
                <w:b/>
                <w:bCs/>
                <w:kern w:val="21"/>
                <w:sz w:val="24"/>
                <w:szCs w:val="21"/>
                <w:u w:val="single"/>
              </w:rPr>
              <w:t>（4）与生态</w:t>
            </w:r>
            <w:r>
              <w:rPr>
                <w:rFonts w:cs="宋体"/>
                <w:b/>
                <w:bCs/>
                <w:kern w:val="21"/>
                <w:sz w:val="24"/>
                <w:szCs w:val="21"/>
                <w:u w:val="single"/>
              </w:rPr>
              <w:t>环境准入清单</w:t>
            </w:r>
            <w:r>
              <w:rPr>
                <w:rFonts w:hint="eastAsia" w:cs="宋体"/>
                <w:b/>
                <w:bCs/>
                <w:kern w:val="21"/>
                <w:sz w:val="24"/>
                <w:szCs w:val="21"/>
                <w:u w:val="single"/>
              </w:rPr>
              <w:t>符合性分析</w:t>
            </w:r>
          </w:p>
          <w:p>
            <w:pPr>
              <w:autoSpaceDE w:val="0"/>
              <w:autoSpaceDN w:val="0"/>
              <w:adjustRightInd w:val="0"/>
              <w:snapToGrid w:val="0"/>
              <w:spacing w:line="480" w:lineRule="exact"/>
              <w:ind w:firstLine="480" w:firstLineChars="200"/>
              <w:rPr>
                <w:rFonts w:hint="eastAsia" w:eastAsia="宋体" w:cs="宋体"/>
                <w:kern w:val="21"/>
                <w:sz w:val="24"/>
                <w:szCs w:val="21"/>
                <w:u w:val="single"/>
                <w:lang w:eastAsia="zh-CN"/>
              </w:rPr>
            </w:pPr>
            <w:r>
              <w:rPr>
                <w:rFonts w:cs="宋体"/>
                <w:kern w:val="21"/>
                <w:sz w:val="24"/>
                <w:szCs w:val="21"/>
                <w:u w:val="single"/>
              </w:rPr>
              <w:t>根据《湖南省“三 线一单”生态环境总体管控要求暨省级以上产业园区生态环境准入清单》（2020年9月），本项目与龙岭工业集中区生态环境准入清单符合性分析情况如下</w:t>
            </w:r>
            <w:r>
              <w:rPr>
                <w:rFonts w:hint="eastAsia" w:cs="宋体"/>
                <w:kern w:val="21"/>
                <w:sz w:val="24"/>
                <w:szCs w:val="21"/>
                <w:u w:val="single"/>
                <w:lang w:eastAsia="zh-CN"/>
              </w:rPr>
              <w:t>：</w:t>
            </w:r>
          </w:p>
          <w:p>
            <w:pPr>
              <w:jc w:val="center"/>
            </w:pPr>
            <w:r>
              <w:rPr>
                <w:b/>
                <w:bCs/>
                <w:szCs w:val="21"/>
                <w:u w:val="single"/>
              </w:rPr>
              <w:t>表</w:t>
            </w:r>
            <w:r>
              <w:rPr>
                <w:rFonts w:hint="eastAsia"/>
                <w:b/>
                <w:bCs/>
                <w:szCs w:val="21"/>
                <w:u w:val="single"/>
              </w:rPr>
              <w:t xml:space="preserve"> </w:t>
            </w:r>
            <w:r>
              <w:rPr>
                <w:b/>
                <w:bCs/>
                <w:szCs w:val="21"/>
                <w:u w:val="single"/>
              </w:rPr>
              <w:t>1</w:t>
            </w:r>
            <w:r>
              <w:rPr>
                <w:rFonts w:hint="eastAsia"/>
                <w:b/>
                <w:bCs/>
                <w:szCs w:val="21"/>
                <w:u w:val="single"/>
              </w:rPr>
              <w:t>-</w:t>
            </w:r>
            <w:r>
              <w:rPr>
                <w:rFonts w:hint="eastAsia"/>
                <w:b/>
                <w:bCs/>
                <w:szCs w:val="21"/>
                <w:u w:val="single"/>
                <w:lang w:val="en-US" w:eastAsia="zh-CN"/>
              </w:rPr>
              <w:t>3</w:t>
            </w:r>
            <w:r>
              <w:rPr>
                <w:b/>
                <w:bCs/>
                <w:szCs w:val="21"/>
                <w:u w:val="single"/>
              </w:rPr>
              <w:t xml:space="preserve">  项目与龙岭工业集中区生态环境准入清单相符性分析</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241"/>
              <w:gridCol w:w="5689"/>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通知文件</w:t>
                  </w:r>
                </w:p>
              </w:tc>
              <w:tc>
                <w:tcPr>
                  <w:tcW w:w="124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类别</w:t>
                  </w:r>
                </w:p>
              </w:tc>
              <w:tc>
                <w:tcPr>
                  <w:tcW w:w="568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rPr>
                    <w:t>项目与生态环境准入清单符合性分析</w:t>
                  </w:r>
                </w:p>
              </w:tc>
              <w:tc>
                <w:tcPr>
                  <w:tcW w:w="81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restart"/>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rPr>
                    <w:t>湖南省“三线一单” 生态环境总体 管控要求暨省 级以上产业园 区生态环境准 入清单（2020年9月）</w:t>
                  </w:r>
                </w:p>
              </w:tc>
              <w:tc>
                <w:tcPr>
                  <w:tcW w:w="124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vertAlign w:val="baseline"/>
                      <w:lang w:val="en-US" w:eastAsia="zh-CN"/>
                    </w:rPr>
                    <w:t>空间布局约束</w:t>
                  </w:r>
                </w:p>
              </w:tc>
              <w:tc>
                <w:tcPr>
                  <w:tcW w:w="568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龙岭新区：主区内不再设置居住用地和规划集中安置区；禁止在新区一组团边界布局气型污染明显的企业及布局噪声影响大的企业，在龙岭新区一组团北部和南部边界设置一定距离的绿化隔离带；禁止化工、机械加工产业新进入主区及春嘉路以东的龙岭新区一组团区域。</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sz w:val="21"/>
                      <w:szCs w:val="21"/>
                      <w:u w:val="single"/>
                      <w:vertAlign w:val="baseline"/>
                      <w:lang w:eastAsia="zh-CN"/>
                    </w:rPr>
                  </w:pPr>
                  <w:r>
                    <w:rPr>
                      <w:rFonts w:hint="default" w:ascii="Times New Roman" w:hAnsi="Times New Roman" w:eastAsia="宋体" w:cs="Times New Roman"/>
                      <w:b/>
                      <w:bCs/>
                      <w:sz w:val="21"/>
                      <w:szCs w:val="21"/>
                      <w:u w:val="single"/>
                    </w:rPr>
                    <w:t>符合性分析：</w:t>
                  </w:r>
                  <w:r>
                    <w:rPr>
                      <w:rFonts w:hint="default" w:ascii="Times New Roman" w:hAnsi="Times New Roman" w:eastAsia="宋体" w:cs="Times New Roman"/>
                      <w:sz w:val="21"/>
                      <w:szCs w:val="21"/>
                      <w:u w:val="single"/>
                    </w:rPr>
                    <w:t>本项目生产过程中排污较少，主要为生产过程中产生的少量有机废气，不属于气型污染明显的企业；且本项目生产设备运行过程中噪声产生较小，经预测分析在采取相关减震降噪措施后，项目厂界噪声满足 《工业企业厂界噪声排放标准》（GB12348-2008）表1中3类区标准，本项目不属于化工、机械加工产业</w:t>
                  </w:r>
                  <w:r>
                    <w:rPr>
                      <w:rFonts w:hint="eastAsia" w:ascii="Times New Roman" w:hAnsi="Times New Roman" w:eastAsia="宋体" w:cs="Times New Roman"/>
                      <w:sz w:val="21"/>
                      <w:szCs w:val="21"/>
                      <w:u w:val="single"/>
                      <w:lang w:eastAsia="zh-CN"/>
                    </w:rPr>
                    <w:t>。</w:t>
                  </w:r>
                </w:p>
              </w:tc>
              <w:tc>
                <w:tcPr>
                  <w:tcW w:w="81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p>
              </w:tc>
              <w:tc>
                <w:tcPr>
                  <w:tcW w:w="124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污染物排 放管控</w:t>
                  </w:r>
                </w:p>
              </w:tc>
              <w:tc>
                <w:tcPr>
                  <w:tcW w:w="568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（1）废水：园区排水实施雨污分流；龙岭新区的废水经益阳市城东污水处理厂处理后引管排入撇洪新河再到湘江；在城东污水处理厂二期未建成</w:t>
                  </w:r>
                  <w:bookmarkStart w:id="30" w:name="_GoBack"/>
                  <w:bookmarkEnd w:id="30"/>
                  <w:r>
                    <w:rPr>
                      <w:rFonts w:hint="default" w:ascii="Times New Roman" w:hAnsi="Times New Roman" w:eastAsia="宋体" w:cs="Times New Roman"/>
                      <w:sz w:val="21"/>
                      <w:szCs w:val="21"/>
                      <w:u w:val="single"/>
                    </w:rPr>
                    <w:t>投入运营前，禁止目前在建及新引进的涉水型污染项目投入运行。</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（2）废气：落实园区大气污染管控措施，加强对企业的监管力度，督促企业完善废气处理设施，确保达标排放。完成重点工业企业清洁生产技术改造、 工业企业堆场扬尘及其它无组织排放治理改造。</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（3）固体废弃物：采用全流程管控措施，建立园区 固废规范化管理体系、资源化进程，做好工业固体 废物和生活垃圾的分类收集、转运、综合利用和无害化处理，建立完善的固废管理体系。对各类工业企业产生的固体废物特别是危险固废应严格按照国家有关规定综合利用或妥善处置，严防二次污染，对危险废物产生企业和经营单位，加大抽查力度和频次，强化日常环境监管。</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 xml:space="preserve">（4）园区内医药、新材料等行业及涉锅炉大气污染物排放应满足《湖南省生态环境厅关于执行污染物 特别排放限值（第一批）的公告》的要求。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b/>
                      <w:bCs/>
                      <w:sz w:val="21"/>
                      <w:szCs w:val="21"/>
                      <w:u w:val="single"/>
                    </w:rPr>
                    <w:t>符合性分析：</w:t>
                  </w:r>
                  <w:r>
                    <w:rPr>
                      <w:rFonts w:hint="default" w:ascii="Times New Roman" w:hAnsi="Times New Roman" w:eastAsia="宋体" w:cs="Times New Roman"/>
                      <w:sz w:val="21"/>
                      <w:szCs w:val="21"/>
                      <w:u w:val="single"/>
                    </w:rPr>
                    <w:t>本项目生活污水经化粪池处理后，经园区污水管网排入城东污水处理厂进行深度处理； 本项目生产过程中产生的废气污染物主要为少量有机废气，经</w:t>
                  </w:r>
                  <w:r>
                    <w:rPr>
                      <w:rFonts w:hint="eastAsia" w:ascii="Times New Roman" w:hAnsi="Times New Roman" w:eastAsia="宋体" w:cs="Times New Roman"/>
                      <w:sz w:val="21"/>
                      <w:szCs w:val="21"/>
                      <w:u w:val="single"/>
                      <w:lang w:val="en-US" w:eastAsia="zh-CN"/>
                    </w:rPr>
                    <w:t>UV光解+活性炭吸附处理后由15m排气筒</w:t>
                  </w:r>
                  <w:r>
                    <w:rPr>
                      <w:rFonts w:hint="default" w:ascii="Times New Roman" w:hAnsi="Times New Roman" w:eastAsia="宋体" w:cs="Times New Roman"/>
                      <w:sz w:val="21"/>
                      <w:szCs w:val="21"/>
                      <w:u w:val="single"/>
                    </w:rPr>
                    <w:t>排放对大气环境影响较小；固体废弃物均配套有收集、暂存措施，有合理的处置去向，能实现综合利用或妥善处置。综上所述，本项目符合污染物排放管控要求。</w:t>
                  </w:r>
                </w:p>
              </w:tc>
              <w:tc>
                <w:tcPr>
                  <w:tcW w:w="81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Merge w:val="continue"/>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p>
              </w:tc>
              <w:tc>
                <w:tcPr>
                  <w:tcW w:w="124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环境风险 防控</w:t>
                  </w:r>
                </w:p>
              </w:tc>
              <w:tc>
                <w:tcPr>
                  <w:tcW w:w="568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（1）园区应建立健全环境风险防控体系，严格落实 《益阳龙岭工业集中区突发环境事件应急预案》的 相关要求，严防环境突发事件发生，提高应急处置能力；深化全区范围内化工、医药、纺织、印染、 危化品和石油类仓储、涉重金属和危险废物等重点企业环境风险评估。</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 xml:space="preserve">（2）园区可能发生突发环境事件的污染物排放企业，生产、储存、运输、使用危险化学品的企业，产生、收集、贮存、运输、利用、处置危险废物的企业，尾矿库企业等应当编制和实施环境应急预案； 鼓励其他企业制定单独的环境应急预案，或在突发事件应急预案中制定环境应急预案专章，并备案。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 xml:space="preserve">（3）建设用地土壤风险防控：加大涉重企业治污与 清洁生产改造力度，强化园区集中治污，严厉打击 超标排放与偷排漏排，规范企业无组织排放与物料、固体废物堆场堆存；加强建设用地治理修复和风险管控名录管理，实现污染地块安全利用率为90%以上。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（4）农用地土壤风险防控：严控污染地块环境风险，进一步加强搬迁或退出工业企业腾退土地污染风险 管控，严格企业拆除活动的环境监管，对拟开发为农用地组织开展土壤环境质量状况评估，不符合相应标准的，不得种植食用农产品；加强纳入耕地后 备资源的未利用地保护，定期开展巡查。</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b/>
                      <w:bCs/>
                      <w:sz w:val="21"/>
                      <w:szCs w:val="21"/>
                      <w:u w:val="single"/>
                    </w:rPr>
                    <w:t>符合性分析：</w:t>
                  </w:r>
                  <w:r>
                    <w:rPr>
                      <w:rFonts w:hint="default" w:ascii="Times New Roman" w:hAnsi="Times New Roman" w:eastAsia="宋体" w:cs="Times New Roman"/>
                      <w:sz w:val="21"/>
                      <w:szCs w:val="21"/>
                      <w:u w:val="single"/>
                    </w:rPr>
                    <w:t>本评价要求项目在审批后及时办理应急预案备案和竣工环保验收工作。</w:t>
                  </w:r>
                </w:p>
              </w:tc>
              <w:tc>
                <w:tcPr>
                  <w:tcW w:w="81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6" w:hRule="atLeast"/>
              </w:trPr>
              <w:tc>
                <w:tcPr>
                  <w:tcW w:w="778" w:type="dxa"/>
                  <w:vMerge w:val="continue"/>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lang w:val="en-US" w:eastAsia="zh-CN"/>
                    </w:rPr>
                  </w:pPr>
                </w:p>
              </w:tc>
              <w:tc>
                <w:tcPr>
                  <w:tcW w:w="1241"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sz w:val="21"/>
                      <w:szCs w:val="21"/>
                      <w:u w:val="single"/>
                    </w:rPr>
                    <w:t>资源开发 效率要求</w:t>
                  </w:r>
                </w:p>
              </w:tc>
              <w:tc>
                <w:tcPr>
                  <w:tcW w:w="5689"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1）能源：加快推进燃煤锅炉改造，鼓励使用天然气、生物质等清洁能源，推进天然气管网、储气库等基础设施建设，提升天然气供应保障能力。园区应按“湖南省工程建设项目审批制度改革工作领导小组办公室关于印发《工程建设项目区域评估工作实施方案的通知》”，尽快开展节能评估工作。</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（2）水资源：严格用水强度指标管理，建立重点用水单位监控名录，对纳入取水许可管理的单位和其 他用水大户实行计划用水管理。鼓励纺织、化工、食品加工等高耗水企业废水深度处理回用。到2020年，赫山区用水总量7.266亿立方米；万元工业增加值用水量91立方米/万元。高耗水行业达到先进定额标准。</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rPr>
                  </w:pPr>
                  <w:r>
                    <w:rPr>
                      <w:rFonts w:hint="default" w:ascii="Times New Roman" w:hAnsi="Times New Roman" w:eastAsia="宋体" w:cs="Times New Roman"/>
                      <w:sz w:val="21"/>
                      <w:szCs w:val="21"/>
                      <w:u w:val="single"/>
                    </w:rPr>
                    <w:t>（3）土地资源：开发区内各项建设活动应严格遵照有关规定，严格执行国家和湖南省工业项目建设用地控制指标，防止工业用地低效扩张，积极推广标准厂房和多层通用厂房。引导入省级园区土地投资强度不低于200万元/亩。</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r>
                    <w:rPr>
                      <w:rFonts w:hint="default" w:ascii="Times New Roman" w:hAnsi="Times New Roman" w:eastAsia="宋体" w:cs="Times New Roman"/>
                      <w:b/>
                      <w:bCs/>
                      <w:sz w:val="21"/>
                      <w:szCs w:val="21"/>
                      <w:u w:val="single"/>
                    </w:rPr>
                    <w:t>符合性分析：</w:t>
                  </w:r>
                  <w:r>
                    <w:rPr>
                      <w:rFonts w:hint="default" w:ascii="Times New Roman" w:hAnsi="Times New Roman" w:eastAsia="宋体" w:cs="Times New Roman"/>
                      <w:sz w:val="21"/>
                      <w:szCs w:val="21"/>
                      <w:u w:val="single"/>
                    </w:rPr>
                    <w:t>本项目符合能源和水资源开发效率要求。项目所在地为规划的工业用地，用地性质为园区工业用地，用地性质符合生产要求，符合土地资源开发效率要求。</w:t>
                  </w:r>
                </w:p>
              </w:tc>
              <w:tc>
                <w:tcPr>
                  <w:tcW w:w="814"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宋体" w:cs="Times New Roman"/>
                      <w:sz w:val="21"/>
                      <w:szCs w:val="21"/>
                      <w:u w:val="single"/>
                      <w:vertAlign w:val="baseline"/>
                    </w:rPr>
                  </w:pPr>
                </w:p>
              </w:tc>
            </w:tr>
          </w:tbl>
          <w:p>
            <w:pPr>
              <w:pStyle w:val="50"/>
              <w:autoSpaceDE/>
              <w:autoSpaceDN/>
              <w:adjustRightInd/>
              <w:spacing w:line="480" w:lineRule="exact"/>
              <w:ind w:firstLine="480" w:firstLineChars="200"/>
              <w:jc w:val="both"/>
              <w:textAlignment w:val="auto"/>
              <w:rPr>
                <w:rFonts w:ascii="Times New Roman" w:hAnsi="Times New Roman"/>
                <w:szCs w:val="24"/>
                <w:u w:val="single"/>
              </w:rPr>
            </w:pPr>
            <w:r>
              <w:rPr>
                <w:rFonts w:hint="eastAsia" w:ascii="Times New Roman" w:hAnsi="Times New Roman"/>
                <w:szCs w:val="24"/>
                <w:u w:val="single"/>
              </w:rPr>
              <w:t>综上，经过与“三线一单”进行对照，项目不在生态保护红线内、未超出环境质量底线及资源利用上线、未列入环境准入负面清单内。本项目的建设符合国家“三线一单”的管控原则。</w:t>
            </w:r>
          </w:p>
          <w:p>
            <w:pPr>
              <w:pStyle w:val="27"/>
              <w:spacing w:line="480" w:lineRule="exact"/>
              <w:rPr>
                <w:rFonts w:ascii="Times New Roman" w:hAnsi="Times New Roman"/>
                <w:b/>
                <w:bCs/>
                <w:color w:val="auto"/>
                <w:kern w:val="21"/>
                <w:szCs w:val="21"/>
              </w:rPr>
            </w:pPr>
            <w:r>
              <w:rPr>
                <w:rFonts w:hint="eastAsia" w:ascii="Times New Roman" w:hAnsi="Times New Roman"/>
                <w:b/>
                <w:bCs/>
                <w:color w:val="auto"/>
                <w:kern w:val="21"/>
                <w:szCs w:val="21"/>
              </w:rPr>
              <w:t>1.2、产业政策符合性分析</w:t>
            </w:r>
          </w:p>
          <w:p>
            <w:pPr>
              <w:pStyle w:val="27"/>
              <w:spacing w:line="480" w:lineRule="exact"/>
              <w:ind w:firstLine="480" w:firstLineChars="200"/>
              <w:rPr>
                <w:rFonts w:ascii="Times New Roman" w:hAnsi="Times New Roman"/>
                <w:color w:val="auto"/>
                <w:kern w:val="21"/>
                <w:szCs w:val="21"/>
              </w:rPr>
            </w:pPr>
            <w:r>
              <w:rPr>
                <w:rFonts w:hint="eastAsia" w:ascii="Times New Roman" w:hAnsi="Times New Roman"/>
                <w:color w:val="auto"/>
                <w:kern w:val="21"/>
                <w:szCs w:val="21"/>
              </w:rPr>
              <w:t>根据国家发改委颁布的《产业结构调整指导目录》（2019 年本）以及2021修改决定，本项目不属于目录中的限制类、淘汰类项目，为</w:t>
            </w:r>
            <w:r>
              <w:rPr>
                <w:rFonts w:hint="eastAsia"/>
                <w:color w:val="auto"/>
                <w:szCs w:val="21"/>
              </w:rPr>
              <w:t>第一类鼓励类</w:t>
            </w:r>
            <w:r>
              <w:rPr>
                <w:rFonts w:hint="eastAsia" w:ascii="Times New Roman" w:hAnsi="Times New Roman"/>
                <w:color w:val="auto"/>
                <w:kern w:val="21"/>
                <w:szCs w:val="21"/>
              </w:rPr>
              <w:t>（四十三、环境保护与资源节约综合利用——27、废旧木材、废旧电器电子产品、废印刷电路板、废旧电池、废旧船舶、废旧农机、废塑料、废旧纺织品及纺织废料和边角料、废（碎）玻璃、废橡胶、废弃油脂等废旧物资等资源循环再利用技术、设备开发及应用项目）。</w:t>
            </w:r>
          </w:p>
          <w:p>
            <w:pPr>
              <w:pStyle w:val="20"/>
              <w:spacing w:after="0" w:line="480" w:lineRule="exact"/>
              <w:ind w:left="0" w:leftChars="0" w:firstLine="0" w:firstLineChars="0"/>
              <w:rPr>
                <w:rFonts w:cs="宋体"/>
                <w:b/>
                <w:bCs/>
                <w:kern w:val="21"/>
                <w:sz w:val="24"/>
                <w:szCs w:val="21"/>
              </w:rPr>
            </w:pPr>
            <w:r>
              <w:rPr>
                <w:rFonts w:hint="eastAsia" w:cs="宋体"/>
                <w:b/>
                <w:bCs/>
                <w:kern w:val="21"/>
                <w:sz w:val="24"/>
                <w:szCs w:val="21"/>
              </w:rPr>
              <w:t>1.3、项目与《</w:t>
            </w:r>
            <w:bookmarkStart w:id="5" w:name="OLE_LINK26"/>
            <w:r>
              <w:rPr>
                <w:rFonts w:hint="eastAsia" w:cs="宋体"/>
                <w:b/>
                <w:bCs/>
                <w:kern w:val="21"/>
                <w:sz w:val="24"/>
                <w:szCs w:val="21"/>
              </w:rPr>
              <w:t>废塑料加工利用污染防治管理规定</w:t>
            </w:r>
            <w:bookmarkEnd w:id="5"/>
            <w:r>
              <w:rPr>
                <w:rFonts w:hint="eastAsia" w:cs="宋体"/>
                <w:b/>
                <w:bCs/>
                <w:kern w:val="21"/>
                <w:sz w:val="24"/>
                <w:szCs w:val="21"/>
              </w:rPr>
              <w:t>》（2012年）符合性分析</w:t>
            </w:r>
          </w:p>
          <w:p>
            <w:pPr>
              <w:pStyle w:val="19"/>
              <w:spacing w:after="0" w:line="480" w:lineRule="exact"/>
              <w:ind w:firstLine="480" w:firstLineChars="200"/>
              <w:rPr>
                <w:sz w:val="24"/>
              </w:rPr>
            </w:pPr>
            <w:r>
              <w:rPr>
                <w:sz w:val="24"/>
              </w:rPr>
              <w:t>《废塑料加工利用污染防治管理规定》中禁止在居民区加工利用废塑料。禁止利用废塑料生产厚度小于0.025</w:t>
            </w:r>
            <w:r>
              <w:rPr>
                <w:rFonts w:hint="eastAsia"/>
                <w:sz w:val="24"/>
              </w:rPr>
              <w:t xml:space="preserve"> </w:t>
            </w:r>
            <w:r>
              <w:rPr>
                <w:sz w:val="24"/>
              </w:rPr>
              <w:t>mm的超薄塑料购物袋和厚度小于0.015</w:t>
            </w:r>
            <w:r>
              <w:rPr>
                <w:rFonts w:hint="eastAsia"/>
                <w:sz w:val="24"/>
              </w:rPr>
              <w:t xml:space="preserve"> </w:t>
            </w:r>
            <w:r>
              <w:rPr>
                <w:sz w:val="24"/>
              </w:rPr>
              <w:t>mm超薄塑料袋。禁止利用废塑料生产食品用塑料袋。禁止无危险废物经营许可证从事废塑料类危险废物的回收利用活动，包括被危险化学品、农药等污染的废弃塑料包装物，废弃的一次性医疗用塑料制品（如输液器、血袋）等</w:t>
            </w:r>
            <w:r>
              <w:rPr>
                <w:rFonts w:hint="eastAsia"/>
                <w:sz w:val="24"/>
              </w:rPr>
              <w:t>。</w:t>
            </w:r>
            <w:r>
              <w:rPr>
                <w:sz w:val="24"/>
              </w:rPr>
              <w:t>本项目不</w:t>
            </w:r>
            <w:r>
              <w:rPr>
                <w:rFonts w:hint="eastAsia"/>
                <w:sz w:val="24"/>
              </w:rPr>
              <w:t>进口废塑料，原料已经分选处理，不采用沾染危化品农药等原料，不用医疗废包装作为原料，</w:t>
            </w:r>
            <w:r>
              <w:rPr>
                <w:rFonts w:hint="eastAsia"/>
                <w:sz w:val="24"/>
                <w:lang w:val="en-US" w:eastAsia="zh-CN"/>
              </w:rPr>
              <w:t>项目</w:t>
            </w:r>
            <w:r>
              <w:rPr>
                <w:rFonts w:hint="eastAsia"/>
                <w:sz w:val="24"/>
              </w:rPr>
              <w:t>对</w:t>
            </w:r>
            <w:r>
              <w:rPr>
                <w:rFonts w:hint="eastAsia" w:cs="宋体"/>
                <w:spacing w:val="-2"/>
                <w:sz w:val="24"/>
              </w:rPr>
              <w:t>废塑料进行破碎加工造粒处理，项目选址位于工业园区内</w:t>
            </w:r>
            <w:r>
              <w:rPr>
                <w:sz w:val="24"/>
              </w:rPr>
              <w:t>，项目生产均不涉及</w:t>
            </w:r>
            <w:r>
              <w:rPr>
                <w:rFonts w:hint="eastAsia"/>
                <w:sz w:val="24"/>
              </w:rPr>
              <w:t>上述规定禁止的</w:t>
            </w:r>
            <w:r>
              <w:rPr>
                <w:sz w:val="24"/>
              </w:rPr>
              <w:t>情况。</w:t>
            </w:r>
          </w:p>
          <w:p>
            <w:pPr>
              <w:spacing w:line="480" w:lineRule="exact"/>
              <w:rPr>
                <w:b/>
                <w:bCs/>
                <w:sz w:val="24"/>
              </w:rPr>
            </w:pPr>
            <w:r>
              <w:rPr>
                <w:rFonts w:hint="eastAsia"/>
                <w:b/>
                <w:bCs/>
                <w:sz w:val="24"/>
              </w:rPr>
              <w:t>1.4、项目与</w:t>
            </w:r>
            <w:bookmarkStart w:id="6" w:name="OLE_LINK1"/>
            <w:r>
              <w:rPr>
                <w:rFonts w:hint="eastAsia"/>
                <w:b/>
                <w:bCs/>
                <w:sz w:val="24"/>
              </w:rPr>
              <w:t>《废塑料综合利用行业规范条件》</w:t>
            </w:r>
            <w:bookmarkEnd w:id="6"/>
            <w:bookmarkStart w:id="7" w:name="OLE_LINK29"/>
            <w:r>
              <w:rPr>
                <w:rFonts w:hint="eastAsia"/>
                <w:b/>
                <w:bCs/>
                <w:sz w:val="24"/>
              </w:rPr>
              <w:t>（2015年）</w:t>
            </w:r>
            <w:bookmarkEnd w:id="7"/>
            <w:r>
              <w:rPr>
                <w:rFonts w:hint="eastAsia"/>
                <w:b/>
                <w:bCs/>
                <w:sz w:val="24"/>
              </w:rPr>
              <w:t>符合性分析</w:t>
            </w:r>
          </w:p>
          <w:p>
            <w:pPr>
              <w:pStyle w:val="27"/>
              <w:spacing w:line="480" w:lineRule="exact"/>
              <w:ind w:firstLine="480" w:firstLineChars="200"/>
              <w:rPr>
                <w:rFonts w:ascii="Times New Roman" w:hAnsi="Times New Roman"/>
                <w:color w:val="auto"/>
              </w:rPr>
            </w:pPr>
            <w:r>
              <w:rPr>
                <w:rFonts w:hint="eastAsia" w:ascii="Times New Roman" w:hAnsi="Times New Roman"/>
                <w:color w:val="auto"/>
              </w:rPr>
              <w:t>本项目与工信部公告《</w:t>
            </w:r>
            <w:bookmarkStart w:id="8" w:name="OLE_LINK19"/>
            <w:r>
              <w:rPr>
                <w:rFonts w:hint="eastAsia" w:ascii="Times New Roman" w:hAnsi="Times New Roman"/>
                <w:color w:val="auto"/>
              </w:rPr>
              <w:t>废塑料综合利用行业规范条件</w:t>
            </w:r>
            <w:bookmarkEnd w:id="8"/>
            <w:r>
              <w:rPr>
                <w:rFonts w:hint="eastAsia" w:ascii="Times New Roman" w:hAnsi="Times New Roman"/>
                <w:color w:val="auto"/>
              </w:rPr>
              <w:t>》</w:t>
            </w:r>
            <w:r>
              <w:rPr>
                <w:rFonts w:hint="eastAsia"/>
                <w:color w:val="auto"/>
              </w:rPr>
              <w:t>（2015年第81号）</w:t>
            </w:r>
            <w:r>
              <w:rPr>
                <w:rFonts w:hint="eastAsia" w:ascii="Times New Roman" w:hAnsi="Times New Roman"/>
                <w:color w:val="auto"/>
              </w:rPr>
              <w:t>相符情况详见表1-2。</w:t>
            </w:r>
          </w:p>
          <w:p>
            <w:pPr>
              <w:pStyle w:val="27"/>
              <w:jc w:val="center"/>
              <w:rPr>
                <w:rFonts w:ascii="Times New Roman" w:hAnsi="Times New Roman"/>
                <w:b/>
                <w:bCs/>
                <w:color w:val="auto"/>
                <w:sz w:val="21"/>
              </w:rPr>
            </w:pPr>
            <w:r>
              <w:rPr>
                <w:rFonts w:hint="eastAsia" w:ascii="Times New Roman" w:hAnsi="Times New Roman"/>
                <w:b/>
                <w:bCs/>
                <w:color w:val="auto"/>
                <w:sz w:val="21"/>
              </w:rPr>
              <w:t>表1-</w:t>
            </w:r>
            <w:r>
              <w:rPr>
                <w:rFonts w:hint="eastAsia" w:ascii="Times New Roman" w:hAnsi="Times New Roman"/>
                <w:b/>
                <w:bCs/>
                <w:color w:val="auto"/>
                <w:sz w:val="21"/>
                <w:lang w:val="en-US" w:eastAsia="zh-CN"/>
              </w:rPr>
              <w:t>4</w:t>
            </w:r>
            <w:r>
              <w:rPr>
                <w:rFonts w:hint="eastAsia" w:ascii="Times New Roman" w:hAnsi="Times New Roman"/>
                <w:b/>
                <w:bCs/>
                <w:color w:val="auto"/>
                <w:sz w:val="21"/>
              </w:rPr>
              <w:t xml:space="preserve"> 项目与《废塑料综合利用行业规范条件》符合性分析一览表</w:t>
            </w:r>
          </w:p>
          <w:tbl>
            <w:tblPr>
              <w:tblStyle w:val="21"/>
              <w:tblW w:w="65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847"/>
              <w:gridCol w:w="2463"/>
              <w:gridCol w:w="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序号</w:t>
                  </w:r>
                </w:p>
              </w:tc>
              <w:tc>
                <w:tcPr>
                  <w:tcW w:w="2847"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规范要求</w:t>
                  </w:r>
                </w:p>
              </w:tc>
              <w:tc>
                <w:tcPr>
                  <w:tcW w:w="2463"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项目情况</w:t>
                  </w:r>
                </w:p>
              </w:tc>
              <w:tc>
                <w:tcPr>
                  <w:tcW w:w="673"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是否相符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1</w:t>
                  </w:r>
                </w:p>
              </w:tc>
              <w:tc>
                <w:tcPr>
                  <w:tcW w:w="2847" w:type="dxa"/>
                  <w:tcBorders>
                    <w:tl2br w:val="nil"/>
                    <w:tr2bl w:val="nil"/>
                  </w:tcBorders>
                  <w:shd w:val="clear" w:color="auto" w:fill="auto"/>
                  <w:vAlign w:val="center"/>
                </w:tcPr>
                <w:p>
                  <w:pPr>
                    <w:pStyle w:val="20"/>
                    <w:spacing w:after="0"/>
                    <w:ind w:left="0" w:leftChars="0" w:firstLine="0" w:firstLineChars="0"/>
                    <w:jc w:val="center"/>
                  </w:pPr>
                  <w:r>
                    <w:t>企业加工存储场地应建有围墙，在园区内的企业可为单独厂房，地面全部硬化且无明显破损现象</w:t>
                  </w:r>
                </w:p>
              </w:tc>
              <w:tc>
                <w:tcPr>
                  <w:tcW w:w="2463" w:type="dxa"/>
                  <w:tcBorders>
                    <w:tl2br w:val="nil"/>
                    <w:tr2bl w:val="nil"/>
                  </w:tcBorders>
                  <w:shd w:val="clear" w:color="auto" w:fill="auto"/>
                  <w:vAlign w:val="center"/>
                </w:tcPr>
                <w:p>
                  <w:pPr>
                    <w:pStyle w:val="20"/>
                    <w:spacing w:after="0"/>
                    <w:ind w:left="0" w:leftChars="0" w:firstLine="0" w:firstLineChars="0"/>
                    <w:jc w:val="center"/>
                  </w:pPr>
                  <w:r>
                    <w:t>本项目加工</w:t>
                  </w:r>
                  <w:r>
                    <w:rPr>
                      <w:rFonts w:hint="eastAsia"/>
                    </w:rPr>
                    <w:t>、</w:t>
                  </w:r>
                  <w:r>
                    <w:t>存储</w:t>
                  </w:r>
                  <w:r>
                    <w:rPr>
                      <w:rFonts w:hint="eastAsia"/>
                    </w:rPr>
                    <w:t>均在封闭厂房内进行，</w:t>
                  </w:r>
                  <w:r>
                    <w:t>地面已做好硬化</w:t>
                  </w:r>
                  <w:r>
                    <w:rPr>
                      <w:rFonts w:hint="eastAsia"/>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2</w:t>
                  </w:r>
                </w:p>
              </w:tc>
              <w:tc>
                <w:tcPr>
                  <w:tcW w:w="2847" w:type="dxa"/>
                  <w:tcBorders>
                    <w:tl2br w:val="nil"/>
                    <w:tr2bl w:val="nil"/>
                  </w:tcBorders>
                  <w:shd w:val="clear" w:color="auto" w:fill="auto"/>
                  <w:vAlign w:val="center"/>
                </w:tcPr>
                <w:p>
                  <w:pPr>
                    <w:pStyle w:val="20"/>
                    <w:spacing w:after="0"/>
                    <w:ind w:left="0" w:leftChars="0" w:firstLine="0" w:firstLineChars="0"/>
                    <w:jc w:val="center"/>
                  </w:pPr>
                  <w:r>
                    <w:t>企业必须配备废塑料分类存放场所。原料、产品、本企业不能利用废塑料及不可利用废物贮存在具有防雨、防风、防渗等功能的厂房或加盖雨棚的专门贮存场地内，无露天堆放现象。企业厂区管网建设应达到“雨污分流”要求</w:t>
                  </w:r>
                </w:p>
              </w:tc>
              <w:tc>
                <w:tcPr>
                  <w:tcW w:w="2463" w:type="dxa"/>
                  <w:tcBorders>
                    <w:tl2br w:val="nil"/>
                    <w:tr2bl w:val="nil"/>
                  </w:tcBorders>
                  <w:shd w:val="clear" w:color="auto" w:fill="auto"/>
                  <w:vAlign w:val="center"/>
                </w:tcPr>
                <w:p>
                  <w:pPr>
                    <w:pStyle w:val="20"/>
                    <w:spacing w:after="0"/>
                    <w:ind w:left="0" w:leftChars="0" w:firstLine="0" w:firstLineChars="0"/>
                    <w:jc w:val="center"/>
                  </w:pPr>
                  <w:r>
                    <w:t>本项目原料及产品分类储存，设有一般固废暂存间及危废暂存间，无露天堆放现象；场内排水实行雨污分流</w:t>
                  </w:r>
                  <w:r>
                    <w:rPr>
                      <w:rFonts w:hint="eastAsia"/>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3</w:t>
                  </w:r>
                </w:p>
              </w:tc>
              <w:tc>
                <w:tcPr>
                  <w:tcW w:w="2847" w:type="dxa"/>
                  <w:tcBorders>
                    <w:tl2br w:val="nil"/>
                    <w:tr2bl w:val="nil"/>
                  </w:tcBorders>
                  <w:shd w:val="clear" w:color="auto" w:fill="auto"/>
                  <w:vAlign w:val="center"/>
                </w:tcPr>
                <w:p>
                  <w:pPr>
                    <w:pStyle w:val="20"/>
                    <w:spacing w:after="0"/>
                    <w:ind w:left="0" w:leftChars="0" w:firstLine="0" w:firstLineChars="0"/>
                    <w:jc w:val="center"/>
                  </w:pPr>
                  <w:r>
                    <w:t>企业对收集的废塑料中的金属、橡胶、纤维、渣土、油脂、添加物等夹杂物，应采取相应的处理措施。如企业不具备处理条件，应委托其他具有处理能力的企业处理，不得擅自丢弃、倾倒、焚烧与填埋。</w:t>
                  </w:r>
                </w:p>
              </w:tc>
              <w:tc>
                <w:tcPr>
                  <w:tcW w:w="2463" w:type="dxa"/>
                  <w:tcBorders>
                    <w:tl2br w:val="nil"/>
                    <w:tr2bl w:val="nil"/>
                  </w:tcBorders>
                  <w:shd w:val="clear" w:color="auto" w:fill="auto"/>
                  <w:vAlign w:val="center"/>
                </w:tcPr>
                <w:p>
                  <w:pPr>
                    <w:adjustRightInd w:val="0"/>
                    <w:snapToGrid w:val="0"/>
                    <w:jc w:val="center"/>
                  </w:pPr>
                  <w:r>
                    <w:rPr>
                      <w:rFonts w:hint="eastAsia"/>
                    </w:rPr>
                    <w:t>本项目</w:t>
                  </w:r>
                  <w:r>
                    <w:rPr>
                      <w:rFonts w:cs="宋体"/>
                      <w:snapToGrid w:val="0"/>
                      <w:spacing w:val="-2"/>
                      <w:kern w:val="0"/>
                    </w:rPr>
                    <w:t>原料已由供应商分选</w:t>
                  </w:r>
                  <w:r>
                    <w:rPr>
                      <w:rFonts w:hint="eastAsia" w:cs="宋体"/>
                      <w:snapToGrid w:val="0"/>
                      <w:spacing w:val="-2"/>
                      <w:kern w:val="0"/>
                    </w:rPr>
                    <w:t>，剩下单纯地原材料</w:t>
                  </w:r>
                  <w:r>
                    <w:rPr>
                      <w:rFonts w:hint="eastAsia"/>
                      <w:spacing w:val="-5"/>
                      <w:szCs w:val="21"/>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4</w:t>
                  </w:r>
                </w:p>
              </w:tc>
              <w:tc>
                <w:tcPr>
                  <w:tcW w:w="2847" w:type="dxa"/>
                  <w:tcBorders>
                    <w:tl2br w:val="nil"/>
                    <w:tr2bl w:val="nil"/>
                  </w:tcBorders>
                  <w:shd w:val="clear" w:color="auto" w:fill="auto"/>
                  <w:vAlign w:val="center"/>
                </w:tcPr>
                <w:p>
                  <w:pPr>
                    <w:pStyle w:val="20"/>
                    <w:spacing w:after="0"/>
                    <w:ind w:left="0" w:leftChars="0" w:firstLine="0" w:firstLineChars="0"/>
                    <w:jc w:val="center"/>
                  </w:pPr>
                  <w:r>
                    <w:t>企业应具有与加工利用能力相适应的废水处理设施，中水回用率必须符合环评文件的有关要求。废水处理后需要外排的废水，必须经处理后达标排放。企业应采用高效节能环保的污泥处理工艺,或交由具有处理资格的废物处理机构,实现污泥无害化处理。除具有获批建设、验收合格的专业盐卤废水处理设施，禁止使用盐卤分选工艺。</w:t>
                  </w:r>
                </w:p>
              </w:tc>
              <w:tc>
                <w:tcPr>
                  <w:tcW w:w="2463" w:type="dxa"/>
                  <w:tcBorders>
                    <w:tl2br w:val="nil"/>
                    <w:tr2bl w:val="nil"/>
                  </w:tcBorders>
                  <w:shd w:val="clear" w:color="auto" w:fill="auto"/>
                  <w:vAlign w:val="center"/>
                </w:tcPr>
                <w:p>
                  <w:pPr>
                    <w:pStyle w:val="20"/>
                    <w:spacing w:after="0"/>
                    <w:ind w:left="0" w:leftChars="0" w:firstLine="0" w:firstLineChars="0"/>
                    <w:jc w:val="center"/>
                  </w:pPr>
                  <w:r>
                    <w:t>本项目设置</w:t>
                  </w:r>
                  <w:r>
                    <w:rPr>
                      <w:rFonts w:hint="eastAsia"/>
                    </w:rPr>
                    <w:t>三</w:t>
                  </w:r>
                  <w:r>
                    <w:t>级沉淀池，</w:t>
                  </w:r>
                  <w:r>
                    <w:rPr>
                      <w:rFonts w:hint="eastAsia"/>
                    </w:rPr>
                    <w:t>生产</w:t>
                  </w:r>
                  <w:r>
                    <w:t>废水经处理后循环使用</w:t>
                  </w:r>
                  <w:r>
                    <w:rPr>
                      <w:rFonts w:hint="eastAsia"/>
                    </w:rPr>
                    <w:t>，不外排</w:t>
                  </w:r>
                  <w:r>
                    <w:t>；</w:t>
                  </w:r>
                  <w:r>
                    <w:rPr>
                      <w:rFonts w:cs="宋体"/>
                      <w:spacing w:val="-7"/>
                    </w:rPr>
                    <w:t>由于项</w:t>
                  </w:r>
                  <w:r>
                    <w:rPr>
                      <w:rFonts w:cs="宋体"/>
                      <w:spacing w:val="-6"/>
                    </w:rPr>
                    <w:t>目</w:t>
                  </w:r>
                  <w:r>
                    <w:rPr>
                      <w:rFonts w:cs="宋体"/>
                      <w:spacing w:val="-5"/>
                    </w:rPr>
                    <w:t>使</w:t>
                  </w:r>
                  <w:r>
                    <w:rPr>
                      <w:rFonts w:cs="宋体"/>
                      <w:spacing w:val="-3"/>
                    </w:rPr>
                    <w:t>用原料不涉及危险物品，</w:t>
                  </w:r>
                  <w:r>
                    <w:rPr>
                      <w:rFonts w:hint="eastAsia" w:cs="宋体"/>
                      <w:spacing w:val="-3"/>
                    </w:rPr>
                    <w:t>因此沉淀池</w:t>
                  </w:r>
                  <w:r>
                    <w:rPr>
                      <w:rFonts w:cs="宋体"/>
                      <w:spacing w:val="-3"/>
                    </w:rPr>
                    <w:t>底渣</w:t>
                  </w:r>
                  <w:r>
                    <w:rPr>
                      <w:rFonts w:hint="eastAsia" w:cs="宋体"/>
                      <w:spacing w:val="-3"/>
                    </w:rPr>
                    <w:t>主要以泥沙为主，污泥经脱水干化后作为一般废由当地环卫部门清运处置。项目在长期运行后需对沉淀池产生的污泥进行属性鉴别，若为危废应及时交由有资质的单位处置。</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5</w:t>
                  </w:r>
                </w:p>
              </w:tc>
              <w:tc>
                <w:tcPr>
                  <w:tcW w:w="2847" w:type="dxa"/>
                  <w:tcBorders>
                    <w:tl2br w:val="nil"/>
                    <w:tr2bl w:val="nil"/>
                  </w:tcBorders>
                  <w:shd w:val="clear" w:color="auto" w:fill="auto"/>
                  <w:vAlign w:val="center"/>
                </w:tcPr>
                <w:p>
                  <w:pPr>
                    <w:pStyle w:val="20"/>
                    <w:spacing w:after="0"/>
                    <w:ind w:left="0" w:leftChars="0" w:firstLine="0" w:firstLineChars="0"/>
                    <w:jc w:val="center"/>
                  </w:pPr>
                  <w:r>
                    <w:t>再生加工过程中产生废气、粉尘的加工车间应设置废气、粉尘收集处理设施，通过净化处理，达标后排放</w:t>
                  </w:r>
                </w:p>
              </w:tc>
              <w:tc>
                <w:tcPr>
                  <w:tcW w:w="2463" w:type="dxa"/>
                  <w:tcBorders>
                    <w:tl2br w:val="nil"/>
                    <w:tr2bl w:val="nil"/>
                  </w:tcBorders>
                  <w:shd w:val="clear" w:color="auto" w:fill="auto"/>
                  <w:vAlign w:val="center"/>
                </w:tcPr>
                <w:p>
                  <w:pPr>
                    <w:pStyle w:val="20"/>
                    <w:spacing w:after="0"/>
                    <w:ind w:left="0" w:leftChars="0" w:firstLine="0" w:firstLineChars="0"/>
                    <w:jc w:val="center"/>
                  </w:pPr>
                  <w:r>
                    <w:t>项目破碎工序</w:t>
                  </w:r>
                  <w:r>
                    <w:rPr>
                      <w:rFonts w:hint="eastAsia"/>
                    </w:rPr>
                    <w:t>产生的粉尘采用喷淋降尘处理工艺，处理属于《排污许可证申请与核发技术规范 废弃资源加工工业》（HJ 1034-2019）可行性技术，</w:t>
                  </w:r>
                  <w:r>
                    <w:t>处理</w:t>
                  </w:r>
                  <w:r>
                    <w:rPr>
                      <w:rFonts w:hint="eastAsia"/>
                    </w:rPr>
                    <w:t>后可</w:t>
                  </w:r>
                  <w:r>
                    <w:t>达标排放</w:t>
                  </w:r>
                  <w:r>
                    <w:rPr>
                      <w:rFonts w:hint="eastAsia"/>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6</w:t>
                  </w:r>
                </w:p>
              </w:tc>
              <w:tc>
                <w:tcPr>
                  <w:tcW w:w="2847" w:type="dxa"/>
                  <w:tcBorders>
                    <w:tl2br w:val="nil"/>
                    <w:tr2bl w:val="nil"/>
                  </w:tcBorders>
                  <w:shd w:val="clear" w:color="auto" w:fill="auto"/>
                  <w:vAlign w:val="center"/>
                </w:tcPr>
                <w:p>
                  <w:pPr>
                    <w:pStyle w:val="20"/>
                    <w:spacing w:after="0"/>
                    <w:ind w:left="0" w:leftChars="0" w:firstLine="0" w:firstLineChars="0"/>
                    <w:jc w:val="center"/>
                  </w:pPr>
                  <w:r>
                    <w:t>对于加工过程中噪音污染大的设备，必须采取降噪和隔音措施，企业噪声应达到《工业企业厂界环境噪声排放标准》</w:t>
                  </w:r>
                </w:p>
              </w:tc>
              <w:tc>
                <w:tcPr>
                  <w:tcW w:w="2463" w:type="dxa"/>
                  <w:tcBorders>
                    <w:tl2br w:val="nil"/>
                    <w:tr2bl w:val="nil"/>
                  </w:tcBorders>
                  <w:shd w:val="clear" w:color="auto" w:fill="auto"/>
                  <w:vAlign w:val="center"/>
                </w:tcPr>
                <w:p>
                  <w:pPr>
                    <w:pStyle w:val="20"/>
                    <w:spacing w:after="0"/>
                    <w:ind w:left="0" w:leftChars="0" w:firstLine="0" w:firstLineChars="0"/>
                    <w:jc w:val="center"/>
                  </w:pPr>
                  <w:r>
                    <w:t>项目采取隔声措施，企业噪声可以达到《工业企业厂界环境噪声排放标准》</w:t>
                  </w:r>
                  <w:r>
                    <w:rPr>
                      <w:rFonts w:hint="eastAsia"/>
                    </w:rPr>
                    <w:t>相关规定要求。</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bl>
          <w:p>
            <w:pPr>
              <w:pStyle w:val="20"/>
              <w:spacing w:after="0" w:line="480" w:lineRule="exact"/>
              <w:ind w:left="0" w:leftChars="0" w:firstLine="0" w:firstLineChars="0"/>
              <w:rPr>
                <w:b/>
                <w:bCs/>
                <w:sz w:val="24"/>
              </w:rPr>
            </w:pPr>
            <w:r>
              <w:rPr>
                <w:rFonts w:hint="eastAsia"/>
                <w:b/>
                <w:bCs/>
                <w:sz w:val="24"/>
              </w:rPr>
              <w:t>1.5</w:t>
            </w:r>
            <w:r>
              <w:rPr>
                <w:b/>
                <w:bCs/>
                <w:sz w:val="24"/>
              </w:rPr>
              <w:t>、</w:t>
            </w:r>
            <w:r>
              <w:rPr>
                <w:rFonts w:hint="eastAsia"/>
                <w:b/>
                <w:bCs/>
                <w:sz w:val="24"/>
              </w:rPr>
              <w:t>项目</w:t>
            </w:r>
            <w:r>
              <w:rPr>
                <w:b/>
                <w:bCs/>
                <w:sz w:val="24"/>
              </w:rPr>
              <w:t>与《废塑料污染控制技术规范》（HJ</w:t>
            </w:r>
            <w:r>
              <w:rPr>
                <w:rFonts w:hint="eastAsia"/>
                <w:b/>
                <w:bCs/>
                <w:sz w:val="24"/>
              </w:rPr>
              <w:t xml:space="preserve"> </w:t>
            </w:r>
            <w:r>
              <w:rPr>
                <w:b/>
                <w:bCs/>
                <w:sz w:val="24"/>
              </w:rPr>
              <w:t>364-20</w:t>
            </w:r>
            <w:r>
              <w:rPr>
                <w:rFonts w:hint="eastAsia"/>
                <w:b/>
                <w:bCs/>
                <w:sz w:val="24"/>
              </w:rPr>
              <w:t>22</w:t>
            </w:r>
            <w:r>
              <w:rPr>
                <w:b/>
                <w:bCs/>
                <w:sz w:val="24"/>
              </w:rPr>
              <w:t>）符合性分析</w:t>
            </w:r>
          </w:p>
          <w:p>
            <w:pPr>
              <w:pStyle w:val="27"/>
              <w:spacing w:line="480" w:lineRule="exact"/>
              <w:ind w:firstLine="480" w:firstLineChars="200"/>
              <w:rPr>
                <w:rFonts w:ascii="Times New Roman" w:hAnsi="Times New Roman"/>
                <w:color w:val="auto"/>
              </w:rPr>
            </w:pPr>
            <w:r>
              <w:rPr>
                <w:rFonts w:hint="eastAsia" w:ascii="Times New Roman" w:hAnsi="Times New Roman"/>
                <w:color w:val="auto"/>
              </w:rPr>
              <w:t>本项目与</w:t>
            </w:r>
            <w:r>
              <w:rPr>
                <w:rFonts w:ascii="Times New Roman" w:hAnsi="Times New Roman"/>
                <w:color w:val="auto"/>
              </w:rPr>
              <w:t>《废塑料污染控制技术规范》（HJ</w:t>
            </w:r>
            <w:r>
              <w:rPr>
                <w:rFonts w:hint="eastAsia" w:ascii="Times New Roman" w:hAnsi="Times New Roman"/>
                <w:color w:val="auto"/>
              </w:rPr>
              <w:t xml:space="preserve"> </w:t>
            </w:r>
            <w:r>
              <w:rPr>
                <w:rFonts w:ascii="Times New Roman" w:hAnsi="Times New Roman"/>
                <w:color w:val="auto"/>
              </w:rPr>
              <w:t>364-20</w:t>
            </w:r>
            <w:r>
              <w:rPr>
                <w:rFonts w:hint="eastAsia" w:ascii="Times New Roman" w:hAnsi="Times New Roman"/>
                <w:color w:val="auto"/>
              </w:rPr>
              <w:t>22</w:t>
            </w:r>
            <w:r>
              <w:rPr>
                <w:rFonts w:ascii="Times New Roman" w:hAnsi="Times New Roman"/>
                <w:color w:val="auto"/>
              </w:rPr>
              <w:t>）</w:t>
            </w:r>
            <w:r>
              <w:rPr>
                <w:rFonts w:hint="eastAsia" w:ascii="Times New Roman" w:hAnsi="Times New Roman"/>
                <w:color w:val="auto"/>
              </w:rPr>
              <w:t>相符情况详见表1-3。</w:t>
            </w:r>
          </w:p>
          <w:p>
            <w:pPr>
              <w:pStyle w:val="19"/>
              <w:ind w:firstLine="211"/>
              <w:rPr>
                <w:b/>
                <w:bCs/>
              </w:rPr>
            </w:pPr>
            <w:r>
              <w:rPr>
                <w:rFonts w:hint="eastAsia"/>
                <w:b/>
                <w:bCs/>
              </w:rPr>
              <w:t>表1-3 项目与</w:t>
            </w:r>
            <w:r>
              <w:rPr>
                <w:b/>
                <w:bCs/>
              </w:rPr>
              <w:t>《废塑料污染控制技术规范》（HJ</w:t>
            </w:r>
            <w:r>
              <w:rPr>
                <w:rFonts w:hint="eastAsia"/>
                <w:b/>
                <w:bCs/>
              </w:rPr>
              <w:t xml:space="preserve"> </w:t>
            </w:r>
            <w:r>
              <w:rPr>
                <w:b/>
                <w:bCs/>
              </w:rPr>
              <w:t>364-20</w:t>
            </w:r>
            <w:r>
              <w:rPr>
                <w:rFonts w:hint="eastAsia"/>
                <w:b/>
                <w:bCs/>
              </w:rPr>
              <w:t>22</w:t>
            </w:r>
            <w:r>
              <w:rPr>
                <w:b/>
                <w:bCs/>
              </w:rPr>
              <w:t>）</w:t>
            </w:r>
            <w:r>
              <w:rPr>
                <w:rFonts w:hint="eastAsia"/>
                <w:b/>
                <w:bCs/>
              </w:rPr>
              <w:t>符合性分析一览表</w:t>
            </w:r>
          </w:p>
          <w:tbl>
            <w:tblPr>
              <w:tblStyle w:val="21"/>
              <w:tblW w:w="65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8"/>
              <w:gridCol w:w="392"/>
              <w:gridCol w:w="3058"/>
              <w:gridCol w:w="2067"/>
              <w:gridCol w:w="6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8" w:type="dxa"/>
                  <w:tcBorders>
                    <w:tl2br w:val="nil"/>
                    <w:tr2bl w:val="nil"/>
                  </w:tcBorders>
                  <w:shd w:val="clear" w:color="auto" w:fill="auto"/>
                  <w:vAlign w:val="center"/>
                </w:tcPr>
                <w:p>
                  <w:pPr>
                    <w:jc w:val="center"/>
                    <w:rPr>
                      <w:b/>
                      <w:bCs/>
                    </w:rPr>
                  </w:pPr>
                  <w:r>
                    <w:rPr>
                      <w:rFonts w:hint="eastAsia"/>
                      <w:b/>
                      <w:bCs/>
                    </w:rPr>
                    <w:t>序号</w:t>
                  </w:r>
                </w:p>
              </w:tc>
              <w:tc>
                <w:tcPr>
                  <w:tcW w:w="3450" w:type="dxa"/>
                  <w:gridSpan w:val="2"/>
                  <w:tcBorders>
                    <w:tl2br w:val="nil"/>
                    <w:tr2bl w:val="nil"/>
                  </w:tcBorders>
                  <w:shd w:val="clear" w:color="auto" w:fill="auto"/>
                  <w:vAlign w:val="center"/>
                </w:tcPr>
                <w:p>
                  <w:pPr>
                    <w:jc w:val="center"/>
                    <w:rPr>
                      <w:b/>
                      <w:bCs/>
                    </w:rPr>
                  </w:pPr>
                  <w:r>
                    <w:rPr>
                      <w:rFonts w:hint="eastAsia"/>
                      <w:b/>
                      <w:bCs/>
                    </w:rPr>
                    <w:t>要求</w:t>
                  </w:r>
                </w:p>
              </w:tc>
              <w:tc>
                <w:tcPr>
                  <w:tcW w:w="2067" w:type="dxa"/>
                  <w:tcBorders>
                    <w:tl2br w:val="nil"/>
                    <w:tr2bl w:val="nil"/>
                  </w:tcBorders>
                  <w:shd w:val="clear" w:color="auto" w:fill="auto"/>
                  <w:vAlign w:val="center"/>
                </w:tcPr>
                <w:p>
                  <w:pPr>
                    <w:jc w:val="center"/>
                    <w:rPr>
                      <w:b/>
                      <w:bCs/>
                    </w:rPr>
                  </w:pPr>
                  <w:bookmarkStart w:id="9" w:name="OLE_LINK40"/>
                  <w:r>
                    <w:rPr>
                      <w:rFonts w:hint="eastAsia"/>
                      <w:b/>
                      <w:bCs/>
                    </w:rPr>
                    <w:t>项目情况</w:t>
                  </w:r>
                  <w:bookmarkEnd w:id="9"/>
                </w:p>
              </w:tc>
              <w:tc>
                <w:tcPr>
                  <w:tcW w:w="694" w:type="dxa"/>
                  <w:tcBorders>
                    <w:tl2br w:val="nil"/>
                    <w:tr2bl w:val="nil"/>
                  </w:tcBorders>
                  <w:shd w:val="clear" w:color="auto" w:fill="auto"/>
                  <w:vAlign w:val="center"/>
                </w:tcPr>
                <w:p>
                  <w:pPr>
                    <w:jc w:val="center"/>
                    <w:rPr>
                      <w:b/>
                      <w:bCs/>
                    </w:rPr>
                  </w:pPr>
                  <w:r>
                    <w:rPr>
                      <w:rFonts w:hint="eastAsia"/>
                      <w:b/>
                      <w:bCs/>
                    </w:rPr>
                    <w:t>是否相符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8" w:type="dxa"/>
                  <w:tcBorders>
                    <w:tl2br w:val="nil"/>
                    <w:tr2bl w:val="nil"/>
                  </w:tcBorders>
                  <w:shd w:val="clear" w:color="auto" w:fill="auto"/>
                  <w:vAlign w:val="center"/>
                </w:tcPr>
                <w:p>
                  <w:pPr>
                    <w:jc w:val="center"/>
                  </w:pPr>
                  <w:r>
                    <w:rPr>
                      <w:rFonts w:hint="eastAsia"/>
                    </w:rPr>
                    <w:t>1</w:t>
                  </w:r>
                </w:p>
              </w:tc>
              <w:tc>
                <w:tcPr>
                  <w:tcW w:w="392" w:type="dxa"/>
                  <w:tcBorders>
                    <w:tl2br w:val="nil"/>
                    <w:tr2bl w:val="nil"/>
                  </w:tcBorders>
                  <w:shd w:val="clear" w:color="auto" w:fill="auto"/>
                  <w:vAlign w:val="center"/>
                </w:tcPr>
                <w:p>
                  <w:pPr>
                    <w:jc w:val="center"/>
                  </w:pPr>
                  <w:r>
                    <w:rPr>
                      <w:rFonts w:hint="eastAsia"/>
                    </w:rPr>
                    <w:t>总体要求</w:t>
                  </w:r>
                </w:p>
              </w:tc>
              <w:tc>
                <w:tcPr>
                  <w:tcW w:w="3058" w:type="dxa"/>
                  <w:tcBorders>
                    <w:tl2br w:val="nil"/>
                    <w:tr2bl w:val="nil"/>
                  </w:tcBorders>
                  <w:shd w:val="clear" w:color="auto" w:fill="auto"/>
                  <w:vAlign w:val="center"/>
                </w:tcPr>
                <w:p>
                  <w:r>
                    <w:rPr>
                      <w:rFonts w:hint="eastAsia"/>
                    </w:rPr>
                    <w:t>（1）</w:t>
                  </w:r>
                  <w:r>
                    <w:t>涉及废塑料的产生、收集、运输、贮存、利用、处置的单位和其他生产经营者，应根据产生的污染物采取防扬散、防流失、防渗漏或者其他防止污染环境的措施，并执行国家和地方相关排放标准。</w:t>
                  </w:r>
                </w:p>
                <w:p>
                  <w:r>
                    <w:rPr>
                      <w:rFonts w:hint="eastAsia"/>
                    </w:rPr>
                    <w:t>（2）</w:t>
                  </w:r>
                  <w:r>
                    <w:t>废塑料的产生、收集、贮存、预处理和再生利用企业内应单独划分贮存场地，不同种类的废塑料宜分开贮存，贮存场地应具有防雨、防扬散、防渗漏等措施，并按GB 15562.2的要求设置标识。</w:t>
                  </w:r>
                </w:p>
                <w:p>
                  <w:r>
                    <w:rPr>
                      <w:rFonts w:hint="eastAsia"/>
                    </w:rPr>
                    <w:t>（3）</w:t>
                  </w:r>
                  <w:r>
                    <w:t>含卤素废塑料的预处理与再生利用，宜与其他废塑料分开进行。</w:t>
                  </w:r>
                </w:p>
                <w:p>
                  <w:r>
                    <w:rPr>
                      <w:rFonts w:hint="eastAsia"/>
                    </w:rPr>
                    <w:t>（4）</w:t>
                  </w:r>
                  <w:r>
                    <w:t>废塑料的收集、再生利用和处置企业，应建立废塑料管理台账，内容包括废塑料的来源、种类、数量、去向等，相关台账应保存至少3年。</w:t>
                  </w:r>
                </w:p>
                <w:p>
                  <w:r>
                    <w:rPr>
                      <w:rFonts w:hint="eastAsia"/>
                    </w:rPr>
                    <w:t>（5）</w:t>
                  </w:r>
                  <w:r>
                    <w:t>属于危险废物的废塑料，按照危险废物进行管理和利用处置。</w:t>
                  </w:r>
                </w:p>
              </w:tc>
              <w:tc>
                <w:tcPr>
                  <w:tcW w:w="2067" w:type="dxa"/>
                  <w:tcBorders>
                    <w:tl2br w:val="nil"/>
                    <w:tr2bl w:val="nil"/>
                  </w:tcBorders>
                  <w:shd w:val="clear" w:color="auto" w:fill="auto"/>
                  <w:vAlign w:val="center"/>
                </w:tcPr>
                <w:p>
                  <w:pPr>
                    <w:pStyle w:val="27"/>
                    <w:jc w:val="both"/>
                    <w:rPr>
                      <w:rFonts w:ascii="Times New Roman" w:hAnsi="Times New Roman"/>
                      <w:color w:val="auto"/>
                      <w:sz w:val="21"/>
                    </w:rPr>
                  </w:pPr>
                  <w:r>
                    <w:rPr>
                      <w:rFonts w:hint="eastAsia" w:ascii="Times New Roman" w:hAnsi="Times New Roman"/>
                      <w:color w:val="auto"/>
                      <w:sz w:val="21"/>
                    </w:rPr>
                    <w:t>（1）</w:t>
                  </w:r>
                  <w:r>
                    <w:rPr>
                      <w:rFonts w:ascii="Times New Roman" w:hAnsi="Times New Roman"/>
                      <w:color w:val="auto"/>
                      <w:sz w:val="21"/>
                    </w:rPr>
                    <w:t>本项目</w:t>
                  </w:r>
                  <w:r>
                    <w:rPr>
                      <w:rFonts w:hint="eastAsia" w:ascii="Times New Roman" w:hAnsi="Times New Roman"/>
                      <w:color w:val="auto"/>
                      <w:sz w:val="21"/>
                    </w:rPr>
                    <w:t>生产</w:t>
                  </w:r>
                  <w:r>
                    <w:rPr>
                      <w:rFonts w:ascii="Times New Roman" w:hAnsi="Times New Roman"/>
                      <w:color w:val="auto"/>
                      <w:sz w:val="21"/>
                    </w:rPr>
                    <w:t>加工</w:t>
                  </w:r>
                  <w:r>
                    <w:rPr>
                      <w:rFonts w:hint="eastAsia" w:ascii="Times New Roman" w:hAnsi="Times New Roman"/>
                      <w:color w:val="auto"/>
                      <w:sz w:val="21"/>
                    </w:rPr>
                    <w:t>、</w:t>
                  </w:r>
                  <w:r>
                    <w:rPr>
                      <w:rFonts w:ascii="Times New Roman" w:hAnsi="Times New Roman"/>
                      <w:color w:val="auto"/>
                      <w:sz w:val="21"/>
                    </w:rPr>
                    <w:t>存储</w:t>
                  </w:r>
                  <w:r>
                    <w:rPr>
                      <w:rFonts w:hint="eastAsia" w:ascii="Times New Roman" w:hAnsi="Times New Roman"/>
                      <w:color w:val="auto"/>
                      <w:sz w:val="21"/>
                    </w:rPr>
                    <w:t>、装卸料均在封闭厂房内进行，</w:t>
                  </w:r>
                  <w:r>
                    <w:rPr>
                      <w:rFonts w:ascii="Times New Roman" w:hAnsi="Times New Roman"/>
                      <w:color w:val="auto"/>
                      <w:sz w:val="21"/>
                    </w:rPr>
                    <w:t>地面已做好硬化</w:t>
                  </w:r>
                  <w:r>
                    <w:rPr>
                      <w:rFonts w:hint="eastAsia" w:ascii="Times New Roman" w:hAnsi="Times New Roman"/>
                      <w:color w:val="auto"/>
                      <w:sz w:val="21"/>
                    </w:rPr>
                    <w:t>。</w:t>
                  </w:r>
                  <w:r>
                    <w:rPr>
                      <w:rFonts w:ascii="Times New Roman" w:hAnsi="Times New Roman"/>
                      <w:color w:val="auto"/>
                      <w:sz w:val="21"/>
                    </w:rPr>
                    <w:t>项目原料及产品分类储存，设有一般固废暂存间及危废暂存间，无露天堆放现象</w:t>
                  </w:r>
                  <w:r>
                    <w:rPr>
                      <w:rFonts w:hint="eastAsia" w:ascii="Times New Roman" w:hAnsi="Times New Roman"/>
                      <w:color w:val="auto"/>
                      <w:sz w:val="21"/>
                    </w:rPr>
                    <w:t>，</w:t>
                  </w:r>
                  <w:r>
                    <w:rPr>
                      <w:rFonts w:ascii="Times New Roman" w:hAnsi="Times New Roman"/>
                      <w:color w:val="auto"/>
                      <w:sz w:val="21"/>
                    </w:rPr>
                    <w:t>场内排水实行雨污分流</w:t>
                  </w:r>
                  <w:r>
                    <w:rPr>
                      <w:rFonts w:hint="eastAsia" w:ascii="Times New Roman" w:hAnsi="Times New Roman"/>
                      <w:color w:val="auto"/>
                      <w:sz w:val="21"/>
                    </w:rPr>
                    <w:t>。</w:t>
                  </w:r>
                </w:p>
                <w:p>
                  <w:pPr>
                    <w:pStyle w:val="20"/>
                    <w:spacing w:after="0"/>
                    <w:ind w:left="0" w:leftChars="0" w:firstLine="0" w:firstLineChars="0"/>
                  </w:pPr>
                  <w:r>
                    <w:rPr>
                      <w:rFonts w:hint="eastAsia"/>
                    </w:rPr>
                    <w:t>（2）</w:t>
                  </w:r>
                  <w:r>
                    <w:t>项目严格区分</w:t>
                  </w:r>
                  <w:r>
                    <w:rPr>
                      <w:rFonts w:hint="eastAsia"/>
                    </w:rPr>
                    <w:t>原料</w:t>
                  </w:r>
                  <w:r>
                    <w:t>来源和原用途，不回收采用农药、化肥、废染料、强酸、强碱及其他化学品废弃塑料包装及沾染放射性原料、卤素、危险废物的废弃塑料</w:t>
                  </w:r>
                  <w:r>
                    <w:rPr>
                      <w:rFonts w:hint="eastAsia"/>
                    </w:rPr>
                    <w:t>。</w:t>
                  </w:r>
                </w:p>
                <w:p>
                  <w:r>
                    <w:rPr>
                      <w:rFonts w:hint="eastAsia" w:cs="宋体"/>
                      <w:szCs w:val="21"/>
                    </w:rPr>
                    <w:t>（3）要求建设单位</w:t>
                  </w:r>
                  <w:r>
                    <w:t>建立</w:t>
                  </w:r>
                  <w:r>
                    <w:rPr>
                      <w:rFonts w:hint="eastAsia"/>
                    </w:rPr>
                    <w:t>并保存原料收购地</w:t>
                  </w:r>
                  <w:r>
                    <w:t>管理台账，</w:t>
                  </w:r>
                  <w:r>
                    <w:rPr>
                      <w:rFonts w:hint="eastAsia"/>
                    </w:rPr>
                    <w:t>记录项目运营期内</w:t>
                  </w:r>
                  <w:r>
                    <w:t>废塑料的来源、种类、数量、去向等</w:t>
                  </w:r>
                  <w:r>
                    <w:rPr>
                      <w:rFonts w:hint="eastAsia"/>
                    </w:rPr>
                    <w:t>。</w:t>
                  </w:r>
                </w:p>
              </w:tc>
              <w:tc>
                <w:tcPr>
                  <w:tcW w:w="694" w:type="dxa"/>
                  <w:tcBorders>
                    <w:tl2br w:val="nil"/>
                    <w:tr2bl w:val="nil"/>
                  </w:tcBorders>
                  <w:shd w:val="clear" w:color="auto" w:fill="auto"/>
                  <w:vAlign w:val="center"/>
                </w:tcPr>
                <w:p>
                  <w:pPr>
                    <w:jc w:val="center"/>
                  </w:pPr>
                  <w:bookmarkStart w:id="10" w:name="OLE_LINK39"/>
                  <w:r>
                    <w:rPr>
                      <w:rFonts w:hint="eastAsia"/>
                    </w:rPr>
                    <w:t>相符</w:t>
                  </w:r>
                  <w:bookmarkEnd w:id="1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58" w:type="dxa"/>
                  <w:vMerge w:val="restart"/>
                  <w:tcBorders>
                    <w:tl2br w:val="nil"/>
                    <w:tr2bl w:val="nil"/>
                  </w:tcBorders>
                  <w:shd w:val="clear" w:color="auto" w:fill="auto"/>
                  <w:vAlign w:val="center"/>
                </w:tcPr>
                <w:p>
                  <w:pPr>
                    <w:jc w:val="center"/>
                  </w:pPr>
                  <w:r>
                    <w:rPr>
                      <w:rFonts w:hint="eastAsia"/>
                    </w:rPr>
                    <w:t>2</w:t>
                  </w:r>
                </w:p>
              </w:tc>
              <w:tc>
                <w:tcPr>
                  <w:tcW w:w="392" w:type="dxa"/>
                  <w:vMerge w:val="restart"/>
                  <w:tcBorders>
                    <w:tl2br w:val="nil"/>
                    <w:tr2bl w:val="nil"/>
                  </w:tcBorders>
                  <w:shd w:val="clear" w:color="auto" w:fill="auto"/>
                  <w:vAlign w:val="center"/>
                </w:tcPr>
                <w:p>
                  <w:pPr>
                    <w:jc w:val="center"/>
                  </w:pPr>
                  <w:r>
                    <w:rPr>
                      <w:rFonts w:hint="eastAsia"/>
                    </w:rPr>
                    <w:t>收集和运输污染控制</w:t>
                  </w:r>
                  <w:r>
                    <w:t>要求</w:t>
                  </w:r>
                </w:p>
              </w:tc>
              <w:tc>
                <w:tcPr>
                  <w:tcW w:w="3058" w:type="dxa"/>
                  <w:tcBorders>
                    <w:tl2br w:val="nil"/>
                    <w:tr2bl w:val="nil"/>
                  </w:tcBorders>
                  <w:shd w:val="clear" w:color="auto" w:fill="auto"/>
                  <w:vAlign w:val="center"/>
                </w:tcPr>
                <w:p>
                  <w:pPr>
                    <w:jc w:val="center"/>
                    <w:rPr>
                      <w:b/>
                      <w:bCs/>
                    </w:rPr>
                  </w:pPr>
                  <w:r>
                    <w:rPr>
                      <w:b/>
                      <w:bCs/>
                    </w:rPr>
                    <w:t>收集要求</w:t>
                  </w:r>
                </w:p>
                <w:p>
                  <w:r>
                    <w:rPr>
                      <w:rFonts w:hint="eastAsia"/>
                    </w:rPr>
                    <w:t>（1）</w:t>
                  </w:r>
                  <w:r>
                    <w:t>废塑料收集企业应参照GB/T 37547，根据废塑料来源、特性及使用过程对废塑料进行分类收集。</w:t>
                  </w:r>
                </w:p>
                <w:p>
                  <w:r>
                    <w:rPr>
                      <w:rFonts w:hint="eastAsia"/>
                    </w:rPr>
                    <w:t>（2）</w:t>
                  </w:r>
                  <w:r>
                    <w:t>废塑料收集过程中应避免扬散，不得随意倾倒残液及清洗。</w:t>
                  </w:r>
                </w:p>
              </w:tc>
              <w:tc>
                <w:tcPr>
                  <w:tcW w:w="2067" w:type="dxa"/>
                  <w:tcBorders>
                    <w:tl2br w:val="nil"/>
                    <w:tr2bl w:val="nil"/>
                  </w:tcBorders>
                  <w:shd w:val="clear" w:color="auto" w:fill="auto"/>
                  <w:vAlign w:val="center"/>
                </w:tcPr>
                <w:p>
                  <w:r>
                    <w:rPr>
                      <w:rFonts w:hint="eastAsia"/>
                    </w:rPr>
                    <w:t>本</w:t>
                  </w:r>
                  <w:r>
                    <w:t>项目</w:t>
                  </w:r>
                  <w:r>
                    <w:rPr>
                      <w:rFonts w:hint="eastAsia"/>
                    </w:rPr>
                    <w:t>为</w:t>
                  </w:r>
                  <w:r>
                    <w:rPr>
                      <w:rFonts w:hint="eastAsia" w:cs="宋体"/>
                      <w:spacing w:val="-2"/>
                    </w:rPr>
                    <w:t>废塑料分拣破碎加工处理项目</w:t>
                  </w:r>
                  <w:r>
                    <w:rPr>
                      <w:rFonts w:hint="eastAsia"/>
                    </w:rPr>
                    <w:t>，原料为泡沫，来自当地废品回收站，</w:t>
                  </w:r>
                  <w:r>
                    <w:rPr>
                      <w:rFonts w:cs="宋体"/>
                      <w:snapToGrid w:val="0"/>
                      <w:spacing w:val="-2"/>
                      <w:kern w:val="0"/>
                    </w:rPr>
                    <w:t>已由供应商分选</w:t>
                  </w:r>
                  <w:r>
                    <w:rPr>
                      <w:rFonts w:hint="eastAsia" w:cs="宋体"/>
                      <w:snapToGrid w:val="0"/>
                      <w:spacing w:val="-2"/>
                      <w:kern w:val="0"/>
                    </w:rPr>
                    <w:t>，</w:t>
                  </w:r>
                  <w:r>
                    <w:rPr>
                      <w:rFonts w:hint="eastAsia"/>
                    </w:rPr>
                    <w:t>企业需要严格控制原料来源和质量，避免原料中带入废电路板等危险废物。</w:t>
                  </w:r>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58" w:type="dxa"/>
                  <w:vMerge w:val="continue"/>
                  <w:tcBorders>
                    <w:tl2br w:val="nil"/>
                    <w:tr2bl w:val="nil"/>
                  </w:tcBorders>
                  <w:shd w:val="clear" w:color="auto" w:fill="auto"/>
                  <w:vAlign w:val="center"/>
                </w:tcPr>
                <w:p>
                  <w:pPr>
                    <w:jc w:val="center"/>
                  </w:pPr>
                </w:p>
              </w:tc>
              <w:tc>
                <w:tcPr>
                  <w:tcW w:w="392" w:type="dxa"/>
                  <w:vMerge w:val="continue"/>
                  <w:tcBorders>
                    <w:tl2br w:val="nil"/>
                    <w:tr2bl w:val="nil"/>
                  </w:tcBorders>
                  <w:shd w:val="clear" w:color="auto" w:fill="auto"/>
                  <w:vAlign w:val="center"/>
                </w:tcPr>
                <w:p>
                  <w:pPr>
                    <w:jc w:val="center"/>
                  </w:pPr>
                </w:p>
              </w:tc>
              <w:tc>
                <w:tcPr>
                  <w:tcW w:w="3058" w:type="dxa"/>
                  <w:tcBorders>
                    <w:tl2br w:val="nil"/>
                    <w:tr2bl w:val="nil"/>
                  </w:tcBorders>
                  <w:shd w:val="clear" w:color="auto" w:fill="auto"/>
                  <w:vAlign w:val="center"/>
                </w:tcPr>
                <w:p>
                  <w:pPr>
                    <w:jc w:val="center"/>
                    <w:rPr>
                      <w:b/>
                      <w:bCs/>
                    </w:rPr>
                  </w:pPr>
                  <w:r>
                    <w:rPr>
                      <w:b/>
                      <w:bCs/>
                    </w:rPr>
                    <w:t>运输要求</w:t>
                  </w:r>
                </w:p>
                <w:p>
                  <w:r>
                    <w:t>废塑料及其预处理产物的装卸及运输过程中，应采取必要的防扬散、防渗漏措施，应保持运输车辆的洁净，避免二次污染。</w:t>
                  </w:r>
                </w:p>
              </w:tc>
              <w:tc>
                <w:tcPr>
                  <w:tcW w:w="2067" w:type="dxa"/>
                  <w:tcBorders>
                    <w:tl2br w:val="nil"/>
                    <w:tr2bl w:val="nil"/>
                  </w:tcBorders>
                  <w:shd w:val="clear" w:color="auto" w:fill="auto"/>
                  <w:vAlign w:val="center"/>
                </w:tcPr>
                <w:p>
                  <w:r>
                    <w:rPr>
                      <w:rFonts w:cs="宋体"/>
                      <w:spacing w:val="-1"/>
                      <w:szCs w:val="21"/>
                    </w:rPr>
                    <w:t>本项目在</w:t>
                  </w:r>
                  <w:r>
                    <w:rPr>
                      <w:rFonts w:hint="eastAsia" w:cs="宋体"/>
                      <w:spacing w:val="-1"/>
                      <w:szCs w:val="21"/>
                    </w:rPr>
                    <w:t>装卸料</w:t>
                  </w:r>
                  <w:r>
                    <w:rPr>
                      <w:rFonts w:cs="宋体"/>
                      <w:szCs w:val="21"/>
                    </w:rPr>
                    <w:t>和</w:t>
                  </w:r>
                  <w:r>
                    <w:rPr>
                      <w:rFonts w:cs="宋体"/>
                      <w:spacing w:val="-1"/>
                      <w:szCs w:val="21"/>
                    </w:rPr>
                    <w:t>运输过程中</w:t>
                  </w:r>
                  <w:r>
                    <w:rPr>
                      <w:rFonts w:cs="宋体"/>
                      <w:szCs w:val="21"/>
                    </w:rPr>
                    <w:t>严格</w:t>
                  </w:r>
                  <w:r>
                    <w:rPr>
                      <w:rFonts w:cs="宋体"/>
                      <w:spacing w:val="-1"/>
                      <w:szCs w:val="21"/>
                    </w:rPr>
                    <w:t>执行相关要</w:t>
                  </w:r>
                  <w:r>
                    <w:rPr>
                      <w:rFonts w:cs="宋体"/>
                      <w:szCs w:val="21"/>
                    </w:rPr>
                    <w:t>求</w:t>
                  </w:r>
                  <w:r>
                    <w:rPr>
                      <w:rFonts w:hint="eastAsia" w:cs="宋体"/>
                      <w:szCs w:val="21"/>
                    </w:rPr>
                    <w:t>，要求封闭运输废塑料，厂内装卸料。</w:t>
                  </w:r>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8" w:type="dxa"/>
                  <w:vMerge w:val="restart"/>
                  <w:tcBorders>
                    <w:tl2br w:val="nil"/>
                    <w:tr2bl w:val="nil"/>
                  </w:tcBorders>
                  <w:shd w:val="clear" w:color="auto" w:fill="auto"/>
                  <w:vAlign w:val="center"/>
                </w:tcPr>
                <w:p>
                  <w:pPr>
                    <w:jc w:val="center"/>
                  </w:pPr>
                  <w:r>
                    <w:rPr>
                      <w:rFonts w:hint="eastAsia"/>
                    </w:rPr>
                    <w:t>3</w:t>
                  </w:r>
                </w:p>
              </w:tc>
              <w:tc>
                <w:tcPr>
                  <w:tcW w:w="392" w:type="dxa"/>
                  <w:vMerge w:val="restart"/>
                  <w:tcBorders>
                    <w:tl2br w:val="nil"/>
                    <w:tr2bl w:val="nil"/>
                  </w:tcBorders>
                  <w:shd w:val="clear" w:color="auto" w:fill="auto"/>
                  <w:vAlign w:val="center"/>
                </w:tcPr>
                <w:p>
                  <w:pPr>
                    <w:jc w:val="center"/>
                  </w:pPr>
                  <w:r>
                    <w:rPr>
                      <w:rFonts w:hint="eastAsia"/>
                    </w:rPr>
                    <w:t>预处理污染控制要求</w:t>
                  </w:r>
                </w:p>
              </w:tc>
              <w:tc>
                <w:tcPr>
                  <w:tcW w:w="3058" w:type="dxa"/>
                  <w:tcBorders>
                    <w:tl2br w:val="nil"/>
                    <w:tr2bl w:val="nil"/>
                  </w:tcBorders>
                  <w:shd w:val="clear" w:color="auto" w:fill="auto"/>
                  <w:vAlign w:val="center"/>
                </w:tcPr>
                <w:p>
                  <w:pPr>
                    <w:jc w:val="center"/>
                    <w:rPr>
                      <w:b/>
                      <w:bCs/>
                    </w:rPr>
                  </w:pPr>
                  <w:r>
                    <w:rPr>
                      <w:b/>
                      <w:bCs/>
                    </w:rPr>
                    <w:t>一般性要求</w:t>
                  </w:r>
                </w:p>
                <w:p>
                  <w:r>
                    <w:rPr>
                      <w:rFonts w:hint="eastAsia"/>
                    </w:rPr>
                    <w:t>（1）</w:t>
                  </w:r>
                  <w:r>
                    <w:t>应根据废塑料的来源、特性、污染情况以及后续再生利用或处置的要求，选择合理的预处理方式。</w:t>
                  </w:r>
                </w:p>
                <w:p>
                  <w:r>
                    <w:rPr>
                      <w:rFonts w:hint="eastAsia"/>
                    </w:rPr>
                    <w:t>（2）</w:t>
                  </w:r>
                  <w:r>
                    <w:t>废塑料的预处理应控制二次污染。大气污染物排放应符合GB 31572或GB 16297、GB 37822等标准的规定。恶臭污染物排放应符合GB 14554的规定。废水控制应根据出水受纳水体的功能要求或纳管要求，执行国家和地方相关排放标准，重点控制的污染物指标包括悬浮物、pH值、色度、石油类和化学需氧量等。噪声排放应符合GB 12348的规定。</w:t>
                  </w:r>
                </w:p>
              </w:tc>
              <w:tc>
                <w:tcPr>
                  <w:tcW w:w="2067" w:type="dxa"/>
                  <w:tcBorders>
                    <w:tl2br w:val="nil"/>
                    <w:tr2bl w:val="nil"/>
                  </w:tcBorders>
                  <w:shd w:val="clear" w:color="auto" w:fill="auto"/>
                  <w:vAlign w:val="center"/>
                </w:tcPr>
                <w:p>
                  <w:r>
                    <w:rPr>
                      <w:rFonts w:hint="eastAsia"/>
                    </w:rPr>
                    <w:t>（1）本项目为</w:t>
                  </w:r>
                  <w:r>
                    <w:t>非金属废料和碎屑加工处理</w:t>
                  </w:r>
                  <w:r>
                    <w:rPr>
                      <w:rFonts w:hint="eastAsia"/>
                    </w:rPr>
                    <w:t>-废塑料加工处理项目，工艺主要包括破碎、清洗和造粒。</w:t>
                  </w:r>
                </w:p>
                <w:p>
                  <w:pPr>
                    <w:pStyle w:val="27"/>
                    <w:jc w:val="both"/>
                    <w:rPr>
                      <w:rFonts w:ascii="Times New Roman" w:hAnsi="Times New Roman"/>
                      <w:color w:val="auto"/>
                      <w:sz w:val="21"/>
                    </w:rPr>
                  </w:pPr>
                  <w:r>
                    <w:rPr>
                      <w:rFonts w:hint="eastAsia" w:ascii="Times New Roman" w:hAnsi="Times New Roman"/>
                      <w:color w:val="auto"/>
                      <w:spacing w:val="-2"/>
                      <w:sz w:val="21"/>
                    </w:rPr>
                    <w:t>（2）项目原料为</w:t>
                  </w:r>
                  <w:r>
                    <w:rPr>
                      <w:rFonts w:hint="eastAsia"/>
                      <w:color w:val="auto"/>
                      <w:sz w:val="21"/>
                    </w:rPr>
                    <w:t>泡沫</w:t>
                  </w:r>
                  <w:r>
                    <w:rPr>
                      <w:rFonts w:hint="eastAsia" w:ascii="Times New Roman" w:hAnsi="Times New Roman"/>
                      <w:color w:val="auto"/>
                      <w:sz w:val="21"/>
                    </w:rPr>
                    <w:t>，</w:t>
                  </w:r>
                  <w:r>
                    <w:rPr>
                      <w:rFonts w:ascii="Times New Roman" w:hAnsi="Times New Roman"/>
                      <w:bCs/>
                      <w:color w:val="auto"/>
                      <w:sz w:val="21"/>
                      <w:szCs w:val="21"/>
                    </w:rPr>
                    <w:t>原料种类</w:t>
                  </w:r>
                  <w:r>
                    <w:rPr>
                      <w:rFonts w:hint="eastAsia" w:ascii="Times New Roman" w:hAnsi="Times New Roman"/>
                      <w:bCs/>
                      <w:color w:val="auto"/>
                      <w:sz w:val="21"/>
                      <w:szCs w:val="21"/>
                    </w:rPr>
                    <w:t>简单</w:t>
                  </w:r>
                  <w:r>
                    <w:rPr>
                      <w:rFonts w:ascii="Times New Roman" w:hAnsi="Times New Roman"/>
                      <w:bCs/>
                      <w:color w:val="auto"/>
                      <w:sz w:val="21"/>
                      <w:szCs w:val="21"/>
                    </w:rPr>
                    <w:t>，较为整洁</w:t>
                  </w:r>
                  <w:r>
                    <w:rPr>
                      <w:rFonts w:hint="eastAsia" w:ascii="Times New Roman" w:hAnsi="Times New Roman"/>
                      <w:bCs/>
                      <w:color w:val="auto"/>
                      <w:sz w:val="21"/>
                      <w:szCs w:val="21"/>
                    </w:rPr>
                    <w:t>，</w:t>
                  </w:r>
                  <w:r>
                    <w:rPr>
                      <w:rFonts w:hint="eastAsia" w:ascii="Times New Roman" w:hAnsi="Times New Roman"/>
                      <w:color w:val="auto"/>
                      <w:sz w:val="21"/>
                    </w:rPr>
                    <w:t>主要含有泥沙等杂质；项目生产废水经三级沉淀池处理后循环利用，不外排；食堂废水经隔油池处理后同其他生活废水一起经化粪池处理后用作农肥，不外排；破碎工艺设置喷淋设施，</w:t>
                  </w:r>
                  <w:r>
                    <w:rPr>
                      <w:rFonts w:ascii="Times New Roman" w:hAnsi="Times New Roman"/>
                      <w:color w:val="auto"/>
                      <w:sz w:val="21"/>
                    </w:rPr>
                    <w:t>大气污染物排放</w:t>
                  </w:r>
                  <w:r>
                    <w:rPr>
                      <w:rFonts w:hint="eastAsia" w:ascii="Times New Roman" w:hAnsi="Times New Roman"/>
                      <w:color w:val="auto"/>
                      <w:sz w:val="21"/>
                    </w:rPr>
                    <w:t>和</w:t>
                  </w:r>
                  <w:r>
                    <w:rPr>
                      <w:rFonts w:ascii="Times New Roman" w:hAnsi="Times New Roman"/>
                      <w:color w:val="auto"/>
                      <w:sz w:val="21"/>
                    </w:rPr>
                    <w:t>噪声排放符合</w:t>
                  </w:r>
                  <w:r>
                    <w:rPr>
                      <w:rFonts w:hint="eastAsia" w:ascii="Times New Roman" w:hAnsi="Times New Roman"/>
                      <w:color w:val="auto"/>
                      <w:sz w:val="21"/>
                    </w:rPr>
                    <w:t>相关</w:t>
                  </w:r>
                  <w:r>
                    <w:rPr>
                      <w:rFonts w:ascii="Times New Roman" w:hAnsi="Times New Roman"/>
                      <w:color w:val="auto"/>
                      <w:sz w:val="21"/>
                    </w:rPr>
                    <w:t>标准</w:t>
                  </w:r>
                  <w:r>
                    <w:rPr>
                      <w:rFonts w:hint="eastAsia" w:ascii="Times New Roman" w:hAnsi="Times New Roman"/>
                      <w:color w:val="auto"/>
                      <w:sz w:val="21"/>
                    </w:rPr>
                    <w:t>和</w:t>
                  </w:r>
                  <w:r>
                    <w:rPr>
                      <w:rFonts w:ascii="Times New Roman" w:hAnsi="Times New Roman"/>
                      <w:color w:val="auto"/>
                      <w:sz w:val="21"/>
                    </w:rPr>
                    <w:t>规定</w:t>
                  </w:r>
                  <w:r>
                    <w:rPr>
                      <w:rFonts w:hint="eastAsia" w:ascii="Times New Roman" w:hAnsi="Times New Roman"/>
                      <w:color w:val="auto"/>
                      <w:sz w:val="21"/>
                    </w:rPr>
                    <w:t>的要求。</w:t>
                  </w:r>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8" w:type="dxa"/>
                  <w:vMerge w:val="continue"/>
                  <w:tcBorders>
                    <w:tl2br w:val="nil"/>
                    <w:tr2bl w:val="nil"/>
                  </w:tcBorders>
                  <w:shd w:val="clear" w:color="auto" w:fill="auto"/>
                  <w:vAlign w:val="center"/>
                </w:tcPr>
                <w:p>
                  <w:pPr>
                    <w:jc w:val="center"/>
                  </w:pPr>
                </w:p>
              </w:tc>
              <w:tc>
                <w:tcPr>
                  <w:tcW w:w="392" w:type="dxa"/>
                  <w:vMerge w:val="continue"/>
                  <w:tcBorders>
                    <w:tl2br w:val="nil"/>
                    <w:tr2bl w:val="nil"/>
                  </w:tcBorders>
                  <w:shd w:val="clear" w:color="auto" w:fill="auto"/>
                  <w:vAlign w:val="center"/>
                </w:tcPr>
                <w:p>
                  <w:pPr>
                    <w:jc w:val="center"/>
                  </w:pPr>
                </w:p>
              </w:tc>
              <w:tc>
                <w:tcPr>
                  <w:tcW w:w="3058" w:type="dxa"/>
                  <w:tcBorders>
                    <w:tl2br w:val="nil"/>
                    <w:tr2bl w:val="nil"/>
                  </w:tcBorders>
                  <w:shd w:val="clear" w:color="auto" w:fill="auto"/>
                  <w:vAlign w:val="center"/>
                </w:tcPr>
                <w:p>
                  <w:pPr>
                    <w:jc w:val="center"/>
                    <w:rPr>
                      <w:b/>
                      <w:bCs/>
                    </w:rPr>
                  </w:pPr>
                  <w:r>
                    <w:rPr>
                      <w:b/>
                      <w:bCs/>
                    </w:rPr>
                    <w:t>分选要求</w:t>
                  </w:r>
                </w:p>
                <w:p>
                  <w:r>
                    <w:rPr>
                      <w:rFonts w:hint="eastAsia"/>
                    </w:rPr>
                    <w:t>（1）</w:t>
                  </w:r>
                  <w:r>
                    <w:t>应采用预分选工艺，将废塑料与其他废物分开，提高下游自动化分选的效率。</w:t>
                  </w:r>
                </w:p>
                <w:p>
                  <w:r>
                    <w:rPr>
                      <w:rFonts w:hint="eastAsia"/>
                    </w:rPr>
                    <w:t>（2）</w:t>
                  </w:r>
                  <w:r>
                    <w:t>废塑料分选应遵循稳定、二次污染可控的原则，</w:t>
                  </w:r>
                  <w:bookmarkStart w:id="11" w:name="OLE_LINK18"/>
                  <w:r>
                    <w:t>根据废塑料特性，宜采用气流分选</w:t>
                  </w:r>
                  <w:bookmarkEnd w:id="11"/>
                  <w:r>
                    <w:t>、静电分选、X射线荧光分选、近红外分选、熔融过滤分选、低温破碎分选及其他新型的自动化分选等单一或集成化分选技术。</w:t>
                  </w:r>
                </w:p>
              </w:tc>
              <w:tc>
                <w:tcPr>
                  <w:tcW w:w="2067" w:type="dxa"/>
                  <w:tcBorders>
                    <w:tl2br w:val="nil"/>
                    <w:tr2bl w:val="nil"/>
                  </w:tcBorders>
                  <w:shd w:val="clear" w:color="auto" w:fill="auto"/>
                  <w:vAlign w:val="center"/>
                </w:tcPr>
                <w:p>
                  <w:r>
                    <w:rPr>
                      <w:rFonts w:hint="eastAsia"/>
                    </w:rPr>
                    <w:t>本项目</w:t>
                  </w:r>
                  <w:r>
                    <w:rPr>
                      <w:rFonts w:cs="宋体"/>
                      <w:snapToGrid w:val="0"/>
                      <w:spacing w:val="-2"/>
                      <w:kern w:val="0"/>
                    </w:rPr>
                    <w:t>原料已由供应商分选</w:t>
                  </w:r>
                  <w:r>
                    <w:t>。</w:t>
                  </w:r>
                </w:p>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8" w:type="dxa"/>
                  <w:vMerge w:val="continue"/>
                  <w:tcBorders>
                    <w:tl2br w:val="nil"/>
                    <w:tr2bl w:val="nil"/>
                  </w:tcBorders>
                  <w:shd w:val="clear" w:color="auto" w:fill="auto"/>
                  <w:vAlign w:val="center"/>
                </w:tcPr>
                <w:p>
                  <w:pPr>
                    <w:jc w:val="center"/>
                  </w:pPr>
                </w:p>
              </w:tc>
              <w:tc>
                <w:tcPr>
                  <w:tcW w:w="392" w:type="dxa"/>
                  <w:vMerge w:val="continue"/>
                  <w:tcBorders>
                    <w:tl2br w:val="nil"/>
                    <w:tr2bl w:val="nil"/>
                  </w:tcBorders>
                  <w:shd w:val="clear" w:color="auto" w:fill="auto"/>
                  <w:vAlign w:val="center"/>
                </w:tcPr>
                <w:p>
                  <w:pPr>
                    <w:jc w:val="center"/>
                  </w:pPr>
                </w:p>
              </w:tc>
              <w:tc>
                <w:tcPr>
                  <w:tcW w:w="3058" w:type="dxa"/>
                  <w:tcBorders>
                    <w:tl2br w:val="nil"/>
                    <w:tr2bl w:val="nil"/>
                  </w:tcBorders>
                  <w:shd w:val="clear" w:color="auto" w:fill="auto"/>
                  <w:vAlign w:val="center"/>
                </w:tcPr>
                <w:p>
                  <w:pPr>
                    <w:jc w:val="center"/>
                    <w:rPr>
                      <w:b/>
                      <w:bCs/>
                    </w:rPr>
                  </w:pPr>
                  <w:r>
                    <w:rPr>
                      <w:b/>
                      <w:bCs/>
                    </w:rPr>
                    <w:t>破碎要求</w:t>
                  </w:r>
                </w:p>
                <w:p>
                  <w:r>
                    <w:t>废塑料的破碎方法可分为干法破碎和湿法破碎。使用干法破碎时，应配备相应的防尘、防噪声设备。使用湿法破碎时，应有配套的污水收集和处理设施。</w:t>
                  </w:r>
                </w:p>
              </w:tc>
              <w:tc>
                <w:tcPr>
                  <w:tcW w:w="2067" w:type="dxa"/>
                  <w:tcBorders>
                    <w:tl2br w:val="nil"/>
                    <w:tr2bl w:val="nil"/>
                  </w:tcBorders>
                  <w:shd w:val="clear" w:color="auto" w:fill="auto"/>
                  <w:vAlign w:val="center"/>
                </w:tcPr>
                <w:p>
                  <w:r>
                    <w:rPr>
                      <w:rFonts w:hint="eastAsia"/>
                    </w:rPr>
                    <w:t>本项目使用干法破碎，</w:t>
                  </w:r>
                  <w:r>
                    <w:t>破碎工序</w:t>
                  </w:r>
                  <w:r>
                    <w:rPr>
                      <w:rFonts w:hint="eastAsia"/>
                    </w:rPr>
                    <w:t>产生的粉尘采用喷淋降尘处理工艺,处理属于《排污许可证申请与核发技术规范 废弃资源加工工业》（HJ 1034-2019）可行性技术，</w:t>
                  </w:r>
                  <w:r>
                    <w:t>处理</w:t>
                  </w:r>
                  <w:r>
                    <w:rPr>
                      <w:rFonts w:hint="eastAsia"/>
                    </w:rPr>
                    <w:t>后可</w:t>
                  </w:r>
                  <w:r>
                    <w:t>达标排放</w:t>
                  </w:r>
                  <w:r>
                    <w:rPr>
                      <w:rFonts w:hint="eastAsia"/>
                    </w:rPr>
                    <w:t>，即项目配备有相关除尘和噪声污染防治措施。</w:t>
                  </w:r>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8" w:type="dxa"/>
                  <w:vMerge w:val="continue"/>
                  <w:tcBorders>
                    <w:tl2br w:val="nil"/>
                    <w:tr2bl w:val="nil"/>
                  </w:tcBorders>
                  <w:shd w:val="clear" w:color="auto" w:fill="auto"/>
                  <w:vAlign w:val="center"/>
                </w:tcPr>
                <w:p>
                  <w:pPr>
                    <w:jc w:val="center"/>
                  </w:pPr>
                </w:p>
              </w:tc>
              <w:tc>
                <w:tcPr>
                  <w:tcW w:w="392" w:type="dxa"/>
                  <w:vMerge w:val="continue"/>
                  <w:tcBorders>
                    <w:tl2br w:val="nil"/>
                    <w:tr2bl w:val="nil"/>
                  </w:tcBorders>
                  <w:shd w:val="clear" w:color="auto" w:fill="auto"/>
                  <w:vAlign w:val="center"/>
                </w:tcPr>
                <w:p>
                  <w:pPr>
                    <w:jc w:val="center"/>
                  </w:pPr>
                </w:p>
              </w:tc>
              <w:tc>
                <w:tcPr>
                  <w:tcW w:w="3058" w:type="dxa"/>
                  <w:tcBorders>
                    <w:tl2br w:val="nil"/>
                    <w:tr2bl w:val="nil"/>
                  </w:tcBorders>
                  <w:shd w:val="clear" w:color="auto" w:fill="auto"/>
                  <w:vAlign w:val="center"/>
                </w:tcPr>
                <w:p>
                  <w:pPr>
                    <w:jc w:val="center"/>
                    <w:rPr>
                      <w:b/>
                      <w:bCs/>
                    </w:rPr>
                  </w:pPr>
                  <w:r>
                    <w:rPr>
                      <w:b/>
                      <w:bCs/>
                    </w:rPr>
                    <w:t>清洗要求</w:t>
                  </w:r>
                </w:p>
                <w:p>
                  <w:r>
                    <w:rPr>
                      <w:rFonts w:hint="eastAsia"/>
                    </w:rPr>
                    <w:t>（1）</w:t>
                  </w:r>
                  <w:r>
                    <w:t>宜采用节水的自动化清洗技术，宜采用无磷清洗剂或其他绿色清洗剂，不得使用有毒有害的清洗剂。</w:t>
                  </w:r>
                </w:p>
                <w:p>
                  <w:r>
                    <w:rPr>
                      <w:rFonts w:hint="eastAsia"/>
                    </w:rPr>
                    <w:t>（2）</w:t>
                  </w:r>
                  <w:r>
                    <w:t>应根据清洗废水中污染物的种类和浓度，配备相应的废水收集和处理设施，清洗废水处理后宜循环使用。</w:t>
                  </w:r>
                </w:p>
              </w:tc>
              <w:tc>
                <w:tcPr>
                  <w:tcW w:w="2067" w:type="dxa"/>
                  <w:tcBorders>
                    <w:tl2br w:val="nil"/>
                    <w:tr2bl w:val="nil"/>
                  </w:tcBorders>
                  <w:shd w:val="clear" w:color="auto" w:fill="auto"/>
                  <w:vAlign w:val="center"/>
                </w:tcPr>
                <w:p>
                  <w:r>
                    <w:rPr>
                      <w:rFonts w:hint="eastAsia"/>
                    </w:rPr>
                    <w:t>本项目</w:t>
                  </w:r>
                  <w:r>
                    <w:t>采用节水的自动化清洗技术</w:t>
                  </w:r>
                  <w:r>
                    <w:rPr>
                      <w:rFonts w:hint="eastAsia"/>
                    </w:rPr>
                    <w:t>，</w:t>
                  </w:r>
                  <w:r>
                    <w:rPr>
                      <w:rFonts w:hint="eastAsia"/>
                      <w:bCs/>
                      <w:kern w:val="0"/>
                      <w:szCs w:val="21"/>
                    </w:rPr>
                    <w:t>不采用化学清洗剂，仅用水冲洗，</w:t>
                  </w:r>
                  <w:r>
                    <w:t>清洗废水</w:t>
                  </w:r>
                  <w:r>
                    <w:rPr>
                      <w:rFonts w:hint="eastAsia"/>
                    </w:rPr>
                    <w:t>由自建的三级沉淀池</w:t>
                  </w:r>
                  <w:r>
                    <w:t>处理后循环使用</w:t>
                  </w:r>
                  <w:r>
                    <w:rPr>
                      <w:rFonts w:hint="eastAsia"/>
                    </w:rPr>
                    <w:t>，不外排。</w:t>
                  </w:r>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8" w:type="dxa"/>
                  <w:vMerge w:val="continue"/>
                  <w:tcBorders>
                    <w:tl2br w:val="nil"/>
                    <w:tr2bl w:val="nil"/>
                  </w:tcBorders>
                  <w:shd w:val="clear" w:color="auto" w:fill="auto"/>
                  <w:vAlign w:val="center"/>
                </w:tcPr>
                <w:p>
                  <w:pPr>
                    <w:jc w:val="center"/>
                  </w:pPr>
                </w:p>
              </w:tc>
              <w:tc>
                <w:tcPr>
                  <w:tcW w:w="392" w:type="dxa"/>
                  <w:vMerge w:val="continue"/>
                  <w:tcBorders>
                    <w:tl2br w:val="nil"/>
                    <w:tr2bl w:val="nil"/>
                  </w:tcBorders>
                  <w:shd w:val="clear" w:color="auto" w:fill="auto"/>
                  <w:vAlign w:val="center"/>
                </w:tcPr>
                <w:p>
                  <w:pPr>
                    <w:jc w:val="center"/>
                  </w:pPr>
                </w:p>
              </w:tc>
              <w:tc>
                <w:tcPr>
                  <w:tcW w:w="3058" w:type="dxa"/>
                  <w:tcBorders>
                    <w:tl2br w:val="nil"/>
                    <w:tr2bl w:val="nil"/>
                  </w:tcBorders>
                  <w:shd w:val="clear" w:color="auto" w:fill="auto"/>
                  <w:vAlign w:val="center"/>
                </w:tcPr>
                <w:p>
                  <w:pPr>
                    <w:jc w:val="center"/>
                    <w:rPr>
                      <w:b/>
                      <w:bCs/>
                    </w:rPr>
                  </w:pPr>
                  <w:r>
                    <w:rPr>
                      <w:b/>
                      <w:bCs/>
                    </w:rPr>
                    <w:t>干燥要求</w:t>
                  </w:r>
                </w:p>
                <w:p>
                  <w:r>
                    <w:t>宜选择闭路循环式干燥设备。干燥环节应配备废气收集和处理设施，防止二次污染。</w:t>
                  </w:r>
                </w:p>
              </w:tc>
              <w:tc>
                <w:tcPr>
                  <w:tcW w:w="2067" w:type="dxa"/>
                  <w:tcBorders>
                    <w:tl2br w:val="nil"/>
                    <w:tr2bl w:val="nil"/>
                  </w:tcBorders>
                  <w:shd w:val="clear" w:color="auto" w:fill="auto"/>
                  <w:vAlign w:val="center"/>
                </w:tcPr>
                <w:p>
                  <w:r>
                    <w:rPr>
                      <w:rFonts w:hint="eastAsia"/>
                    </w:rPr>
                    <w:t>本项目原料直接由甩干机甩干后经过</w:t>
                  </w:r>
                  <w:r>
                    <w:t>气流分选</w:t>
                  </w:r>
                  <w:r>
                    <w:rPr>
                      <w:rFonts w:hint="eastAsia"/>
                    </w:rPr>
                    <w:t>直接装袋外售，不设置干燥设施设备，为自然干燥，在厂房内进行，具有防风功能。</w:t>
                  </w:r>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8" w:type="dxa"/>
                  <w:vMerge w:val="restart"/>
                  <w:tcBorders>
                    <w:tl2br w:val="nil"/>
                    <w:tr2bl w:val="nil"/>
                  </w:tcBorders>
                  <w:shd w:val="clear" w:color="auto" w:fill="auto"/>
                  <w:vAlign w:val="center"/>
                </w:tcPr>
                <w:p>
                  <w:pPr>
                    <w:jc w:val="center"/>
                  </w:pPr>
                  <w:r>
                    <w:rPr>
                      <w:rFonts w:hint="eastAsia"/>
                    </w:rPr>
                    <w:t>4</w:t>
                  </w:r>
                </w:p>
              </w:tc>
              <w:tc>
                <w:tcPr>
                  <w:tcW w:w="392" w:type="dxa"/>
                  <w:vMerge w:val="restart"/>
                  <w:tcBorders>
                    <w:tl2br w:val="nil"/>
                    <w:tr2bl w:val="nil"/>
                  </w:tcBorders>
                  <w:shd w:val="clear" w:color="auto" w:fill="auto"/>
                  <w:vAlign w:val="center"/>
                </w:tcPr>
                <w:p>
                  <w:pPr>
                    <w:jc w:val="center"/>
                  </w:pPr>
                  <w:r>
                    <w:rPr>
                      <w:rFonts w:hint="eastAsia"/>
                    </w:rPr>
                    <w:t>运行环境管理要求</w:t>
                  </w:r>
                </w:p>
              </w:tc>
              <w:tc>
                <w:tcPr>
                  <w:tcW w:w="3058" w:type="dxa"/>
                  <w:tcBorders>
                    <w:tl2br w:val="nil"/>
                    <w:tr2bl w:val="nil"/>
                  </w:tcBorders>
                  <w:shd w:val="clear" w:color="auto" w:fill="auto"/>
                  <w:vAlign w:val="center"/>
                </w:tcPr>
                <w:p>
                  <w:pPr>
                    <w:jc w:val="center"/>
                    <w:rPr>
                      <w:b/>
                      <w:bCs/>
                    </w:rPr>
                  </w:pPr>
                  <w:r>
                    <w:rPr>
                      <w:b/>
                      <w:bCs/>
                    </w:rPr>
                    <w:t>一般性要求</w:t>
                  </w:r>
                </w:p>
                <w:p>
                  <w:r>
                    <w:rPr>
                      <w:rFonts w:hint="eastAsia"/>
                    </w:rPr>
                    <w:t>（1）</w:t>
                  </w:r>
                  <w:r>
                    <w:t>废塑料的产生、收集、运输、贮存和再生利用企业，应按照GB/T 19001、GB/T 24001、GB/T 45001等标准建立管理体系，设置专门的部门或者专（兼）职人员，负责废塑料收集和再生利用过程中的相关环境管理工作。</w:t>
                  </w:r>
                </w:p>
                <w:p>
                  <w:r>
                    <w:rPr>
                      <w:rFonts w:hint="eastAsia"/>
                    </w:rPr>
                    <w:t>（2）</w:t>
                  </w:r>
                  <w:r>
                    <w:t>废塑料的产生和再生利用企业，应按照排污许可证规定严格控制污染物排放。</w:t>
                  </w:r>
                </w:p>
                <w:p>
                  <w:r>
                    <w:rPr>
                      <w:rFonts w:hint="eastAsia"/>
                    </w:rPr>
                    <w:t>（3）</w:t>
                  </w:r>
                  <w:r>
                    <w:t>废塑料的产生、收集、运输、贮存和再生利用企业，应对从业人员进行环境保护培训。</w:t>
                  </w:r>
                </w:p>
              </w:tc>
              <w:tc>
                <w:tcPr>
                  <w:tcW w:w="2067" w:type="dxa"/>
                  <w:tcBorders>
                    <w:tl2br w:val="nil"/>
                    <w:tr2bl w:val="nil"/>
                  </w:tcBorders>
                  <w:shd w:val="clear" w:color="auto" w:fill="auto"/>
                  <w:vAlign w:val="center"/>
                </w:tcPr>
                <w:p>
                  <w:r>
                    <w:rPr>
                      <w:rFonts w:hint="eastAsia"/>
                    </w:rPr>
                    <w:t>（1）环评已要求企业严格按照相关标准建立管理体系，设置兼职人员负责厂区环境管理工作；</w:t>
                  </w:r>
                </w:p>
                <w:p>
                  <w:pPr>
                    <w:pStyle w:val="27"/>
                    <w:jc w:val="both"/>
                    <w:rPr>
                      <w:rFonts w:ascii="Times New Roman" w:hAnsi="Times New Roman"/>
                      <w:color w:val="auto"/>
                      <w:sz w:val="21"/>
                    </w:rPr>
                  </w:pPr>
                  <w:r>
                    <w:rPr>
                      <w:rFonts w:hint="eastAsia" w:ascii="Times New Roman" w:hAnsi="Times New Roman"/>
                      <w:color w:val="auto"/>
                      <w:sz w:val="21"/>
                    </w:rPr>
                    <w:t>（2）企业生产废水循环使用，不外排；将严格按照</w:t>
                  </w:r>
                  <w:r>
                    <w:rPr>
                      <w:rFonts w:ascii="Times New Roman" w:hAnsi="Times New Roman"/>
                      <w:color w:val="auto"/>
                      <w:sz w:val="21"/>
                    </w:rPr>
                    <w:t>排污许可证规定严格控制污染物排放</w:t>
                  </w:r>
                  <w:r>
                    <w:rPr>
                      <w:rFonts w:hint="eastAsia" w:ascii="Times New Roman" w:hAnsi="Times New Roman"/>
                      <w:color w:val="auto"/>
                      <w:sz w:val="21"/>
                    </w:rPr>
                    <w:t>；</w:t>
                  </w:r>
                </w:p>
                <w:p>
                  <w:pPr>
                    <w:pStyle w:val="20"/>
                    <w:spacing w:after="0"/>
                    <w:ind w:left="0" w:leftChars="0" w:firstLine="0" w:firstLineChars="0"/>
                  </w:pPr>
                  <w:r>
                    <w:rPr>
                      <w:rFonts w:hint="eastAsia"/>
                    </w:rPr>
                    <w:t>（3）环评已要求企业对</w:t>
                  </w:r>
                  <w:r>
                    <w:t>从业人员进行环境保护培训</w:t>
                  </w:r>
                  <w:r>
                    <w:rPr>
                      <w:rFonts w:hint="eastAsia"/>
                    </w:rPr>
                    <w:t>。</w:t>
                  </w:r>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8" w:type="dxa"/>
                  <w:vMerge w:val="continue"/>
                  <w:tcBorders>
                    <w:tl2br w:val="nil"/>
                    <w:tr2bl w:val="nil"/>
                  </w:tcBorders>
                  <w:shd w:val="clear" w:color="auto" w:fill="auto"/>
                  <w:vAlign w:val="center"/>
                </w:tcPr>
                <w:p>
                  <w:pPr>
                    <w:jc w:val="center"/>
                    <w:rPr>
                      <w:color w:val="0000FF"/>
                    </w:rPr>
                  </w:pPr>
                </w:p>
              </w:tc>
              <w:tc>
                <w:tcPr>
                  <w:tcW w:w="392" w:type="dxa"/>
                  <w:vMerge w:val="continue"/>
                  <w:tcBorders>
                    <w:tl2br w:val="nil"/>
                    <w:tr2bl w:val="nil"/>
                  </w:tcBorders>
                  <w:shd w:val="clear" w:color="auto" w:fill="auto"/>
                  <w:vAlign w:val="center"/>
                </w:tcPr>
                <w:p>
                  <w:pPr>
                    <w:jc w:val="center"/>
                    <w:rPr>
                      <w:color w:val="0000FF"/>
                    </w:rPr>
                  </w:pPr>
                </w:p>
              </w:tc>
              <w:tc>
                <w:tcPr>
                  <w:tcW w:w="3058" w:type="dxa"/>
                  <w:tcBorders>
                    <w:tl2br w:val="nil"/>
                    <w:tr2bl w:val="nil"/>
                  </w:tcBorders>
                  <w:shd w:val="clear" w:color="auto" w:fill="auto"/>
                  <w:vAlign w:val="center"/>
                </w:tcPr>
                <w:p>
                  <w:pPr>
                    <w:jc w:val="center"/>
                    <w:rPr>
                      <w:b/>
                      <w:bCs/>
                    </w:rPr>
                  </w:pPr>
                  <w:r>
                    <w:rPr>
                      <w:b/>
                      <w:bCs/>
                    </w:rPr>
                    <w:t>项目建设的环境管理要求</w:t>
                  </w:r>
                </w:p>
                <w:p>
                  <w:r>
                    <w:rPr>
                      <w:rFonts w:hint="eastAsia"/>
                    </w:rPr>
                    <w:t>（1）</w:t>
                  </w:r>
                  <w:r>
                    <w:t>废塑料的再生利用项目应严格执行环境影响评价和“三同时”制度。</w:t>
                  </w:r>
                </w:p>
                <w:p>
                  <w:r>
                    <w:rPr>
                      <w:rFonts w:hint="eastAsia"/>
                    </w:rPr>
                    <w:t>（2）</w:t>
                  </w:r>
                  <w:r>
                    <w:t>新建和改扩建废塑料再生利用项目的选址应符合当地城市总体发展规划、用地规划、生态环境分区管控方案、规划环评及其他环境保护要求。</w:t>
                  </w:r>
                </w:p>
                <w:p>
                  <w:r>
                    <w:rPr>
                      <w:rFonts w:hint="eastAsia"/>
                    </w:rPr>
                    <w:t>（3）</w:t>
                  </w:r>
                  <w:r>
                    <w:t>废塑料再生利用项目应按功能划分厂区，包括管理区、原料贮存区、生产区、产品贮存区、不可利用废物的贮存和处理区等，各功能区应有明显的界线或标识。</w:t>
                  </w:r>
                </w:p>
              </w:tc>
              <w:tc>
                <w:tcPr>
                  <w:tcW w:w="2067" w:type="dxa"/>
                  <w:tcBorders>
                    <w:tl2br w:val="nil"/>
                    <w:tr2bl w:val="nil"/>
                  </w:tcBorders>
                  <w:shd w:val="clear" w:color="auto" w:fill="auto"/>
                  <w:vAlign w:val="center"/>
                </w:tcPr>
                <w:p>
                  <w:r>
                    <w:rPr>
                      <w:rFonts w:hint="eastAsia"/>
                    </w:rPr>
                    <w:t>（1）项目为已建项目，将</w:t>
                  </w:r>
                  <w:r>
                    <w:t>严格执行环境影响评价</w:t>
                  </w:r>
                  <w:r>
                    <w:rPr>
                      <w:rFonts w:hint="eastAsia"/>
                    </w:rPr>
                    <w:t>制度，</w:t>
                  </w:r>
                  <w:r>
                    <w:t>切实落实废水、废气、噪声、固废防治措施</w:t>
                  </w:r>
                  <w:r>
                    <w:rPr>
                      <w:rFonts w:hint="eastAsia"/>
                    </w:rPr>
                    <w:t>；</w:t>
                  </w:r>
                </w:p>
                <w:p>
                  <w:pPr>
                    <w:pStyle w:val="27"/>
                    <w:jc w:val="both"/>
                    <w:rPr>
                      <w:rFonts w:ascii="Times New Roman" w:hAnsi="Times New Roman"/>
                      <w:color w:val="auto"/>
                      <w:sz w:val="21"/>
                    </w:rPr>
                  </w:pPr>
                  <w:r>
                    <w:rPr>
                      <w:rFonts w:hint="eastAsia" w:ascii="Times New Roman" w:hAnsi="Times New Roman"/>
                      <w:color w:val="auto"/>
                      <w:sz w:val="21"/>
                    </w:rPr>
                    <w:t>（2）</w:t>
                  </w:r>
                  <w:r>
                    <w:rPr>
                      <w:rFonts w:ascii="Times New Roman" w:hAnsi="Times New Roman"/>
                      <w:color w:val="auto"/>
                      <w:sz w:val="21"/>
                    </w:rPr>
                    <w:t>项目的选址符合当地</w:t>
                  </w:r>
                  <w:r>
                    <w:rPr>
                      <w:rFonts w:hint="eastAsia" w:ascii="Times New Roman" w:hAnsi="Times New Roman"/>
                      <w:color w:val="auto"/>
                      <w:sz w:val="21"/>
                    </w:rPr>
                    <w:t>乡镇</w:t>
                  </w:r>
                  <w:r>
                    <w:rPr>
                      <w:rFonts w:ascii="Times New Roman" w:hAnsi="Times New Roman"/>
                      <w:color w:val="auto"/>
                      <w:sz w:val="21"/>
                    </w:rPr>
                    <w:t>总体发展规划、用地规划、生态环境分区管控方案</w:t>
                  </w:r>
                  <w:r>
                    <w:rPr>
                      <w:rFonts w:hint="eastAsia" w:ascii="Times New Roman" w:hAnsi="Times New Roman"/>
                      <w:color w:val="auto"/>
                      <w:sz w:val="21"/>
                    </w:rPr>
                    <w:t>；</w:t>
                  </w:r>
                </w:p>
                <w:p>
                  <w:pPr>
                    <w:pStyle w:val="20"/>
                    <w:spacing w:after="0"/>
                    <w:ind w:left="0" w:leftChars="0" w:firstLine="0" w:firstLineChars="0"/>
                  </w:pPr>
                  <w:r>
                    <w:rPr>
                      <w:rFonts w:hint="eastAsia"/>
                    </w:rPr>
                    <w:t>（3）项目设危险废物暂存间和一般固废暂存间，厂区按照</w:t>
                  </w:r>
                  <w:r>
                    <w:t>功能划分</w:t>
                  </w:r>
                  <w:r>
                    <w:rPr>
                      <w:rFonts w:hint="eastAsia"/>
                    </w:rPr>
                    <w:t>有生产加工区和办公生活区，生产加工区按照工艺流程顺序布置，功能分区明确。</w:t>
                  </w:r>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8" w:type="dxa"/>
                  <w:vMerge w:val="continue"/>
                  <w:tcBorders>
                    <w:tl2br w:val="nil"/>
                    <w:tr2bl w:val="nil"/>
                  </w:tcBorders>
                  <w:shd w:val="clear" w:color="auto" w:fill="auto"/>
                  <w:vAlign w:val="center"/>
                </w:tcPr>
                <w:p>
                  <w:pPr>
                    <w:jc w:val="center"/>
                    <w:rPr>
                      <w:color w:val="0000FF"/>
                    </w:rPr>
                  </w:pPr>
                </w:p>
              </w:tc>
              <w:tc>
                <w:tcPr>
                  <w:tcW w:w="392" w:type="dxa"/>
                  <w:vMerge w:val="continue"/>
                  <w:tcBorders>
                    <w:tl2br w:val="nil"/>
                    <w:tr2bl w:val="nil"/>
                  </w:tcBorders>
                  <w:shd w:val="clear" w:color="auto" w:fill="auto"/>
                  <w:vAlign w:val="center"/>
                </w:tcPr>
                <w:p>
                  <w:pPr>
                    <w:jc w:val="center"/>
                    <w:rPr>
                      <w:color w:val="0000FF"/>
                    </w:rPr>
                  </w:pPr>
                </w:p>
              </w:tc>
              <w:tc>
                <w:tcPr>
                  <w:tcW w:w="3058" w:type="dxa"/>
                  <w:tcBorders>
                    <w:tl2br w:val="nil"/>
                    <w:tr2bl w:val="nil"/>
                  </w:tcBorders>
                  <w:shd w:val="clear" w:color="auto" w:fill="auto"/>
                  <w:vAlign w:val="center"/>
                </w:tcPr>
                <w:p>
                  <w:pPr>
                    <w:jc w:val="center"/>
                    <w:rPr>
                      <w:b/>
                      <w:bCs/>
                    </w:rPr>
                  </w:pPr>
                  <w:r>
                    <w:rPr>
                      <w:b/>
                      <w:bCs/>
                    </w:rPr>
                    <w:t>清洁生产要求</w:t>
                  </w:r>
                </w:p>
                <w:p>
                  <w:r>
                    <w:rPr>
                      <w:rFonts w:hint="eastAsia"/>
                    </w:rPr>
                    <w:t>（1）</w:t>
                  </w:r>
                  <w:r>
                    <w:t>新建和改扩建的废塑料再生利用企业，应严格按照国家清洁生产相关规定等确定的生产工艺及设备指标、资源和能源消耗指标、资源综合利用指标、产品特征指标、污染物产生指标（末端处理前）、清洁生产管理指标等进行建设和生产。</w:t>
                  </w:r>
                </w:p>
                <w:p>
                  <w:r>
                    <w:rPr>
                      <w:rFonts w:hint="eastAsia"/>
                    </w:rPr>
                    <w:t>（2）</w:t>
                  </w:r>
                  <w:r>
                    <w:t>实施强制性清洁生产审核的废塑料再生利用企业，应按照《清洁生产审核办法》的要求开展清洁生产审核，逐步淘汰技术落后、能耗高、资源综合利用率低和环境污染严重的工艺和设备。</w:t>
                  </w:r>
                </w:p>
                <w:p>
                  <w:r>
                    <w:rPr>
                      <w:rFonts w:hint="eastAsia"/>
                    </w:rPr>
                    <w:t>（3）</w:t>
                  </w:r>
                  <w:r>
                    <w:t>废塑料的再生利用企业，应积极推进工艺、技术和设备提升改造，积极应用先进的清洁生产技术。</w:t>
                  </w:r>
                </w:p>
              </w:tc>
              <w:tc>
                <w:tcPr>
                  <w:tcW w:w="2067" w:type="dxa"/>
                  <w:tcBorders>
                    <w:tl2br w:val="nil"/>
                    <w:tr2bl w:val="nil"/>
                  </w:tcBorders>
                  <w:shd w:val="clear" w:color="auto" w:fill="auto"/>
                  <w:vAlign w:val="center"/>
                </w:tcPr>
                <w:p>
                  <w:r>
                    <w:rPr>
                      <w:rFonts w:hint="eastAsia"/>
                    </w:rPr>
                    <w:t>本项目为</w:t>
                  </w:r>
                  <w:r>
                    <w:rPr>
                      <w:rFonts w:cs="宋体"/>
                      <w:spacing w:val="-5"/>
                    </w:rPr>
                    <w:t>非金属废料和碎</w:t>
                  </w:r>
                  <w:r>
                    <w:rPr>
                      <w:rFonts w:cs="宋体"/>
                      <w:spacing w:val="-3"/>
                    </w:rPr>
                    <w:t>屑</w:t>
                  </w:r>
                  <w:r>
                    <w:rPr>
                      <w:rFonts w:cs="宋体"/>
                      <w:spacing w:val="-2"/>
                    </w:rPr>
                    <w:t>加工处理</w:t>
                  </w:r>
                  <w:r>
                    <w:rPr>
                      <w:rFonts w:hint="eastAsia" w:cs="宋体"/>
                      <w:spacing w:val="-2"/>
                    </w:rPr>
                    <w:t>-废塑料加工处理项目，不属于</w:t>
                  </w:r>
                  <w:r>
                    <w:t>强制性清洁生产审核的废塑料再生利用企业</w:t>
                  </w:r>
                  <w:r>
                    <w:rPr>
                      <w:rFonts w:hint="eastAsia"/>
                    </w:rPr>
                    <w:t>，项目工艺、技术和设备积极</w:t>
                  </w:r>
                  <w:r>
                    <w:t>应用先进的清洁生产技术</w:t>
                  </w:r>
                  <w:r>
                    <w:rPr>
                      <w:rFonts w:hint="eastAsia"/>
                    </w:rPr>
                    <w:t>。</w:t>
                  </w:r>
                </w:p>
              </w:tc>
              <w:tc>
                <w:tcPr>
                  <w:tcW w:w="694" w:type="dxa"/>
                  <w:tcBorders>
                    <w:tl2br w:val="nil"/>
                    <w:tr2bl w:val="nil"/>
                  </w:tcBorders>
                  <w:shd w:val="clear" w:color="auto" w:fill="auto"/>
                  <w:vAlign w:val="center"/>
                </w:tcPr>
                <w:p>
                  <w:pPr>
                    <w:jc w:val="center"/>
                  </w:pPr>
                  <w:r>
                    <w:rPr>
                      <w:rFonts w:hint="eastAsia"/>
                    </w:rPr>
                    <w:t>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58" w:type="dxa"/>
                  <w:vMerge w:val="continue"/>
                  <w:tcBorders>
                    <w:tl2br w:val="nil"/>
                    <w:tr2bl w:val="nil"/>
                  </w:tcBorders>
                  <w:shd w:val="clear" w:color="auto" w:fill="auto"/>
                  <w:vAlign w:val="center"/>
                </w:tcPr>
                <w:p>
                  <w:pPr>
                    <w:jc w:val="center"/>
                    <w:rPr>
                      <w:color w:val="0000FF"/>
                    </w:rPr>
                  </w:pPr>
                </w:p>
              </w:tc>
              <w:tc>
                <w:tcPr>
                  <w:tcW w:w="392" w:type="dxa"/>
                  <w:vMerge w:val="continue"/>
                  <w:tcBorders>
                    <w:tl2br w:val="nil"/>
                    <w:tr2bl w:val="nil"/>
                  </w:tcBorders>
                  <w:shd w:val="clear" w:color="auto" w:fill="auto"/>
                  <w:vAlign w:val="center"/>
                </w:tcPr>
                <w:p>
                  <w:pPr>
                    <w:jc w:val="center"/>
                    <w:rPr>
                      <w:color w:val="0000FF"/>
                    </w:rPr>
                  </w:pPr>
                </w:p>
              </w:tc>
              <w:tc>
                <w:tcPr>
                  <w:tcW w:w="3058" w:type="dxa"/>
                  <w:tcBorders>
                    <w:tl2br w:val="nil"/>
                    <w:tr2bl w:val="nil"/>
                  </w:tcBorders>
                  <w:shd w:val="clear" w:color="auto" w:fill="auto"/>
                  <w:vAlign w:val="center"/>
                </w:tcPr>
                <w:p>
                  <w:pPr>
                    <w:jc w:val="center"/>
                    <w:rPr>
                      <w:b/>
                      <w:bCs/>
                    </w:rPr>
                  </w:pPr>
                  <w:r>
                    <w:rPr>
                      <w:b/>
                      <w:bCs/>
                    </w:rPr>
                    <w:t>监测要求</w:t>
                  </w:r>
                </w:p>
                <w:p>
                  <w:r>
                    <w:rPr>
                      <w:rFonts w:hint="eastAsia"/>
                    </w:rPr>
                    <w:t>（1）</w:t>
                  </w:r>
                  <w:r>
                    <w:t>废塑料的再生利用和处置企业，应按照排污许可证、HJ 819以及本标准的要求，制定自行监测方案，对废塑料的利用处置过程污染物排放状况及周边环境质量的影响开展自行监测，保存原始监测记录，并依规进行信息公开。</w:t>
                  </w:r>
                </w:p>
                <w:p>
                  <w:r>
                    <w:rPr>
                      <w:rFonts w:hint="eastAsia"/>
                    </w:rPr>
                    <w:t>（2）</w:t>
                  </w:r>
                  <w:r>
                    <w:t>不同污染物的采样监测方法和频次执行相关国家和行业标准，保留监测记录以及特殊情况记录。</w:t>
                  </w:r>
                </w:p>
              </w:tc>
              <w:tc>
                <w:tcPr>
                  <w:tcW w:w="2067" w:type="dxa"/>
                  <w:tcBorders>
                    <w:tl2br w:val="nil"/>
                    <w:tr2bl w:val="nil"/>
                  </w:tcBorders>
                  <w:shd w:val="clear" w:color="auto" w:fill="auto"/>
                  <w:vAlign w:val="center"/>
                </w:tcPr>
                <w:p>
                  <w:r>
                    <w:t>已要求企业建立环境保护监测制度并给出了监测计划</w:t>
                  </w:r>
                  <w:r>
                    <w:rPr>
                      <w:rFonts w:hint="eastAsia"/>
                    </w:rPr>
                    <w:t>。</w:t>
                  </w:r>
                </w:p>
              </w:tc>
              <w:tc>
                <w:tcPr>
                  <w:tcW w:w="694" w:type="dxa"/>
                  <w:tcBorders>
                    <w:tl2br w:val="nil"/>
                    <w:tr2bl w:val="nil"/>
                  </w:tcBorders>
                  <w:shd w:val="clear" w:color="auto" w:fill="auto"/>
                  <w:vAlign w:val="center"/>
                </w:tcPr>
                <w:p>
                  <w:pPr>
                    <w:jc w:val="center"/>
                  </w:pPr>
                  <w:r>
                    <w:rPr>
                      <w:rFonts w:hint="eastAsia"/>
                    </w:rPr>
                    <w:t>相符</w:t>
                  </w:r>
                </w:p>
              </w:tc>
            </w:tr>
          </w:tbl>
          <w:p>
            <w:pPr>
              <w:snapToGrid w:val="0"/>
              <w:spacing w:line="480" w:lineRule="exact"/>
              <w:rPr>
                <w:rFonts w:hint="eastAsia"/>
                <w:bCs/>
                <w:sz w:val="24"/>
              </w:rPr>
            </w:pPr>
            <w:r>
              <w:rPr>
                <w:rFonts w:hint="eastAsia"/>
                <w:b/>
                <w:bCs/>
                <w:sz w:val="24"/>
              </w:rPr>
              <w:t>1.6</w:t>
            </w:r>
            <w:r>
              <w:rPr>
                <w:b/>
                <w:bCs/>
                <w:sz w:val="24"/>
              </w:rPr>
              <w:t>、</w:t>
            </w:r>
            <w:r>
              <w:rPr>
                <w:rFonts w:hint="eastAsia"/>
                <w:b/>
                <w:bCs w:val="0"/>
                <w:sz w:val="24"/>
              </w:rPr>
              <w:t>与《废塑料加工利用污染防治管理规定》相符性分析</w:t>
            </w:r>
          </w:p>
          <w:p>
            <w:pPr>
              <w:pStyle w:val="27"/>
              <w:spacing w:line="480" w:lineRule="exact"/>
              <w:ind w:firstLine="480" w:firstLineChars="200"/>
              <w:rPr>
                <w:rFonts w:ascii="Times New Roman" w:hAnsi="Times New Roman"/>
                <w:color w:val="auto"/>
              </w:rPr>
            </w:pPr>
            <w:r>
              <w:rPr>
                <w:rFonts w:hint="eastAsia" w:ascii="Times New Roman" w:hAnsi="Times New Roman"/>
                <w:color w:val="auto"/>
              </w:rPr>
              <w:t>本项目与</w:t>
            </w:r>
            <w:r>
              <w:rPr>
                <w:rFonts w:ascii="Times New Roman" w:hAnsi="Times New Roman"/>
                <w:color w:val="auto"/>
              </w:rPr>
              <w:t>《</w:t>
            </w:r>
            <w:r>
              <w:rPr>
                <w:rFonts w:hint="eastAsia" w:ascii="Times New Roman" w:hAnsi="Times New Roman"/>
                <w:color w:val="auto"/>
              </w:rPr>
              <w:t>废塑料加工利用污染防治管理规定</w:t>
            </w:r>
            <w:r>
              <w:rPr>
                <w:rFonts w:ascii="Times New Roman" w:hAnsi="Times New Roman"/>
                <w:color w:val="auto"/>
              </w:rPr>
              <w:t>》</w:t>
            </w:r>
            <w:r>
              <w:rPr>
                <w:rFonts w:hint="eastAsia" w:ascii="Times New Roman" w:hAnsi="Times New Roman"/>
                <w:color w:val="auto"/>
              </w:rPr>
              <w:t>（环境保护部、发改委、商务部公告2012年第55号）相关要求的符合性分析具体见下表。</w:t>
            </w:r>
          </w:p>
          <w:p>
            <w:pPr>
              <w:spacing w:line="480" w:lineRule="exact"/>
              <w:rPr>
                <w:b/>
                <w:bCs/>
                <w:sz w:val="24"/>
              </w:rPr>
            </w:pPr>
            <w:r>
              <w:rPr>
                <w:rFonts w:hint="eastAsia"/>
                <w:b/>
                <w:bCs/>
              </w:rPr>
              <w:t>表1-</w:t>
            </w:r>
            <w:r>
              <w:rPr>
                <w:rFonts w:hint="eastAsia"/>
                <w:b/>
                <w:bCs/>
                <w:lang w:val="en-US" w:eastAsia="zh-CN"/>
              </w:rPr>
              <w:t>4</w:t>
            </w:r>
            <w:r>
              <w:rPr>
                <w:rFonts w:hint="eastAsia"/>
                <w:b/>
                <w:bCs/>
              </w:rPr>
              <w:t xml:space="preserve"> 项目与</w:t>
            </w:r>
            <w:r>
              <w:rPr>
                <w:b/>
                <w:bCs/>
              </w:rPr>
              <w:t>《</w:t>
            </w:r>
            <w:r>
              <w:rPr>
                <w:rFonts w:hint="eastAsia"/>
                <w:b/>
                <w:bCs/>
              </w:rPr>
              <w:t>废塑料加工利用污染防治管理规定</w:t>
            </w:r>
            <w:r>
              <w:rPr>
                <w:b/>
                <w:bCs/>
              </w:rPr>
              <w:t>》</w:t>
            </w:r>
            <w:r>
              <w:rPr>
                <w:rFonts w:hint="eastAsia"/>
                <w:b/>
                <w:bCs/>
              </w:rPr>
              <w:t>符合性分析一览表</w:t>
            </w:r>
          </w:p>
          <w:tbl>
            <w:tblPr>
              <w:tblStyle w:val="21"/>
              <w:tblW w:w="65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847"/>
              <w:gridCol w:w="2463"/>
              <w:gridCol w:w="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序号</w:t>
                  </w:r>
                </w:p>
              </w:tc>
              <w:tc>
                <w:tcPr>
                  <w:tcW w:w="2847"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规范要求</w:t>
                  </w:r>
                </w:p>
              </w:tc>
              <w:tc>
                <w:tcPr>
                  <w:tcW w:w="2463"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项目情况</w:t>
                  </w:r>
                </w:p>
              </w:tc>
              <w:tc>
                <w:tcPr>
                  <w:tcW w:w="673"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是否相符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1</w:t>
                  </w:r>
                </w:p>
              </w:tc>
              <w:tc>
                <w:tcPr>
                  <w:tcW w:w="2847"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eastAsia="zh-CN"/>
                    </w:rPr>
                  </w:pPr>
                  <w:r>
                    <w:rPr>
                      <w:rFonts w:hint="eastAsia"/>
                    </w:rPr>
                    <w:t>禁止在居民区加工利用废塑料</w:t>
                  </w:r>
                  <w:r>
                    <w:rPr>
                      <w:rFonts w:hint="eastAsia"/>
                      <w:lang w:eastAsia="zh-CN"/>
                    </w:rPr>
                    <w:t>。</w:t>
                  </w:r>
                </w:p>
              </w:tc>
              <w:tc>
                <w:tcPr>
                  <w:tcW w:w="2463" w:type="dxa"/>
                  <w:tcBorders>
                    <w:tl2br w:val="nil"/>
                    <w:tr2bl w:val="nil"/>
                  </w:tcBorders>
                  <w:shd w:val="clear" w:color="auto" w:fill="auto"/>
                  <w:vAlign w:val="center"/>
                </w:tcPr>
                <w:p>
                  <w:pPr>
                    <w:pStyle w:val="20"/>
                    <w:spacing w:after="0"/>
                    <w:ind w:left="0" w:leftChars="0" w:firstLine="0" w:firstLineChars="0"/>
                    <w:jc w:val="center"/>
                  </w:pPr>
                  <w:r>
                    <w:rPr>
                      <w:rFonts w:hint="eastAsia"/>
                    </w:rPr>
                    <w:t>项目位于工业园区内，占地性质为工业用地。</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2</w:t>
                  </w:r>
                </w:p>
              </w:tc>
              <w:tc>
                <w:tcPr>
                  <w:tcW w:w="2847"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eastAsia="zh-CN"/>
                    </w:rPr>
                  </w:pPr>
                  <w:r>
                    <w:rPr>
                      <w:rFonts w:hint="eastAsia"/>
                    </w:rPr>
                    <w:t>禁止利用废塑料生产厚度小于 0.025mm的超薄塑料购物袋和厚度小于 0.015mm超薄塑料袋。禁止利用废塑料生产食品用塑料袋</w:t>
                  </w:r>
                  <w:r>
                    <w:rPr>
                      <w:rFonts w:hint="eastAsia"/>
                      <w:lang w:eastAsia="zh-CN"/>
                    </w:rPr>
                    <w:t>。</w:t>
                  </w:r>
                </w:p>
              </w:tc>
              <w:tc>
                <w:tcPr>
                  <w:tcW w:w="2463" w:type="dxa"/>
                  <w:tcBorders>
                    <w:tl2br w:val="nil"/>
                    <w:tr2bl w:val="nil"/>
                  </w:tcBorders>
                  <w:shd w:val="clear" w:color="auto" w:fill="auto"/>
                  <w:vAlign w:val="center"/>
                </w:tcPr>
                <w:p>
                  <w:pPr>
                    <w:pStyle w:val="20"/>
                    <w:spacing w:after="0"/>
                    <w:ind w:left="0" w:leftChars="0" w:firstLine="0" w:firstLineChars="0"/>
                    <w:jc w:val="center"/>
                  </w:pPr>
                  <w:r>
                    <w:rPr>
                      <w:rFonts w:hint="eastAsia"/>
                    </w:rPr>
                    <w:t>本项目利用废塑料生产再生塑料颗粒，不生产塑料袋。</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3</w:t>
                  </w:r>
                </w:p>
              </w:tc>
              <w:tc>
                <w:tcPr>
                  <w:tcW w:w="2847" w:type="dxa"/>
                  <w:tcBorders>
                    <w:tl2br w:val="nil"/>
                    <w:tr2bl w:val="nil"/>
                  </w:tcBorders>
                  <w:shd w:val="clear" w:color="auto" w:fill="auto"/>
                  <w:vAlign w:val="center"/>
                </w:tcPr>
                <w:p>
                  <w:pPr>
                    <w:pStyle w:val="20"/>
                    <w:spacing w:after="0"/>
                    <w:ind w:left="0" w:leftChars="0" w:firstLine="0" w:firstLineChars="0"/>
                    <w:jc w:val="center"/>
                  </w:pPr>
                  <w:r>
                    <w:rPr>
                      <w:rFonts w:hint="eastAsia"/>
                    </w:rPr>
                    <w:t>禁止无危险废物经营许可证从事废塑料类危险废物的回收利用活动，包括被危险化学品、农药等污染的废弃塑料包装物，废弃的一次性医疗用塑料制品（如输液器、血袋）等</w:t>
                  </w:r>
                  <w:r>
                    <w:t>。</w:t>
                  </w:r>
                </w:p>
              </w:tc>
              <w:tc>
                <w:tcPr>
                  <w:tcW w:w="2463" w:type="dxa"/>
                  <w:tcBorders>
                    <w:tl2br w:val="nil"/>
                    <w:tr2bl w:val="nil"/>
                  </w:tcBorders>
                  <w:shd w:val="clear" w:color="auto" w:fill="auto"/>
                  <w:vAlign w:val="center"/>
                </w:tcPr>
                <w:p>
                  <w:pPr>
                    <w:adjustRightInd w:val="0"/>
                    <w:snapToGrid w:val="0"/>
                    <w:jc w:val="center"/>
                  </w:pPr>
                  <w:r>
                    <w:rPr>
                      <w:rFonts w:hint="eastAsia"/>
                    </w:rPr>
                    <w:t>本项目原料为直接外购废塑料，进行再生塑料颗粒生产项目，不包含废塑料类危险废物</w:t>
                  </w:r>
                  <w:r>
                    <w:rPr>
                      <w:rFonts w:hint="eastAsia"/>
                      <w:spacing w:val="-5"/>
                      <w:szCs w:val="21"/>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4</w:t>
                  </w:r>
                </w:p>
              </w:tc>
              <w:tc>
                <w:tcPr>
                  <w:tcW w:w="2847" w:type="dxa"/>
                  <w:tcBorders>
                    <w:tl2br w:val="nil"/>
                    <w:tr2bl w:val="nil"/>
                  </w:tcBorders>
                  <w:shd w:val="clear" w:color="auto" w:fill="auto"/>
                  <w:vAlign w:val="center"/>
                </w:tcPr>
                <w:p>
                  <w:pPr>
                    <w:pStyle w:val="20"/>
                    <w:spacing w:after="0"/>
                    <w:ind w:left="0" w:leftChars="0" w:firstLine="0" w:firstLineChars="0"/>
                    <w:jc w:val="center"/>
                    <w:rPr>
                      <w:rFonts w:hint="eastAsia"/>
                    </w:rPr>
                  </w:pPr>
                  <w:r>
                    <w:rPr>
                      <w:rFonts w:hint="eastAsia"/>
                    </w:rPr>
                    <w:t>无符合环保要求污水治理设施的，禁止从事废编织袋造粒、缸脚料淘洗、废塑料退</w:t>
                  </w:r>
                </w:p>
                <w:p>
                  <w:pPr>
                    <w:pStyle w:val="20"/>
                    <w:spacing w:after="0"/>
                    <w:ind w:left="0" w:leftChars="0" w:firstLine="0" w:firstLineChars="0"/>
                    <w:jc w:val="center"/>
                  </w:pPr>
                  <w:r>
                    <w:rPr>
                      <w:rFonts w:hint="eastAsia"/>
                    </w:rPr>
                    <w:t>镀（涂）、盐卤分拣等加工活动</w:t>
                  </w:r>
                  <w:r>
                    <w:t>。</w:t>
                  </w:r>
                </w:p>
              </w:tc>
              <w:tc>
                <w:tcPr>
                  <w:tcW w:w="2463"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eastAsia="zh-CN"/>
                    </w:rPr>
                  </w:pPr>
                  <w:r>
                    <w:rPr>
                      <w:rFonts w:hint="eastAsia"/>
                    </w:rPr>
                    <w:t>不涉及</w:t>
                  </w:r>
                  <w:r>
                    <w:rPr>
                      <w:rFonts w:hint="eastAsia"/>
                      <w:lang w:eastAsia="zh-CN"/>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5</w:t>
                  </w:r>
                </w:p>
              </w:tc>
              <w:tc>
                <w:tcPr>
                  <w:tcW w:w="2847" w:type="dxa"/>
                  <w:tcBorders>
                    <w:tl2br w:val="nil"/>
                    <w:tr2bl w:val="nil"/>
                  </w:tcBorders>
                  <w:shd w:val="clear" w:color="auto" w:fill="auto"/>
                  <w:vAlign w:val="center"/>
                </w:tcPr>
                <w:p>
                  <w:pPr>
                    <w:pStyle w:val="20"/>
                    <w:spacing w:after="0"/>
                    <w:ind w:left="0" w:leftChars="0" w:firstLine="0" w:firstLineChars="0"/>
                    <w:jc w:val="center"/>
                  </w:pPr>
                  <w:r>
                    <w:rPr>
                      <w:rFonts w:hint="eastAsia"/>
                    </w:rPr>
                    <w:t>废塑料加工利用单位应当以环境无害化方式处理废塑料加工利用过程中产生的残余垃圾、滤网；禁止交不符合环保要求的单位或个人或处置。</w:t>
                  </w:r>
                </w:p>
              </w:tc>
              <w:tc>
                <w:tcPr>
                  <w:tcW w:w="2463"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eastAsia="zh-CN"/>
                    </w:rPr>
                  </w:pPr>
                  <w:r>
                    <w:rPr>
                      <w:rFonts w:hint="eastAsia"/>
                    </w:rPr>
                    <w:t>本项目产生的一般固废能回收综合利用的部分尽可能做到回用利用，无法回收的进行妥善处有合理去向。废滤网作为一般固废处理，交由符合环保要求的单位处理</w:t>
                  </w:r>
                  <w:r>
                    <w:rPr>
                      <w:rFonts w:hint="eastAsia"/>
                      <w:lang w:eastAsia="zh-CN"/>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pPr>
                  <w:r>
                    <w:rPr>
                      <w:rFonts w:hint="eastAsia"/>
                    </w:rPr>
                    <w:t>6</w:t>
                  </w:r>
                </w:p>
              </w:tc>
              <w:tc>
                <w:tcPr>
                  <w:tcW w:w="2847"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eastAsia="zh-CN"/>
                    </w:rPr>
                  </w:pPr>
                  <w:r>
                    <w:rPr>
                      <w:rFonts w:hint="eastAsia"/>
                    </w:rPr>
                    <w:t>禁止露天焚烧废塑料及加工利用过程产生的残余垃圾</w:t>
                  </w:r>
                  <w:r>
                    <w:rPr>
                      <w:rFonts w:hint="eastAsia"/>
                      <w:lang w:eastAsia="zh-CN"/>
                    </w:rPr>
                    <w:t>。</w:t>
                  </w:r>
                </w:p>
              </w:tc>
              <w:tc>
                <w:tcPr>
                  <w:tcW w:w="2463" w:type="dxa"/>
                  <w:tcBorders>
                    <w:tl2br w:val="nil"/>
                    <w:tr2bl w:val="nil"/>
                  </w:tcBorders>
                  <w:shd w:val="clear" w:color="auto" w:fill="auto"/>
                  <w:vAlign w:val="center"/>
                </w:tcPr>
                <w:p>
                  <w:pPr>
                    <w:pStyle w:val="20"/>
                    <w:spacing w:after="0"/>
                    <w:ind w:left="0" w:leftChars="0" w:firstLine="0" w:firstLineChars="0"/>
                    <w:jc w:val="center"/>
                  </w:pPr>
                  <w:r>
                    <w:rPr>
                      <w:rFonts w:hint="eastAsia"/>
                    </w:rPr>
                    <w:t>不涉及</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86"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val="en-US" w:eastAsia="zh-CN"/>
                    </w:rPr>
                  </w:pPr>
                  <w:r>
                    <w:rPr>
                      <w:rFonts w:hint="eastAsia"/>
                      <w:lang w:val="en-US" w:eastAsia="zh-CN"/>
                    </w:rPr>
                    <w:t>7</w:t>
                  </w:r>
                </w:p>
              </w:tc>
              <w:tc>
                <w:tcPr>
                  <w:tcW w:w="2847"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eastAsia="zh-CN"/>
                    </w:rPr>
                  </w:pPr>
                  <w:r>
                    <w:rPr>
                      <w:rFonts w:hint="eastAsia"/>
                    </w:rPr>
                    <w:t>进口废塑料加工利用企业应当符合《固体废物进口管理办法》以及环境保护部关于进口可用作原料的固体废物和废塑料环境保护管理相关规定</w:t>
                  </w:r>
                  <w:r>
                    <w:rPr>
                      <w:rFonts w:hint="eastAsia"/>
                      <w:lang w:eastAsia="zh-CN"/>
                    </w:rPr>
                    <w:t>。</w:t>
                  </w:r>
                </w:p>
              </w:tc>
              <w:tc>
                <w:tcPr>
                  <w:tcW w:w="2463" w:type="dxa"/>
                  <w:tcBorders>
                    <w:tl2br w:val="nil"/>
                    <w:tr2bl w:val="nil"/>
                  </w:tcBorders>
                  <w:shd w:val="clear" w:color="auto" w:fill="auto"/>
                  <w:vAlign w:val="center"/>
                </w:tcPr>
                <w:p>
                  <w:pPr>
                    <w:pStyle w:val="20"/>
                    <w:spacing w:after="0"/>
                    <w:ind w:left="0" w:leftChars="0" w:firstLine="0" w:firstLineChars="0"/>
                    <w:jc w:val="center"/>
                  </w:pPr>
                  <w:r>
                    <w:rPr>
                      <w:rFonts w:hint="eastAsia"/>
                    </w:rPr>
                    <w:t>本项目不涉及进口废塑料加工利用。</w:t>
                  </w:r>
                </w:p>
              </w:tc>
              <w:tc>
                <w:tcPr>
                  <w:tcW w:w="673" w:type="dxa"/>
                  <w:tcBorders>
                    <w:tl2br w:val="nil"/>
                    <w:tr2bl w:val="nil"/>
                  </w:tcBorders>
                  <w:shd w:val="clear" w:color="auto" w:fill="auto"/>
                  <w:vAlign w:val="center"/>
                </w:tcPr>
                <w:p>
                  <w:pPr>
                    <w:pStyle w:val="20"/>
                    <w:spacing w:after="0"/>
                    <w:ind w:left="0" w:leftChars="0" w:firstLine="0" w:firstLineChars="0"/>
                    <w:jc w:val="center"/>
                    <w:rPr>
                      <w:rFonts w:hint="eastAsia"/>
                    </w:rPr>
                  </w:pPr>
                  <w:r>
                    <w:rPr>
                      <w:rFonts w:hint="eastAsia"/>
                    </w:rPr>
                    <w:t>符合</w:t>
                  </w:r>
                </w:p>
              </w:tc>
            </w:tr>
          </w:tbl>
          <w:p>
            <w:pPr>
              <w:keepNext w:val="0"/>
              <w:keepLines w:val="0"/>
              <w:pageBreakBefore w:val="0"/>
              <w:widowControl w:val="0"/>
              <w:kinsoku/>
              <w:wordWrap/>
              <w:overflowPunct/>
              <w:topLinePunct w:val="0"/>
              <w:bidi w:val="0"/>
              <w:snapToGrid/>
              <w:spacing w:line="360" w:lineRule="auto"/>
              <w:ind w:firstLine="480" w:firstLineChars="200"/>
              <w:textAlignment w:val="auto"/>
              <w:rPr>
                <w:b/>
                <w:bCs/>
                <w:sz w:val="24"/>
                <w:szCs w:val="24"/>
              </w:rPr>
            </w:pPr>
            <w:r>
              <w:rPr>
                <w:rFonts w:hint="default" w:ascii="Times New Roman" w:hAnsi="Times New Roman" w:cs="Times New Roman"/>
                <w:b w:val="0"/>
                <w:bCs w:val="0"/>
                <w:sz w:val="24"/>
              </w:rPr>
              <w:t>综上所述，本项目与《废塑料加工利用污染防治管理规定》（环境保护部、发改委、商务部公告2012年第55号）是相符的。</w:t>
            </w:r>
          </w:p>
          <w:p>
            <w:pPr>
              <w:pStyle w:val="27"/>
              <w:keepNext w:val="0"/>
              <w:keepLines w:val="0"/>
              <w:pageBreakBefore w:val="0"/>
              <w:widowControl w:val="0"/>
              <w:kinsoku/>
              <w:wordWrap/>
              <w:overflowPunct/>
              <w:topLinePunct w:val="0"/>
              <w:bidi w:val="0"/>
              <w:snapToGrid/>
              <w:spacing w:line="360" w:lineRule="auto"/>
              <w:textAlignment w:val="auto"/>
              <w:rPr>
                <w:rFonts w:hint="eastAsia"/>
                <w:b/>
                <w:bCs w:val="0"/>
                <w:sz w:val="24"/>
                <w:szCs w:val="24"/>
              </w:rPr>
            </w:pPr>
            <w:r>
              <w:rPr>
                <w:rFonts w:hint="default" w:ascii="Times New Roman" w:hAnsi="Times New Roman" w:cs="Times New Roman"/>
                <w:b/>
                <w:bCs/>
                <w:sz w:val="24"/>
                <w:szCs w:val="24"/>
              </w:rPr>
              <w:t>1.</w:t>
            </w:r>
            <w:r>
              <w:rPr>
                <w:rFonts w:hint="default" w:ascii="Times New Roman" w:hAnsi="Times New Roman" w:cs="Times New Roman"/>
                <w:b/>
                <w:bCs/>
                <w:sz w:val="24"/>
                <w:szCs w:val="24"/>
                <w:lang w:val="en-US" w:eastAsia="zh-CN"/>
              </w:rPr>
              <w:t>7</w:t>
            </w:r>
            <w:r>
              <w:rPr>
                <w:rFonts w:hint="default" w:ascii="Times New Roman" w:hAnsi="Times New Roman" w:cs="Times New Roman"/>
                <w:b/>
                <w:bCs/>
                <w:sz w:val="24"/>
                <w:szCs w:val="24"/>
              </w:rPr>
              <w:t>、</w:t>
            </w:r>
            <w:r>
              <w:rPr>
                <w:rFonts w:hint="eastAsia"/>
                <w:b/>
                <w:bCs w:val="0"/>
                <w:sz w:val="24"/>
                <w:szCs w:val="24"/>
              </w:rPr>
              <w:t>与《进一步加强塑料污染治理的意见》（发改环资〔2020〕80 号）的相符性分析</w:t>
            </w:r>
          </w:p>
          <w:p>
            <w:pPr>
              <w:pStyle w:val="20"/>
              <w:keepNext w:val="0"/>
              <w:keepLines w:val="0"/>
              <w:pageBreakBefore w:val="0"/>
              <w:widowControl w:val="0"/>
              <w:kinsoku/>
              <w:wordWrap/>
              <w:overflowPunct/>
              <w:topLinePunct w:val="0"/>
              <w:bidi w:val="0"/>
              <w:snapToGrid/>
              <w:spacing w:after="0" w:line="360" w:lineRule="auto"/>
              <w:ind w:left="0" w:leftChars="0" w:firstLine="420" w:firstLineChars="0"/>
              <w:textAlignment w:val="auto"/>
              <w:rPr>
                <w:rFonts w:hint="eastAsia"/>
                <w:sz w:val="24"/>
                <w:szCs w:val="24"/>
                <w:lang w:val="en-US" w:eastAsia="zh-CN"/>
              </w:rPr>
            </w:pPr>
            <w:r>
              <w:rPr>
                <w:rFonts w:hint="eastAsia"/>
                <w:sz w:val="24"/>
                <w:szCs w:val="24"/>
                <w:lang w:val="en-US" w:eastAsia="zh-CN"/>
              </w:rPr>
              <w:t>根据意见要求内容，本项目与其相符性分析见下表：</w:t>
            </w:r>
          </w:p>
          <w:p>
            <w:pPr>
              <w:keepNext w:val="0"/>
              <w:keepLines w:val="0"/>
              <w:pageBreakBefore w:val="0"/>
              <w:widowControl w:val="0"/>
              <w:kinsoku/>
              <w:wordWrap/>
              <w:overflowPunct/>
              <w:topLinePunct w:val="0"/>
              <w:bidi w:val="0"/>
              <w:snapToGrid/>
              <w:spacing w:line="360" w:lineRule="auto"/>
              <w:jc w:val="center"/>
              <w:textAlignment w:val="auto"/>
              <w:rPr>
                <w:rFonts w:hint="default"/>
                <w:sz w:val="21"/>
                <w:szCs w:val="21"/>
                <w:lang w:val="en-US" w:eastAsia="zh-CN"/>
              </w:rPr>
            </w:pPr>
            <w:r>
              <w:rPr>
                <w:rFonts w:hint="eastAsia"/>
                <w:b/>
                <w:bCs/>
                <w:sz w:val="21"/>
                <w:szCs w:val="21"/>
              </w:rPr>
              <w:t>表1-</w:t>
            </w:r>
            <w:r>
              <w:rPr>
                <w:rFonts w:hint="eastAsia"/>
                <w:b/>
                <w:bCs/>
                <w:sz w:val="21"/>
                <w:szCs w:val="21"/>
                <w:lang w:val="en-US" w:eastAsia="zh-CN"/>
              </w:rPr>
              <w:t>5</w:t>
            </w:r>
            <w:r>
              <w:rPr>
                <w:rFonts w:hint="eastAsia"/>
                <w:b/>
                <w:bCs/>
                <w:sz w:val="21"/>
                <w:szCs w:val="21"/>
              </w:rPr>
              <w:t xml:space="preserve"> 与</w:t>
            </w:r>
            <w:r>
              <w:rPr>
                <w:b/>
                <w:bCs/>
                <w:sz w:val="21"/>
                <w:szCs w:val="21"/>
              </w:rPr>
              <w:t>《</w:t>
            </w:r>
            <w:r>
              <w:rPr>
                <w:rFonts w:hint="eastAsia"/>
                <w:b/>
                <w:bCs w:val="0"/>
                <w:sz w:val="24"/>
                <w:szCs w:val="24"/>
              </w:rPr>
              <w:t>进一步加强塑料污染治理的意见</w:t>
            </w:r>
            <w:r>
              <w:rPr>
                <w:b/>
                <w:bCs/>
                <w:sz w:val="21"/>
                <w:szCs w:val="21"/>
              </w:rPr>
              <w:t>》</w:t>
            </w:r>
            <w:r>
              <w:rPr>
                <w:rFonts w:hint="eastAsia"/>
                <w:b/>
                <w:bCs/>
                <w:sz w:val="21"/>
                <w:szCs w:val="21"/>
              </w:rPr>
              <w:t>符合性分析</w:t>
            </w:r>
          </w:p>
          <w:tbl>
            <w:tblPr>
              <w:tblStyle w:val="21"/>
              <w:tblW w:w="65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10"/>
              <w:gridCol w:w="2593"/>
              <w:gridCol w:w="7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10" w:type="dxa"/>
                  <w:tcBorders>
                    <w:tl2br w:val="nil"/>
                    <w:tr2bl w:val="nil"/>
                  </w:tcBorders>
                  <w:shd w:val="clear" w:color="auto" w:fill="auto"/>
                  <w:vAlign w:val="center"/>
                </w:tcPr>
                <w:p>
                  <w:pPr>
                    <w:pStyle w:val="20"/>
                    <w:spacing w:after="0"/>
                    <w:ind w:left="0" w:leftChars="0" w:firstLine="0" w:firstLineChars="0"/>
                    <w:jc w:val="center"/>
                    <w:rPr>
                      <w:rFonts w:hint="eastAsia" w:eastAsia="宋体"/>
                      <w:b/>
                      <w:bCs/>
                      <w:lang w:eastAsia="zh-CN"/>
                    </w:rPr>
                  </w:pPr>
                  <w:r>
                    <w:rPr>
                      <w:rFonts w:hint="eastAsia"/>
                      <w:b/>
                      <w:bCs/>
                      <w:lang w:val="en-US" w:eastAsia="zh-CN"/>
                    </w:rPr>
                    <w:t>行动计划内容</w:t>
                  </w:r>
                </w:p>
              </w:tc>
              <w:tc>
                <w:tcPr>
                  <w:tcW w:w="2593"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项目情况</w:t>
                  </w:r>
                </w:p>
              </w:tc>
              <w:tc>
                <w:tcPr>
                  <w:tcW w:w="736"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是否相符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10"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eastAsia="zh-CN"/>
                    </w:rPr>
                  </w:pPr>
                  <w:r>
                    <w:rPr>
                      <w:rFonts w:hint="eastAsia"/>
                    </w:rPr>
                    <w:t>（四）禁止生产、销售的塑料制品。禁止生产和销售厚度小于 0.025 毫米的超薄塑料购物袋、厚度小于0.01 毫米的聚乙烯农用地膜。禁止以医疗废物为原料制造塑料制品。全面禁止废塑料进口。到 2020 年底，禁止生产和销售一次性发泡塑料餐具、一次性塑料棉签；禁止生产含塑料微珠的日化产品。到2022年底，禁止销售含塑料微珠的日化产品。</w:t>
                  </w:r>
                </w:p>
              </w:tc>
              <w:tc>
                <w:tcPr>
                  <w:tcW w:w="2593" w:type="dxa"/>
                  <w:tcBorders>
                    <w:tl2br w:val="nil"/>
                    <w:tr2bl w:val="nil"/>
                  </w:tcBorders>
                  <w:shd w:val="clear" w:color="auto" w:fill="auto"/>
                  <w:vAlign w:val="center"/>
                </w:tcPr>
                <w:p>
                  <w:pPr>
                    <w:pStyle w:val="20"/>
                    <w:spacing w:after="0"/>
                    <w:ind w:left="0" w:leftChars="0" w:firstLine="0" w:firstLineChars="0"/>
                    <w:jc w:val="center"/>
                    <w:rPr>
                      <w:rFonts w:hint="eastAsia"/>
                    </w:rPr>
                  </w:pPr>
                  <w:r>
                    <w:rPr>
                      <w:rFonts w:hint="eastAsia"/>
                    </w:rPr>
                    <w:t>本项目为利用废塑料生产塑料颗粒项目，不生产或者销售塑料购物袋、</w:t>
                  </w:r>
                </w:p>
                <w:p>
                  <w:pPr>
                    <w:pStyle w:val="20"/>
                    <w:spacing w:after="0"/>
                    <w:ind w:left="0" w:leftChars="0" w:firstLine="0" w:firstLineChars="0"/>
                    <w:jc w:val="center"/>
                    <w:rPr>
                      <w:rFonts w:hint="eastAsia"/>
                    </w:rPr>
                  </w:pPr>
                  <w:r>
                    <w:rPr>
                      <w:rFonts w:hint="eastAsia"/>
                    </w:rPr>
                    <w:t>聚乙烯农用地膜、一次性发泡塑料餐具、一次性塑料棉签、含塑料微珠的</w:t>
                  </w:r>
                </w:p>
                <w:p>
                  <w:pPr>
                    <w:pStyle w:val="20"/>
                    <w:spacing w:after="0"/>
                    <w:ind w:left="0" w:leftChars="0" w:firstLine="0" w:firstLineChars="0"/>
                    <w:jc w:val="center"/>
                  </w:pPr>
                  <w:r>
                    <w:rPr>
                      <w:rFonts w:hint="eastAsia"/>
                    </w:rPr>
                    <w:t>日化产品，不以医疗废物为原料，不进口废塑料。</w:t>
                  </w:r>
                </w:p>
              </w:tc>
              <w:tc>
                <w:tcPr>
                  <w:tcW w:w="736"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10" w:type="dxa"/>
                  <w:tcBorders>
                    <w:tl2br w:val="nil"/>
                    <w:tr2bl w:val="nil"/>
                  </w:tcBorders>
                  <w:shd w:val="clear" w:color="auto" w:fill="auto"/>
                  <w:vAlign w:val="center"/>
                </w:tcPr>
                <w:p>
                  <w:pPr>
                    <w:pStyle w:val="20"/>
                    <w:spacing w:after="0"/>
                    <w:ind w:left="0" w:leftChars="0" w:firstLine="0" w:firstLineChars="0"/>
                    <w:jc w:val="center"/>
                    <w:rPr>
                      <w:rFonts w:hint="eastAsia"/>
                    </w:rPr>
                  </w:pPr>
                  <w:r>
                    <w:rPr>
                      <w:rFonts w:hint="eastAsia"/>
                    </w:rPr>
                    <w:t>禁止、限制使用的塑料制品：</w:t>
                  </w:r>
                </w:p>
                <w:p>
                  <w:pPr>
                    <w:pStyle w:val="20"/>
                    <w:spacing w:after="0"/>
                    <w:ind w:left="0" w:leftChars="0" w:firstLine="0" w:firstLineChars="0"/>
                    <w:jc w:val="both"/>
                    <w:rPr>
                      <w:rFonts w:hint="eastAsia"/>
                    </w:rPr>
                  </w:pPr>
                  <w:r>
                    <w:rPr>
                      <w:rFonts w:hint="eastAsia"/>
                    </w:rPr>
                    <w:t>1.不可降解塑料袋。</w:t>
                  </w:r>
                </w:p>
                <w:p>
                  <w:pPr>
                    <w:pStyle w:val="20"/>
                    <w:spacing w:after="0"/>
                    <w:ind w:left="0" w:leftChars="0" w:firstLine="0" w:firstLineChars="0"/>
                    <w:jc w:val="both"/>
                    <w:rPr>
                      <w:rFonts w:hint="eastAsia"/>
                    </w:rPr>
                  </w:pPr>
                  <w:r>
                    <w:rPr>
                      <w:rFonts w:hint="eastAsia"/>
                    </w:rPr>
                    <w:t>2.一次性塑料餐具。</w:t>
                  </w:r>
                </w:p>
                <w:p>
                  <w:pPr>
                    <w:pStyle w:val="20"/>
                    <w:spacing w:after="0"/>
                    <w:ind w:left="0" w:leftChars="0" w:firstLine="0" w:firstLineChars="0"/>
                    <w:jc w:val="both"/>
                    <w:rPr>
                      <w:rFonts w:hint="eastAsia"/>
                    </w:rPr>
                  </w:pPr>
                  <w:r>
                    <w:rPr>
                      <w:rFonts w:hint="eastAsia"/>
                    </w:rPr>
                    <w:t>3.宾馆、酒店一次性塑料用品。</w:t>
                  </w:r>
                </w:p>
                <w:p>
                  <w:pPr>
                    <w:pStyle w:val="20"/>
                    <w:spacing w:after="0"/>
                    <w:ind w:left="0" w:leftChars="0" w:firstLine="0" w:firstLineChars="0"/>
                    <w:jc w:val="both"/>
                    <w:rPr>
                      <w:rFonts w:hint="eastAsia" w:eastAsia="宋体"/>
                      <w:lang w:eastAsia="zh-CN"/>
                    </w:rPr>
                  </w:pPr>
                  <w:r>
                    <w:rPr>
                      <w:rFonts w:hint="eastAsia"/>
                    </w:rPr>
                    <w:t>4.快递塑料包装</w:t>
                  </w:r>
                  <w:r>
                    <w:rPr>
                      <w:rFonts w:hint="eastAsia"/>
                      <w:lang w:eastAsia="zh-CN"/>
                    </w:rPr>
                    <w:t>。</w:t>
                  </w:r>
                </w:p>
              </w:tc>
              <w:tc>
                <w:tcPr>
                  <w:tcW w:w="2593" w:type="dxa"/>
                  <w:tcBorders>
                    <w:tl2br w:val="nil"/>
                    <w:tr2bl w:val="nil"/>
                  </w:tcBorders>
                  <w:shd w:val="clear" w:color="auto" w:fill="auto"/>
                  <w:vAlign w:val="center"/>
                </w:tcPr>
                <w:p>
                  <w:pPr>
                    <w:pStyle w:val="20"/>
                    <w:spacing w:after="0"/>
                    <w:ind w:left="0" w:leftChars="0" w:firstLine="0" w:firstLineChars="0"/>
                    <w:jc w:val="center"/>
                  </w:pPr>
                  <w:r>
                    <w:rPr>
                      <w:rFonts w:hint="eastAsia"/>
                    </w:rPr>
                    <w:t>本项目不使用不可降解塑料袋、一次性塑料餐具、宾馆或酒店一次性塑料用品、快递塑料包装。</w:t>
                  </w:r>
                </w:p>
              </w:tc>
              <w:tc>
                <w:tcPr>
                  <w:tcW w:w="736"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10" w:type="dxa"/>
                  <w:tcBorders>
                    <w:tl2br w:val="nil"/>
                    <w:tr2bl w:val="nil"/>
                  </w:tcBorders>
                  <w:shd w:val="clear" w:color="auto" w:fill="auto"/>
                  <w:vAlign w:val="center"/>
                </w:tcPr>
                <w:p>
                  <w:pPr>
                    <w:pStyle w:val="20"/>
                    <w:spacing w:after="0"/>
                    <w:ind w:left="0" w:leftChars="0" w:firstLine="0" w:firstLineChars="0"/>
                    <w:jc w:val="center"/>
                  </w:pPr>
                  <w:r>
                    <w:rPr>
                      <w:rFonts w:hint="eastAsia"/>
                    </w:rPr>
                    <w:t>（九）加强塑料废弃物回收和清运。结合实施垃圾分类，加大塑料废弃物等可回收物分类收集和处理力度，禁止随意堆放、倾倒造成塑料垃圾污染</w:t>
                  </w:r>
                  <w:r>
                    <w:t>。</w:t>
                  </w:r>
                </w:p>
              </w:tc>
              <w:tc>
                <w:tcPr>
                  <w:tcW w:w="2593" w:type="dxa"/>
                  <w:tcBorders>
                    <w:tl2br w:val="nil"/>
                    <w:tr2bl w:val="nil"/>
                  </w:tcBorders>
                  <w:shd w:val="clear" w:color="auto" w:fill="auto"/>
                  <w:vAlign w:val="center"/>
                </w:tcPr>
                <w:p>
                  <w:pPr>
                    <w:adjustRightInd w:val="0"/>
                    <w:snapToGrid w:val="0"/>
                    <w:jc w:val="center"/>
                    <w:rPr>
                      <w:rFonts w:hint="eastAsia"/>
                    </w:rPr>
                  </w:pPr>
                  <w:r>
                    <w:rPr>
                      <w:rFonts w:hint="eastAsia"/>
                    </w:rPr>
                    <w:t>本项目属于废塑料再生利用项目，一方面解决废塑料废物难处理问题，一</w:t>
                  </w:r>
                </w:p>
                <w:p>
                  <w:pPr>
                    <w:adjustRightInd w:val="0"/>
                    <w:snapToGrid w:val="0"/>
                    <w:jc w:val="center"/>
                  </w:pPr>
                  <w:r>
                    <w:rPr>
                      <w:rFonts w:hint="eastAsia"/>
                    </w:rPr>
                    <w:t>方面实现废弃资源再生</w:t>
                  </w:r>
                  <w:r>
                    <w:rPr>
                      <w:rFonts w:hint="eastAsia"/>
                      <w:spacing w:val="-5"/>
                      <w:szCs w:val="21"/>
                    </w:rPr>
                    <w:t>。</w:t>
                  </w:r>
                </w:p>
              </w:tc>
              <w:tc>
                <w:tcPr>
                  <w:tcW w:w="736"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bl>
          <w:p>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cs="Times New Roman"/>
                <w:b w:val="0"/>
                <w:bCs w:val="0"/>
                <w:sz w:val="24"/>
              </w:rPr>
            </w:pPr>
            <w:r>
              <w:rPr>
                <w:rFonts w:hint="default" w:ascii="Times New Roman" w:hAnsi="Times New Roman" w:cs="Times New Roman"/>
                <w:b w:val="0"/>
                <w:bCs w:val="0"/>
                <w:sz w:val="24"/>
              </w:rPr>
              <w:t>综上所述，本项目与《进一步加强塑料污染治理的意见》（发改环资〔2020〕80 号）是相符的。</w:t>
            </w:r>
          </w:p>
          <w:p>
            <w:pPr>
              <w:keepNext w:val="0"/>
              <w:keepLines w:val="0"/>
              <w:pageBreakBefore w:val="0"/>
              <w:widowControl w:val="0"/>
              <w:kinsoku/>
              <w:wordWrap/>
              <w:overflowPunct/>
              <w:topLinePunct w:val="0"/>
              <w:bidi w:val="0"/>
              <w:snapToGrid/>
              <w:spacing w:line="360" w:lineRule="auto"/>
              <w:textAlignment w:val="auto"/>
              <w:rPr>
                <w:rFonts w:hint="default" w:eastAsia="宋体"/>
                <w:b/>
                <w:bCs/>
                <w:sz w:val="24"/>
                <w:lang w:val="en-US" w:eastAsia="zh-CN"/>
              </w:rPr>
            </w:pPr>
            <w:r>
              <w:rPr>
                <w:rFonts w:hint="eastAsia"/>
                <w:b/>
                <w:bCs/>
                <w:sz w:val="24"/>
                <w:lang w:val="en-US" w:eastAsia="zh-CN"/>
              </w:rPr>
              <w:t>1.8、与《关于印发“十四五”塑料污染治理行动方案的通知》（发改环资〔2021〕 1298 号）的相符性分析</w:t>
            </w:r>
          </w:p>
          <w:p>
            <w:pPr>
              <w:pStyle w:val="27"/>
              <w:keepNext w:val="0"/>
              <w:keepLines w:val="0"/>
              <w:pageBreakBefore w:val="0"/>
              <w:widowControl w:val="0"/>
              <w:kinsoku/>
              <w:wordWrap/>
              <w:overflowPunct/>
              <w:topLinePunct w:val="0"/>
              <w:bidi w:val="0"/>
              <w:snapToGrid/>
              <w:spacing w:line="360" w:lineRule="auto"/>
              <w:ind w:firstLine="480" w:firstLineChars="200"/>
              <w:textAlignment w:val="auto"/>
              <w:rPr>
                <w:rFonts w:hint="eastAsia"/>
                <w:b w:val="0"/>
                <w:bCs w:val="0"/>
                <w:sz w:val="24"/>
              </w:rPr>
            </w:pPr>
            <w:r>
              <w:rPr>
                <w:rFonts w:hint="eastAsia"/>
                <w:b w:val="0"/>
                <w:bCs w:val="0"/>
                <w:sz w:val="24"/>
              </w:rPr>
              <w:t>根据方案要求内容，本项目与其相符性分析见下表：</w:t>
            </w:r>
          </w:p>
          <w:p>
            <w:pPr>
              <w:keepNext w:val="0"/>
              <w:keepLines w:val="0"/>
              <w:pageBreakBefore w:val="0"/>
              <w:widowControl w:val="0"/>
              <w:kinsoku/>
              <w:wordWrap/>
              <w:overflowPunct/>
              <w:topLinePunct w:val="0"/>
              <w:bidi w:val="0"/>
              <w:snapToGrid/>
              <w:spacing w:line="360" w:lineRule="auto"/>
              <w:textAlignment w:val="auto"/>
              <w:rPr>
                <w:b/>
                <w:bCs/>
                <w:sz w:val="24"/>
              </w:rPr>
            </w:pPr>
            <w:r>
              <w:rPr>
                <w:rFonts w:hint="eastAsia"/>
                <w:b w:val="0"/>
                <w:bCs w:val="0"/>
                <w:sz w:val="24"/>
                <w:lang w:val="en-US" w:eastAsia="zh-CN"/>
              </w:rPr>
              <w:t xml:space="preserve">  </w:t>
            </w:r>
            <w:r>
              <w:rPr>
                <w:rFonts w:hint="eastAsia"/>
                <w:b/>
                <w:bCs/>
              </w:rPr>
              <w:t>表1-</w:t>
            </w:r>
            <w:r>
              <w:rPr>
                <w:rFonts w:hint="eastAsia"/>
                <w:b/>
                <w:bCs/>
                <w:lang w:val="en-US" w:eastAsia="zh-CN"/>
              </w:rPr>
              <w:t>6</w:t>
            </w:r>
            <w:r>
              <w:rPr>
                <w:rFonts w:hint="eastAsia"/>
                <w:b/>
                <w:bCs/>
              </w:rPr>
              <w:t xml:space="preserve"> 与《“十四五”塑料污染治理行动方案》的符合性分析</w:t>
            </w:r>
          </w:p>
          <w:tbl>
            <w:tblPr>
              <w:tblStyle w:val="21"/>
              <w:tblW w:w="59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77"/>
              <w:gridCol w:w="1733"/>
              <w:gridCol w:w="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77" w:type="dxa"/>
                  <w:tcBorders>
                    <w:tl2br w:val="nil"/>
                    <w:tr2bl w:val="nil"/>
                  </w:tcBorders>
                  <w:shd w:val="clear" w:color="auto" w:fill="auto"/>
                  <w:vAlign w:val="center"/>
                </w:tcPr>
                <w:p>
                  <w:pPr>
                    <w:pStyle w:val="20"/>
                    <w:spacing w:after="0"/>
                    <w:ind w:left="0" w:leftChars="0" w:firstLine="0" w:firstLineChars="0"/>
                    <w:jc w:val="center"/>
                    <w:rPr>
                      <w:rFonts w:hint="eastAsia" w:eastAsia="宋体"/>
                      <w:b/>
                      <w:bCs/>
                      <w:lang w:eastAsia="zh-CN"/>
                    </w:rPr>
                  </w:pPr>
                  <w:r>
                    <w:rPr>
                      <w:rFonts w:hint="eastAsia"/>
                      <w:b/>
                      <w:bCs/>
                      <w:lang w:val="en-US" w:eastAsia="zh-CN"/>
                    </w:rPr>
                    <w:t>方案内容</w:t>
                  </w:r>
                </w:p>
              </w:tc>
              <w:tc>
                <w:tcPr>
                  <w:tcW w:w="1733"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项目情况</w:t>
                  </w:r>
                </w:p>
              </w:tc>
              <w:tc>
                <w:tcPr>
                  <w:tcW w:w="673"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是否相符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577"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eastAsia="zh-CN"/>
                    </w:rPr>
                  </w:pPr>
                  <w:r>
                    <w:rPr>
                      <w:rFonts w:hint="eastAsia"/>
                    </w:rPr>
                    <w:t>加大塑料废弃物再生利用。支持塑料废弃物再生利用项目建设，发布废塑料综合利用规范企业名单，引导相关项目向资源循环利用基地、工业资源综合利用基地等园区集聚，推动塑料废弃物再生利用产业规模化、规范化、清洁化发展。（国家发展改革委、工业和信息化部、生态环境部按职责分工负责）加强塑料废弃物再生利用企业的环境监管，加大对小散乱企业和违法违规行为的整治力度，防止二次污染。（生态环境部负责）完善再生塑料有关标准，加快推广应用废塑料再生利用先进适用技术装备，鼓励塑料废弃物同级化、高附加值利用。（市场监管总局、工业和信息化部按职责分工负责）。</w:t>
                  </w:r>
                </w:p>
              </w:tc>
              <w:tc>
                <w:tcPr>
                  <w:tcW w:w="1733" w:type="dxa"/>
                  <w:tcBorders>
                    <w:tl2br w:val="nil"/>
                    <w:tr2bl w:val="nil"/>
                  </w:tcBorders>
                  <w:shd w:val="clear" w:color="auto" w:fill="auto"/>
                  <w:vAlign w:val="center"/>
                </w:tcPr>
                <w:p>
                  <w:pPr>
                    <w:pStyle w:val="20"/>
                    <w:spacing w:after="0"/>
                    <w:ind w:left="0" w:leftChars="0" w:firstLine="0" w:firstLineChars="0"/>
                    <w:jc w:val="center"/>
                    <w:rPr>
                      <w:rFonts w:hint="eastAsia"/>
                    </w:rPr>
                  </w:pPr>
                  <w:r>
                    <w:rPr>
                      <w:rFonts w:hint="eastAsia"/>
                    </w:rPr>
                    <w:t>本项目为废塑料再生利用进行造粒，且位于工业园区内，正是响应该方案的号召；项目建成后，遵循清洁生产要求，污</w:t>
                  </w:r>
                </w:p>
                <w:p>
                  <w:pPr>
                    <w:pStyle w:val="20"/>
                    <w:spacing w:after="0"/>
                    <w:ind w:left="0" w:leftChars="0" w:firstLine="0" w:firstLineChars="0"/>
                    <w:jc w:val="center"/>
                  </w:pPr>
                  <w:r>
                    <w:rPr>
                      <w:rFonts w:hint="eastAsia"/>
                    </w:rPr>
                    <w:t>染治理后达标排放，不产生二次污染。</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bl>
          <w:p>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eastAsia="宋体"/>
                <w:lang w:val="en-US" w:eastAsia="zh-CN"/>
              </w:rPr>
            </w:pPr>
            <w:r>
              <w:rPr>
                <w:rFonts w:hint="default" w:ascii="Times New Roman" w:hAnsi="Times New Roman" w:cs="Times New Roman"/>
                <w:b w:val="0"/>
                <w:bCs w:val="0"/>
                <w:sz w:val="24"/>
              </w:rPr>
              <w:t>综上所述，本项目与</w:t>
            </w:r>
            <w:r>
              <w:rPr>
                <w:rFonts w:hint="default" w:ascii="Times New Roman" w:hAnsi="Times New Roman" w:cs="Times New Roman"/>
                <w:b w:val="0"/>
                <w:bCs w:val="0"/>
                <w:sz w:val="24"/>
                <w:lang w:val="en-US" w:eastAsia="zh-CN"/>
              </w:rPr>
              <w:t>《关于印发“十四五”塑料污染治理行动方案的通知》（发改环资〔2021〕 1298 号）</w:t>
            </w:r>
            <w:r>
              <w:rPr>
                <w:rFonts w:hint="default" w:ascii="Times New Roman" w:hAnsi="Times New Roman" w:cs="Times New Roman"/>
                <w:b w:val="0"/>
                <w:bCs w:val="0"/>
                <w:sz w:val="24"/>
              </w:rPr>
              <w:t>是相符的</w:t>
            </w:r>
            <w:r>
              <w:rPr>
                <w:rFonts w:hint="eastAsia" w:ascii="Times New Roman" w:hAnsi="Times New Roman" w:cs="Times New Roman"/>
                <w:b w:val="0"/>
                <w:bCs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b/>
                <w:bCs/>
                <w:sz w:val="24"/>
                <w:lang w:val="en-US" w:eastAsia="zh-CN"/>
              </w:rPr>
            </w:pPr>
            <w:r>
              <w:rPr>
                <w:rFonts w:hint="eastAsia"/>
                <w:b/>
                <w:bCs/>
                <w:sz w:val="24"/>
                <w:lang w:val="en-US" w:eastAsia="zh-CN"/>
              </w:rPr>
              <w:t>1.9、与《挥发性有机物（VOCs）污染防治技术政策》（2013-05-24 实施）的相符性分析</w:t>
            </w:r>
          </w:p>
          <w:p>
            <w:pPr>
              <w:pStyle w:val="20"/>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b w:val="0"/>
                <w:bCs w:val="0"/>
                <w:sz w:val="24"/>
                <w:lang w:eastAsia="zh-CN"/>
              </w:rPr>
            </w:pPr>
            <w:r>
              <w:rPr>
                <w:rFonts w:hint="eastAsia"/>
                <w:b w:val="0"/>
                <w:bCs w:val="0"/>
                <w:sz w:val="24"/>
              </w:rPr>
              <w:t>根据《挥发性有机物（VOCs）污染防治技术政策》</w:t>
            </w:r>
            <w:r>
              <w:rPr>
                <w:rFonts w:hint="eastAsia"/>
                <w:b w:val="0"/>
                <w:bCs w:val="0"/>
                <w:sz w:val="24"/>
                <w:lang w:val="en-US" w:eastAsia="zh-CN"/>
              </w:rPr>
              <w:t>的</w:t>
            </w:r>
            <w:r>
              <w:rPr>
                <w:rFonts w:hint="eastAsia"/>
                <w:b w:val="0"/>
                <w:bCs w:val="0"/>
                <w:sz w:val="24"/>
              </w:rPr>
              <w:t>内容，本项目与其相符性分析见下表</w:t>
            </w:r>
            <w:r>
              <w:rPr>
                <w:rFonts w:hint="eastAsia"/>
                <w:b w:val="0"/>
                <w:bCs w:val="0"/>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rPr>
            </w:pPr>
            <w:r>
              <w:rPr>
                <w:rFonts w:hint="eastAsia"/>
                <w:b/>
                <w:bCs/>
              </w:rPr>
              <w:t>表1-</w:t>
            </w:r>
            <w:r>
              <w:rPr>
                <w:rFonts w:hint="eastAsia"/>
                <w:b/>
                <w:bCs/>
                <w:lang w:val="en-US" w:eastAsia="zh-CN"/>
              </w:rPr>
              <w:t>7</w:t>
            </w:r>
            <w:r>
              <w:rPr>
                <w:rFonts w:hint="eastAsia"/>
                <w:b/>
                <w:bCs/>
              </w:rPr>
              <w:t xml:space="preserve"> 项目与</w:t>
            </w:r>
            <w:r>
              <w:rPr>
                <w:rFonts w:hint="eastAsia"/>
                <w:b/>
                <w:bCs/>
                <w:lang w:val="en-US" w:eastAsia="zh-CN"/>
              </w:rPr>
              <w:t>《挥发性有机物（VOCs）污染防治技术政策》</w:t>
            </w:r>
            <w:r>
              <w:rPr>
                <w:rFonts w:hint="eastAsia"/>
                <w:b/>
                <w:bCs/>
              </w:rPr>
              <w:t>符合性分析</w:t>
            </w:r>
          </w:p>
          <w:tbl>
            <w:tblPr>
              <w:tblStyle w:val="21"/>
              <w:tblW w:w="65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255"/>
              <w:gridCol w:w="1936"/>
              <w:gridCol w:w="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05" w:type="dxa"/>
                  <w:tcBorders>
                    <w:tl2br w:val="nil"/>
                    <w:tr2bl w:val="nil"/>
                  </w:tcBorders>
                  <w:shd w:val="clear" w:color="auto" w:fill="auto"/>
                  <w:vAlign w:val="center"/>
                </w:tcPr>
                <w:p>
                  <w:pPr>
                    <w:pStyle w:val="20"/>
                    <w:spacing w:after="0"/>
                    <w:ind w:left="0" w:leftChars="0" w:firstLine="0" w:firstLineChars="0"/>
                    <w:jc w:val="center"/>
                    <w:rPr>
                      <w:rFonts w:hint="eastAsia" w:eastAsia="宋体"/>
                      <w:b/>
                      <w:bCs/>
                      <w:lang w:eastAsia="zh-CN"/>
                    </w:rPr>
                  </w:pPr>
                  <w:r>
                    <w:rPr>
                      <w:rFonts w:hint="eastAsia"/>
                      <w:b/>
                      <w:bCs/>
                      <w:lang w:val="en-US" w:eastAsia="zh-CN"/>
                    </w:rPr>
                    <w:t>对照类别</w:t>
                  </w:r>
                </w:p>
              </w:tc>
              <w:tc>
                <w:tcPr>
                  <w:tcW w:w="3255" w:type="dxa"/>
                  <w:tcBorders>
                    <w:tl2br w:val="nil"/>
                    <w:tr2bl w:val="nil"/>
                  </w:tcBorders>
                  <w:shd w:val="clear" w:color="auto" w:fill="auto"/>
                  <w:vAlign w:val="center"/>
                </w:tcPr>
                <w:p>
                  <w:pPr>
                    <w:pStyle w:val="20"/>
                    <w:spacing w:after="0"/>
                    <w:ind w:left="0" w:leftChars="0" w:firstLine="0" w:firstLineChars="0"/>
                    <w:jc w:val="center"/>
                    <w:rPr>
                      <w:rFonts w:hint="default" w:eastAsia="宋体"/>
                      <w:b/>
                      <w:bCs/>
                      <w:lang w:val="en-US" w:eastAsia="zh-CN"/>
                    </w:rPr>
                  </w:pPr>
                  <w:r>
                    <w:rPr>
                      <w:rFonts w:hint="eastAsia"/>
                      <w:b/>
                      <w:bCs/>
                      <w:lang w:val="en-US" w:eastAsia="zh-CN"/>
                    </w:rPr>
                    <w:t>政策内容</w:t>
                  </w:r>
                </w:p>
              </w:tc>
              <w:tc>
                <w:tcPr>
                  <w:tcW w:w="1936"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项目情况</w:t>
                  </w:r>
                </w:p>
              </w:tc>
              <w:tc>
                <w:tcPr>
                  <w:tcW w:w="673" w:type="dxa"/>
                  <w:tcBorders>
                    <w:tl2br w:val="nil"/>
                    <w:tr2bl w:val="nil"/>
                  </w:tcBorders>
                  <w:shd w:val="clear" w:color="auto" w:fill="auto"/>
                  <w:vAlign w:val="center"/>
                </w:tcPr>
                <w:p>
                  <w:pPr>
                    <w:pStyle w:val="20"/>
                    <w:spacing w:after="0"/>
                    <w:ind w:left="0" w:leftChars="0" w:firstLine="0" w:firstLineChars="0"/>
                    <w:jc w:val="center"/>
                    <w:rPr>
                      <w:b/>
                      <w:bCs/>
                    </w:rPr>
                  </w:pPr>
                  <w:r>
                    <w:rPr>
                      <w:rFonts w:hint="eastAsia"/>
                      <w:b/>
                      <w:bCs/>
                    </w:rPr>
                    <w:t>是否相符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tcBorders>
                    <w:tl2br w:val="nil"/>
                    <w:tr2bl w:val="nil"/>
                  </w:tcBorders>
                  <w:shd w:val="clear" w:color="auto" w:fill="auto"/>
                  <w:vAlign w:val="center"/>
                </w:tcPr>
                <w:p>
                  <w:pPr>
                    <w:pStyle w:val="20"/>
                    <w:spacing w:after="0"/>
                    <w:ind w:left="0" w:leftChars="0" w:firstLine="0" w:firstLineChars="0"/>
                    <w:jc w:val="center"/>
                    <w:rPr>
                      <w:rFonts w:hint="eastAsia"/>
                    </w:rPr>
                  </w:pPr>
                  <w:r>
                    <w:rPr>
                      <w:rFonts w:hint="eastAsia"/>
                    </w:rPr>
                    <w:t>源头和过</w:t>
                  </w:r>
                </w:p>
                <w:p>
                  <w:pPr>
                    <w:pStyle w:val="20"/>
                    <w:spacing w:after="0"/>
                    <w:ind w:left="0" w:leftChars="0" w:firstLine="0" w:firstLineChars="0"/>
                    <w:jc w:val="center"/>
                  </w:pPr>
                  <w:r>
                    <w:rPr>
                      <w:rFonts w:hint="eastAsia"/>
                    </w:rPr>
                    <w:t>程控制</w:t>
                  </w:r>
                </w:p>
              </w:tc>
              <w:tc>
                <w:tcPr>
                  <w:tcW w:w="3255"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eastAsia="宋体"/>
                      <w:lang w:eastAsia="zh-CN"/>
                    </w:rPr>
                    <w:t>废水收集和处理过程产生的含VOCs废气经收集处理后达标排放。</w:t>
                  </w:r>
                </w:p>
              </w:tc>
              <w:tc>
                <w:tcPr>
                  <w:tcW w:w="1936"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rPr>
                    <w:t>本项目含VOCs废气经废气收集系统和净化系统处理后，达标排放</w:t>
                  </w:r>
                  <w:r>
                    <w:rPr>
                      <w:rFonts w:hint="eastAsia"/>
                      <w:lang w:eastAsia="zh-CN"/>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tl2br w:val="nil"/>
                    <w:tr2bl w:val="nil"/>
                  </w:tcBorders>
                  <w:shd w:val="clear" w:color="auto" w:fill="auto"/>
                  <w:vAlign w:val="center"/>
                </w:tcPr>
                <w:p>
                  <w:pPr>
                    <w:pStyle w:val="20"/>
                    <w:spacing w:after="0"/>
                    <w:ind w:left="0" w:leftChars="0" w:firstLine="0" w:firstLineChars="0"/>
                    <w:jc w:val="center"/>
                  </w:pPr>
                </w:p>
              </w:tc>
              <w:tc>
                <w:tcPr>
                  <w:tcW w:w="3255"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eastAsia="宋体"/>
                      <w:lang w:eastAsia="zh-CN"/>
                    </w:rPr>
                    <w:t>鼓励采用密闭一体化生产技术，并对生产过程中产生的废气分类收集后处理。</w:t>
                  </w:r>
                </w:p>
              </w:tc>
              <w:tc>
                <w:tcPr>
                  <w:tcW w:w="1936" w:type="dxa"/>
                  <w:vMerge w:val="restart"/>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rPr>
                    <w:t>本项目造粒生产工序设置在密闭车间内，采用熔融挤出一体机，产气口设置密闭收集和废气处理系统，收集后净化处理，高空达标排放</w:t>
                  </w:r>
                  <w:r>
                    <w:rPr>
                      <w:rFonts w:hint="eastAsia"/>
                      <w:lang w:eastAsia="zh-CN"/>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tl2br w:val="nil"/>
                    <w:tr2bl w:val="nil"/>
                  </w:tcBorders>
                  <w:shd w:val="clear" w:color="auto" w:fill="auto"/>
                  <w:vAlign w:val="center"/>
                </w:tcPr>
                <w:p>
                  <w:pPr>
                    <w:pStyle w:val="20"/>
                    <w:spacing w:after="0"/>
                    <w:ind w:left="0" w:leftChars="0" w:firstLine="0" w:firstLineChars="0"/>
                    <w:jc w:val="center"/>
                  </w:pPr>
                </w:p>
              </w:tc>
              <w:tc>
                <w:tcPr>
                  <w:tcW w:w="3255"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rPr>
                    <w:t>含VOCs产品的使用过程中，应采取废气收集措施，提高废气收集效率，减少废气的无组织排放与逸散，并对收集后的废气进行回收或处理后达标排放</w:t>
                  </w:r>
                  <w:r>
                    <w:rPr>
                      <w:rFonts w:hint="eastAsia"/>
                      <w:lang w:eastAsia="zh-CN"/>
                    </w:rPr>
                    <w:t>。</w:t>
                  </w:r>
                </w:p>
              </w:tc>
              <w:tc>
                <w:tcPr>
                  <w:tcW w:w="1936" w:type="dxa"/>
                  <w:vMerge w:val="continue"/>
                  <w:tcBorders>
                    <w:tl2br w:val="nil"/>
                    <w:tr2bl w:val="nil"/>
                  </w:tcBorders>
                  <w:shd w:val="clear" w:color="auto" w:fill="auto"/>
                  <w:vAlign w:val="center"/>
                </w:tcPr>
                <w:p>
                  <w:pPr>
                    <w:adjustRightInd w:val="0"/>
                    <w:snapToGrid w:val="0"/>
                    <w:jc w:val="left"/>
                  </w:pP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restart"/>
                  <w:tcBorders>
                    <w:tl2br w:val="nil"/>
                    <w:tr2bl w:val="nil"/>
                  </w:tcBorders>
                  <w:shd w:val="clear" w:color="auto" w:fill="auto"/>
                  <w:vAlign w:val="center"/>
                </w:tcPr>
                <w:p>
                  <w:pPr>
                    <w:pStyle w:val="20"/>
                    <w:spacing w:after="0"/>
                    <w:ind w:left="0" w:leftChars="0" w:firstLine="0" w:firstLineChars="0"/>
                    <w:jc w:val="center"/>
                    <w:rPr>
                      <w:rFonts w:hint="eastAsia"/>
                    </w:rPr>
                  </w:pPr>
                  <w:r>
                    <w:rPr>
                      <w:rFonts w:hint="eastAsia"/>
                    </w:rPr>
                    <w:t>末端治理</w:t>
                  </w:r>
                </w:p>
                <w:p>
                  <w:pPr>
                    <w:pStyle w:val="20"/>
                    <w:spacing w:after="0"/>
                    <w:ind w:left="0" w:leftChars="0" w:firstLine="0" w:firstLineChars="0"/>
                    <w:jc w:val="center"/>
                    <w:rPr>
                      <w:rFonts w:hint="eastAsia"/>
                    </w:rPr>
                  </w:pPr>
                  <w:r>
                    <w:rPr>
                      <w:rFonts w:hint="eastAsia"/>
                    </w:rPr>
                    <w:t>与综合利</w:t>
                  </w:r>
                </w:p>
                <w:p>
                  <w:pPr>
                    <w:pStyle w:val="20"/>
                    <w:spacing w:after="0"/>
                    <w:ind w:left="0" w:leftChars="0" w:firstLine="0" w:firstLineChars="0"/>
                    <w:jc w:val="center"/>
                  </w:pPr>
                  <w:r>
                    <w:rPr>
                      <w:rFonts w:hint="eastAsia"/>
                    </w:rPr>
                    <w:t>用</w:t>
                  </w:r>
                </w:p>
              </w:tc>
              <w:tc>
                <w:tcPr>
                  <w:tcW w:w="3255"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rPr>
                    <w:t>对于含高浓度VOCs的废气，宜优先采用冷凝回收、吸附回收技术进行回收利用，并辅助以其他治理技术实现达标排放</w:t>
                  </w:r>
                  <w:r>
                    <w:rPr>
                      <w:rFonts w:hint="eastAsia"/>
                      <w:lang w:eastAsia="zh-CN"/>
                    </w:rPr>
                    <w:t>。</w:t>
                  </w:r>
                </w:p>
              </w:tc>
              <w:tc>
                <w:tcPr>
                  <w:tcW w:w="1936"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eastAsia="宋体"/>
                      <w:lang w:eastAsia="zh-CN"/>
                    </w:rPr>
                    <w:t>拟建项目有机废气采用的废气处理措施为“密闭车间+</w:t>
                  </w:r>
                  <w:r>
                    <w:rPr>
                      <w:rFonts w:hint="eastAsia" w:eastAsia="宋体"/>
                      <w:lang w:val="en-US" w:eastAsia="zh-CN"/>
                    </w:rPr>
                    <w:t>喷淋</w:t>
                  </w:r>
                  <w:r>
                    <w:rPr>
                      <w:rFonts w:hint="eastAsia" w:eastAsia="宋体"/>
                      <w:lang w:eastAsia="zh-CN"/>
                    </w:rPr>
                    <w:t>+</w:t>
                  </w:r>
                  <w:r>
                    <w:rPr>
                      <w:rFonts w:hint="eastAsia" w:eastAsia="宋体"/>
                      <w:lang w:val="en-US" w:eastAsia="zh-CN"/>
                    </w:rPr>
                    <w:t>UV光解+</w:t>
                  </w:r>
                  <w:r>
                    <w:rPr>
                      <w:rFonts w:hint="eastAsia" w:eastAsia="宋体"/>
                      <w:lang w:eastAsia="zh-CN"/>
                    </w:rPr>
                    <w:t>活性炭吸附装置”，通过15m高排气筒达标排放。</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tl2br w:val="nil"/>
                    <w:tr2bl w:val="nil"/>
                  </w:tcBorders>
                  <w:shd w:val="clear" w:color="auto" w:fill="auto"/>
                  <w:vAlign w:val="center"/>
                </w:tcPr>
                <w:p>
                  <w:pPr>
                    <w:pStyle w:val="20"/>
                    <w:spacing w:after="0"/>
                    <w:ind w:left="0" w:leftChars="0" w:firstLine="0" w:firstLineChars="0"/>
                    <w:jc w:val="center"/>
                  </w:pPr>
                </w:p>
              </w:tc>
              <w:tc>
                <w:tcPr>
                  <w:tcW w:w="3255"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rPr>
                    <w:t>恶臭气体污染源可采用生物技术、等离子体技术、吸附技术、吸收技术、紫外光高级氧化技术或组合技术等进行净化。净化后的恶臭气体除满足达标排放的要求外，还应采取高空排放等措施，避免产生扰民问题</w:t>
                  </w:r>
                  <w:r>
                    <w:rPr>
                      <w:rFonts w:hint="eastAsia"/>
                      <w:lang w:eastAsia="zh-CN"/>
                    </w:rPr>
                    <w:t>。</w:t>
                  </w:r>
                </w:p>
              </w:tc>
              <w:tc>
                <w:tcPr>
                  <w:tcW w:w="1936"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eastAsia="宋体"/>
                      <w:lang w:eastAsia="zh-CN"/>
                    </w:rPr>
                    <w:t>本项目恶臭气体</w:t>
                  </w:r>
                  <w:r>
                    <w:rPr>
                      <w:rFonts w:hint="eastAsia" w:eastAsia="宋体"/>
                      <w:lang w:val="en-US" w:eastAsia="zh-CN"/>
                    </w:rPr>
                    <w:t>产生量较小，并且加工车间为密闭车间，污水进入园区污水处理站处理</w:t>
                  </w:r>
                  <w:r>
                    <w:rPr>
                      <w:rFonts w:hint="eastAsia" w:eastAsia="宋体"/>
                      <w:lang w:eastAsia="zh-CN"/>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Merge w:val="continue"/>
                  <w:tcBorders>
                    <w:tl2br w:val="nil"/>
                    <w:tr2bl w:val="nil"/>
                  </w:tcBorders>
                  <w:shd w:val="clear" w:color="auto" w:fill="auto"/>
                  <w:vAlign w:val="center"/>
                </w:tcPr>
                <w:p>
                  <w:pPr>
                    <w:pStyle w:val="20"/>
                    <w:spacing w:after="0"/>
                    <w:ind w:left="0" w:leftChars="0" w:firstLine="0" w:firstLineChars="0"/>
                    <w:jc w:val="center"/>
                  </w:pPr>
                </w:p>
              </w:tc>
              <w:tc>
                <w:tcPr>
                  <w:tcW w:w="3255"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eastAsia="宋体"/>
                      <w:lang w:eastAsia="zh-CN"/>
                    </w:rPr>
                    <w:t>对于不能再生的过滤材料、吸附剂及催化剂等净化材料，应按照国家固体废物管理的相关规定处理处置。</w:t>
                  </w:r>
                </w:p>
              </w:tc>
              <w:tc>
                <w:tcPr>
                  <w:tcW w:w="1936"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rPr>
                    <w:t>本项目产生的废活性炭属于危险废物，按照危险废物相关规定管理</w:t>
                  </w:r>
                  <w:r>
                    <w:rPr>
                      <w:rFonts w:hint="eastAsia"/>
                      <w:lang w:eastAsia="zh-CN"/>
                    </w:rPr>
                    <w:t>。</w:t>
                  </w:r>
                </w:p>
              </w:tc>
              <w:tc>
                <w:tcPr>
                  <w:tcW w:w="673" w:type="dxa"/>
                  <w:tcBorders>
                    <w:tl2br w:val="nil"/>
                    <w:tr2bl w:val="nil"/>
                  </w:tcBorders>
                  <w:shd w:val="clear" w:color="auto" w:fill="auto"/>
                  <w:vAlign w:val="center"/>
                </w:tcPr>
                <w:p>
                  <w:pPr>
                    <w:pStyle w:val="20"/>
                    <w:spacing w:after="0"/>
                    <w:ind w:left="0" w:leftChars="0" w:firstLine="0" w:firstLineChars="0"/>
                    <w:jc w:val="center"/>
                  </w:pPr>
                  <w:r>
                    <w:rPr>
                      <w:rFonts w:hint="eastAsia"/>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l2br w:val="nil"/>
                    <w:tr2bl w:val="nil"/>
                  </w:tcBorders>
                  <w:shd w:val="clear" w:color="auto" w:fill="auto"/>
                  <w:vAlign w:val="center"/>
                </w:tcPr>
                <w:p>
                  <w:pPr>
                    <w:pStyle w:val="20"/>
                    <w:spacing w:after="0"/>
                    <w:ind w:left="0" w:leftChars="0" w:firstLine="0" w:firstLineChars="0"/>
                    <w:jc w:val="center"/>
                    <w:rPr>
                      <w:rFonts w:hint="eastAsia" w:eastAsia="宋体"/>
                      <w:lang w:val="en-US" w:eastAsia="zh-CN"/>
                    </w:rPr>
                  </w:pPr>
                  <w:r>
                    <w:rPr>
                      <w:rFonts w:hint="eastAsia" w:eastAsia="宋体"/>
                      <w:lang w:val="en-US" w:eastAsia="zh-CN"/>
                    </w:rPr>
                    <w:t>运行与监</w:t>
                  </w:r>
                </w:p>
                <w:p>
                  <w:pPr>
                    <w:pStyle w:val="20"/>
                    <w:spacing w:after="0"/>
                    <w:ind w:left="0" w:leftChars="0" w:firstLine="0" w:firstLineChars="0"/>
                    <w:jc w:val="center"/>
                    <w:rPr>
                      <w:rFonts w:hint="eastAsia" w:eastAsia="宋体"/>
                      <w:lang w:val="en-US" w:eastAsia="zh-CN"/>
                    </w:rPr>
                  </w:pPr>
                  <w:r>
                    <w:rPr>
                      <w:rFonts w:hint="eastAsia" w:eastAsia="宋体"/>
                      <w:lang w:val="en-US" w:eastAsia="zh-CN"/>
                    </w:rPr>
                    <w:t>测</w:t>
                  </w:r>
                </w:p>
              </w:tc>
              <w:tc>
                <w:tcPr>
                  <w:tcW w:w="3255"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eastAsia="宋体"/>
                      <w:lang w:eastAsia="zh-CN"/>
                    </w:rPr>
                    <w:t>1、鼓励企业自行开展VOCs监测，并及时主动向当地环保行政主管部门报送监测结果；</w:t>
                  </w:r>
                </w:p>
                <w:p>
                  <w:pPr>
                    <w:pStyle w:val="20"/>
                    <w:spacing w:after="0"/>
                    <w:ind w:left="0" w:leftChars="0" w:firstLine="0" w:firstLineChars="0"/>
                    <w:jc w:val="left"/>
                    <w:rPr>
                      <w:rFonts w:hint="eastAsia" w:eastAsia="宋体"/>
                      <w:lang w:eastAsia="zh-CN"/>
                    </w:rPr>
                  </w:pPr>
                  <w:r>
                    <w:rPr>
                      <w:rFonts w:hint="eastAsia" w:eastAsia="宋体"/>
                      <w:lang w:eastAsia="zh-CN"/>
                    </w:rPr>
                    <w:t>2、企业应建立健全VOCs治理设施的运行维护规程和台帐等日常管理制度，并根据工艺要求定期对各类设备、电气、自控仪表等进行检修维护，确保设施的稳定运行；</w:t>
                  </w:r>
                </w:p>
                <w:p>
                  <w:pPr>
                    <w:pStyle w:val="20"/>
                    <w:spacing w:after="0"/>
                    <w:ind w:left="0" w:leftChars="0" w:firstLine="0" w:firstLineChars="0"/>
                    <w:jc w:val="left"/>
                    <w:rPr>
                      <w:rFonts w:hint="eastAsia" w:eastAsia="宋体"/>
                      <w:lang w:eastAsia="zh-CN"/>
                    </w:rPr>
                  </w:pPr>
                  <w:r>
                    <w:rPr>
                      <w:rFonts w:hint="eastAsia" w:eastAsia="宋体"/>
                      <w:lang w:eastAsia="zh-CN"/>
                    </w:rPr>
                    <w:t>3、当采用吸附回收（浓缩）、催化燃烧、热力焚烧、等离子体等方法进行末端治理时，应编制本单位事故火灾、爆炸等应急救援预案，配备应急救援人员和器材，并开展应急演练。</w:t>
                  </w:r>
                </w:p>
              </w:tc>
              <w:tc>
                <w:tcPr>
                  <w:tcW w:w="1936" w:type="dxa"/>
                  <w:tcBorders>
                    <w:tl2br w:val="nil"/>
                    <w:tr2bl w:val="nil"/>
                  </w:tcBorders>
                  <w:shd w:val="clear" w:color="auto" w:fill="auto"/>
                  <w:vAlign w:val="center"/>
                </w:tcPr>
                <w:p>
                  <w:pPr>
                    <w:pStyle w:val="20"/>
                    <w:spacing w:after="0"/>
                    <w:ind w:left="0" w:leftChars="0" w:firstLine="0" w:firstLineChars="0"/>
                    <w:jc w:val="left"/>
                    <w:rPr>
                      <w:rFonts w:hint="eastAsia" w:eastAsia="宋体"/>
                      <w:lang w:eastAsia="zh-CN"/>
                    </w:rPr>
                  </w:pPr>
                  <w:r>
                    <w:rPr>
                      <w:rFonts w:hint="eastAsia"/>
                    </w:rPr>
                    <w:t>拟建项目将会制定污染物自行监测计划，建立健全VOCs治理设施的运行维护规程和台帐等日常管理制度，安排专人负责检修维护工作；将按照规定编制应急预案，配备应急救援人员和器材，并定期开展应急演练</w:t>
                  </w:r>
                  <w:r>
                    <w:rPr>
                      <w:rFonts w:hint="eastAsia"/>
                      <w:lang w:eastAsia="zh-CN"/>
                    </w:rPr>
                    <w:t>。</w:t>
                  </w:r>
                </w:p>
              </w:tc>
              <w:tc>
                <w:tcPr>
                  <w:tcW w:w="673" w:type="dxa"/>
                  <w:tcBorders>
                    <w:tl2br w:val="nil"/>
                    <w:tr2bl w:val="nil"/>
                  </w:tcBorders>
                  <w:shd w:val="clear" w:color="auto" w:fill="auto"/>
                  <w:vAlign w:val="center"/>
                </w:tcPr>
                <w:p>
                  <w:pPr>
                    <w:pStyle w:val="20"/>
                    <w:spacing w:after="0"/>
                    <w:ind w:left="0" w:leftChars="0" w:firstLine="0" w:firstLineChars="0"/>
                    <w:jc w:val="center"/>
                    <w:rPr>
                      <w:rFonts w:hint="eastAsia"/>
                    </w:rPr>
                  </w:pPr>
                  <w:r>
                    <w:rPr>
                      <w:rFonts w:hint="eastAsia"/>
                    </w:rPr>
                    <w:t>符合</w:t>
                  </w:r>
                </w:p>
              </w:tc>
            </w:tr>
          </w:tbl>
          <w:p>
            <w:pPr>
              <w:pStyle w:val="27"/>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eastAsia="宋体"/>
                <w:b/>
                <w:bCs/>
                <w:sz w:val="24"/>
                <w:lang w:eastAsia="zh-CN"/>
              </w:rPr>
            </w:pPr>
            <w:r>
              <w:rPr>
                <w:rFonts w:hint="default" w:ascii="Times New Roman" w:hAnsi="Times New Roman" w:cs="Times New Roman"/>
                <w:b w:val="0"/>
                <w:bCs w:val="0"/>
                <w:sz w:val="24"/>
              </w:rPr>
              <w:t>综上所述，本项目与</w:t>
            </w:r>
            <w:r>
              <w:rPr>
                <w:rFonts w:hint="default" w:ascii="Times New Roman" w:hAnsi="Times New Roman" w:cs="Times New Roman"/>
                <w:b w:val="0"/>
                <w:bCs w:val="0"/>
                <w:sz w:val="24"/>
                <w:lang w:val="en-US" w:eastAsia="zh-CN"/>
              </w:rPr>
              <w:t>《挥发性有机物（VOCs）污染防治技术政策》</w:t>
            </w:r>
            <w:r>
              <w:rPr>
                <w:rFonts w:hint="default" w:ascii="Times New Roman" w:hAnsi="Times New Roman" w:cs="Times New Roman"/>
                <w:b w:val="0"/>
                <w:bCs w:val="0"/>
                <w:sz w:val="24"/>
              </w:rPr>
              <w:t>是相符的</w:t>
            </w:r>
            <w:r>
              <w:rPr>
                <w:rFonts w:hint="eastAsia" w:ascii="Times New Roman" w:hAnsi="Times New Roman" w:cs="Times New Roman"/>
                <w:b w:val="0"/>
                <w:bCs w:val="0"/>
                <w:sz w:val="24"/>
                <w:lang w:eastAsia="zh-CN"/>
              </w:rPr>
              <w:t>。</w:t>
            </w:r>
          </w:p>
          <w:p>
            <w:pPr>
              <w:spacing w:line="480" w:lineRule="exact"/>
              <w:rPr>
                <w:b/>
                <w:bCs/>
                <w:sz w:val="24"/>
              </w:rPr>
            </w:pPr>
            <w:r>
              <w:rPr>
                <w:rFonts w:hint="eastAsia"/>
                <w:b/>
                <w:bCs/>
                <w:sz w:val="24"/>
                <w:lang w:val="en-US" w:eastAsia="zh-CN"/>
              </w:rPr>
              <w:t>2.0</w:t>
            </w:r>
            <w:r>
              <w:rPr>
                <w:rFonts w:hint="eastAsia"/>
                <w:b/>
                <w:bCs/>
                <w:sz w:val="24"/>
              </w:rPr>
              <w:t>项目</w:t>
            </w:r>
            <w:r>
              <w:rPr>
                <w:b/>
                <w:bCs/>
                <w:sz w:val="24"/>
              </w:rPr>
              <w:t>选址符合性分析</w:t>
            </w:r>
          </w:p>
          <w:p>
            <w:pPr>
              <w:snapToGrid w:val="0"/>
              <w:spacing w:line="480" w:lineRule="exact"/>
              <w:ind w:firstLine="480" w:firstLineChars="200"/>
              <w:rPr>
                <w:rFonts w:hint="eastAsia" w:eastAsia="宋体"/>
                <w:bCs/>
                <w:sz w:val="24"/>
                <w:lang w:val="en-US" w:eastAsia="zh-CN"/>
              </w:rPr>
            </w:pPr>
            <w:r>
              <w:rPr>
                <w:rFonts w:hint="eastAsia"/>
                <w:bCs/>
                <w:sz w:val="24"/>
              </w:rPr>
              <w:t>本项目位于湖南省益阳市龙岭工业园内，用地性质为工业用地，符合益阳龙岭工业集中区土地利用规划。同时项目建设所需的水、电、气、通信等基础设施条件均较完善，外部交通便利，区位优势十分明显，配套设施齐全。项目选址周边均为工业企业，外部不存在对项目产生明显不利影响的污染源，与周边企业相容。因此，本项目建设选址是合理可行</w:t>
            </w:r>
            <w:r>
              <w:rPr>
                <w:rFonts w:hint="eastAsia"/>
                <w:bCs/>
                <w:sz w:val="24"/>
                <w:lang w:val="en-US" w:eastAsia="zh-CN"/>
              </w:rPr>
              <w:t>的。</w:t>
            </w:r>
          </w:p>
          <w:p>
            <w:pPr>
              <w:snapToGrid w:val="0"/>
              <w:spacing w:line="480" w:lineRule="exact"/>
              <w:ind w:firstLine="480" w:firstLineChars="200"/>
              <w:rPr>
                <w:rFonts w:cs="宋体"/>
                <w:color w:val="0000FF"/>
                <w:kern w:val="21"/>
                <w:sz w:val="24"/>
                <w:szCs w:val="21"/>
              </w:rPr>
            </w:pPr>
          </w:p>
        </w:tc>
      </w:tr>
    </w:tbl>
    <w:p>
      <w:pPr>
        <w:spacing w:line="360" w:lineRule="auto"/>
        <w:outlineLvl w:val="0"/>
        <w:rPr>
          <w:rFonts w:eastAsia="黑体"/>
          <w:color w:val="0000FF"/>
          <w:kern w:val="21"/>
          <w:sz w:val="30"/>
        </w:rPr>
        <w:sectPr>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7"/>
        <w:adjustRightInd w:val="0"/>
        <w:snapToGrid w:val="0"/>
        <w:jc w:val="center"/>
        <w:outlineLvl w:val="0"/>
        <w:rPr>
          <w:rFonts w:cs="宋体"/>
          <w:kern w:val="21"/>
          <w:sz w:val="21"/>
          <w:szCs w:val="21"/>
        </w:rPr>
      </w:pPr>
      <w:bookmarkStart w:id="12" w:name="_Toc18763"/>
      <w:r>
        <w:rPr>
          <w:rFonts w:hint="eastAsia" w:ascii="黑体" w:hAnsi="黑体" w:eastAsia="黑体"/>
          <w:snapToGrid w:val="0"/>
          <w:kern w:val="21"/>
          <w:sz w:val="30"/>
          <w:szCs w:val="30"/>
        </w:rPr>
        <w:t>二、建设项目工程分析</w:t>
      </w:r>
      <w:bookmarkEnd w:id="12"/>
    </w:p>
    <w:tbl>
      <w:tblPr>
        <w:tblStyle w:val="21"/>
        <w:tblW w:w="89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79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pPr>
              <w:pStyle w:val="17"/>
              <w:adjustRightInd w:val="0"/>
              <w:snapToGrid w:val="0"/>
              <w:spacing w:before="0" w:beforeAutospacing="0" w:after="0" w:afterAutospacing="0"/>
              <w:jc w:val="center"/>
              <w:rPr>
                <w:rFonts w:ascii="Times New Roman" w:hAnsi="Times New Roman" w:cs="宋体"/>
                <w:kern w:val="21"/>
                <w:szCs w:val="21"/>
              </w:rPr>
            </w:pPr>
            <w:r>
              <w:rPr>
                <w:rFonts w:hint="eastAsia" w:ascii="Times New Roman" w:hAnsi="Times New Roman" w:cs="宋体"/>
                <w:kern w:val="21"/>
                <w:szCs w:val="21"/>
              </w:rPr>
              <w:t>建设</w:t>
            </w:r>
          </w:p>
          <w:p>
            <w:pPr>
              <w:pStyle w:val="17"/>
              <w:adjustRightInd w:val="0"/>
              <w:snapToGrid w:val="0"/>
              <w:spacing w:before="0" w:beforeAutospacing="0" w:after="0" w:afterAutospacing="0"/>
              <w:jc w:val="center"/>
              <w:rPr>
                <w:rFonts w:ascii="Times New Roman" w:hAnsi="Times New Roman" w:cs="宋体"/>
                <w:kern w:val="21"/>
                <w:szCs w:val="21"/>
              </w:rPr>
            </w:pPr>
            <w:r>
              <w:rPr>
                <w:rFonts w:hint="eastAsia" w:ascii="Times New Roman" w:hAnsi="Times New Roman" w:cs="宋体"/>
                <w:kern w:val="21"/>
                <w:szCs w:val="21"/>
              </w:rPr>
              <w:t>内容</w:t>
            </w:r>
          </w:p>
        </w:tc>
        <w:tc>
          <w:tcPr>
            <w:tcW w:w="7938" w:type="dxa"/>
            <w:vAlign w:val="center"/>
          </w:tcPr>
          <w:p>
            <w:pPr>
              <w:snapToGrid w:val="0"/>
              <w:spacing w:line="480" w:lineRule="exact"/>
              <w:rPr>
                <w:b/>
                <w:bCs/>
                <w:sz w:val="24"/>
              </w:rPr>
            </w:pPr>
            <w:r>
              <w:rPr>
                <w:rFonts w:hint="eastAsia"/>
                <w:b/>
                <w:bCs/>
                <w:sz w:val="24"/>
              </w:rPr>
              <w:t>2.</w:t>
            </w:r>
            <w:r>
              <w:rPr>
                <w:b/>
                <w:bCs/>
                <w:sz w:val="24"/>
              </w:rPr>
              <w:t>1</w:t>
            </w:r>
            <w:r>
              <w:rPr>
                <w:rFonts w:hint="eastAsia"/>
                <w:b/>
                <w:bCs/>
                <w:sz w:val="24"/>
              </w:rPr>
              <w:t>.1</w:t>
            </w:r>
            <w:r>
              <w:rPr>
                <w:b/>
                <w:bCs/>
                <w:sz w:val="24"/>
              </w:rPr>
              <w:t>、项目基本情况</w:t>
            </w:r>
          </w:p>
          <w:p>
            <w:pPr>
              <w:pStyle w:val="2"/>
              <w:spacing w:before="0" w:after="0" w:line="480" w:lineRule="exact"/>
              <w:ind w:right="0" w:firstLine="480" w:firstLineChars="200"/>
              <w:rPr>
                <w:sz w:val="24"/>
              </w:rPr>
            </w:pPr>
            <w:r>
              <w:rPr>
                <w:rFonts w:hint="eastAsia"/>
                <w:sz w:val="24"/>
              </w:rPr>
              <w:t>本项目位于湖南省益阳市赫山区龙岭工业园龙舟农机制造有限公司</w:t>
            </w:r>
            <w:r>
              <w:rPr>
                <w:rFonts w:hint="eastAsia"/>
                <w:sz w:val="24"/>
                <w:lang w:val="en-US" w:eastAsia="zh-CN"/>
              </w:rPr>
              <w:t>园区内</w:t>
            </w:r>
            <w:r>
              <w:rPr>
                <w:rFonts w:hint="eastAsia"/>
                <w:sz w:val="24"/>
              </w:rPr>
              <w:t>，租赁空厂房进行生产加工，总租赁面积约为900 m</w:t>
            </w:r>
            <w:r>
              <w:rPr>
                <w:rFonts w:hint="eastAsia"/>
                <w:sz w:val="24"/>
                <w:vertAlign w:val="superscript"/>
              </w:rPr>
              <w:t>2</w:t>
            </w:r>
            <w:r>
              <w:rPr>
                <w:rFonts w:hint="eastAsia"/>
                <w:sz w:val="24"/>
              </w:rPr>
              <w:t>。</w:t>
            </w:r>
          </w:p>
          <w:p>
            <w:pPr>
              <w:spacing w:line="480" w:lineRule="exact"/>
              <w:ind w:firstLine="480" w:firstLineChars="200"/>
              <w:rPr>
                <w:sz w:val="24"/>
              </w:rPr>
            </w:pPr>
            <w:r>
              <w:rPr>
                <w:rFonts w:hint="eastAsia"/>
                <w:sz w:val="24"/>
              </w:rPr>
              <w:t>（1）项目名称：益阳睿城废旧物资回收有限公司年产</w:t>
            </w:r>
            <w:r>
              <w:rPr>
                <w:rFonts w:hint="eastAsia"/>
                <w:sz w:val="24"/>
                <w:lang w:val="en-US" w:eastAsia="zh-CN"/>
              </w:rPr>
              <w:t>5000</w:t>
            </w:r>
            <w:r>
              <w:rPr>
                <w:rFonts w:hint="eastAsia"/>
                <w:sz w:val="24"/>
              </w:rPr>
              <w:t>吨再生塑料颗粒建设项目</w:t>
            </w:r>
          </w:p>
          <w:p>
            <w:pPr>
              <w:spacing w:line="480" w:lineRule="exact"/>
              <w:ind w:firstLine="480" w:firstLineChars="200"/>
              <w:rPr>
                <w:sz w:val="24"/>
              </w:rPr>
            </w:pPr>
            <w:r>
              <w:rPr>
                <w:rFonts w:hint="eastAsia"/>
                <w:sz w:val="24"/>
              </w:rPr>
              <w:t>（2）建设单位：益阳睿城废旧物资回收有限公司</w:t>
            </w:r>
          </w:p>
          <w:p>
            <w:pPr>
              <w:spacing w:line="480" w:lineRule="exact"/>
              <w:ind w:firstLine="480" w:firstLineChars="200"/>
              <w:rPr>
                <w:sz w:val="24"/>
              </w:rPr>
            </w:pPr>
            <w:r>
              <w:rPr>
                <w:rFonts w:hint="eastAsia"/>
                <w:sz w:val="24"/>
              </w:rPr>
              <w:t>（3）项目性质：新建</w:t>
            </w:r>
          </w:p>
          <w:p>
            <w:pPr>
              <w:spacing w:line="480" w:lineRule="exact"/>
              <w:ind w:firstLine="480" w:firstLineChars="200"/>
              <w:rPr>
                <w:sz w:val="24"/>
              </w:rPr>
            </w:pPr>
            <w:r>
              <w:rPr>
                <w:rFonts w:hint="eastAsia"/>
                <w:sz w:val="24"/>
              </w:rPr>
              <w:t>（4）建设地点：湖南省益阳市赫山区龙岭工业园龙舟农机制造有限公司院内</w:t>
            </w:r>
            <w:r>
              <w:rPr>
                <w:sz w:val="24"/>
              </w:rPr>
              <w:t>（</w:t>
            </w:r>
            <w:r>
              <w:rPr>
                <w:sz w:val="24"/>
                <w:u w:val="none"/>
              </w:rPr>
              <w:t>厂址中心经纬度：</w:t>
            </w:r>
            <w:r>
              <w:rPr>
                <w:rFonts w:hint="eastAsia" w:cs="宋体"/>
                <w:kern w:val="21"/>
                <w:sz w:val="24"/>
                <w:szCs w:val="21"/>
                <w:u w:val="none"/>
                <w:lang w:val="en-US" w:eastAsia="zh-CN"/>
              </w:rPr>
              <w:t>经度：</w:t>
            </w:r>
            <w:r>
              <w:rPr>
                <w:rFonts w:hint="eastAsia" w:cs="宋体"/>
                <w:kern w:val="21"/>
                <w:sz w:val="24"/>
                <w:szCs w:val="21"/>
                <w:u w:val="none"/>
              </w:rPr>
              <w:t>112度23分35</w:t>
            </w:r>
            <w:r>
              <w:rPr>
                <w:rFonts w:hint="eastAsia" w:cs="宋体"/>
                <w:kern w:val="21"/>
                <w:sz w:val="24"/>
                <w:szCs w:val="21"/>
                <w:u w:val="none"/>
                <w:lang w:val="en-US" w:eastAsia="zh-CN"/>
              </w:rPr>
              <w:t>.054</w:t>
            </w:r>
            <w:r>
              <w:rPr>
                <w:rFonts w:hint="eastAsia" w:cs="宋体"/>
                <w:kern w:val="21"/>
                <w:sz w:val="24"/>
                <w:szCs w:val="21"/>
                <w:u w:val="none"/>
              </w:rPr>
              <w:t>秒，</w:t>
            </w:r>
            <w:r>
              <w:rPr>
                <w:rFonts w:hint="eastAsia" w:cs="宋体"/>
                <w:kern w:val="21"/>
                <w:sz w:val="24"/>
                <w:szCs w:val="21"/>
                <w:u w:val="none"/>
                <w:lang w:val="en-US" w:eastAsia="zh-CN"/>
              </w:rPr>
              <w:t>纬度：</w:t>
            </w:r>
            <w:r>
              <w:rPr>
                <w:rFonts w:hint="eastAsia" w:cs="宋体"/>
                <w:kern w:val="21"/>
                <w:sz w:val="24"/>
                <w:szCs w:val="21"/>
                <w:u w:val="none"/>
              </w:rPr>
              <w:t>28度32分56</w:t>
            </w:r>
            <w:r>
              <w:rPr>
                <w:rFonts w:hint="eastAsia" w:cs="宋体"/>
                <w:kern w:val="21"/>
                <w:sz w:val="24"/>
                <w:szCs w:val="21"/>
                <w:u w:val="none"/>
                <w:lang w:val="en-US" w:eastAsia="zh-CN"/>
              </w:rPr>
              <w:t>.147</w:t>
            </w:r>
            <w:r>
              <w:rPr>
                <w:rFonts w:hint="eastAsia" w:cs="宋体"/>
                <w:kern w:val="21"/>
                <w:sz w:val="24"/>
                <w:szCs w:val="21"/>
              </w:rPr>
              <w:t>秒</w:t>
            </w:r>
            <w:r>
              <w:rPr>
                <w:sz w:val="24"/>
              </w:rPr>
              <w:t>）</w:t>
            </w:r>
          </w:p>
          <w:p>
            <w:pPr>
              <w:spacing w:line="480" w:lineRule="exact"/>
              <w:ind w:firstLine="480" w:firstLineChars="200"/>
              <w:rPr>
                <w:sz w:val="24"/>
              </w:rPr>
            </w:pPr>
            <w:r>
              <w:rPr>
                <w:rFonts w:hint="eastAsia"/>
                <w:sz w:val="24"/>
              </w:rPr>
              <w:t>（5）项目投资：总投资</w:t>
            </w:r>
            <w:r>
              <w:rPr>
                <w:rFonts w:hint="eastAsia"/>
                <w:sz w:val="24"/>
                <w:lang w:val="en-US" w:eastAsia="zh-CN"/>
              </w:rPr>
              <w:t>10</w:t>
            </w:r>
            <w:r>
              <w:rPr>
                <w:rFonts w:hint="eastAsia"/>
                <w:sz w:val="24"/>
              </w:rPr>
              <w:t>00万元，</w:t>
            </w:r>
            <w:r>
              <w:rPr>
                <w:sz w:val="24"/>
              </w:rPr>
              <w:t>其中环保投资</w:t>
            </w:r>
            <w:r>
              <w:rPr>
                <w:rFonts w:hint="eastAsia"/>
                <w:sz w:val="24"/>
              </w:rPr>
              <w:t>11万元。</w:t>
            </w:r>
          </w:p>
          <w:p>
            <w:pPr>
              <w:spacing w:line="480" w:lineRule="exact"/>
              <w:ind w:firstLine="480" w:firstLineChars="200"/>
              <w:rPr>
                <w:sz w:val="24"/>
              </w:rPr>
            </w:pPr>
            <w:r>
              <w:rPr>
                <w:rFonts w:hint="eastAsia"/>
                <w:sz w:val="24"/>
              </w:rPr>
              <w:t>（6）项目建设规模：年生产</w:t>
            </w:r>
            <w:r>
              <w:rPr>
                <w:rFonts w:hint="eastAsia"/>
                <w:sz w:val="24"/>
                <w:lang w:val="en-US" w:eastAsia="zh-CN"/>
              </w:rPr>
              <w:t>EPS</w:t>
            </w:r>
            <w:r>
              <w:rPr>
                <w:rFonts w:hint="eastAsia"/>
                <w:sz w:val="24"/>
              </w:rPr>
              <w:t>颗粒</w:t>
            </w:r>
            <w:r>
              <w:rPr>
                <w:rFonts w:hint="eastAsia"/>
                <w:sz w:val="24"/>
                <w:lang w:val="en-US" w:eastAsia="zh-CN"/>
              </w:rPr>
              <w:t>375</w:t>
            </w:r>
            <w:r>
              <w:rPr>
                <w:rFonts w:hint="eastAsia"/>
                <w:sz w:val="24"/>
              </w:rPr>
              <w:t>0吨、</w:t>
            </w:r>
            <w:r>
              <w:rPr>
                <w:rFonts w:hint="eastAsia"/>
                <w:sz w:val="24"/>
                <w:lang w:val="en-US" w:eastAsia="zh-CN"/>
              </w:rPr>
              <w:t>PP</w:t>
            </w:r>
            <w:r>
              <w:rPr>
                <w:rFonts w:hint="eastAsia"/>
                <w:sz w:val="24"/>
              </w:rPr>
              <w:t>颗粒</w:t>
            </w:r>
            <w:r>
              <w:rPr>
                <w:rFonts w:hint="eastAsia"/>
                <w:sz w:val="24"/>
                <w:lang w:val="en-US" w:eastAsia="zh-CN"/>
              </w:rPr>
              <w:t>125</w:t>
            </w:r>
            <w:r>
              <w:rPr>
                <w:rFonts w:hint="eastAsia"/>
                <w:sz w:val="24"/>
              </w:rPr>
              <w:t>0吨。</w:t>
            </w:r>
          </w:p>
          <w:p>
            <w:pPr>
              <w:snapToGrid w:val="0"/>
              <w:jc w:val="center"/>
              <w:rPr>
                <w:b/>
                <w:bCs/>
              </w:rPr>
            </w:pPr>
            <w:bookmarkStart w:id="13" w:name="_Hlk54769701"/>
            <w:r>
              <w:rPr>
                <w:b/>
                <w:bCs/>
              </w:rPr>
              <w:t>表2-1  项目主要建设内容一览表</w:t>
            </w:r>
            <w:bookmarkEnd w:id="13"/>
          </w:p>
          <w:tbl>
            <w:tblPr>
              <w:tblStyle w:val="21"/>
              <w:tblW w:w="769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5"/>
              <w:gridCol w:w="1223"/>
              <w:gridCol w:w="4698"/>
              <w:gridCol w:w="107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695" w:type="dxa"/>
                  <w:vAlign w:val="center"/>
                </w:tcPr>
                <w:p>
                  <w:pPr>
                    <w:snapToGrid w:val="0"/>
                    <w:jc w:val="center"/>
                    <w:rPr>
                      <w:b/>
                      <w:bCs/>
                    </w:rPr>
                  </w:pPr>
                  <w:r>
                    <w:rPr>
                      <w:rFonts w:hint="eastAsia"/>
                      <w:b/>
                      <w:bCs/>
                    </w:rPr>
                    <w:t>工程分类</w:t>
                  </w:r>
                </w:p>
              </w:tc>
              <w:tc>
                <w:tcPr>
                  <w:tcW w:w="1223" w:type="dxa"/>
                  <w:vAlign w:val="center"/>
                </w:tcPr>
                <w:p>
                  <w:pPr>
                    <w:snapToGrid w:val="0"/>
                    <w:jc w:val="center"/>
                    <w:rPr>
                      <w:b/>
                      <w:bCs/>
                    </w:rPr>
                  </w:pPr>
                  <w:r>
                    <w:rPr>
                      <w:rFonts w:hint="eastAsia"/>
                      <w:b/>
                      <w:bCs/>
                    </w:rPr>
                    <w:t>功能</w:t>
                  </w:r>
                </w:p>
              </w:tc>
              <w:tc>
                <w:tcPr>
                  <w:tcW w:w="4698" w:type="dxa"/>
                  <w:vAlign w:val="center"/>
                </w:tcPr>
                <w:p>
                  <w:pPr>
                    <w:snapToGrid w:val="0"/>
                    <w:jc w:val="center"/>
                    <w:rPr>
                      <w:b/>
                      <w:bCs/>
                    </w:rPr>
                  </w:pPr>
                  <w:r>
                    <w:rPr>
                      <w:rFonts w:hint="eastAsia"/>
                      <w:b/>
                      <w:bCs/>
                    </w:rPr>
                    <w:t>建设内容及规模</w:t>
                  </w:r>
                </w:p>
              </w:tc>
              <w:tc>
                <w:tcPr>
                  <w:tcW w:w="1076" w:type="dxa"/>
                  <w:vAlign w:val="center"/>
                </w:tcPr>
                <w:p>
                  <w:pPr>
                    <w:snapToGrid w:val="0"/>
                    <w:jc w:val="center"/>
                    <w:rPr>
                      <w:b/>
                      <w:bCs/>
                    </w:rPr>
                  </w:pPr>
                  <w:r>
                    <w:rPr>
                      <w:rFonts w:hint="eastAsia"/>
                      <w:b/>
                      <w:bCs/>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52" w:hRule="atLeast"/>
                <w:jc w:val="center"/>
              </w:trPr>
              <w:tc>
                <w:tcPr>
                  <w:tcW w:w="695" w:type="dxa"/>
                  <w:vAlign w:val="center"/>
                </w:tcPr>
                <w:p>
                  <w:pPr>
                    <w:snapToGrid w:val="0"/>
                    <w:jc w:val="center"/>
                  </w:pPr>
                  <w:r>
                    <w:rPr>
                      <w:rFonts w:hint="eastAsia"/>
                    </w:rPr>
                    <w:t>主体工程</w:t>
                  </w:r>
                </w:p>
              </w:tc>
              <w:tc>
                <w:tcPr>
                  <w:tcW w:w="1223" w:type="dxa"/>
                  <w:vAlign w:val="center"/>
                </w:tcPr>
                <w:p>
                  <w:pPr>
                    <w:snapToGrid w:val="0"/>
                    <w:jc w:val="center"/>
                  </w:pPr>
                  <w:r>
                    <w:rPr>
                      <w:rFonts w:hint="eastAsia"/>
                    </w:rPr>
                    <w:t>生产厂房</w:t>
                  </w:r>
                </w:p>
              </w:tc>
              <w:tc>
                <w:tcPr>
                  <w:tcW w:w="4698" w:type="dxa"/>
                  <w:vAlign w:val="center"/>
                </w:tcPr>
                <w:p>
                  <w:pPr>
                    <w:snapToGrid w:val="0"/>
                    <w:jc w:val="center"/>
                  </w:pPr>
                  <w:r>
                    <w:rPr>
                      <w:rFonts w:hint="eastAsia"/>
                    </w:rPr>
                    <w:t>1栋，1F，钢结构，占地面积900 m</w:t>
                  </w:r>
                  <w:r>
                    <w:rPr>
                      <w:rFonts w:hint="eastAsia"/>
                      <w:vertAlign w:val="superscript"/>
                    </w:rPr>
                    <w:t>2</w:t>
                  </w:r>
                  <w:r>
                    <w:rPr>
                      <w:rFonts w:hint="eastAsia"/>
                    </w:rPr>
                    <w:t>，</w:t>
                  </w:r>
                  <w:r>
                    <w:t>摆放破碎机</w:t>
                  </w:r>
                  <w:r>
                    <w:rPr>
                      <w:rFonts w:hint="eastAsia"/>
                    </w:rPr>
                    <w:t>、</w:t>
                  </w:r>
                  <w:r>
                    <w:rPr>
                      <w:rFonts w:hint="eastAsia"/>
                      <w:lang w:val="en-US" w:eastAsia="zh-CN"/>
                    </w:rPr>
                    <w:t>冷却</w:t>
                  </w:r>
                  <w:r>
                    <w:rPr>
                      <w:rFonts w:hint="eastAsia"/>
                    </w:rPr>
                    <w:t>槽、分选机等</w:t>
                  </w:r>
                  <w:r>
                    <w:t>其他生产配套</w:t>
                  </w:r>
                  <w:r>
                    <w:rPr>
                      <w:rFonts w:hint="eastAsia"/>
                    </w:rPr>
                    <w:t>设施</w:t>
                  </w:r>
                </w:p>
              </w:tc>
              <w:tc>
                <w:tcPr>
                  <w:tcW w:w="1076" w:type="dxa"/>
                  <w:vMerge w:val="restart"/>
                  <w:vAlign w:val="center"/>
                </w:tcPr>
                <w:p>
                  <w:pPr>
                    <w:snapToGrid w:val="0"/>
                    <w:jc w:val="center"/>
                  </w:pPr>
                  <w:r>
                    <w:rPr>
                      <w:rFonts w:hint="eastAsia"/>
                    </w:rPr>
                    <w:t>租赁原有厂房，已建成</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10" w:hRule="atLeast"/>
                <w:jc w:val="center"/>
              </w:trPr>
              <w:tc>
                <w:tcPr>
                  <w:tcW w:w="695" w:type="dxa"/>
                  <w:vMerge w:val="restart"/>
                  <w:vAlign w:val="center"/>
                </w:tcPr>
                <w:p>
                  <w:pPr>
                    <w:snapToGrid w:val="0"/>
                    <w:jc w:val="center"/>
                  </w:pPr>
                  <w:r>
                    <w:rPr>
                      <w:rFonts w:hint="eastAsia"/>
                    </w:rPr>
                    <w:t>储运工程</w:t>
                  </w:r>
                </w:p>
              </w:tc>
              <w:tc>
                <w:tcPr>
                  <w:tcW w:w="1223" w:type="dxa"/>
                  <w:vAlign w:val="center"/>
                </w:tcPr>
                <w:p>
                  <w:pPr>
                    <w:snapToGrid w:val="0"/>
                    <w:jc w:val="center"/>
                  </w:pPr>
                  <w:r>
                    <w:rPr>
                      <w:rFonts w:hint="eastAsia"/>
                    </w:rPr>
                    <w:t>原料堆放区</w:t>
                  </w:r>
                </w:p>
              </w:tc>
              <w:tc>
                <w:tcPr>
                  <w:tcW w:w="4698" w:type="dxa"/>
                  <w:vAlign w:val="center"/>
                </w:tcPr>
                <w:p>
                  <w:pPr>
                    <w:autoSpaceDE w:val="0"/>
                    <w:autoSpaceDN w:val="0"/>
                    <w:adjustRightInd w:val="0"/>
                    <w:snapToGrid w:val="0"/>
                    <w:jc w:val="center"/>
                  </w:pPr>
                  <w:r>
                    <w:rPr>
                      <w:rFonts w:hint="eastAsia"/>
                    </w:rPr>
                    <w:t>1F，位于厂房内西部，占地</w:t>
                  </w:r>
                  <w:r>
                    <w:t>面积为</w:t>
                  </w:r>
                  <w:r>
                    <w:rPr>
                      <w:rFonts w:hint="eastAsia"/>
                    </w:rPr>
                    <w:t xml:space="preserve">540 </w:t>
                  </w:r>
                  <w:r>
                    <w:t>m</w:t>
                  </w:r>
                  <w:r>
                    <w:rPr>
                      <w:vertAlign w:val="superscript"/>
                    </w:rPr>
                    <w:t>2</w:t>
                  </w:r>
                  <w:r>
                    <w:t>，</w:t>
                  </w:r>
                  <w:r>
                    <w:rPr>
                      <w:rFonts w:hint="eastAsia"/>
                    </w:rPr>
                    <w:t>主要为原料的暂存</w:t>
                  </w:r>
                </w:p>
              </w:tc>
              <w:tc>
                <w:tcPr>
                  <w:tcW w:w="1076" w:type="dxa"/>
                  <w:vMerge w:val="continue"/>
                  <w:vAlign w:val="center"/>
                </w:tcPr>
                <w:p>
                  <w:pPr>
                    <w:snapToGrid w:val="0"/>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9" w:hRule="atLeast"/>
                <w:jc w:val="center"/>
              </w:trPr>
              <w:tc>
                <w:tcPr>
                  <w:tcW w:w="695" w:type="dxa"/>
                  <w:vMerge w:val="continue"/>
                  <w:vAlign w:val="center"/>
                </w:tcPr>
                <w:p>
                  <w:pPr>
                    <w:snapToGrid w:val="0"/>
                    <w:jc w:val="center"/>
                  </w:pPr>
                </w:p>
              </w:tc>
              <w:tc>
                <w:tcPr>
                  <w:tcW w:w="1223" w:type="dxa"/>
                  <w:vAlign w:val="center"/>
                </w:tcPr>
                <w:p>
                  <w:pPr>
                    <w:snapToGrid w:val="0"/>
                    <w:jc w:val="center"/>
                  </w:pPr>
                  <w:r>
                    <w:rPr>
                      <w:rFonts w:hint="eastAsia"/>
                    </w:rPr>
                    <w:t>成品堆放区</w:t>
                  </w:r>
                </w:p>
              </w:tc>
              <w:tc>
                <w:tcPr>
                  <w:tcW w:w="4698" w:type="dxa"/>
                  <w:vAlign w:val="center"/>
                </w:tcPr>
                <w:p>
                  <w:pPr>
                    <w:autoSpaceDE w:val="0"/>
                    <w:autoSpaceDN w:val="0"/>
                    <w:adjustRightInd w:val="0"/>
                    <w:snapToGrid w:val="0"/>
                    <w:jc w:val="center"/>
                  </w:pPr>
                  <w:r>
                    <w:rPr>
                      <w:rFonts w:hint="eastAsia"/>
                    </w:rPr>
                    <w:t>1F，位于厂房内中部，占地面积为290 m</w:t>
                  </w:r>
                  <w:r>
                    <w:rPr>
                      <w:rFonts w:hint="eastAsia"/>
                      <w:vertAlign w:val="superscript"/>
                    </w:rPr>
                    <w:t>2</w:t>
                  </w:r>
                  <w:r>
                    <w:rPr>
                      <w:rFonts w:hint="eastAsia"/>
                    </w:rPr>
                    <w:t>，主要为成品的暂存</w:t>
                  </w:r>
                </w:p>
              </w:tc>
              <w:tc>
                <w:tcPr>
                  <w:tcW w:w="1076" w:type="dxa"/>
                  <w:vMerge w:val="continue"/>
                  <w:vAlign w:val="center"/>
                </w:tcPr>
                <w:p>
                  <w:pPr>
                    <w:snapToGrid w:val="0"/>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695" w:type="dxa"/>
                  <w:vMerge w:val="continue"/>
                  <w:vAlign w:val="center"/>
                </w:tcPr>
                <w:p>
                  <w:pPr>
                    <w:snapToGrid w:val="0"/>
                    <w:jc w:val="center"/>
                  </w:pPr>
                </w:p>
              </w:tc>
              <w:tc>
                <w:tcPr>
                  <w:tcW w:w="1223" w:type="dxa"/>
                  <w:vAlign w:val="center"/>
                </w:tcPr>
                <w:p>
                  <w:pPr>
                    <w:jc w:val="center"/>
                  </w:pPr>
                  <w:r>
                    <w:rPr>
                      <w:rFonts w:hint="eastAsia"/>
                    </w:rPr>
                    <w:t>运输</w:t>
                  </w:r>
                </w:p>
                <w:p>
                  <w:pPr>
                    <w:jc w:val="center"/>
                  </w:pPr>
                  <w:r>
                    <w:rPr>
                      <w:rFonts w:hint="eastAsia"/>
                    </w:rPr>
                    <w:t>方式</w:t>
                  </w:r>
                </w:p>
              </w:tc>
              <w:tc>
                <w:tcPr>
                  <w:tcW w:w="4698" w:type="dxa"/>
                  <w:vAlign w:val="center"/>
                </w:tcPr>
                <w:p>
                  <w:pPr>
                    <w:jc w:val="center"/>
                  </w:pPr>
                  <w:r>
                    <w:rPr>
                      <w:rFonts w:hint="eastAsia"/>
                    </w:rPr>
                    <w:t>厂内采用叉车及小推车、输送带运输等，厂外采用汽车运输。</w:t>
                  </w:r>
                </w:p>
              </w:tc>
              <w:tc>
                <w:tcPr>
                  <w:tcW w:w="1076" w:type="dxa"/>
                  <w:vMerge w:val="continue"/>
                  <w:vAlign w:val="center"/>
                </w:tcPr>
                <w:p>
                  <w:pPr>
                    <w:snapToGrid w:val="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21" w:hRule="atLeast"/>
                <w:jc w:val="center"/>
              </w:trPr>
              <w:tc>
                <w:tcPr>
                  <w:tcW w:w="695" w:type="dxa"/>
                  <w:vAlign w:val="center"/>
                </w:tcPr>
                <w:p>
                  <w:pPr>
                    <w:snapToGrid w:val="0"/>
                    <w:jc w:val="center"/>
                  </w:pPr>
                  <w:r>
                    <w:rPr>
                      <w:rFonts w:hint="eastAsia"/>
                    </w:rPr>
                    <w:t>辅助工程</w:t>
                  </w:r>
                </w:p>
              </w:tc>
              <w:tc>
                <w:tcPr>
                  <w:tcW w:w="1223" w:type="dxa"/>
                  <w:vAlign w:val="center"/>
                </w:tcPr>
                <w:p>
                  <w:pPr>
                    <w:snapToGrid w:val="0"/>
                    <w:jc w:val="center"/>
                  </w:pPr>
                  <w:r>
                    <w:rPr>
                      <w:rFonts w:hint="eastAsia"/>
                    </w:rPr>
                    <w:t>生活办</w:t>
                  </w:r>
                </w:p>
                <w:p>
                  <w:pPr>
                    <w:snapToGrid w:val="0"/>
                    <w:jc w:val="center"/>
                  </w:pPr>
                  <w:r>
                    <w:rPr>
                      <w:rFonts w:hint="eastAsia"/>
                    </w:rPr>
                    <w:t>公楼</w:t>
                  </w:r>
                </w:p>
              </w:tc>
              <w:tc>
                <w:tcPr>
                  <w:tcW w:w="4698" w:type="dxa"/>
                  <w:vAlign w:val="center"/>
                </w:tcPr>
                <w:p>
                  <w:pPr>
                    <w:snapToGrid w:val="0"/>
                    <w:jc w:val="center"/>
                  </w:pPr>
                  <w:r>
                    <w:rPr>
                      <w:rFonts w:hint="eastAsia"/>
                    </w:rPr>
                    <w:t>占地面积3</w:t>
                  </w:r>
                  <w:r>
                    <w:t>00</w:t>
                  </w:r>
                  <w:r>
                    <w:rPr>
                      <w:rFonts w:hint="eastAsia"/>
                    </w:rPr>
                    <w:t xml:space="preserve"> </w:t>
                  </w:r>
                  <w:r>
                    <w:t>m</w:t>
                  </w:r>
                  <w:r>
                    <w:rPr>
                      <w:vertAlign w:val="superscript"/>
                    </w:rPr>
                    <w:t>2</w:t>
                  </w:r>
                  <w:r>
                    <w:t>，</w:t>
                  </w:r>
                  <w:r>
                    <w:rPr>
                      <w:rFonts w:hint="eastAsia"/>
                    </w:rPr>
                    <w:t>位于厂区南侧，3F</w:t>
                  </w:r>
                  <w:r>
                    <w:t>砖混结构</w:t>
                  </w:r>
                  <w:r>
                    <w:rPr>
                      <w:rFonts w:hint="eastAsia"/>
                    </w:rPr>
                    <w:t>，</w:t>
                  </w:r>
                  <w:r>
                    <w:t>主要设办公室、</w:t>
                  </w:r>
                  <w:r>
                    <w:rPr>
                      <w:rFonts w:hint="eastAsia"/>
                    </w:rPr>
                    <w:t>食堂、宿舍</w:t>
                  </w:r>
                  <w:r>
                    <w:t>、卫生间等</w:t>
                  </w:r>
                </w:p>
              </w:tc>
              <w:tc>
                <w:tcPr>
                  <w:tcW w:w="1076" w:type="dxa"/>
                  <w:tcBorders>
                    <w:bottom w:val="single" w:color="auto" w:sz="4" w:space="0"/>
                  </w:tcBorders>
                  <w:vAlign w:val="center"/>
                </w:tcPr>
                <w:p>
                  <w:pPr>
                    <w:snapToGrid w:val="0"/>
                    <w:jc w:val="center"/>
                  </w:pPr>
                  <w:r>
                    <w:rPr>
                      <w:rFonts w:hint="eastAsia"/>
                    </w:rPr>
                    <w:t>依托园区已建办公楼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95" w:type="dxa"/>
                  <w:vMerge w:val="restart"/>
                  <w:vAlign w:val="center"/>
                </w:tcPr>
                <w:p>
                  <w:pPr>
                    <w:snapToGrid w:val="0"/>
                    <w:jc w:val="center"/>
                  </w:pPr>
                  <w:r>
                    <w:rPr>
                      <w:rFonts w:hint="eastAsia"/>
                    </w:rPr>
                    <w:t>公用工程</w:t>
                  </w:r>
                </w:p>
              </w:tc>
              <w:tc>
                <w:tcPr>
                  <w:tcW w:w="1223" w:type="dxa"/>
                  <w:vAlign w:val="center"/>
                </w:tcPr>
                <w:p>
                  <w:pPr>
                    <w:snapToGrid w:val="0"/>
                    <w:jc w:val="center"/>
                  </w:pPr>
                  <w:r>
                    <w:rPr>
                      <w:rFonts w:hint="eastAsia"/>
                    </w:rPr>
                    <w:t>供电</w:t>
                  </w:r>
                </w:p>
                <w:p>
                  <w:pPr>
                    <w:snapToGrid w:val="0"/>
                    <w:jc w:val="center"/>
                  </w:pPr>
                  <w:r>
                    <w:rPr>
                      <w:rFonts w:hint="eastAsia"/>
                    </w:rPr>
                    <w:t>系统</w:t>
                  </w:r>
                </w:p>
              </w:tc>
              <w:tc>
                <w:tcPr>
                  <w:tcW w:w="4698" w:type="dxa"/>
                  <w:vAlign w:val="center"/>
                </w:tcPr>
                <w:p>
                  <w:pPr>
                    <w:snapToGrid w:val="0"/>
                    <w:jc w:val="center"/>
                  </w:pPr>
                  <w:r>
                    <w:t>园区市政电网供电</w:t>
                  </w:r>
                </w:p>
              </w:tc>
              <w:tc>
                <w:tcPr>
                  <w:tcW w:w="1076" w:type="dxa"/>
                  <w:vMerge w:val="restart"/>
                  <w:tcBorders>
                    <w:top w:val="single" w:color="auto" w:sz="4" w:space="0"/>
                  </w:tcBorders>
                  <w:vAlign w:val="center"/>
                </w:tcPr>
                <w:p>
                  <w:pPr>
                    <w:snapToGrid w:val="0"/>
                    <w:jc w:val="center"/>
                  </w:pPr>
                  <w:r>
                    <w:rPr>
                      <w:rFonts w:hint="eastAsia"/>
                    </w:rPr>
                    <w:t>依托园区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95" w:type="dxa"/>
                  <w:vMerge w:val="continue"/>
                  <w:vAlign w:val="center"/>
                </w:tcPr>
                <w:p>
                  <w:pPr>
                    <w:snapToGrid w:val="0"/>
                    <w:jc w:val="center"/>
                  </w:pPr>
                </w:p>
              </w:tc>
              <w:tc>
                <w:tcPr>
                  <w:tcW w:w="1223" w:type="dxa"/>
                  <w:vAlign w:val="center"/>
                </w:tcPr>
                <w:p>
                  <w:pPr>
                    <w:snapToGrid w:val="0"/>
                    <w:jc w:val="center"/>
                  </w:pPr>
                  <w:r>
                    <w:rPr>
                      <w:rFonts w:hint="eastAsia"/>
                    </w:rPr>
                    <w:t>给水</w:t>
                  </w:r>
                </w:p>
                <w:p>
                  <w:pPr>
                    <w:snapToGrid w:val="0"/>
                    <w:jc w:val="center"/>
                  </w:pPr>
                  <w:r>
                    <w:rPr>
                      <w:rFonts w:hint="eastAsia"/>
                    </w:rPr>
                    <w:t>系统</w:t>
                  </w:r>
                </w:p>
              </w:tc>
              <w:tc>
                <w:tcPr>
                  <w:tcW w:w="4698" w:type="dxa"/>
                  <w:vAlign w:val="center"/>
                </w:tcPr>
                <w:p>
                  <w:pPr>
                    <w:snapToGrid w:val="0"/>
                    <w:jc w:val="center"/>
                  </w:pPr>
                  <w:r>
                    <w:rPr>
                      <w:rFonts w:hint="eastAsia"/>
                    </w:rPr>
                    <w:t>园区自来水</w:t>
                  </w:r>
                </w:p>
              </w:tc>
              <w:tc>
                <w:tcPr>
                  <w:tcW w:w="1076" w:type="dxa"/>
                  <w:vMerge w:val="continue"/>
                  <w:vAlign w:val="center"/>
                </w:tcPr>
                <w:p>
                  <w:pPr>
                    <w:snapToGrid w:val="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70" w:hRule="atLeast"/>
                <w:jc w:val="center"/>
              </w:trPr>
              <w:tc>
                <w:tcPr>
                  <w:tcW w:w="695" w:type="dxa"/>
                  <w:vMerge w:val="continue"/>
                  <w:vAlign w:val="center"/>
                </w:tcPr>
                <w:p>
                  <w:pPr>
                    <w:widowControl/>
                    <w:snapToGrid w:val="0"/>
                    <w:jc w:val="center"/>
                  </w:pPr>
                </w:p>
              </w:tc>
              <w:tc>
                <w:tcPr>
                  <w:tcW w:w="1223" w:type="dxa"/>
                  <w:vAlign w:val="center"/>
                </w:tcPr>
                <w:p>
                  <w:pPr>
                    <w:snapToGrid w:val="0"/>
                    <w:jc w:val="center"/>
                  </w:pPr>
                  <w:r>
                    <w:rPr>
                      <w:rFonts w:hint="eastAsia"/>
                    </w:rPr>
                    <w:t>排水</w:t>
                  </w:r>
                </w:p>
                <w:p>
                  <w:pPr>
                    <w:snapToGrid w:val="0"/>
                    <w:jc w:val="center"/>
                  </w:pPr>
                  <w:r>
                    <w:rPr>
                      <w:rFonts w:hint="eastAsia"/>
                    </w:rPr>
                    <w:t>系统</w:t>
                  </w:r>
                </w:p>
              </w:tc>
              <w:tc>
                <w:tcPr>
                  <w:tcW w:w="4698" w:type="dxa"/>
                  <w:vAlign w:val="center"/>
                </w:tcPr>
                <w:p>
                  <w:pPr>
                    <w:snapToGrid w:val="0"/>
                    <w:jc w:val="center"/>
                  </w:pPr>
                  <w:r>
                    <w:rPr>
                      <w:rFonts w:hint="eastAsia"/>
                    </w:rPr>
                    <w:t>园区排水实行雨污分流制，雨水依托园区雨水管网排至市政雨水管网；项目运营期生活污水依托已有的化粪池处理达到《污水综合排放标准》（GB8978-1996）表 4 中的三级标准后通过园区市政污水管网排入益阳</w:t>
                  </w:r>
                  <w:r>
                    <w:rPr>
                      <w:rFonts w:hint="eastAsia"/>
                      <w:lang w:val="en-US" w:eastAsia="zh-CN"/>
                    </w:rPr>
                    <w:t>城东</w:t>
                  </w:r>
                  <w:r>
                    <w:rPr>
                      <w:rFonts w:hint="eastAsia"/>
                    </w:rPr>
                    <w:t>污水处理厂处理达《城镇污水处理厂污染物排放标准》（GB18918-2002）一级 A  标准后排入撇洪新河</w:t>
                  </w:r>
                </w:p>
              </w:tc>
              <w:tc>
                <w:tcPr>
                  <w:tcW w:w="1076" w:type="dxa"/>
                  <w:vMerge w:val="continue"/>
                  <w:tcBorders>
                    <w:bottom w:val="single" w:color="auto" w:sz="4" w:space="0"/>
                  </w:tcBorders>
                  <w:vAlign w:val="center"/>
                </w:tcPr>
                <w:p>
                  <w:pPr>
                    <w:snapToGrid w:val="0"/>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695" w:type="dxa"/>
                  <w:vMerge w:val="restart"/>
                  <w:vAlign w:val="center"/>
                </w:tcPr>
                <w:p>
                  <w:pPr>
                    <w:snapToGrid w:val="0"/>
                    <w:jc w:val="center"/>
                  </w:pPr>
                  <w:r>
                    <w:rPr>
                      <w:rFonts w:hint="eastAsia"/>
                    </w:rPr>
                    <w:t>环保工程</w:t>
                  </w:r>
                </w:p>
              </w:tc>
              <w:tc>
                <w:tcPr>
                  <w:tcW w:w="1223" w:type="dxa"/>
                  <w:vAlign w:val="center"/>
                </w:tcPr>
                <w:p>
                  <w:pPr>
                    <w:snapToGrid w:val="0"/>
                    <w:jc w:val="center"/>
                  </w:pPr>
                  <w:r>
                    <w:rPr>
                      <w:rFonts w:hint="eastAsia"/>
                    </w:rPr>
                    <w:t>废气</w:t>
                  </w:r>
                </w:p>
                <w:p>
                  <w:pPr>
                    <w:snapToGrid w:val="0"/>
                    <w:jc w:val="center"/>
                  </w:pPr>
                  <w:r>
                    <w:rPr>
                      <w:rFonts w:hint="eastAsia"/>
                    </w:rPr>
                    <w:t>处理</w:t>
                  </w:r>
                </w:p>
              </w:tc>
              <w:tc>
                <w:tcPr>
                  <w:tcW w:w="4698" w:type="dxa"/>
                  <w:vAlign w:val="center"/>
                </w:tcPr>
                <w:p>
                  <w:pPr>
                    <w:snapToGrid w:val="0"/>
                    <w:jc w:val="center"/>
                    <w:rPr>
                      <w:rFonts w:hint="default" w:eastAsia="宋体"/>
                      <w:lang w:val="en-US" w:eastAsia="zh-CN"/>
                    </w:rPr>
                  </w:pPr>
                  <w:r>
                    <w:rPr>
                      <w:rFonts w:hint="eastAsia"/>
                    </w:rPr>
                    <w:t>2</w:t>
                  </w:r>
                  <w:r>
                    <w:t>条生产线共设置一套废气净化装置（处理工艺：水喷淋+UV光解氧化+活性炭吸附）+15m高排气筒</w:t>
                  </w:r>
                  <w:r>
                    <w:rPr>
                      <w:rFonts w:hint="eastAsia"/>
                      <w:lang w:eastAsia="zh-CN"/>
                    </w:rPr>
                    <w:t>，</w:t>
                  </w:r>
                  <w:r>
                    <w:rPr>
                      <w:rFonts w:hint="eastAsia"/>
                      <w:lang w:val="en-US" w:eastAsia="zh-CN"/>
                    </w:rPr>
                    <w:t>颗粒物处理工艺为布袋除尘器+15m排气筒</w:t>
                  </w:r>
                </w:p>
              </w:tc>
              <w:tc>
                <w:tcPr>
                  <w:tcW w:w="1076" w:type="dxa"/>
                  <w:tcBorders>
                    <w:top w:val="single" w:color="auto" w:sz="4" w:space="0"/>
                  </w:tcBorders>
                  <w:vAlign w:val="center"/>
                </w:tcPr>
                <w:p>
                  <w:pPr>
                    <w:snapToGrid w:val="0"/>
                    <w:jc w:val="center"/>
                  </w:pPr>
                  <w:r>
                    <w:rPr>
                      <w:rFonts w:hint="eastAsia"/>
                    </w:rPr>
                    <w:t>新建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95" w:type="dxa"/>
                  <w:vMerge w:val="continue"/>
                  <w:vAlign w:val="center"/>
                </w:tcPr>
                <w:p>
                  <w:pPr>
                    <w:widowControl/>
                    <w:snapToGrid w:val="0"/>
                    <w:jc w:val="center"/>
                  </w:pPr>
                </w:p>
              </w:tc>
              <w:tc>
                <w:tcPr>
                  <w:tcW w:w="1223" w:type="dxa"/>
                  <w:vAlign w:val="center"/>
                </w:tcPr>
                <w:p>
                  <w:pPr>
                    <w:snapToGrid w:val="0"/>
                    <w:jc w:val="center"/>
                  </w:pPr>
                  <w:r>
                    <w:rPr>
                      <w:rFonts w:hint="eastAsia"/>
                    </w:rPr>
                    <w:t>废水</w:t>
                  </w:r>
                </w:p>
                <w:p>
                  <w:pPr>
                    <w:snapToGrid w:val="0"/>
                    <w:jc w:val="center"/>
                  </w:pPr>
                  <w:r>
                    <w:rPr>
                      <w:rFonts w:hint="eastAsia"/>
                    </w:rPr>
                    <w:t>处理</w:t>
                  </w:r>
                </w:p>
              </w:tc>
              <w:tc>
                <w:tcPr>
                  <w:tcW w:w="4698" w:type="dxa"/>
                  <w:vAlign w:val="center"/>
                </w:tcPr>
                <w:p>
                  <w:pPr>
                    <w:snapToGrid w:val="0"/>
                    <w:jc w:val="center"/>
                  </w:pPr>
                  <w:r>
                    <w:t>项目营运过程喷淋塔用水和冷却水循环使用，不外排；生活污水依托已有的化粪池处理达到《污水综合排放标准》（GB8978-1996）表4中的三级标准后通过园区市政污水管网排入益阳</w:t>
                  </w:r>
                  <w:r>
                    <w:rPr>
                      <w:sz w:val="21"/>
                    </w:rPr>
                    <w:t>城东污水处理厂</w:t>
                  </w:r>
                  <w:r>
                    <w:t>处理达《城镇污水处理厂污染物排放标（GB18918-2002）一级A 标准后排入撇洪新河。</w:t>
                  </w:r>
                </w:p>
              </w:tc>
              <w:tc>
                <w:tcPr>
                  <w:tcW w:w="1076" w:type="dxa"/>
                  <w:vAlign w:val="center"/>
                </w:tcPr>
                <w:p>
                  <w:pPr>
                    <w:snapToGrid w:val="0"/>
                    <w:jc w:val="center"/>
                  </w:pPr>
                  <w:r>
                    <w:rPr>
                      <w:rFonts w:hint="eastAsia"/>
                    </w:rPr>
                    <w:t>依托园区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95" w:type="dxa"/>
                  <w:vMerge w:val="continue"/>
                  <w:vAlign w:val="center"/>
                </w:tcPr>
                <w:p>
                  <w:pPr>
                    <w:widowControl/>
                    <w:snapToGrid w:val="0"/>
                    <w:jc w:val="center"/>
                  </w:pPr>
                </w:p>
              </w:tc>
              <w:tc>
                <w:tcPr>
                  <w:tcW w:w="1223" w:type="dxa"/>
                  <w:vAlign w:val="center"/>
                </w:tcPr>
                <w:p>
                  <w:pPr>
                    <w:snapToGrid w:val="0"/>
                    <w:jc w:val="center"/>
                  </w:pPr>
                  <w:r>
                    <w:rPr>
                      <w:rFonts w:hint="eastAsia"/>
                    </w:rPr>
                    <w:t>固废</w:t>
                  </w:r>
                </w:p>
                <w:p>
                  <w:pPr>
                    <w:snapToGrid w:val="0"/>
                    <w:jc w:val="center"/>
                  </w:pPr>
                  <w:r>
                    <w:rPr>
                      <w:rFonts w:hint="eastAsia"/>
                    </w:rPr>
                    <w:t>处理</w:t>
                  </w:r>
                </w:p>
              </w:tc>
              <w:tc>
                <w:tcPr>
                  <w:tcW w:w="4698" w:type="dxa"/>
                  <w:vAlign w:val="center"/>
                </w:tcPr>
                <w:p>
                  <w:pPr>
                    <w:snapToGrid w:val="0"/>
                    <w:jc w:val="center"/>
                  </w:pPr>
                  <w:r>
                    <w:rPr>
                      <w:rFonts w:hint="eastAsia"/>
                    </w:rPr>
                    <w:t>一般固废暂存于一般固废暂存间（占地面积约为 10m2）后综合利用；废活性炭等危险废物暂存于厂区设置的危废暂存间后，定期交由有相关危废处置资质的单位外运安全处置；生活垃圾收集后交由园区环卫部门清运处置</w:t>
                  </w:r>
                </w:p>
              </w:tc>
              <w:tc>
                <w:tcPr>
                  <w:tcW w:w="1076" w:type="dxa"/>
                  <w:vAlign w:val="center"/>
                </w:tcPr>
                <w:p>
                  <w:pPr>
                    <w:snapToGrid w:val="0"/>
                    <w:jc w:val="center"/>
                  </w:pPr>
                  <w:r>
                    <w:rPr>
                      <w:rFonts w:hint="eastAsia"/>
                    </w:rPr>
                    <w:t>新建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695" w:type="dxa"/>
                  <w:vMerge w:val="continue"/>
                  <w:vAlign w:val="center"/>
                </w:tcPr>
                <w:p>
                  <w:pPr>
                    <w:widowControl/>
                    <w:snapToGrid w:val="0"/>
                    <w:jc w:val="center"/>
                  </w:pPr>
                </w:p>
              </w:tc>
              <w:tc>
                <w:tcPr>
                  <w:tcW w:w="1223" w:type="dxa"/>
                  <w:vAlign w:val="center"/>
                </w:tcPr>
                <w:p>
                  <w:pPr>
                    <w:snapToGrid w:val="0"/>
                    <w:jc w:val="center"/>
                  </w:pPr>
                  <w:r>
                    <w:rPr>
                      <w:rFonts w:hint="eastAsia"/>
                    </w:rPr>
                    <w:t>噪声</w:t>
                  </w:r>
                </w:p>
                <w:p>
                  <w:pPr>
                    <w:snapToGrid w:val="0"/>
                    <w:jc w:val="center"/>
                  </w:pPr>
                  <w:r>
                    <w:rPr>
                      <w:rFonts w:hint="eastAsia"/>
                    </w:rPr>
                    <w:t>处理</w:t>
                  </w:r>
                </w:p>
              </w:tc>
              <w:tc>
                <w:tcPr>
                  <w:tcW w:w="4698" w:type="dxa"/>
                  <w:vAlign w:val="center"/>
                </w:tcPr>
                <w:p>
                  <w:pPr>
                    <w:snapToGrid w:val="0"/>
                    <w:jc w:val="center"/>
                  </w:pPr>
                  <w:r>
                    <w:rPr>
                      <w:rFonts w:hint="eastAsia"/>
                    </w:rPr>
                    <w:t>选用低噪设备，合理布局，厂房隔声，安装减震减噪措施，加强设备维护管理</w:t>
                  </w:r>
                </w:p>
              </w:tc>
              <w:tc>
                <w:tcPr>
                  <w:tcW w:w="1076" w:type="dxa"/>
                  <w:vAlign w:val="center"/>
                </w:tcPr>
                <w:p>
                  <w:pPr>
                    <w:snapToGrid w:val="0"/>
                    <w:jc w:val="center"/>
                  </w:pPr>
                  <w:r>
                    <w:rPr>
                      <w:rFonts w:hint="eastAsia"/>
                    </w:rPr>
                    <w:t>新建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695" w:type="dxa"/>
                  <w:vMerge w:val="restart"/>
                  <w:vAlign w:val="center"/>
                </w:tcPr>
                <w:p>
                  <w:pPr>
                    <w:jc w:val="center"/>
                    <w:rPr>
                      <w:rFonts w:hint="default"/>
                      <w:lang w:val="en-US"/>
                    </w:rPr>
                  </w:pPr>
                  <w:r>
                    <w:rPr>
                      <w:rFonts w:hint="eastAsia"/>
                      <w:lang w:val="en-US" w:eastAsia="zh-CN"/>
                    </w:rPr>
                    <w:t>市政依托设施</w:t>
                  </w:r>
                </w:p>
              </w:tc>
              <w:tc>
                <w:tcPr>
                  <w:tcW w:w="1223" w:type="dxa"/>
                  <w:vAlign w:val="center"/>
                </w:tcPr>
                <w:p>
                  <w:pPr>
                    <w:jc w:val="center"/>
                  </w:pPr>
                  <w:r>
                    <w:rPr>
                      <w:sz w:val="21"/>
                    </w:rPr>
                    <w:t>益阳城东污水处理厂</w:t>
                  </w:r>
                </w:p>
              </w:tc>
              <w:tc>
                <w:tcPr>
                  <w:tcW w:w="5774" w:type="dxa"/>
                  <w:gridSpan w:val="2"/>
                  <w:vAlign w:val="center"/>
                </w:tcPr>
                <w:p>
                  <w:pPr>
                    <w:jc w:val="left"/>
                  </w:pPr>
                  <w:r>
                    <w:rPr>
                      <w:rFonts w:hint="eastAsia"/>
                    </w:rPr>
                    <w:t>污水处理选择 A</w:t>
                  </w:r>
                  <w:r>
                    <w:rPr>
                      <w:rFonts w:hint="eastAsia"/>
                      <w:vertAlign w:val="subscript"/>
                    </w:rPr>
                    <w:t>2</w:t>
                  </w:r>
                  <w:r>
                    <w:rPr>
                      <w:rFonts w:hint="eastAsia"/>
                    </w:rPr>
                    <w:t>/O 一体化氧化沟工艺；出水消毒采用紫外线 （UV）消毒工艺；污泥处理采用浓缩带式一体化脱水工艺。污水处理厂总建设规模为50000m</w:t>
                  </w:r>
                  <w:r>
                    <w:rPr>
                      <w:rFonts w:hint="eastAsia"/>
                      <w:vertAlign w:val="superscript"/>
                    </w:rPr>
                    <w:t>3</w:t>
                  </w:r>
                  <w:r>
                    <w:rPr>
                      <w:rFonts w:hint="eastAsia"/>
                    </w:rPr>
                    <w:t xml:space="preserve"> /d，总排口设在清溪河与撇洪新河交汇处撇洪新河下游500m处。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695" w:type="dxa"/>
                  <w:vMerge w:val="continue"/>
                  <w:vAlign w:val="center"/>
                </w:tcPr>
                <w:p>
                  <w:pPr>
                    <w:jc w:val="center"/>
                    <w:rPr>
                      <w:rFonts w:hint="eastAsia"/>
                      <w:lang w:val="en-US" w:eastAsia="zh-CN"/>
                    </w:rPr>
                  </w:pPr>
                </w:p>
              </w:tc>
              <w:tc>
                <w:tcPr>
                  <w:tcW w:w="1223" w:type="dxa"/>
                  <w:vAlign w:val="center"/>
                </w:tcPr>
                <w:p>
                  <w:pPr>
                    <w:jc w:val="center"/>
                    <w:rPr>
                      <w:sz w:val="21"/>
                    </w:rPr>
                  </w:pPr>
                  <w:r>
                    <w:rPr>
                      <w:sz w:val="21"/>
                    </w:rPr>
                    <w:t>益阳市城市生活垃圾焚烧发电厂</w:t>
                  </w:r>
                </w:p>
              </w:tc>
              <w:tc>
                <w:tcPr>
                  <w:tcW w:w="5774" w:type="dxa"/>
                  <w:gridSpan w:val="2"/>
                  <w:vAlign w:val="center"/>
                </w:tcPr>
                <w:p>
                  <w:pPr>
                    <w:snapToGrid w:val="0"/>
                    <w:jc w:val="left"/>
                    <w:rPr>
                      <w:rFonts w:hint="eastAsia" w:eastAsia="宋体"/>
                      <w:lang w:eastAsia="zh-CN"/>
                    </w:rPr>
                  </w:pPr>
                  <w:r>
                    <w:t>益阳市城市生活垃圾焚烧发电厂项目位于益阳市谢林港镇青山 村，总占地面积 60000m</w:t>
                  </w:r>
                  <w:r>
                    <w:rPr>
                      <w:vertAlign w:val="superscript"/>
                    </w:rPr>
                    <w:t>2</w:t>
                  </w:r>
                  <w:r>
                    <w:t>，处理规模为垃圾进厂量 800t/d （365d/a）、垃圾入炉量 700t/d（333d/a），采用机械炉排炉焚烧 工艺，服务范围为益阳市主城区及其周边部分乡镇和东部新区</w:t>
                  </w:r>
                  <w:r>
                    <w:rPr>
                      <w:rFonts w:hint="eastAsia"/>
                      <w:lang w:eastAsia="zh-CN"/>
                    </w:rPr>
                    <w:t>。</w:t>
                  </w:r>
                </w:p>
              </w:tc>
            </w:tr>
          </w:tbl>
          <w:p>
            <w:pPr>
              <w:spacing w:line="480" w:lineRule="exact"/>
              <w:jc w:val="left"/>
              <w:rPr>
                <w:b/>
                <w:bCs/>
                <w:sz w:val="24"/>
                <w:u w:val="single"/>
              </w:rPr>
            </w:pPr>
            <w:r>
              <w:rPr>
                <w:b/>
                <w:bCs/>
                <w:sz w:val="24"/>
                <w:u w:val="single"/>
              </w:rPr>
              <w:t>2</w:t>
            </w:r>
            <w:r>
              <w:rPr>
                <w:rFonts w:hint="eastAsia"/>
                <w:b/>
                <w:bCs/>
                <w:sz w:val="24"/>
                <w:u w:val="single"/>
              </w:rPr>
              <w:t>.1.2</w:t>
            </w:r>
            <w:r>
              <w:rPr>
                <w:b/>
                <w:bCs/>
                <w:sz w:val="24"/>
                <w:u w:val="single"/>
              </w:rPr>
              <w:t>、主要产品及产能</w:t>
            </w:r>
          </w:p>
          <w:p>
            <w:pPr>
              <w:snapToGrid w:val="0"/>
              <w:spacing w:line="480" w:lineRule="exact"/>
              <w:ind w:firstLine="480" w:firstLineChars="200"/>
              <w:rPr>
                <w:sz w:val="24"/>
                <w:u w:val="single"/>
              </w:rPr>
            </w:pPr>
            <w:r>
              <w:rPr>
                <w:sz w:val="24"/>
                <w:u w:val="single"/>
              </w:rPr>
              <w:t>项目运营后，产品产量见表</w:t>
            </w:r>
            <w:r>
              <w:rPr>
                <w:rFonts w:hint="eastAsia"/>
                <w:sz w:val="24"/>
                <w:u w:val="single"/>
              </w:rPr>
              <w:t>2</w:t>
            </w:r>
            <w:r>
              <w:rPr>
                <w:sz w:val="24"/>
                <w:u w:val="single"/>
              </w:rPr>
              <w:t>-</w:t>
            </w:r>
            <w:r>
              <w:rPr>
                <w:rFonts w:hint="eastAsia"/>
                <w:sz w:val="24"/>
                <w:u w:val="single"/>
              </w:rPr>
              <w:t>2</w:t>
            </w:r>
            <w:r>
              <w:rPr>
                <w:sz w:val="24"/>
                <w:u w:val="single"/>
              </w:rPr>
              <w:t>。</w:t>
            </w:r>
          </w:p>
          <w:p>
            <w:pPr>
              <w:jc w:val="center"/>
              <w:rPr>
                <w:b/>
                <w:bCs/>
                <w:u w:val="single"/>
              </w:rPr>
            </w:pPr>
            <w:r>
              <w:rPr>
                <w:b/>
                <w:bCs/>
                <w:u w:val="single"/>
              </w:rPr>
              <w:t>表</w:t>
            </w:r>
            <w:r>
              <w:rPr>
                <w:rFonts w:hint="eastAsia"/>
                <w:b/>
                <w:bCs/>
                <w:u w:val="single"/>
              </w:rPr>
              <w:t>2</w:t>
            </w:r>
            <w:r>
              <w:rPr>
                <w:b/>
                <w:bCs/>
                <w:u w:val="single"/>
              </w:rPr>
              <w:t>-</w:t>
            </w:r>
            <w:r>
              <w:rPr>
                <w:rFonts w:hint="eastAsia"/>
                <w:b/>
                <w:bCs/>
                <w:u w:val="single"/>
              </w:rPr>
              <w:t>2</w:t>
            </w:r>
            <w:r>
              <w:rPr>
                <w:b/>
                <w:bCs/>
                <w:u w:val="single"/>
              </w:rPr>
              <w:t xml:space="preserve">  项目产品方案</w:t>
            </w:r>
            <w:r>
              <w:rPr>
                <w:rFonts w:hint="eastAsia"/>
                <w:b/>
                <w:bCs/>
                <w:u w:val="single"/>
              </w:rPr>
              <w:t>一览表</w:t>
            </w:r>
          </w:p>
          <w:tbl>
            <w:tblPr>
              <w:tblStyle w:val="21"/>
              <w:tblW w:w="76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6"/>
              <w:gridCol w:w="2253"/>
              <w:gridCol w:w="869"/>
              <w:gridCol w:w="1737"/>
              <w:gridCol w:w="20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 w:hRule="atLeast"/>
                <w:jc w:val="center"/>
              </w:trPr>
              <w:tc>
                <w:tcPr>
                  <w:tcW w:w="686" w:type="dxa"/>
                  <w:vAlign w:val="center"/>
                </w:tcPr>
                <w:p>
                  <w:pPr>
                    <w:pStyle w:val="27"/>
                    <w:snapToGrid w:val="0"/>
                    <w:jc w:val="center"/>
                    <w:rPr>
                      <w:rFonts w:ascii="Times New Roman" w:hAnsi="Times New Roman"/>
                      <w:b/>
                      <w:bCs/>
                      <w:color w:val="auto"/>
                      <w:sz w:val="21"/>
                      <w:u w:val="single"/>
                    </w:rPr>
                  </w:pPr>
                  <w:r>
                    <w:rPr>
                      <w:rFonts w:hint="eastAsia" w:ascii="Times New Roman" w:hAnsi="Times New Roman"/>
                      <w:b/>
                      <w:bCs/>
                      <w:color w:val="auto"/>
                      <w:sz w:val="21"/>
                      <w:u w:val="single"/>
                    </w:rPr>
                    <w:t>序号</w:t>
                  </w:r>
                </w:p>
              </w:tc>
              <w:tc>
                <w:tcPr>
                  <w:tcW w:w="2253" w:type="dxa"/>
                  <w:vAlign w:val="center"/>
                </w:tcPr>
                <w:p>
                  <w:pPr>
                    <w:pStyle w:val="27"/>
                    <w:snapToGrid w:val="0"/>
                    <w:jc w:val="center"/>
                    <w:rPr>
                      <w:rFonts w:ascii="Times New Roman" w:hAnsi="Times New Roman"/>
                      <w:b/>
                      <w:bCs/>
                      <w:color w:val="auto"/>
                      <w:sz w:val="21"/>
                      <w:u w:val="single"/>
                    </w:rPr>
                  </w:pPr>
                  <w:r>
                    <w:rPr>
                      <w:rFonts w:hint="eastAsia" w:ascii="Times New Roman" w:hAnsi="Times New Roman"/>
                      <w:b/>
                      <w:bCs/>
                      <w:color w:val="auto"/>
                      <w:sz w:val="21"/>
                      <w:u w:val="single"/>
                    </w:rPr>
                    <w:t>产品名称</w:t>
                  </w:r>
                </w:p>
              </w:tc>
              <w:tc>
                <w:tcPr>
                  <w:tcW w:w="869" w:type="dxa"/>
                  <w:vAlign w:val="center"/>
                </w:tcPr>
                <w:p>
                  <w:pPr>
                    <w:pStyle w:val="27"/>
                    <w:snapToGrid w:val="0"/>
                    <w:jc w:val="center"/>
                    <w:rPr>
                      <w:rFonts w:ascii="Times New Roman" w:hAnsi="Times New Roman"/>
                      <w:b/>
                      <w:bCs/>
                      <w:color w:val="auto"/>
                      <w:sz w:val="21"/>
                      <w:u w:val="single"/>
                    </w:rPr>
                  </w:pPr>
                  <w:r>
                    <w:rPr>
                      <w:rFonts w:hint="eastAsia" w:ascii="Times New Roman" w:hAnsi="Times New Roman"/>
                      <w:b/>
                      <w:bCs/>
                      <w:color w:val="auto"/>
                      <w:sz w:val="21"/>
                      <w:u w:val="single"/>
                    </w:rPr>
                    <w:t>单位</w:t>
                  </w:r>
                </w:p>
              </w:tc>
              <w:tc>
                <w:tcPr>
                  <w:tcW w:w="1737" w:type="dxa"/>
                  <w:vAlign w:val="center"/>
                </w:tcPr>
                <w:p>
                  <w:pPr>
                    <w:pStyle w:val="27"/>
                    <w:snapToGrid w:val="0"/>
                    <w:jc w:val="center"/>
                    <w:rPr>
                      <w:rFonts w:ascii="Times New Roman" w:hAnsi="Times New Roman"/>
                      <w:b/>
                      <w:bCs/>
                      <w:color w:val="auto"/>
                      <w:sz w:val="21"/>
                      <w:u w:val="single"/>
                    </w:rPr>
                  </w:pPr>
                  <w:r>
                    <w:rPr>
                      <w:rFonts w:hint="eastAsia" w:ascii="Times New Roman" w:hAnsi="Times New Roman"/>
                      <w:b/>
                      <w:bCs/>
                      <w:color w:val="auto"/>
                      <w:sz w:val="21"/>
                      <w:u w:val="single"/>
                    </w:rPr>
                    <w:t>年生产能力</w:t>
                  </w:r>
                </w:p>
              </w:tc>
              <w:tc>
                <w:tcPr>
                  <w:tcW w:w="2070" w:type="dxa"/>
                  <w:vAlign w:val="center"/>
                </w:tcPr>
                <w:p>
                  <w:pPr>
                    <w:pStyle w:val="27"/>
                    <w:snapToGrid w:val="0"/>
                    <w:jc w:val="center"/>
                    <w:rPr>
                      <w:rFonts w:ascii="Times New Roman" w:hAnsi="Times New Roman"/>
                      <w:b/>
                      <w:bCs/>
                      <w:color w:val="auto"/>
                      <w:sz w:val="21"/>
                      <w:u w:val="single"/>
                    </w:rPr>
                  </w:pPr>
                  <w:r>
                    <w:rPr>
                      <w:rFonts w:hint="eastAsia" w:ascii="Times New Roman" w:hAnsi="Times New Roman"/>
                      <w:b/>
                      <w:bCs/>
                      <w:color w:val="auto"/>
                      <w:sz w:val="21"/>
                      <w:u w:val="single"/>
                    </w:rPr>
                    <w:t>运输方式及去向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686" w:type="dxa"/>
                  <w:vAlign w:val="center"/>
                </w:tcPr>
                <w:p>
                  <w:pPr>
                    <w:pStyle w:val="27"/>
                    <w:snapToGrid w:val="0"/>
                    <w:jc w:val="center"/>
                    <w:rPr>
                      <w:rFonts w:ascii="Times New Roman" w:hAnsi="Times New Roman"/>
                      <w:color w:val="auto"/>
                      <w:sz w:val="21"/>
                      <w:u w:val="single"/>
                    </w:rPr>
                  </w:pPr>
                  <w:r>
                    <w:rPr>
                      <w:rFonts w:ascii="Times New Roman" w:hAnsi="Times New Roman"/>
                      <w:color w:val="auto"/>
                      <w:sz w:val="21"/>
                      <w:u w:val="single"/>
                    </w:rPr>
                    <w:t>1</w:t>
                  </w:r>
                </w:p>
              </w:tc>
              <w:tc>
                <w:tcPr>
                  <w:tcW w:w="2253"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lang w:val="en-US" w:eastAsia="zh-CN"/>
                    </w:rPr>
                    <w:t>EPS</w:t>
                  </w:r>
                  <w:r>
                    <w:rPr>
                      <w:rFonts w:ascii="Times New Roman" w:hAnsi="Times New Roman"/>
                      <w:color w:val="auto"/>
                      <w:sz w:val="21"/>
                      <w:u w:val="single"/>
                    </w:rPr>
                    <w:t>颗粒</w:t>
                  </w:r>
                </w:p>
              </w:tc>
              <w:tc>
                <w:tcPr>
                  <w:tcW w:w="869"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rPr>
                    <w:t>t</w:t>
                  </w:r>
                </w:p>
              </w:tc>
              <w:tc>
                <w:tcPr>
                  <w:tcW w:w="1737"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lang w:val="en-US" w:eastAsia="zh-CN"/>
                    </w:rPr>
                    <w:t>375</w:t>
                  </w:r>
                  <w:r>
                    <w:rPr>
                      <w:rFonts w:hint="eastAsia" w:ascii="Times New Roman" w:hAnsi="Times New Roman"/>
                      <w:color w:val="auto"/>
                      <w:sz w:val="21"/>
                      <w:u w:val="single"/>
                    </w:rPr>
                    <w:t>0</w:t>
                  </w:r>
                </w:p>
              </w:tc>
              <w:tc>
                <w:tcPr>
                  <w:tcW w:w="2070"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rPr>
                    <w:t>汽运外售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686" w:type="dxa"/>
                  <w:vAlign w:val="center"/>
                </w:tcPr>
                <w:p>
                  <w:pPr>
                    <w:pStyle w:val="27"/>
                    <w:snapToGrid w:val="0"/>
                    <w:jc w:val="center"/>
                    <w:rPr>
                      <w:rFonts w:ascii="Times New Roman" w:hAnsi="Times New Roman"/>
                      <w:color w:val="auto"/>
                      <w:sz w:val="21"/>
                      <w:u w:val="single"/>
                    </w:rPr>
                  </w:pPr>
                  <w:r>
                    <w:rPr>
                      <w:rFonts w:ascii="Times New Roman" w:hAnsi="Times New Roman"/>
                      <w:color w:val="auto"/>
                      <w:sz w:val="21"/>
                      <w:u w:val="single"/>
                    </w:rPr>
                    <w:t>2</w:t>
                  </w:r>
                </w:p>
              </w:tc>
              <w:tc>
                <w:tcPr>
                  <w:tcW w:w="2253"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lang w:val="en-US" w:eastAsia="zh-CN"/>
                    </w:rPr>
                    <w:t>PP</w:t>
                  </w:r>
                  <w:r>
                    <w:rPr>
                      <w:rFonts w:ascii="Times New Roman" w:hAnsi="Times New Roman"/>
                      <w:color w:val="auto"/>
                      <w:sz w:val="21"/>
                      <w:u w:val="single"/>
                    </w:rPr>
                    <w:t>颗粒</w:t>
                  </w:r>
                </w:p>
              </w:tc>
              <w:tc>
                <w:tcPr>
                  <w:tcW w:w="869"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rPr>
                    <w:t>t</w:t>
                  </w:r>
                </w:p>
              </w:tc>
              <w:tc>
                <w:tcPr>
                  <w:tcW w:w="1737"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lang w:val="en-US" w:eastAsia="zh-CN"/>
                    </w:rPr>
                    <w:t>125</w:t>
                  </w:r>
                  <w:r>
                    <w:rPr>
                      <w:rFonts w:hint="eastAsia" w:ascii="Times New Roman" w:hAnsi="Times New Roman"/>
                      <w:color w:val="auto"/>
                      <w:sz w:val="21"/>
                      <w:u w:val="single"/>
                    </w:rPr>
                    <w:t>0</w:t>
                  </w:r>
                </w:p>
              </w:tc>
              <w:tc>
                <w:tcPr>
                  <w:tcW w:w="2070"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rPr>
                    <w:t>汽运外售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2939" w:type="dxa"/>
                  <w:gridSpan w:val="2"/>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rPr>
                    <w:t>合计</w:t>
                  </w:r>
                </w:p>
              </w:tc>
              <w:tc>
                <w:tcPr>
                  <w:tcW w:w="869"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rPr>
                    <w:t>t</w:t>
                  </w:r>
                </w:p>
              </w:tc>
              <w:tc>
                <w:tcPr>
                  <w:tcW w:w="1737" w:type="dxa"/>
                  <w:vAlign w:val="center"/>
                </w:tcPr>
                <w:p>
                  <w:pPr>
                    <w:pStyle w:val="27"/>
                    <w:snapToGrid w:val="0"/>
                    <w:jc w:val="center"/>
                    <w:rPr>
                      <w:rFonts w:hint="default" w:ascii="Times New Roman" w:hAnsi="Times New Roman" w:eastAsia="宋体"/>
                      <w:color w:val="auto"/>
                      <w:sz w:val="21"/>
                      <w:u w:val="single"/>
                      <w:lang w:val="en-US" w:eastAsia="zh-CN"/>
                    </w:rPr>
                  </w:pPr>
                  <w:r>
                    <w:rPr>
                      <w:rFonts w:hint="eastAsia" w:ascii="Times New Roman" w:hAnsi="Times New Roman"/>
                      <w:color w:val="auto"/>
                      <w:sz w:val="21"/>
                      <w:u w:val="single"/>
                      <w:lang w:val="en-US" w:eastAsia="zh-CN"/>
                    </w:rPr>
                    <w:t>5000</w:t>
                  </w:r>
                </w:p>
              </w:tc>
              <w:tc>
                <w:tcPr>
                  <w:tcW w:w="2070" w:type="dxa"/>
                  <w:vAlign w:val="center"/>
                </w:tcPr>
                <w:p>
                  <w:pPr>
                    <w:pStyle w:val="27"/>
                    <w:snapToGrid w:val="0"/>
                    <w:jc w:val="center"/>
                    <w:rPr>
                      <w:rFonts w:ascii="Times New Roman" w:hAnsi="Times New Roman"/>
                      <w:color w:val="auto"/>
                      <w:sz w:val="21"/>
                      <w:u w:val="single"/>
                    </w:rPr>
                  </w:pPr>
                  <w:r>
                    <w:rPr>
                      <w:rFonts w:hint="eastAsia" w:ascii="Times New Roman" w:hAnsi="Times New Roman"/>
                      <w:color w:val="auto"/>
                      <w:sz w:val="21"/>
                      <w:u w:val="single"/>
                    </w:rPr>
                    <w:t>汽运外售</w:t>
                  </w:r>
                </w:p>
              </w:tc>
            </w:tr>
          </w:tbl>
          <w:p>
            <w:pPr>
              <w:spacing w:line="480" w:lineRule="exact"/>
              <w:rPr>
                <w:b/>
                <w:bCs/>
                <w:sz w:val="24"/>
                <w:u w:val="single"/>
              </w:rPr>
            </w:pPr>
            <w:r>
              <w:rPr>
                <w:rFonts w:hint="eastAsia"/>
                <w:b/>
                <w:bCs/>
                <w:sz w:val="24"/>
                <w:u w:val="single"/>
              </w:rPr>
              <w:t>2.1.</w:t>
            </w:r>
            <w:r>
              <w:rPr>
                <w:b/>
                <w:bCs/>
                <w:sz w:val="24"/>
                <w:u w:val="single"/>
              </w:rPr>
              <w:t>3、主要生产设备</w:t>
            </w:r>
          </w:p>
          <w:p>
            <w:pPr>
              <w:snapToGrid w:val="0"/>
              <w:spacing w:line="480" w:lineRule="exact"/>
              <w:ind w:firstLine="480" w:firstLineChars="200"/>
              <w:rPr>
                <w:sz w:val="24"/>
                <w:u w:val="single"/>
              </w:rPr>
            </w:pPr>
            <w:r>
              <w:rPr>
                <w:sz w:val="24"/>
                <w:u w:val="single"/>
              </w:rPr>
              <w:t>项目主要设备详见表</w:t>
            </w:r>
            <w:r>
              <w:rPr>
                <w:rFonts w:hint="eastAsia"/>
                <w:sz w:val="24"/>
                <w:u w:val="single"/>
              </w:rPr>
              <w:t>2</w:t>
            </w:r>
            <w:r>
              <w:rPr>
                <w:sz w:val="24"/>
                <w:u w:val="single"/>
              </w:rPr>
              <w:t>-</w:t>
            </w:r>
            <w:r>
              <w:rPr>
                <w:rFonts w:hint="eastAsia"/>
                <w:sz w:val="24"/>
                <w:u w:val="single"/>
              </w:rPr>
              <w:t>3</w:t>
            </w:r>
            <w:r>
              <w:rPr>
                <w:sz w:val="24"/>
                <w:u w:val="single"/>
              </w:rPr>
              <w:t>。</w:t>
            </w:r>
          </w:p>
          <w:p>
            <w:pPr>
              <w:snapToGrid w:val="0"/>
              <w:jc w:val="center"/>
              <w:rPr>
                <w:b/>
                <w:bCs/>
                <w:u w:val="single"/>
              </w:rPr>
            </w:pPr>
            <w:r>
              <w:rPr>
                <w:b/>
                <w:bCs/>
                <w:u w:val="single"/>
              </w:rPr>
              <w:t>表</w:t>
            </w:r>
            <w:r>
              <w:rPr>
                <w:rFonts w:hint="eastAsia"/>
                <w:b/>
                <w:bCs/>
                <w:u w:val="single"/>
              </w:rPr>
              <w:t>2</w:t>
            </w:r>
            <w:r>
              <w:rPr>
                <w:b/>
                <w:bCs/>
                <w:u w:val="single"/>
              </w:rPr>
              <w:t>-</w:t>
            </w:r>
            <w:r>
              <w:rPr>
                <w:rFonts w:hint="eastAsia"/>
                <w:b/>
                <w:bCs/>
                <w:u w:val="single"/>
              </w:rPr>
              <w:t xml:space="preserve">3  </w:t>
            </w:r>
            <w:r>
              <w:rPr>
                <w:b/>
                <w:bCs/>
                <w:u w:val="single"/>
              </w:rPr>
              <w:t>项目主要设备</w:t>
            </w:r>
            <w:r>
              <w:rPr>
                <w:rFonts w:hint="eastAsia"/>
                <w:b/>
                <w:bCs/>
                <w:u w:val="single"/>
              </w:rPr>
              <w:t>情况</w:t>
            </w:r>
            <w:r>
              <w:rPr>
                <w:b/>
                <w:bCs/>
                <w:u w:val="single"/>
              </w:rPr>
              <w:t>一览表</w:t>
            </w:r>
          </w:p>
          <w:tbl>
            <w:tblPr>
              <w:tblStyle w:val="21"/>
              <w:tblW w:w="76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57"/>
              <w:gridCol w:w="1580"/>
              <w:gridCol w:w="2295"/>
              <w:gridCol w:w="1402"/>
              <w:gridCol w:w="13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057" w:type="dxa"/>
                </w:tcPr>
                <w:p>
                  <w:pPr>
                    <w:pStyle w:val="59"/>
                    <w:spacing w:before="63"/>
                    <w:ind w:left="316" w:right="305"/>
                    <w:jc w:val="center"/>
                    <w:rPr>
                      <w:u w:val="single"/>
                    </w:rPr>
                  </w:pPr>
                  <w:r>
                    <w:rPr>
                      <w:u w:val="single"/>
                    </w:rPr>
                    <w:t>序号</w:t>
                  </w:r>
                </w:p>
              </w:tc>
              <w:tc>
                <w:tcPr>
                  <w:tcW w:w="1580" w:type="dxa"/>
                </w:tcPr>
                <w:p>
                  <w:pPr>
                    <w:pStyle w:val="59"/>
                    <w:spacing w:before="63"/>
                    <w:ind w:left="157" w:right="146"/>
                    <w:jc w:val="center"/>
                    <w:rPr>
                      <w:u w:val="single"/>
                    </w:rPr>
                  </w:pPr>
                  <w:r>
                    <w:rPr>
                      <w:u w:val="single"/>
                    </w:rPr>
                    <w:t>名称</w:t>
                  </w:r>
                </w:p>
              </w:tc>
              <w:tc>
                <w:tcPr>
                  <w:tcW w:w="2295" w:type="dxa"/>
                </w:tcPr>
                <w:p>
                  <w:pPr>
                    <w:pStyle w:val="59"/>
                    <w:spacing w:before="63"/>
                    <w:ind w:left="545" w:right="531"/>
                    <w:jc w:val="center"/>
                    <w:rPr>
                      <w:u w:val="single"/>
                    </w:rPr>
                  </w:pPr>
                  <w:r>
                    <w:rPr>
                      <w:u w:val="single"/>
                    </w:rPr>
                    <w:t>规格</w:t>
                  </w:r>
                  <w:r>
                    <w:rPr>
                      <w:rFonts w:ascii="Times New Roman" w:eastAsia="Times New Roman"/>
                      <w:u w:val="single"/>
                    </w:rPr>
                    <w:t>/</w:t>
                  </w:r>
                  <w:r>
                    <w:rPr>
                      <w:u w:val="single"/>
                    </w:rPr>
                    <w:t>型号</w:t>
                  </w:r>
                </w:p>
              </w:tc>
              <w:tc>
                <w:tcPr>
                  <w:tcW w:w="1402" w:type="dxa"/>
                </w:tcPr>
                <w:p>
                  <w:pPr>
                    <w:pStyle w:val="59"/>
                    <w:spacing w:before="63"/>
                    <w:ind w:left="489" w:right="477"/>
                    <w:jc w:val="center"/>
                    <w:rPr>
                      <w:u w:val="single"/>
                    </w:rPr>
                  </w:pPr>
                  <w:r>
                    <w:rPr>
                      <w:u w:val="single"/>
                    </w:rPr>
                    <w:t>单位</w:t>
                  </w:r>
                </w:p>
              </w:tc>
              <w:tc>
                <w:tcPr>
                  <w:tcW w:w="1356" w:type="dxa"/>
                </w:tcPr>
                <w:p>
                  <w:pPr>
                    <w:pStyle w:val="59"/>
                    <w:spacing w:before="63"/>
                    <w:ind w:left="468" w:right="452"/>
                    <w:jc w:val="center"/>
                    <w:rPr>
                      <w:u w:val="single"/>
                    </w:rPr>
                  </w:pPr>
                  <w:r>
                    <w:rPr>
                      <w:u w:val="single"/>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jc w:val="center"/>
              </w:trPr>
              <w:tc>
                <w:tcPr>
                  <w:tcW w:w="1057" w:type="dxa"/>
                </w:tcPr>
                <w:p>
                  <w:pPr>
                    <w:pStyle w:val="59"/>
                    <w:spacing w:before="127"/>
                    <w:ind w:left="11"/>
                    <w:jc w:val="center"/>
                    <w:rPr>
                      <w:rFonts w:ascii="Times New Roman"/>
                      <w:u w:val="single"/>
                    </w:rPr>
                  </w:pPr>
                  <w:r>
                    <w:rPr>
                      <w:rFonts w:ascii="Times New Roman"/>
                      <w:u w:val="single"/>
                    </w:rPr>
                    <w:t>1</w:t>
                  </w:r>
                </w:p>
              </w:tc>
              <w:tc>
                <w:tcPr>
                  <w:tcW w:w="1580" w:type="dxa"/>
                </w:tcPr>
                <w:p>
                  <w:pPr>
                    <w:pStyle w:val="59"/>
                    <w:spacing w:before="121"/>
                    <w:ind w:left="158" w:right="146"/>
                    <w:jc w:val="center"/>
                    <w:rPr>
                      <w:u w:val="single"/>
                    </w:rPr>
                  </w:pPr>
                  <w:r>
                    <w:rPr>
                      <w:u w:val="single"/>
                    </w:rPr>
                    <w:t>造粒机组</w:t>
                  </w:r>
                </w:p>
              </w:tc>
              <w:tc>
                <w:tcPr>
                  <w:tcW w:w="2295" w:type="dxa"/>
                </w:tcPr>
                <w:p>
                  <w:pPr>
                    <w:pStyle w:val="59"/>
                    <w:spacing w:before="11" w:line="250" w:lineRule="exact"/>
                    <w:ind w:left="436" w:right="264" w:hanging="104"/>
                    <w:rPr>
                      <w:rFonts w:ascii="Times New Roman"/>
                      <w:u w:val="single"/>
                      <w:lang w:val="en-US"/>
                    </w:rPr>
                  </w:pPr>
                  <w:r>
                    <w:rPr>
                      <w:rFonts w:ascii="Times New Roman" w:eastAsia="Times New Roman"/>
                      <w:u w:val="single"/>
                      <w:lang w:val="en-US"/>
                    </w:rPr>
                    <w:t>ZLYJ-S230/S200</w:t>
                  </w:r>
                  <w:r>
                    <w:rPr>
                      <w:rFonts w:hint="eastAsia" w:ascii="Times New Roman"/>
                      <w:u w:val="single"/>
                    </w:rPr>
                    <w:t>、</w:t>
                  </w:r>
                </w:p>
                <w:p>
                  <w:pPr>
                    <w:pStyle w:val="59"/>
                    <w:spacing w:before="11" w:line="250" w:lineRule="exact"/>
                    <w:ind w:left="436" w:right="264" w:hanging="104"/>
                    <w:rPr>
                      <w:rFonts w:ascii="Times New Roman" w:eastAsia="Times New Roman"/>
                      <w:u w:val="single"/>
                      <w:lang w:val="en-US"/>
                    </w:rPr>
                  </w:pPr>
                  <w:r>
                    <w:rPr>
                      <w:rFonts w:ascii="Times New Roman" w:eastAsia="Times New Roman"/>
                      <w:u w:val="single"/>
                      <w:lang w:val="en-US"/>
                    </w:rPr>
                    <w:t>ZLYJ-S210/S180</w:t>
                  </w:r>
                </w:p>
              </w:tc>
              <w:tc>
                <w:tcPr>
                  <w:tcW w:w="1402" w:type="dxa"/>
                </w:tcPr>
                <w:p>
                  <w:pPr>
                    <w:pStyle w:val="59"/>
                    <w:spacing w:before="121"/>
                    <w:ind w:left="12"/>
                    <w:jc w:val="center"/>
                    <w:rPr>
                      <w:u w:val="single"/>
                    </w:rPr>
                  </w:pPr>
                  <w:r>
                    <w:rPr>
                      <w:u w:val="single"/>
                    </w:rPr>
                    <w:t>套</w:t>
                  </w:r>
                </w:p>
              </w:tc>
              <w:tc>
                <w:tcPr>
                  <w:tcW w:w="1356" w:type="dxa"/>
                </w:tcPr>
                <w:p>
                  <w:pPr>
                    <w:pStyle w:val="59"/>
                    <w:spacing w:before="127"/>
                    <w:ind w:left="16"/>
                    <w:jc w:val="center"/>
                    <w:rPr>
                      <w:rFonts w:ascii="Times New Roman"/>
                      <w:u w:val="single"/>
                    </w:rPr>
                  </w:pPr>
                  <w:r>
                    <w:rPr>
                      <w:rFonts w:hint="eastAsia" w:ascii="Times New Roman"/>
                      <w:u w:val="single"/>
                      <w:lang w:val="en-US"/>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057" w:type="dxa"/>
                </w:tcPr>
                <w:p>
                  <w:pPr>
                    <w:pStyle w:val="59"/>
                    <w:spacing w:before="70"/>
                    <w:ind w:left="11"/>
                    <w:jc w:val="center"/>
                    <w:rPr>
                      <w:rFonts w:ascii="Times New Roman"/>
                      <w:u w:val="single"/>
                    </w:rPr>
                  </w:pPr>
                  <w:r>
                    <w:rPr>
                      <w:rFonts w:ascii="Times New Roman"/>
                      <w:u w:val="single"/>
                    </w:rPr>
                    <w:t>2</w:t>
                  </w:r>
                </w:p>
              </w:tc>
              <w:tc>
                <w:tcPr>
                  <w:tcW w:w="1580" w:type="dxa"/>
                </w:tcPr>
                <w:p>
                  <w:pPr>
                    <w:pStyle w:val="59"/>
                    <w:spacing w:before="63"/>
                    <w:ind w:left="155" w:right="146"/>
                    <w:jc w:val="center"/>
                    <w:rPr>
                      <w:u w:val="single"/>
                      <w:lang w:val="en-US"/>
                    </w:rPr>
                  </w:pPr>
                  <w:r>
                    <w:rPr>
                      <w:rFonts w:hint="eastAsia"/>
                      <w:u w:val="single"/>
                      <w:lang w:val="en-US"/>
                    </w:rPr>
                    <w:t>切粒机</w:t>
                  </w:r>
                </w:p>
              </w:tc>
              <w:tc>
                <w:tcPr>
                  <w:tcW w:w="2295" w:type="dxa"/>
                </w:tcPr>
                <w:p>
                  <w:pPr>
                    <w:pStyle w:val="59"/>
                    <w:spacing w:before="70"/>
                    <w:ind w:left="546" w:right="531"/>
                    <w:jc w:val="center"/>
                    <w:rPr>
                      <w:rFonts w:ascii="Times New Roman"/>
                      <w:u w:val="single"/>
                    </w:rPr>
                  </w:pPr>
                  <w:r>
                    <w:rPr>
                      <w:rFonts w:ascii="Times New Roman"/>
                      <w:u w:val="single"/>
                    </w:rPr>
                    <w:t>WMT500-HD</w:t>
                  </w:r>
                </w:p>
              </w:tc>
              <w:tc>
                <w:tcPr>
                  <w:tcW w:w="1402" w:type="dxa"/>
                </w:tcPr>
                <w:p>
                  <w:pPr>
                    <w:pStyle w:val="59"/>
                    <w:spacing w:before="63"/>
                    <w:ind w:left="12"/>
                    <w:jc w:val="center"/>
                    <w:rPr>
                      <w:u w:val="single"/>
                    </w:rPr>
                  </w:pPr>
                  <w:r>
                    <w:rPr>
                      <w:u w:val="single"/>
                    </w:rPr>
                    <w:t>台</w:t>
                  </w:r>
                </w:p>
              </w:tc>
              <w:tc>
                <w:tcPr>
                  <w:tcW w:w="1356" w:type="dxa"/>
                </w:tcPr>
                <w:p>
                  <w:pPr>
                    <w:pStyle w:val="59"/>
                    <w:spacing w:before="70"/>
                    <w:ind w:left="16"/>
                    <w:jc w:val="center"/>
                    <w:rPr>
                      <w:rFonts w:ascii="Times New Roman"/>
                      <w:u w:val="single"/>
                    </w:rPr>
                  </w:pPr>
                  <w:r>
                    <w:rPr>
                      <w:rFonts w:hint="eastAsia" w:ascii="Times New Roman"/>
                      <w:u w:val="single"/>
                      <w:lang w:val="en-US"/>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1057" w:type="dxa"/>
                </w:tcPr>
                <w:p>
                  <w:pPr>
                    <w:pStyle w:val="59"/>
                    <w:spacing w:before="70"/>
                    <w:ind w:left="11"/>
                    <w:jc w:val="center"/>
                    <w:rPr>
                      <w:rFonts w:ascii="Times New Roman"/>
                      <w:u w:val="single"/>
                    </w:rPr>
                  </w:pPr>
                  <w:r>
                    <w:rPr>
                      <w:rFonts w:ascii="Times New Roman"/>
                      <w:u w:val="single"/>
                    </w:rPr>
                    <w:t>3</w:t>
                  </w:r>
                </w:p>
              </w:tc>
              <w:tc>
                <w:tcPr>
                  <w:tcW w:w="1580" w:type="dxa"/>
                </w:tcPr>
                <w:p>
                  <w:pPr>
                    <w:pStyle w:val="59"/>
                    <w:spacing w:before="63"/>
                    <w:ind w:left="157" w:right="146"/>
                    <w:jc w:val="center"/>
                    <w:rPr>
                      <w:u w:val="single"/>
                    </w:rPr>
                  </w:pPr>
                  <w:r>
                    <w:rPr>
                      <w:u w:val="single"/>
                    </w:rPr>
                    <w:t>破碎机</w:t>
                  </w:r>
                </w:p>
              </w:tc>
              <w:tc>
                <w:tcPr>
                  <w:tcW w:w="2295" w:type="dxa"/>
                </w:tcPr>
                <w:p>
                  <w:pPr>
                    <w:pStyle w:val="59"/>
                    <w:spacing w:before="70"/>
                    <w:ind w:left="17"/>
                    <w:jc w:val="center"/>
                    <w:rPr>
                      <w:rFonts w:ascii="Times New Roman"/>
                      <w:u w:val="single"/>
                    </w:rPr>
                  </w:pPr>
                  <w:r>
                    <w:rPr>
                      <w:rFonts w:ascii="Times New Roman"/>
                      <w:u w:val="single"/>
                    </w:rPr>
                    <w:t>/</w:t>
                  </w:r>
                </w:p>
              </w:tc>
              <w:tc>
                <w:tcPr>
                  <w:tcW w:w="1402" w:type="dxa"/>
                </w:tcPr>
                <w:p>
                  <w:pPr>
                    <w:pStyle w:val="59"/>
                    <w:spacing w:before="63"/>
                    <w:ind w:left="12"/>
                    <w:jc w:val="center"/>
                    <w:rPr>
                      <w:u w:val="single"/>
                    </w:rPr>
                  </w:pPr>
                  <w:r>
                    <w:rPr>
                      <w:u w:val="single"/>
                    </w:rPr>
                    <w:t>台</w:t>
                  </w:r>
                </w:p>
              </w:tc>
              <w:tc>
                <w:tcPr>
                  <w:tcW w:w="1356" w:type="dxa"/>
                </w:tcPr>
                <w:p>
                  <w:pPr>
                    <w:pStyle w:val="59"/>
                    <w:spacing w:before="70"/>
                    <w:ind w:left="16"/>
                    <w:jc w:val="center"/>
                    <w:rPr>
                      <w:rFonts w:ascii="Times New Roman"/>
                      <w:u w:val="single"/>
                    </w:rPr>
                  </w:pPr>
                  <w:r>
                    <w:rPr>
                      <w:rFonts w:hint="eastAsia" w:ascii="Times New Roman"/>
                      <w:u w:val="single"/>
                      <w:lang w:val="en-US"/>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057" w:type="dxa"/>
                </w:tcPr>
                <w:p>
                  <w:pPr>
                    <w:pStyle w:val="59"/>
                    <w:spacing w:before="70"/>
                    <w:ind w:left="11"/>
                    <w:jc w:val="center"/>
                    <w:rPr>
                      <w:rFonts w:ascii="Times New Roman"/>
                      <w:u w:val="single"/>
                    </w:rPr>
                  </w:pPr>
                  <w:r>
                    <w:rPr>
                      <w:rFonts w:ascii="Times New Roman"/>
                      <w:u w:val="single"/>
                    </w:rPr>
                    <w:t>4</w:t>
                  </w:r>
                </w:p>
              </w:tc>
              <w:tc>
                <w:tcPr>
                  <w:tcW w:w="1580" w:type="dxa"/>
                </w:tcPr>
                <w:p>
                  <w:pPr>
                    <w:pStyle w:val="59"/>
                    <w:spacing w:before="63"/>
                    <w:ind w:left="157" w:right="146"/>
                    <w:jc w:val="center"/>
                    <w:rPr>
                      <w:u w:val="single"/>
                      <w:lang w:val="en-US"/>
                    </w:rPr>
                  </w:pPr>
                  <w:r>
                    <w:rPr>
                      <w:rFonts w:hint="eastAsia"/>
                      <w:u w:val="single"/>
                      <w:lang w:val="en-US"/>
                    </w:rPr>
                    <w:t>储存罐</w:t>
                  </w:r>
                </w:p>
              </w:tc>
              <w:tc>
                <w:tcPr>
                  <w:tcW w:w="2295" w:type="dxa"/>
                </w:tcPr>
                <w:p>
                  <w:pPr>
                    <w:pStyle w:val="59"/>
                    <w:spacing w:before="70"/>
                    <w:ind w:left="17"/>
                    <w:jc w:val="center"/>
                    <w:rPr>
                      <w:rFonts w:ascii="Times New Roman"/>
                      <w:u w:val="single"/>
                    </w:rPr>
                  </w:pPr>
                  <w:r>
                    <w:rPr>
                      <w:rFonts w:ascii="Times New Roman"/>
                      <w:u w:val="single"/>
                    </w:rPr>
                    <w:t>/</w:t>
                  </w:r>
                </w:p>
              </w:tc>
              <w:tc>
                <w:tcPr>
                  <w:tcW w:w="1402" w:type="dxa"/>
                </w:tcPr>
                <w:p>
                  <w:pPr>
                    <w:pStyle w:val="59"/>
                    <w:spacing w:before="63"/>
                    <w:ind w:left="12"/>
                    <w:jc w:val="center"/>
                    <w:rPr>
                      <w:u w:val="single"/>
                    </w:rPr>
                  </w:pPr>
                  <w:r>
                    <w:rPr>
                      <w:rFonts w:hint="eastAsia"/>
                      <w:u w:val="single"/>
                      <w:lang w:val="en-US"/>
                    </w:rPr>
                    <w:t>个</w:t>
                  </w:r>
                </w:p>
              </w:tc>
              <w:tc>
                <w:tcPr>
                  <w:tcW w:w="1356" w:type="dxa"/>
                </w:tcPr>
                <w:p>
                  <w:pPr>
                    <w:pStyle w:val="59"/>
                    <w:spacing w:before="70"/>
                    <w:ind w:left="16"/>
                    <w:jc w:val="center"/>
                    <w:rPr>
                      <w:rFonts w:ascii="Times New Roman"/>
                      <w:u w:val="single"/>
                    </w:rPr>
                  </w:pPr>
                  <w:r>
                    <w:rPr>
                      <w:rFonts w:ascii="Times New Roman"/>
                      <w:u w:val="singl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jc w:val="center"/>
              </w:trPr>
              <w:tc>
                <w:tcPr>
                  <w:tcW w:w="1057" w:type="dxa"/>
                </w:tcPr>
                <w:p>
                  <w:pPr>
                    <w:pStyle w:val="59"/>
                    <w:spacing w:before="70"/>
                    <w:ind w:left="11"/>
                    <w:jc w:val="center"/>
                    <w:rPr>
                      <w:rFonts w:ascii="Times New Roman"/>
                      <w:u w:val="single"/>
                    </w:rPr>
                  </w:pPr>
                  <w:r>
                    <w:rPr>
                      <w:rFonts w:ascii="Times New Roman"/>
                      <w:u w:val="single"/>
                    </w:rPr>
                    <w:t>5</w:t>
                  </w:r>
                </w:p>
              </w:tc>
              <w:tc>
                <w:tcPr>
                  <w:tcW w:w="1580" w:type="dxa"/>
                </w:tcPr>
                <w:p>
                  <w:pPr>
                    <w:pStyle w:val="59"/>
                    <w:spacing w:before="63"/>
                    <w:ind w:left="157" w:right="146"/>
                    <w:jc w:val="center"/>
                    <w:rPr>
                      <w:u w:val="single"/>
                    </w:rPr>
                  </w:pPr>
                  <w:r>
                    <w:rPr>
                      <w:u w:val="single"/>
                    </w:rPr>
                    <w:t>冷却槽</w:t>
                  </w:r>
                </w:p>
              </w:tc>
              <w:tc>
                <w:tcPr>
                  <w:tcW w:w="2295" w:type="dxa"/>
                </w:tcPr>
                <w:p>
                  <w:pPr>
                    <w:pStyle w:val="59"/>
                    <w:spacing w:before="70"/>
                    <w:ind w:left="17"/>
                    <w:jc w:val="center"/>
                    <w:rPr>
                      <w:rFonts w:ascii="Times New Roman"/>
                      <w:u w:val="single"/>
                    </w:rPr>
                  </w:pPr>
                  <w:r>
                    <w:rPr>
                      <w:rFonts w:ascii="Times New Roman"/>
                      <w:u w:val="single"/>
                    </w:rPr>
                    <w:t>/</w:t>
                  </w:r>
                </w:p>
              </w:tc>
              <w:tc>
                <w:tcPr>
                  <w:tcW w:w="1402" w:type="dxa"/>
                </w:tcPr>
                <w:p>
                  <w:pPr>
                    <w:pStyle w:val="59"/>
                    <w:spacing w:before="63"/>
                    <w:ind w:left="12"/>
                    <w:jc w:val="center"/>
                    <w:rPr>
                      <w:u w:val="single"/>
                    </w:rPr>
                  </w:pPr>
                  <w:r>
                    <w:rPr>
                      <w:u w:val="single"/>
                    </w:rPr>
                    <w:t>条</w:t>
                  </w:r>
                </w:p>
              </w:tc>
              <w:tc>
                <w:tcPr>
                  <w:tcW w:w="1356" w:type="dxa"/>
                </w:tcPr>
                <w:p>
                  <w:pPr>
                    <w:pStyle w:val="59"/>
                    <w:spacing w:before="70"/>
                    <w:ind w:left="16"/>
                    <w:jc w:val="center"/>
                    <w:rPr>
                      <w:rFonts w:ascii="Times New Roman"/>
                      <w:u w:val="single"/>
                    </w:rPr>
                  </w:pPr>
                  <w:r>
                    <w:rPr>
                      <w:rFonts w:hint="eastAsia" w:ascii="Times New Roman"/>
                      <w:u w:val="single"/>
                      <w:lang w:val="en-US"/>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5" w:hRule="atLeast"/>
                <w:jc w:val="center"/>
              </w:trPr>
              <w:tc>
                <w:tcPr>
                  <w:tcW w:w="1057" w:type="dxa"/>
                </w:tcPr>
                <w:p>
                  <w:pPr>
                    <w:pStyle w:val="59"/>
                    <w:spacing w:before="70"/>
                    <w:ind w:left="11"/>
                    <w:jc w:val="center"/>
                    <w:rPr>
                      <w:rFonts w:ascii="Times New Roman"/>
                      <w:u w:val="single"/>
                    </w:rPr>
                  </w:pPr>
                  <w:r>
                    <w:rPr>
                      <w:rFonts w:ascii="Times New Roman"/>
                      <w:u w:val="single"/>
                    </w:rPr>
                    <w:t>6</w:t>
                  </w:r>
                </w:p>
              </w:tc>
              <w:tc>
                <w:tcPr>
                  <w:tcW w:w="1580" w:type="dxa"/>
                </w:tcPr>
                <w:p>
                  <w:pPr>
                    <w:pStyle w:val="59"/>
                    <w:spacing w:before="63"/>
                    <w:ind w:left="157" w:right="146"/>
                    <w:jc w:val="center"/>
                    <w:rPr>
                      <w:u w:val="single"/>
                    </w:rPr>
                  </w:pPr>
                  <w:r>
                    <w:rPr>
                      <w:u w:val="single"/>
                    </w:rPr>
                    <w:t>叉车</w:t>
                  </w:r>
                </w:p>
              </w:tc>
              <w:tc>
                <w:tcPr>
                  <w:tcW w:w="2295" w:type="dxa"/>
                </w:tcPr>
                <w:p>
                  <w:pPr>
                    <w:pStyle w:val="59"/>
                    <w:spacing w:before="70"/>
                    <w:ind w:left="17"/>
                    <w:jc w:val="center"/>
                    <w:rPr>
                      <w:rFonts w:ascii="Times New Roman"/>
                      <w:u w:val="single"/>
                    </w:rPr>
                  </w:pPr>
                  <w:r>
                    <w:rPr>
                      <w:rFonts w:ascii="Times New Roman"/>
                      <w:u w:val="single"/>
                    </w:rPr>
                    <w:t>/</w:t>
                  </w:r>
                </w:p>
              </w:tc>
              <w:tc>
                <w:tcPr>
                  <w:tcW w:w="1402" w:type="dxa"/>
                </w:tcPr>
                <w:p>
                  <w:pPr>
                    <w:pStyle w:val="59"/>
                    <w:spacing w:before="63"/>
                    <w:ind w:left="12"/>
                    <w:jc w:val="center"/>
                    <w:rPr>
                      <w:u w:val="single"/>
                    </w:rPr>
                  </w:pPr>
                  <w:r>
                    <w:rPr>
                      <w:u w:val="single"/>
                    </w:rPr>
                    <w:t>台</w:t>
                  </w:r>
                </w:p>
              </w:tc>
              <w:tc>
                <w:tcPr>
                  <w:tcW w:w="1356" w:type="dxa"/>
                </w:tcPr>
                <w:p>
                  <w:pPr>
                    <w:pStyle w:val="59"/>
                    <w:spacing w:before="70"/>
                    <w:ind w:left="16"/>
                    <w:jc w:val="center"/>
                    <w:rPr>
                      <w:rFonts w:ascii="Times New Roman"/>
                      <w:u w:val="single"/>
                    </w:rPr>
                  </w:pPr>
                  <w:r>
                    <w:rPr>
                      <w:rFonts w:ascii="Times New Roman"/>
                      <w:u w:val="single"/>
                    </w:rPr>
                    <w:t>1</w:t>
                  </w:r>
                </w:p>
              </w:tc>
            </w:tr>
          </w:tbl>
          <w:p>
            <w:pPr>
              <w:spacing w:line="480" w:lineRule="exact"/>
              <w:rPr>
                <w:b/>
                <w:bCs/>
                <w:sz w:val="24"/>
                <w:u w:val="single"/>
              </w:rPr>
            </w:pPr>
            <w:r>
              <w:rPr>
                <w:rFonts w:hint="eastAsia"/>
                <w:b/>
                <w:bCs/>
                <w:sz w:val="24"/>
                <w:u w:val="single"/>
              </w:rPr>
              <w:t>2.1.</w:t>
            </w:r>
            <w:r>
              <w:rPr>
                <w:b/>
                <w:bCs/>
                <w:sz w:val="24"/>
                <w:u w:val="single"/>
              </w:rPr>
              <w:t>4、主要原辅材料及能源消耗量</w:t>
            </w:r>
          </w:p>
          <w:p>
            <w:pPr>
              <w:spacing w:line="480" w:lineRule="exact"/>
              <w:ind w:firstLine="480" w:firstLineChars="200"/>
              <w:rPr>
                <w:sz w:val="24"/>
                <w:u w:val="single"/>
              </w:rPr>
            </w:pPr>
            <w:r>
              <w:rPr>
                <w:sz w:val="24"/>
                <w:u w:val="single"/>
              </w:rPr>
              <w:t>本项目主要原辅材料及能源消耗量详见表</w:t>
            </w:r>
            <w:r>
              <w:rPr>
                <w:rFonts w:hint="eastAsia"/>
                <w:sz w:val="24"/>
                <w:u w:val="single"/>
              </w:rPr>
              <w:t>2</w:t>
            </w:r>
            <w:r>
              <w:rPr>
                <w:sz w:val="24"/>
                <w:u w:val="single"/>
              </w:rPr>
              <w:t>-4。</w:t>
            </w:r>
          </w:p>
          <w:p>
            <w:pPr>
              <w:jc w:val="center"/>
              <w:rPr>
                <w:b/>
                <w:bCs/>
                <w:u w:val="single"/>
              </w:rPr>
            </w:pPr>
            <w:r>
              <w:rPr>
                <w:b/>
                <w:bCs/>
                <w:u w:val="single"/>
              </w:rPr>
              <w:t>表</w:t>
            </w:r>
            <w:r>
              <w:rPr>
                <w:rFonts w:hint="eastAsia"/>
                <w:b/>
                <w:bCs/>
                <w:u w:val="single"/>
              </w:rPr>
              <w:t>2</w:t>
            </w:r>
            <w:r>
              <w:rPr>
                <w:b/>
                <w:bCs/>
                <w:u w:val="single"/>
              </w:rPr>
              <w:t>-4  项目主要原辅材料情况一览表</w:t>
            </w:r>
          </w:p>
          <w:tbl>
            <w:tblPr>
              <w:tblStyle w:val="21"/>
              <w:tblW w:w="76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758"/>
              <w:gridCol w:w="1485"/>
              <w:gridCol w:w="1050"/>
              <w:gridCol w:w="1325"/>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tcBorders>
                    <w:tl2br w:val="nil"/>
                    <w:tr2bl w:val="nil"/>
                  </w:tcBorders>
                  <w:shd w:val="clear" w:color="auto" w:fill="auto"/>
                  <w:vAlign w:val="center"/>
                </w:tcPr>
                <w:p>
                  <w:pPr>
                    <w:jc w:val="center"/>
                    <w:rPr>
                      <w:b/>
                      <w:bCs/>
                      <w:szCs w:val="21"/>
                      <w:u w:val="single"/>
                    </w:rPr>
                  </w:pPr>
                  <w:r>
                    <w:rPr>
                      <w:rFonts w:hint="eastAsia"/>
                      <w:b/>
                      <w:bCs/>
                      <w:szCs w:val="21"/>
                      <w:u w:val="single"/>
                    </w:rPr>
                    <w:t>序号</w:t>
                  </w:r>
                </w:p>
              </w:tc>
              <w:tc>
                <w:tcPr>
                  <w:tcW w:w="1758" w:type="dxa"/>
                  <w:tcBorders>
                    <w:tl2br w:val="nil"/>
                    <w:tr2bl w:val="nil"/>
                  </w:tcBorders>
                  <w:shd w:val="clear" w:color="auto" w:fill="auto"/>
                  <w:vAlign w:val="center"/>
                </w:tcPr>
                <w:p>
                  <w:pPr>
                    <w:jc w:val="center"/>
                    <w:rPr>
                      <w:b/>
                      <w:bCs/>
                      <w:szCs w:val="21"/>
                      <w:u w:val="single"/>
                    </w:rPr>
                  </w:pPr>
                  <w:r>
                    <w:rPr>
                      <w:rFonts w:hint="eastAsia"/>
                      <w:b/>
                      <w:bCs/>
                      <w:szCs w:val="21"/>
                      <w:u w:val="single"/>
                    </w:rPr>
                    <w:t>名称</w:t>
                  </w:r>
                </w:p>
              </w:tc>
              <w:tc>
                <w:tcPr>
                  <w:tcW w:w="1485" w:type="dxa"/>
                  <w:tcBorders>
                    <w:tl2br w:val="nil"/>
                    <w:tr2bl w:val="nil"/>
                  </w:tcBorders>
                  <w:shd w:val="clear" w:color="auto" w:fill="auto"/>
                  <w:vAlign w:val="center"/>
                </w:tcPr>
                <w:p>
                  <w:pPr>
                    <w:jc w:val="center"/>
                    <w:rPr>
                      <w:b/>
                      <w:bCs/>
                      <w:szCs w:val="21"/>
                      <w:u w:val="single"/>
                    </w:rPr>
                  </w:pPr>
                  <w:r>
                    <w:rPr>
                      <w:rFonts w:hint="eastAsia"/>
                      <w:b/>
                      <w:bCs/>
                      <w:szCs w:val="21"/>
                      <w:u w:val="single"/>
                    </w:rPr>
                    <w:t>单位</w:t>
                  </w:r>
                </w:p>
              </w:tc>
              <w:tc>
                <w:tcPr>
                  <w:tcW w:w="1050" w:type="dxa"/>
                  <w:tcBorders>
                    <w:tl2br w:val="nil"/>
                    <w:tr2bl w:val="nil"/>
                  </w:tcBorders>
                  <w:shd w:val="clear" w:color="auto" w:fill="auto"/>
                  <w:vAlign w:val="center"/>
                </w:tcPr>
                <w:p>
                  <w:pPr>
                    <w:jc w:val="center"/>
                    <w:rPr>
                      <w:b/>
                      <w:bCs/>
                      <w:szCs w:val="21"/>
                      <w:u w:val="single"/>
                    </w:rPr>
                  </w:pPr>
                  <w:r>
                    <w:rPr>
                      <w:rFonts w:hint="eastAsia"/>
                      <w:b/>
                      <w:bCs/>
                      <w:szCs w:val="21"/>
                      <w:u w:val="single"/>
                    </w:rPr>
                    <w:t>年用量</w:t>
                  </w:r>
                </w:p>
              </w:tc>
              <w:tc>
                <w:tcPr>
                  <w:tcW w:w="1325" w:type="dxa"/>
                  <w:tcBorders>
                    <w:tl2br w:val="nil"/>
                    <w:tr2bl w:val="nil"/>
                  </w:tcBorders>
                  <w:shd w:val="clear" w:color="auto" w:fill="auto"/>
                  <w:vAlign w:val="center"/>
                </w:tcPr>
                <w:p>
                  <w:pPr>
                    <w:jc w:val="center"/>
                    <w:rPr>
                      <w:b/>
                      <w:bCs/>
                      <w:szCs w:val="21"/>
                      <w:u w:val="single"/>
                    </w:rPr>
                  </w:pPr>
                  <w:r>
                    <w:rPr>
                      <w:rFonts w:hint="eastAsia"/>
                      <w:b/>
                      <w:bCs/>
                      <w:szCs w:val="21"/>
                      <w:u w:val="single"/>
                    </w:rPr>
                    <w:t>来源</w:t>
                  </w:r>
                </w:p>
              </w:tc>
              <w:tc>
                <w:tcPr>
                  <w:tcW w:w="1560" w:type="dxa"/>
                  <w:tcBorders>
                    <w:tl2br w:val="nil"/>
                    <w:tr2bl w:val="nil"/>
                  </w:tcBorders>
                  <w:shd w:val="clear" w:color="auto" w:fill="auto"/>
                  <w:vAlign w:val="center"/>
                </w:tcPr>
                <w:p>
                  <w:pPr>
                    <w:jc w:val="center"/>
                    <w:rPr>
                      <w:b/>
                      <w:bCs/>
                      <w:szCs w:val="21"/>
                      <w:u w:val="single"/>
                    </w:rPr>
                  </w:pPr>
                  <w:r>
                    <w:rPr>
                      <w:rFonts w:hint="eastAsia"/>
                      <w:b/>
                      <w:bCs/>
                      <w:szCs w:val="21"/>
                      <w:u w:val="singl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491" w:type="dxa"/>
                  <w:tcBorders>
                    <w:tl2br w:val="nil"/>
                    <w:tr2bl w:val="nil"/>
                  </w:tcBorders>
                  <w:shd w:val="clear" w:color="auto" w:fill="auto"/>
                  <w:vAlign w:val="center"/>
                </w:tcPr>
                <w:p>
                  <w:pPr>
                    <w:jc w:val="center"/>
                    <w:rPr>
                      <w:szCs w:val="21"/>
                      <w:u w:val="single"/>
                    </w:rPr>
                  </w:pPr>
                  <w:r>
                    <w:rPr>
                      <w:rFonts w:hint="eastAsia"/>
                      <w:szCs w:val="21"/>
                      <w:u w:val="single"/>
                    </w:rPr>
                    <w:t>1</w:t>
                  </w:r>
                </w:p>
              </w:tc>
              <w:tc>
                <w:tcPr>
                  <w:tcW w:w="1758" w:type="dxa"/>
                  <w:tcBorders>
                    <w:tl2br w:val="nil"/>
                    <w:tr2bl w:val="nil"/>
                  </w:tcBorders>
                  <w:shd w:val="clear" w:color="auto" w:fill="auto"/>
                  <w:vAlign w:val="center"/>
                </w:tcPr>
                <w:p>
                  <w:pPr>
                    <w:jc w:val="center"/>
                    <w:rPr>
                      <w:szCs w:val="21"/>
                      <w:u w:val="single"/>
                    </w:rPr>
                  </w:pPr>
                  <w:r>
                    <w:rPr>
                      <w:rFonts w:hint="eastAsia"/>
                      <w:szCs w:val="21"/>
                      <w:u w:val="single"/>
                    </w:rPr>
                    <w:t>冷压块</w:t>
                  </w:r>
                </w:p>
              </w:tc>
              <w:tc>
                <w:tcPr>
                  <w:tcW w:w="1485" w:type="dxa"/>
                  <w:tcBorders>
                    <w:tl2br w:val="nil"/>
                    <w:tr2bl w:val="nil"/>
                  </w:tcBorders>
                  <w:shd w:val="clear" w:color="auto" w:fill="auto"/>
                  <w:vAlign w:val="center"/>
                </w:tcPr>
                <w:p>
                  <w:pPr>
                    <w:jc w:val="center"/>
                    <w:rPr>
                      <w:szCs w:val="21"/>
                      <w:u w:val="single"/>
                    </w:rPr>
                  </w:pPr>
                  <w:r>
                    <w:rPr>
                      <w:rFonts w:hint="eastAsia"/>
                      <w:szCs w:val="21"/>
                      <w:u w:val="single"/>
                    </w:rPr>
                    <w:t>t/a</w:t>
                  </w:r>
                </w:p>
              </w:tc>
              <w:tc>
                <w:tcPr>
                  <w:tcW w:w="1050" w:type="dxa"/>
                  <w:tcBorders>
                    <w:tl2br w:val="nil"/>
                    <w:tr2bl w:val="nil"/>
                  </w:tcBorders>
                  <w:shd w:val="clear" w:color="auto" w:fill="auto"/>
                  <w:vAlign w:val="center"/>
                </w:tcPr>
                <w:p>
                  <w:pPr>
                    <w:jc w:val="center"/>
                    <w:rPr>
                      <w:szCs w:val="21"/>
                      <w:u w:val="single"/>
                    </w:rPr>
                  </w:pPr>
                  <w:r>
                    <w:rPr>
                      <w:rFonts w:hint="eastAsia"/>
                      <w:szCs w:val="21"/>
                      <w:u w:val="single"/>
                      <w:lang w:val="en-US" w:eastAsia="zh-CN"/>
                    </w:rPr>
                    <w:t>1250</w:t>
                  </w:r>
                </w:p>
              </w:tc>
              <w:tc>
                <w:tcPr>
                  <w:tcW w:w="1325" w:type="dxa"/>
                  <w:tcBorders>
                    <w:tl2br w:val="nil"/>
                    <w:tr2bl w:val="nil"/>
                  </w:tcBorders>
                  <w:shd w:val="clear" w:color="auto" w:fill="auto"/>
                  <w:vAlign w:val="center"/>
                </w:tcPr>
                <w:p>
                  <w:pPr>
                    <w:jc w:val="center"/>
                    <w:rPr>
                      <w:rFonts w:hint="default" w:eastAsia="宋体"/>
                      <w:szCs w:val="21"/>
                      <w:u w:val="single"/>
                      <w:lang w:val="en-US" w:eastAsia="zh-CN"/>
                    </w:rPr>
                  </w:pPr>
                  <w:r>
                    <w:rPr>
                      <w:rFonts w:hint="eastAsia"/>
                      <w:szCs w:val="21"/>
                      <w:u w:val="single"/>
                      <w:lang w:val="en-US" w:eastAsia="zh-CN"/>
                    </w:rPr>
                    <w:t>湖南</w:t>
                  </w:r>
                </w:p>
              </w:tc>
              <w:tc>
                <w:tcPr>
                  <w:tcW w:w="1560" w:type="dxa"/>
                  <w:vMerge w:val="restart"/>
                  <w:tcBorders>
                    <w:tl2br w:val="nil"/>
                    <w:tr2bl w:val="nil"/>
                  </w:tcBorders>
                  <w:shd w:val="clear" w:color="auto" w:fill="auto"/>
                  <w:vAlign w:val="center"/>
                </w:tcPr>
                <w:p>
                  <w:pPr>
                    <w:jc w:val="center"/>
                    <w:rPr>
                      <w:rFonts w:hint="default" w:eastAsia="宋体"/>
                      <w:szCs w:val="21"/>
                      <w:u w:val="single"/>
                      <w:lang w:val="en-US" w:eastAsia="zh-CN"/>
                    </w:rPr>
                  </w:pPr>
                  <w:r>
                    <w:rPr>
                      <w:rFonts w:hint="eastAsia"/>
                      <w:szCs w:val="21"/>
                      <w:u w:val="single"/>
                      <w:lang w:val="en-US" w:eastAsia="zh-CN"/>
                    </w:rPr>
                    <w:t>材质为EPS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91" w:type="dxa"/>
                  <w:tcBorders>
                    <w:tl2br w:val="nil"/>
                    <w:tr2bl w:val="nil"/>
                  </w:tcBorders>
                  <w:shd w:val="clear" w:color="auto" w:fill="auto"/>
                  <w:vAlign w:val="center"/>
                </w:tcPr>
                <w:p>
                  <w:pPr>
                    <w:jc w:val="center"/>
                    <w:rPr>
                      <w:szCs w:val="21"/>
                      <w:u w:val="single"/>
                    </w:rPr>
                  </w:pPr>
                  <w:r>
                    <w:rPr>
                      <w:rFonts w:hint="eastAsia"/>
                      <w:szCs w:val="21"/>
                      <w:u w:val="single"/>
                    </w:rPr>
                    <w:t>2</w:t>
                  </w:r>
                </w:p>
              </w:tc>
              <w:tc>
                <w:tcPr>
                  <w:tcW w:w="1758" w:type="dxa"/>
                  <w:tcBorders>
                    <w:tl2br w:val="nil"/>
                    <w:tr2bl w:val="nil"/>
                  </w:tcBorders>
                  <w:shd w:val="clear" w:color="auto" w:fill="auto"/>
                  <w:vAlign w:val="center"/>
                </w:tcPr>
                <w:p>
                  <w:pPr>
                    <w:jc w:val="center"/>
                    <w:rPr>
                      <w:szCs w:val="21"/>
                      <w:u w:val="single"/>
                    </w:rPr>
                  </w:pPr>
                  <w:r>
                    <w:rPr>
                      <w:rFonts w:hint="eastAsia"/>
                      <w:szCs w:val="21"/>
                      <w:u w:val="single"/>
                    </w:rPr>
                    <w:t>热熔块</w:t>
                  </w:r>
                </w:p>
              </w:tc>
              <w:tc>
                <w:tcPr>
                  <w:tcW w:w="1485" w:type="dxa"/>
                  <w:tcBorders>
                    <w:tl2br w:val="nil"/>
                    <w:tr2bl w:val="nil"/>
                  </w:tcBorders>
                  <w:shd w:val="clear" w:color="auto" w:fill="auto"/>
                  <w:vAlign w:val="center"/>
                </w:tcPr>
                <w:p>
                  <w:pPr>
                    <w:jc w:val="center"/>
                    <w:rPr>
                      <w:szCs w:val="21"/>
                      <w:u w:val="single"/>
                    </w:rPr>
                  </w:pPr>
                  <w:r>
                    <w:rPr>
                      <w:rFonts w:hint="eastAsia"/>
                      <w:szCs w:val="21"/>
                      <w:u w:val="single"/>
                    </w:rPr>
                    <w:t>t/a</w:t>
                  </w:r>
                </w:p>
              </w:tc>
              <w:tc>
                <w:tcPr>
                  <w:tcW w:w="1050" w:type="dxa"/>
                  <w:tcBorders>
                    <w:tl2br w:val="nil"/>
                    <w:tr2bl w:val="nil"/>
                  </w:tcBorders>
                  <w:shd w:val="clear" w:color="auto" w:fill="auto"/>
                  <w:vAlign w:val="center"/>
                </w:tcPr>
                <w:p>
                  <w:pPr>
                    <w:jc w:val="center"/>
                    <w:rPr>
                      <w:szCs w:val="21"/>
                      <w:u w:val="single"/>
                    </w:rPr>
                  </w:pPr>
                  <w:r>
                    <w:rPr>
                      <w:rFonts w:hint="eastAsia"/>
                      <w:szCs w:val="21"/>
                      <w:u w:val="single"/>
                      <w:lang w:val="en-US" w:eastAsia="zh-CN"/>
                    </w:rPr>
                    <w:t>1250</w:t>
                  </w:r>
                </w:p>
              </w:tc>
              <w:tc>
                <w:tcPr>
                  <w:tcW w:w="1325" w:type="dxa"/>
                  <w:tcBorders>
                    <w:tl2br w:val="nil"/>
                    <w:tr2bl w:val="nil"/>
                  </w:tcBorders>
                  <w:shd w:val="clear" w:color="auto" w:fill="auto"/>
                  <w:vAlign w:val="center"/>
                </w:tcPr>
                <w:p>
                  <w:pPr>
                    <w:jc w:val="center"/>
                    <w:rPr>
                      <w:szCs w:val="21"/>
                      <w:u w:val="single"/>
                    </w:rPr>
                  </w:pPr>
                  <w:r>
                    <w:rPr>
                      <w:rFonts w:hint="eastAsia"/>
                      <w:szCs w:val="21"/>
                      <w:u w:val="single"/>
                      <w:lang w:val="en-US" w:eastAsia="zh-CN"/>
                    </w:rPr>
                    <w:t>湖南</w:t>
                  </w:r>
                </w:p>
              </w:tc>
              <w:tc>
                <w:tcPr>
                  <w:tcW w:w="1560" w:type="dxa"/>
                  <w:vMerge w:val="continue"/>
                  <w:tcBorders>
                    <w:tl2br w:val="nil"/>
                    <w:tr2bl w:val="nil"/>
                  </w:tcBorders>
                  <w:shd w:val="clear" w:color="auto" w:fill="auto"/>
                  <w:vAlign w:val="center"/>
                </w:tcPr>
                <w:p>
                  <w:pPr>
                    <w:jc w:val="center"/>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tcBorders>
                    <w:tl2br w:val="nil"/>
                    <w:tr2bl w:val="nil"/>
                  </w:tcBorders>
                  <w:shd w:val="clear" w:color="auto" w:fill="auto"/>
                  <w:vAlign w:val="center"/>
                </w:tcPr>
                <w:p>
                  <w:pPr>
                    <w:jc w:val="center"/>
                    <w:rPr>
                      <w:szCs w:val="21"/>
                      <w:u w:val="single"/>
                    </w:rPr>
                  </w:pPr>
                  <w:r>
                    <w:rPr>
                      <w:rFonts w:hint="eastAsia"/>
                      <w:szCs w:val="21"/>
                      <w:u w:val="single"/>
                    </w:rPr>
                    <w:t>3</w:t>
                  </w:r>
                </w:p>
              </w:tc>
              <w:tc>
                <w:tcPr>
                  <w:tcW w:w="1758" w:type="dxa"/>
                  <w:tcBorders>
                    <w:tl2br w:val="nil"/>
                    <w:tr2bl w:val="nil"/>
                  </w:tcBorders>
                  <w:shd w:val="clear" w:color="auto" w:fill="auto"/>
                  <w:vAlign w:val="center"/>
                </w:tcPr>
                <w:p>
                  <w:pPr>
                    <w:jc w:val="center"/>
                    <w:rPr>
                      <w:szCs w:val="21"/>
                      <w:u w:val="single"/>
                    </w:rPr>
                  </w:pPr>
                  <w:r>
                    <w:rPr>
                      <w:rFonts w:hint="eastAsia"/>
                      <w:szCs w:val="21"/>
                      <w:u w:val="single"/>
                    </w:rPr>
                    <w:t>原泡沫</w:t>
                  </w:r>
                </w:p>
              </w:tc>
              <w:tc>
                <w:tcPr>
                  <w:tcW w:w="1485" w:type="dxa"/>
                  <w:tcBorders>
                    <w:tl2br w:val="nil"/>
                    <w:tr2bl w:val="nil"/>
                  </w:tcBorders>
                  <w:shd w:val="clear" w:color="auto" w:fill="auto"/>
                  <w:vAlign w:val="center"/>
                </w:tcPr>
                <w:p>
                  <w:pPr>
                    <w:jc w:val="center"/>
                    <w:rPr>
                      <w:szCs w:val="21"/>
                      <w:u w:val="single"/>
                    </w:rPr>
                  </w:pPr>
                  <w:r>
                    <w:rPr>
                      <w:rFonts w:hint="eastAsia"/>
                      <w:szCs w:val="21"/>
                      <w:u w:val="single"/>
                    </w:rPr>
                    <w:t>t/a</w:t>
                  </w:r>
                </w:p>
              </w:tc>
              <w:tc>
                <w:tcPr>
                  <w:tcW w:w="1050" w:type="dxa"/>
                  <w:tcBorders>
                    <w:tl2br w:val="nil"/>
                    <w:tr2bl w:val="nil"/>
                  </w:tcBorders>
                  <w:shd w:val="clear" w:color="auto" w:fill="auto"/>
                  <w:vAlign w:val="center"/>
                </w:tcPr>
                <w:p>
                  <w:pPr>
                    <w:jc w:val="center"/>
                    <w:rPr>
                      <w:szCs w:val="21"/>
                      <w:u w:val="single"/>
                    </w:rPr>
                  </w:pPr>
                  <w:r>
                    <w:rPr>
                      <w:rFonts w:hint="eastAsia"/>
                      <w:szCs w:val="21"/>
                      <w:u w:val="single"/>
                      <w:lang w:val="en-US" w:eastAsia="zh-CN"/>
                    </w:rPr>
                    <w:t>1250</w:t>
                  </w:r>
                </w:p>
              </w:tc>
              <w:tc>
                <w:tcPr>
                  <w:tcW w:w="1325" w:type="dxa"/>
                  <w:tcBorders>
                    <w:tl2br w:val="nil"/>
                    <w:tr2bl w:val="nil"/>
                  </w:tcBorders>
                  <w:shd w:val="clear" w:color="auto" w:fill="auto"/>
                  <w:vAlign w:val="center"/>
                </w:tcPr>
                <w:p>
                  <w:pPr>
                    <w:jc w:val="center"/>
                    <w:rPr>
                      <w:szCs w:val="21"/>
                      <w:u w:val="single"/>
                    </w:rPr>
                  </w:pPr>
                  <w:r>
                    <w:rPr>
                      <w:rFonts w:hint="eastAsia"/>
                      <w:szCs w:val="21"/>
                      <w:u w:val="single"/>
                      <w:lang w:val="en-US" w:eastAsia="zh-CN"/>
                    </w:rPr>
                    <w:t>湖南</w:t>
                  </w:r>
                </w:p>
              </w:tc>
              <w:tc>
                <w:tcPr>
                  <w:tcW w:w="1560" w:type="dxa"/>
                  <w:vMerge w:val="continue"/>
                  <w:tcBorders>
                    <w:tl2br w:val="nil"/>
                    <w:tr2bl w:val="nil"/>
                  </w:tcBorders>
                  <w:shd w:val="clear" w:color="auto" w:fill="auto"/>
                  <w:vAlign w:val="center"/>
                </w:tcPr>
                <w:p>
                  <w:pPr>
                    <w:jc w:val="center"/>
                    <w:rPr>
                      <w:szCs w:val="21"/>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91" w:type="dxa"/>
                  <w:tcBorders>
                    <w:tl2br w:val="nil"/>
                    <w:tr2bl w:val="nil"/>
                  </w:tcBorders>
                  <w:shd w:val="clear" w:color="auto" w:fill="auto"/>
                  <w:vAlign w:val="center"/>
                </w:tcPr>
                <w:p>
                  <w:pPr>
                    <w:jc w:val="center"/>
                    <w:rPr>
                      <w:szCs w:val="21"/>
                      <w:u w:val="single"/>
                    </w:rPr>
                  </w:pPr>
                  <w:r>
                    <w:rPr>
                      <w:rFonts w:hint="eastAsia"/>
                      <w:szCs w:val="21"/>
                      <w:u w:val="single"/>
                    </w:rPr>
                    <w:t>4</w:t>
                  </w:r>
                </w:p>
              </w:tc>
              <w:tc>
                <w:tcPr>
                  <w:tcW w:w="1758" w:type="dxa"/>
                  <w:tcBorders>
                    <w:tl2br w:val="nil"/>
                    <w:tr2bl w:val="nil"/>
                  </w:tcBorders>
                  <w:shd w:val="clear" w:color="auto" w:fill="auto"/>
                  <w:vAlign w:val="center"/>
                </w:tcPr>
                <w:p>
                  <w:pPr>
                    <w:jc w:val="center"/>
                    <w:rPr>
                      <w:szCs w:val="21"/>
                      <w:u w:val="single"/>
                    </w:rPr>
                  </w:pPr>
                  <w:r>
                    <w:rPr>
                      <w:rFonts w:hint="eastAsia"/>
                      <w:szCs w:val="21"/>
                      <w:u w:val="single"/>
                    </w:rPr>
                    <w:t>汽车旧保险杠</w:t>
                  </w:r>
                </w:p>
              </w:tc>
              <w:tc>
                <w:tcPr>
                  <w:tcW w:w="1485" w:type="dxa"/>
                  <w:tcBorders>
                    <w:tl2br w:val="nil"/>
                    <w:tr2bl w:val="nil"/>
                  </w:tcBorders>
                  <w:shd w:val="clear" w:color="auto" w:fill="auto"/>
                  <w:vAlign w:val="center"/>
                </w:tcPr>
                <w:p>
                  <w:pPr>
                    <w:jc w:val="center"/>
                    <w:rPr>
                      <w:szCs w:val="21"/>
                      <w:u w:val="single"/>
                    </w:rPr>
                  </w:pPr>
                  <w:bookmarkStart w:id="14" w:name="OLE_LINK6"/>
                  <w:r>
                    <w:rPr>
                      <w:szCs w:val="21"/>
                      <w:u w:val="single"/>
                    </w:rPr>
                    <w:t>t/a</w:t>
                  </w:r>
                  <w:bookmarkEnd w:id="14"/>
                </w:p>
              </w:tc>
              <w:tc>
                <w:tcPr>
                  <w:tcW w:w="1050" w:type="dxa"/>
                  <w:tcBorders>
                    <w:tl2br w:val="nil"/>
                    <w:tr2bl w:val="nil"/>
                  </w:tcBorders>
                  <w:shd w:val="clear" w:color="auto" w:fill="auto"/>
                  <w:vAlign w:val="center"/>
                </w:tcPr>
                <w:p>
                  <w:pPr>
                    <w:jc w:val="center"/>
                    <w:rPr>
                      <w:szCs w:val="21"/>
                      <w:u w:val="single"/>
                    </w:rPr>
                  </w:pPr>
                  <w:r>
                    <w:rPr>
                      <w:rFonts w:hint="eastAsia"/>
                      <w:szCs w:val="21"/>
                      <w:u w:val="single"/>
                      <w:lang w:val="en-US" w:eastAsia="zh-CN"/>
                    </w:rPr>
                    <w:t>1250</w:t>
                  </w:r>
                </w:p>
              </w:tc>
              <w:tc>
                <w:tcPr>
                  <w:tcW w:w="1325" w:type="dxa"/>
                  <w:tcBorders>
                    <w:tl2br w:val="nil"/>
                    <w:tr2bl w:val="nil"/>
                  </w:tcBorders>
                  <w:shd w:val="clear" w:color="auto" w:fill="auto"/>
                  <w:vAlign w:val="center"/>
                </w:tcPr>
                <w:p>
                  <w:pPr>
                    <w:jc w:val="center"/>
                    <w:rPr>
                      <w:szCs w:val="21"/>
                      <w:u w:val="single"/>
                    </w:rPr>
                  </w:pPr>
                  <w:r>
                    <w:rPr>
                      <w:rFonts w:hint="eastAsia"/>
                      <w:szCs w:val="21"/>
                      <w:u w:val="single"/>
                      <w:lang w:val="en-US" w:eastAsia="zh-CN"/>
                    </w:rPr>
                    <w:t>湖南</w:t>
                  </w:r>
                </w:p>
              </w:tc>
              <w:tc>
                <w:tcPr>
                  <w:tcW w:w="1560" w:type="dxa"/>
                  <w:tcBorders>
                    <w:tl2br w:val="nil"/>
                    <w:tr2bl w:val="nil"/>
                  </w:tcBorders>
                  <w:shd w:val="clear" w:color="auto" w:fill="auto"/>
                  <w:vAlign w:val="center"/>
                </w:tcPr>
                <w:p>
                  <w:pPr>
                    <w:jc w:val="center"/>
                    <w:rPr>
                      <w:rFonts w:hint="default" w:eastAsia="宋体"/>
                      <w:szCs w:val="21"/>
                      <w:u w:val="single"/>
                      <w:lang w:val="en-US" w:eastAsia="zh-CN"/>
                    </w:rPr>
                  </w:pPr>
                  <w:r>
                    <w:rPr>
                      <w:rFonts w:hint="eastAsia"/>
                      <w:szCs w:val="21"/>
                      <w:u w:val="single"/>
                      <w:lang w:val="en-US" w:eastAsia="zh-CN"/>
                    </w:rPr>
                    <w:t>材质为PP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491" w:type="dxa"/>
                  <w:tcBorders>
                    <w:tl2br w:val="nil"/>
                    <w:tr2bl w:val="nil"/>
                  </w:tcBorders>
                  <w:shd w:val="clear" w:color="auto" w:fill="auto"/>
                  <w:vAlign w:val="center"/>
                </w:tcPr>
                <w:p>
                  <w:pPr>
                    <w:jc w:val="center"/>
                    <w:rPr>
                      <w:rFonts w:hint="eastAsia" w:eastAsia="宋体"/>
                      <w:szCs w:val="21"/>
                      <w:u w:val="single"/>
                      <w:lang w:val="en-US" w:eastAsia="zh-CN"/>
                    </w:rPr>
                  </w:pPr>
                  <w:r>
                    <w:rPr>
                      <w:rFonts w:hint="eastAsia"/>
                      <w:szCs w:val="21"/>
                      <w:u w:val="single"/>
                      <w:lang w:val="en-US" w:eastAsia="zh-CN"/>
                    </w:rPr>
                    <w:t>5</w:t>
                  </w:r>
                </w:p>
              </w:tc>
              <w:tc>
                <w:tcPr>
                  <w:tcW w:w="1758" w:type="dxa"/>
                  <w:tcBorders>
                    <w:tl2br w:val="nil"/>
                    <w:tr2bl w:val="nil"/>
                  </w:tcBorders>
                  <w:shd w:val="clear" w:color="auto" w:fill="auto"/>
                  <w:vAlign w:val="center"/>
                </w:tcPr>
                <w:p>
                  <w:pPr>
                    <w:jc w:val="center"/>
                    <w:rPr>
                      <w:rFonts w:hint="eastAsia" w:eastAsia="宋体"/>
                      <w:szCs w:val="21"/>
                      <w:u w:val="single"/>
                      <w:lang w:val="en-US" w:eastAsia="zh-CN"/>
                    </w:rPr>
                  </w:pPr>
                  <w:r>
                    <w:rPr>
                      <w:rFonts w:hint="eastAsia"/>
                      <w:szCs w:val="21"/>
                      <w:u w:val="single"/>
                      <w:lang w:val="en-US" w:eastAsia="zh-CN"/>
                    </w:rPr>
                    <w:t>机油</w:t>
                  </w:r>
                </w:p>
              </w:tc>
              <w:tc>
                <w:tcPr>
                  <w:tcW w:w="1485" w:type="dxa"/>
                  <w:tcBorders>
                    <w:tl2br w:val="nil"/>
                    <w:tr2bl w:val="nil"/>
                  </w:tcBorders>
                  <w:shd w:val="clear" w:color="auto" w:fill="auto"/>
                  <w:vAlign w:val="center"/>
                </w:tcPr>
                <w:p>
                  <w:pPr>
                    <w:jc w:val="center"/>
                    <w:rPr>
                      <w:rFonts w:hint="default" w:eastAsia="宋体"/>
                      <w:szCs w:val="21"/>
                      <w:u w:val="single"/>
                      <w:lang w:val="en-US" w:eastAsia="zh-CN"/>
                    </w:rPr>
                  </w:pPr>
                  <w:r>
                    <w:rPr>
                      <w:rFonts w:hint="eastAsia"/>
                      <w:szCs w:val="21"/>
                      <w:u w:val="single"/>
                      <w:lang w:val="en-US" w:eastAsia="zh-CN"/>
                    </w:rPr>
                    <w:t>T/a</w:t>
                  </w:r>
                </w:p>
              </w:tc>
              <w:tc>
                <w:tcPr>
                  <w:tcW w:w="1050" w:type="dxa"/>
                  <w:tcBorders>
                    <w:tl2br w:val="nil"/>
                    <w:tr2bl w:val="nil"/>
                  </w:tcBorders>
                  <w:shd w:val="clear" w:color="auto" w:fill="auto"/>
                  <w:vAlign w:val="center"/>
                </w:tcPr>
                <w:p>
                  <w:pPr>
                    <w:jc w:val="center"/>
                    <w:rPr>
                      <w:rFonts w:hint="default" w:eastAsia="宋体"/>
                      <w:szCs w:val="21"/>
                      <w:u w:val="single"/>
                      <w:lang w:val="en-US" w:eastAsia="zh-CN"/>
                    </w:rPr>
                  </w:pPr>
                  <w:r>
                    <w:rPr>
                      <w:rFonts w:hint="eastAsia"/>
                      <w:szCs w:val="21"/>
                      <w:u w:val="single"/>
                      <w:lang w:val="en-US" w:eastAsia="zh-CN"/>
                    </w:rPr>
                    <w:t>0.5</w:t>
                  </w:r>
                </w:p>
              </w:tc>
              <w:tc>
                <w:tcPr>
                  <w:tcW w:w="1325" w:type="dxa"/>
                  <w:tcBorders>
                    <w:tl2br w:val="nil"/>
                    <w:tr2bl w:val="nil"/>
                  </w:tcBorders>
                  <w:shd w:val="clear" w:color="auto" w:fill="auto"/>
                  <w:vAlign w:val="center"/>
                </w:tcPr>
                <w:p>
                  <w:pPr>
                    <w:jc w:val="center"/>
                    <w:rPr>
                      <w:rFonts w:hint="eastAsia" w:eastAsia="宋体"/>
                      <w:szCs w:val="21"/>
                      <w:u w:val="single"/>
                      <w:lang w:val="en-US" w:eastAsia="zh-CN"/>
                    </w:rPr>
                  </w:pPr>
                  <w:r>
                    <w:rPr>
                      <w:rFonts w:hint="eastAsia"/>
                      <w:szCs w:val="21"/>
                      <w:u w:val="single"/>
                      <w:lang w:val="en-US" w:eastAsia="zh-CN"/>
                    </w:rPr>
                    <w:t>益阳</w:t>
                  </w:r>
                </w:p>
              </w:tc>
              <w:tc>
                <w:tcPr>
                  <w:tcW w:w="1560" w:type="dxa"/>
                  <w:tcBorders>
                    <w:tl2br w:val="nil"/>
                    <w:tr2bl w:val="nil"/>
                  </w:tcBorders>
                  <w:shd w:val="clear" w:color="auto" w:fill="auto"/>
                  <w:vAlign w:val="center"/>
                </w:tcPr>
                <w:p>
                  <w:pPr>
                    <w:jc w:val="center"/>
                    <w:rPr>
                      <w:rFonts w:hint="eastAsia"/>
                      <w:szCs w:val="21"/>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tcBorders>
                    <w:tl2br w:val="nil"/>
                    <w:tr2bl w:val="nil"/>
                  </w:tcBorders>
                  <w:shd w:val="clear" w:color="auto" w:fill="auto"/>
                  <w:vAlign w:val="center"/>
                </w:tcPr>
                <w:p>
                  <w:pPr>
                    <w:jc w:val="center"/>
                    <w:rPr>
                      <w:rFonts w:hint="eastAsia" w:eastAsia="宋体"/>
                      <w:szCs w:val="21"/>
                      <w:u w:val="single"/>
                      <w:lang w:val="en-US" w:eastAsia="zh-CN"/>
                    </w:rPr>
                  </w:pPr>
                  <w:r>
                    <w:rPr>
                      <w:rFonts w:hint="eastAsia"/>
                      <w:szCs w:val="21"/>
                      <w:u w:val="single"/>
                      <w:lang w:val="en-US" w:eastAsia="zh-CN"/>
                    </w:rPr>
                    <w:t>6</w:t>
                  </w:r>
                </w:p>
              </w:tc>
              <w:tc>
                <w:tcPr>
                  <w:tcW w:w="1758" w:type="dxa"/>
                  <w:tcBorders>
                    <w:tl2br w:val="nil"/>
                    <w:tr2bl w:val="nil"/>
                  </w:tcBorders>
                  <w:shd w:val="clear" w:color="auto" w:fill="auto"/>
                  <w:vAlign w:val="center"/>
                </w:tcPr>
                <w:p>
                  <w:pPr>
                    <w:jc w:val="center"/>
                    <w:rPr>
                      <w:szCs w:val="21"/>
                      <w:u w:val="single"/>
                    </w:rPr>
                  </w:pPr>
                  <w:r>
                    <w:rPr>
                      <w:rFonts w:hint="eastAsia"/>
                      <w:szCs w:val="21"/>
                      <w:u w:val="single"/>
                    </w:rPr>
                    <w:t>供水</w:t>
                  </w:r>
                </w:p>
              </w:tc>
              <w:tc>
                <w:tcPr>
                  <w:tcW w:w="5420" w:type="dxa"/>
                  <w:gridSpan w:val="4"/>
                  <w:tcBorders>
                    <w:tl2br w:val="nil"/>
                    <w:tr2bl w:val="nil"/>
                  </w:tcBorders>
                  <w:shd w:val="clear" w:color="auto" w:fill="auto"/>
                  <w:vAlign w:val="center"/>
                </w:tcPr>
                <w:p>
                  <w:pPr>
                    <w:jc w:val="center"/>
                    <w:rPr>
                      <w:szCs w:val="21"/>
                      <w:u w:val="single"/>
                    </w:rPr>
                  </w:pPr>
                  <w:r>
                    <w:rPr>
                      <w:szCs w:val="21"/>
                      <w:u w:val="single"/>
                    </w:rPr>
                    <w:t>园区自来水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tcBorders>
                    <w:tl2br w:val="nil"/>
                    <w:tr2bl w:val="nil"/>
                  </w:tcBorders>
                  <w:shd w:val="clear" w:color="auto" w:fill="auto"/>
                  <w:vAlign w:val="center"/>
                </w:tcPr>
                <w:p>
                  <w:pPr>
                    <w:jc w:val="center"/>
                    <w:rPr>
                      <w:rFonts w:hint="eastAsia" w:eastAsia="宋体"/>
                      <w:szCs w:val="21"/>
                      <w:u w:val="single"/>
                      <w:lang w:val="en-US" w:eastAsia="zh-CN"/>
                    </w:rPr>
                  </w:pPr>
                  <w:r>
                    <w:rPr>
                      <w:rFonts w:hint="eastAsia"/>
                      <w:szCs w:val="21"/>
                      <w:u w:val="single"/>
                      <w:lang w:val="en-US" w:eastAsia="zh-CN"/>
                    </w:rPr>
                    <w:t>7</w:t>
                  </w:r>
                </w:p>
              </w:tc>
              <w:tc>
                <w:tcPr>
                  <w:tcW w:w="1758" w:type="dxa"/>
                  <w:tcBorders>
                    <w:tl2br w:val="nil"/>
                    <w:tr2bl w:val="nil"/>
                  </w:tcBorders>
                  <w:shd w:val="clear" w:color="auto" w:fill="auto"/>
                  <w:vAlign w:val="center"/>
                </w:tcPr>
                <w:p>
                  <w:pPr>
                    <w:jc w:val="center"/>
                    <w:rPr>
                      <w:szCs w:val="21"/>
                      <w:u w:val="single"/>
                    </w:rPr>
                  </w:pPr>
                  <w:r>
                    <w:rPr>
                      <w:rFonts w:hint="eastAsia"/>
                      <w:szCs w:val="21"/>
                      <w:u w:val="single"/>
                    </w:rPr>
                    <w:t>供电</w:t>
                  </w:r>
                </w:p>
              </w:tc>
              <w:tc>
                <w:tcPr>
                  <w:tcW w:w="5420" w:type="dxa"/>
                  <w:gridSpan w:val="4"/>
                  <w:tcBorders>
                    <w:tl2br w:val="nil"/>
                    <w:tr2bl w:val="nil"/>
                  </w:tcBorders>
                  <w:shd w:val="clear" w:color="auto" w:fill="auto"/>
                  <w:vAlign w:val="center"/>
                </w:tcPr>
                <w:p>
                  <w:pPr>
                    <w:jc w:val="center"/>
                    <w:rPr>
                      <w:szCs w:val="21"/>
                      <w:u w:val="single"/>
                    </w:rPr>
                  </w:pPr>
                  <w:r>
                    <w:rPr>
                      <w:rFonts w:hint="eastAsia"/>
                      <w:szCs w:val="21"/>
                      <w:u w:val="single"/>
                    </w:rPr>
                    <w:t>园区市政电网供电</w:t>
                  </w:r>
                </w:p>
              </w:tc>
            </w:tr>
          </w:tbl>
          <w:p>
            <w:pPr>
              <w:keepNext w:val="0"/>
              <w:keepLines w:val="0"/>
              <w:pageBreakBefore w:val="0"/>
              <w:widowControl w:val="0"/>
              <w:kinsoku/>
              <w:wordWrap/>
              <w:overflowPunct/>
              <w:topLinePunct w:val="0"/>
              <w:bidi w:val="0"/>
              <w:snapToGrid/>
              <w:spacing w:line="360" w:lineRule="auto"/>
              <w:ind w:firstLine="480" w:firstLineChars="200"/>
              <w:textAlignment w:val="auto"/>
              <w:rPr>
                <w:sz w:val="24"/>
                <w:u w:val="single"/>
              </w:rPr>
            </w:pPr>
            <w:r>
              <w:rPr>
                <w:rFonts w:hint="eastAsia"/>
                <w:sz w:val="24"/>
                <w:u w:val="single"/>
              </w:rPr>
              <w:t>原料说明：</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eastAsia="宋体"/>
                <w:sz w:val="24"/>
                <w:u w:val="single"/>
                <w:lang w:val="en-US" w:eastAsia="zh-CN"/>
              </w:rPr>
            </w:pPr>
            <w:r>
              <w:rPr>
                <w:rFonts w:hint="eastAsia"/>
                <w:sz w:val="24"/>
                <w:u w:val="single"/>
                <w:lang w:val="en-US" w:eastAsia="zh-CN"/>
              </w:rPr>
              <w:t>本项目严格区分原料来源和原用途，收进厂区的原料均进行过分拣加工，不采用《湖南省进一步加强塑料污染治理的实施方案》（湘发改环资规〔2020〕857号）中规定的禁止、限制使用的原料，不采用农药、化肥、废染料、强酸、强碱及其他化学品废弃塑料包装及沾染放射性原料、卤素、危险废物的废弃塑料。</w:t>
            </w:r>
          </w:p>
          <w:p>
            <w:pPr>
              <w:keepNext w:val="0"/>
              <w:keepLines w:val="0"/>
              <w:pageBreakBefore w:val="0"/>
              <w:widowControl w:val="0"/>
              <w:kinsoku/>
              <w:wordWrap/>
              <w:overflowPunct/>
              <w:topLinePunct w:val="0"/>
              <w:bidi w:val="0"/>
              <w:snapToGrid/>
              <w:spacing w:line="360" w:lineRule="auto"/>
              <w:ind w:firstLine="480" w:firstLineChars="200"/>
              <w:textAlignment w:val="auto"/>
              <w:rPr>
                <w:sz w:val="24"/>
                <w:u w:val="single"/>
              </w:rPr>
            </w:pPr>
            <w:r>
              <w:rPr>
                <w:rFonts w:hint="eastAsia"/>
                <w:sz w:val="24"/>
                <w:u w:val="single"/>
              </w:rPr>
              <w:t>（1）冷压块：</w:t>
            </w:r>
            <w:bookmarkStart w:id="15" w:name="OLE_LINK31"/>
            <w:r>
              <w:rPr>
                <w:rFonts w:hint="eastAsia"/>
                <w:sz w:val="24"/>
                <w:u w:val="single"/>
              </w:rPr>
              <w:t>冷压块是将泡沫经机器高压后得到的压缩块，主要是为了便于加工和运输。</w:t>
            </w:r>
          </w:p>
          <w:bookmarkEnd w:id="15"/>
          <w:p>
            <w:pPr>
              <w:pStyle w:val="27"/>
              <w:keepNext w:val="0"/>
              <w:keepLines w:val="0"/>
              <w:pageBreakBefore w:val="0"/>
              <w:widowControl w:val="0"/>
              <w:kinsoku/>
              <w:wordWrap/>
              <w:overflowPunct/>
              <w:topLinePunct w:val="0"/>
              <w:bidi w:val="0"/>
              <w:snapToGrid/>
              <w:spacing w:line="360" w:lineRule="auto"/>
              <w:ind w:firstLine="480" w:firstLineChars="200"/>
              <w:textAlignment w:val="auto"/>
              <w:rPr>
                <w:rFonts w:ascii="Times New Roman" w:hAnsi="Times New Roman"/>
                <w:color w:val="auto"/>
                <w:u w:val="single"/>
              </w:rPr>
            </w:pPr>
            <w:r>
              <w:rPr>
                <w:rFonts w:hint="eastAsia" w:ascii="Times New Roman" w:hAnsi="Times New Roman"/>
                <w:color w:val="auto"/>
                <w:u w:val="single"/>
              </w:rPr>
              <w:t>（2）热熔块：泡沫热熔块（可发性聚苯乙烯）是在聚苯乙烯单体内加发泡剂在高压聚合釜内，进行悬浮聚合而得。其外观为小球状颗粒，具有质轻（20-35kg/m</w:t>
            </w:r>
            <w:r>
              <w:rPr>
                <w:rFonts w:hint="eastAsia" w:ascii="Times New Roman" w:hAnsi="Times New Roman"/>
                <w:color w:val="auto"/>
                <w:u w:val="single"/>
                <w:vertAlign w:val="superscript"/>
              </w:rPr>
              <w:t>3</w:t>
            </w:r>
            <w:r>
              <w:rPr>
                <w:rFonts w:hint="eastAsia" w:ascii="Times New Roman" w:hAnsi="Times New Roman"/>
                <w:color w:val="auto"/>
                <w:u w:val="single"/>
              </w:rPr>
              <w:t>），导热系数低、吸水性小、介电性能优良、能抗振动和抗冲击以及隔音、防震、隔热、防潮等性能。广泛用于建筑、船舶、火车、汽车、飞机、冷藏、冷冻、低温管道、化工设备等保温隔热抗振材料、各种电器及原件的包装等。泡沫热熔块是含有气泡的微孔材料，通常聚苯乙烯泡沫热熔块是硬质、微孔是封闭型。</w:t>
            </w:r>
          </w:p>
          <w:p>
            <w:pPr>
              <w:pStyle w:val="19"/>
              <w:keepNext w:val="0"/>
              <w:keepLines w:val="0"/>
              <w:pageBreakBefore w:val="0"/>
              <w:widowControl w:val="0"/>
              <w:kinsoku/>
              <w:wordWrap/>
              <w:overflowPunct/>
              <w:topLinePunct w:val="0"/>
              <w:bidi w:val="0"/>
              <w:snapToGrid/>
              <w:spacing w:after="0" w:line="360" w:lineRule="auto"/>
              <w:ind w:firstLine="480" w:firstLineChars="200"/>
              <w:textAlignment w:val="auto"/>
              <w:rPr>
                <w:sz w:val="24"/>
                <w:u w:val="single"/>
              </w:rPr>
            </w:pPr>
            <w:r>
              <w:rPr>
                <w:rFonts w:hint="eastAsia"/>
                <w:sz w:val="24"/>
                <w:u w:val="single"/>
              </w:rPr>
              <w:t>（3）EPS（聚苯乙烯）</w:t>
            </w:r>
          </w:p>
          <w:p>
            <w:pPr>
              <w:pStyle w:val="19"/>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sz w:val="24"/>
                <w:u w:val="single"/>
              </w:rPr>
            </w:pPr>
            <w:r>
              <w:rPr>
                <w:rFonts w:hint="eastAsia"/>
                <w:sz w:val="24"/>
                <w:u w:val="single"/>
              </w:rPr>
              <w:t>物理特性：密度：1.05 g/cm³，聚乙烯为无色无臭无味的有光泽透明固体。CAS：9003-53-6；成型收缩率：0.6-0.8%，成型温度为170-250℃；具有优良的电绝缘性，无色透明，透光率仅次于有机玻璃，着色性、耐水性、化学稳定性良好。燃烧特性：具有燃烧性，可燃，其燃烧一般是由于受到外来的热而分解出可燃性气体，软化起泡橙黄色，产生浓黑烟，燃烧后残留炭墨，离火后继续燃烧，表面油性光亮，产生特殊乙烯气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u w:val="single"/>
                <w:lang w:eastAsia="zh-CN"/>
              </w:rPr>
            </w:pPr>
            <w:r>
              <w:rPr>
                <w:rFonts w:hint="eastAsia"/>
                <w:sz w:val="24"/>
                <w:u w:val="single"/>
                <w:lang w:eastAsia="zh-CN"/>
              </w:rPr>
              <w:t>（</w:t>
            </w:r>
            <w:r>
              <w:rPr>
                <w:rFonts w:hint="eastAsia"/>
                <w:sz w:val="24"/>
                <w:u w:val="single"/>
                <w:lang w:val="en-US" w:eastAsia="zh-CN"/>
              </w:rPr>
              <w:t>4</w:t>
            </w:r>
            <w:r>
              <w:rPr>
                <w:rFonts w:hint="eastAsia"/>
                <w:sz w:val="24"/>
                <w:u w:val="single"/>
                <w:lang w:eastAsia="zh-CN"/>
              </w:rPr>
              <w:t>）PP（聚丙烯）</w:t>
            </w:r>
          </w:p>
          <w:p>
            <w:pPr>
              <w:pStyle w:val="27"/>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u w:val="single"/>
                <w:lang w:val="en-US" w:eastAsia="zh-CN"/>
              </w:rPr>
            </w:pPr>
            <w:r>
              <w:rPr>
                <w:rFonts w:hint="eastAsia"/>
                <w:u w:val="single"/>
                <w:lang w:val="en-US" w:eastAsia="zh-CN"/>
              </w:rPr>
              <w:t xml:space="preserve">    </w:t>
            </w:r>
            <w:r>
              <w:rPr>
                <w:rFonts w:hint="default" w:ascii="Times New Roman" w:hAnsi="Times New Roman" w:cs="Times New Roman"/>
                <w:u w:val="single"/>
                <w:lang w:val="en-US" w:eastAsia="zh-CN"/>
              </w:rPr>
              <w:t>聚丙烯，分子式为(C</w:t>
            </w:r>
            <w:r>
              <w:rPr>
                <w:rFonts w:hint="default" w:ascii="Times New Roman" w:hAnsi="Times New Roman" w:cs="Times New Roman"/>
                <w:u w:val="single"/>
                <w:vertAlign w:val="subscript"/>
                <w:lang w:val="en-US" w:eastAsia="zh-CN"/>
              </w:rPr>
              <w:t>3</w:t>
            </w:r>
            <w:r>
              <w:rPr>
                <w:rFonts w:hint="default" w:ascii="Times New Roman" w:hAnsi="Times New Roman" w:cs="Times New Roman"/>
                <w:u w:val="single"/>
                <w:lang w:val="en-US" w:eastAsia="zh-CN"/>
              </w:rPr>
              <w:t>H</w:t>
            </w:r>
            <w:r>
              <w:rPr>
                <w:rFonts w:hint="default" w:ascii="Times New Roman" w:hAnsi="Times New Roman" w:cs="Times New Roman"/>
                <w:u w:val="single"/>
                <w:vertAlign w:val="subscript"/>
                <w:lang w:val="en-US" w:eastAsia="zh-CN"/>
              </w:rPr>
              <w:t>6</w:t>
            </w:r>
            <w:r>
              <w:rPr>
                <w:rFonts w:hint="default" w:ascii="Times New Roman" w:hAnsi="Times New Roman" w:cs="Times New Roman"/>
                <w:u w:val="single"/>
                <w:lang w:val="en-US" w:eastAsia="zh-CN"/>
              </w:rPr>
              <w:t>)n，是继尼龙之后发展的又一优良树脂品种，它是一种高密度、无侧链、高结晶必的线性聚合物，具有优良的综合性</w:t>
            </w:r>
          </w:p>
          <w:p>
            <w:pPr>
              <w:pStyle w:val="27"/>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能，未着色时呈白色半透明，蜡状。PP 粒料为本色、圆柱状颗粒，颗粒光洁，粒子的尺寸在任意方向上为 2mm~5mm，无臭无毒，无机械杂质。密度为0.9g/m3~0.91g/m3，是目前所有塑料中最轻的品种之一。聚丙烯树脂具有优良的机械性能和耐热性能，使用温度范围-30℃~140℃，熔融温度164℃~170℃，热分解温度&gt;350℃。同时具有优良的电绝缘性能和化学稳定性，几乎不吸水，与绝大多数化学品接触不发生作用。在 80℃以下能耐酸、碱、盐液及多种有机溶剂腐蚀。聚丙烯广泛应用于服装、毛毯等纤维制品、医疗器械、汽车、自行车、零件、输送管道、化工容器等生产，也用于食品、药品包装。</w:t>
            </w:r>
          </w:p>
          <w:p>
            <w:pPr>
              <w:jc w:val="center"/>
              <w:rPr>
                <w:b/>
                <w:bCs/>
                <w:u w:val="single"/>
              </w:rPr>
            </w:pPr>
            <w:r>
              <w:rPr>
                <w:b/>
                <w:bCs/>
                <w:u w:val="single"/>
              </w:rPr>
              <w:t>表</w:t>
            </w:r>
            <w:r>
              <w:rPr>
                <w:rFonts w:hint="eastAsia"/>
                <w:b/>
                <w:bCs/>
                <w:u w:val="single"/>
              </w:rPr>
              <w:t>2</w:t>
            </w:r>
            <w:r>
              <w:rPr>
                <w:b/>
                <w:bCs/>
                <w:u w:val="single"/>
              </w:rPr>
              <w:t>-</w:t>
            </w:r>
            <w:r>
              <w:rPr>
                <w:rFonts w:hint="eastAsia"/>
                <w:b/>
                <w:bCs/>
                <w:u w:val="single"/>
                <w:lang w:val="en-US" w:eastAsia="zh-CN"/>
              </w:rPr>
              <w:t>5</w:t>
            </w:r>
            <w:r>
              <w:rPr>
                <w:b/>
                <w:bCs/>
                <w:u w:val="single"/>
              </w:rPr>
              <w:t xml:space="preserve">  项目</w:t>
            </w:r>
            <w:r>
              <w:rPr>
                <w:rFonts w:hint="eastAsia"/>
                <w:b/>
                <w:bCs/>
                <w:u w:val="single"/>
                <w:lang w:eastAsia="zh-CN"/>
              </w:rPr>
              <w:t>物料平衡</w:t>
            </w:r>
          </w:p>
          <w:tbl>
            <w:tblPr>
              <w:tblStyle w:val="21"/>
              <w:tblW w:w="76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567"/>
              <w:gridCol w:w="1545"/>
              <w:gridCol w:w="1500"/>
              <w:gridCol w:w="840"/>
              <w:gridCol w:w="1090"/>
              <w:gridCol w:w="150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5" w:hRule="atLeast"/>
                <w:jc w:val="center"/>
              </w:trPr>
              <w:tc>
                <w:tcPr>
                  <w:tcW w:w="630" w:type="dxa"/>
                  <w:vMerge w:val="restart"/>
                  <w:noWrap w:val="0"/>
                  <w:vAlign w:val="center"/>
                </w:tcPr>
                <w:p>
                  <w:pPr>
                    <w:jc w:val="center"/>
                    <w:rPr>
                      <w:sz w:val="21"/>
                      <w:szCs w:val="21"/>
                      <w:u w:val="single"/>
                    </w:rPr>
                  </w:pPr>
                  <w:r>
                    <w:rPr>
                      <w:sz w:val="21"/>
                      <w:szCs w:val="21"/>
                      <w:u w:val="single"/>
                    </w:rPr>
                    <w:t>序号</w:t>
                  </w:r>
                </w:p>
              </w:tc>
              <w:tc>
                <w:tcPr>
                  <w:tcW w:w="3612" w:type="dxa"/>
                  <w:gridSpan w:val="3"/>
                  <w:tcBorders>
                    <w:right w:val="single" w:color="auto" w:sz="4" w:space="0"/>
                  </w:tcBorders>
                  <w:noWrap w:val="0"/>
                  <w:vAlign w:val="center"/>
                </w:tcPr>
                <w:p>
                  <w:pPr>
                    <w:jc w:val="center"/>
                    <w:rPr>
                      <w:sz w:val="21"/>
                      <w:szCs w:val="21"/>
                      <w:u w:val="single"/>
                    </w:rPr>
                  </w:pPr>
                  <w:r>
                    <w:rPr>
                      <w:sz w:val="21"/>
                      <w:szCs w:val="21"/>
                      <w:u w:val="single"/>
                    </w:rPr>
                    <w:t>入  方</w:t>
                  </w:r>
                </w:p>
              </w:tc>
              <w:tc>
                <w:tcPr>
                  <w:tcW w:w="3438" w:type="dxa"/>
                  <w:gridSpan w:val="3"/>
                  <w:tcBorders>
                    <w:right w:val="single" w:color="auto" w:sz="4" w:space="0"/>
                  </w:tcBorders>
                  <w:noWrap w:val="0"/>
                  <w:vAlign w:val="center"/>
                </w:tcPr>
                <w:p>
                  <w:pPr>
                    <w:jc w:val="center"/>
                    <w:rPr>
                      <w:sz w:val="21"/>
                      <w:szCs w:val="21"/>
                      <w:u w:val="single"/>
                    </w:rPr>
                  </w:pPr>
                  <w:r>
                    <w:rPr>
                      <w:sz w:val="21"/>
                      <w:szCs w:val="21"/>
                      <w:u w:val="single"/>
                    </w:rPr>
                    <w:t>出  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630" w:type="dxa"/>
                  <w:vMerge w:val="continue"/>
                  <w:noWrap w:val="0"/>
                  <w:vAlign w:val="center"/>
                </w:tcPr>
                <w:p>
                  <w:pPr>
                    <w:jc w:val="center"/>
                    <w:rPr>
                      <w:sz w:val="21"/>
                      <w:szCs w:val="21"/>
                      <w:u w:val="single"/>
                    </w:rPr>
                  </w:pPr>
                </w:p>
              </w:tc>
              <w:tc>
                <w:tcPr>
                  <w:tcW w:w="2112" w:type="dxa"/>
                  <w:gridSpan w:val="2"/>
                  <w:noWrap w:val="0"/>
                  <w:vAlign w:val="center"/>
                </w:tcPr>
                <w:p>
                  <w:pPr>
                    <w:jc w:val="center"/>
                    <w:rPr>
                      <w:sz w:val="21"/>
                      <w:szCs w:val="21"/>
                      <w:u w:val="single"/>
                    </w:rPr>
                  </w:pPr>
                  <w:r>
                    <w:rPr>
                      <w:sz w:val="21"/>
                      <w:szCs w:val="21"/>
                      <w:u w:val="single"/>
                    </w:rPr>
                    <w:t>物料名称</w:t>
                  </w:r>
                </w:p>
              </w:tc>
              <w:tc>
                <w:tcPr>
                  <w:tcW w:w="1500" w:type="dxa"/>
                  <w:noWrap w:val="0"/>
                  <w:vAlign w:val="center"/>
                </w:tcPr>
                <w:p>
                  <w:pPr>
                    <w:jc w:val="center"/>
                    <w:rPr>
                      <w:sz w:val="21"/>
                      <w:szCs w:val="21"/>
                      <w:u w:val="single"/>
                    </w:rPr>
                  </w:pPr>
                  <w:r>
                    <w:rPr>
                      <w:sz w:val="21"/>
                      <w:szCs w:val="21"/>
                      <w:u w:val="single"/>
                    </w:rPr>
                    <w:t>数量（吨/年）</w:t>
                  </w:r>
                </w:p>
              </w:tc>
              <w:tc>
                <w:tcPr>
                  <w:tcW w:w="1930" w:type="dxa"/>
                  <w:gridSpan w:val="2"/>
                  <w:noWrap w:val="0"/>
                  <w:vAlign w:val="center"/>
                </w:tcPr>
                <w:p>
                  <w:pPr>
                    <w:jc w:val="center"/>
                    <w:rPr>
                      <w:sz w:val="21"/>
                      <w:szCs w:val="21"/>
                      <w:u w:val="single"/>
                    </w:rPr>
                  </w:pPr>
                  <w:r>
                    <w:rPr>
                      <w:sz w:val="21"/>
                      <w:szCs w:val="21"/>
                      <w:u w:val="single"/>
                    </w:rPr>
                    <w:t>物料名称</w:t>
                  </w:r>
                </w:p>
              </w:tc>
              <w:tc>
                <w:tcPr>
                  <w:tcW w:w="1508" w:type="dxa"/>
                  <w:noWrap w:val="0"/>
                  <w:vAlign w:val="center"/>
                </w:tcPr>
                <w:p>
                  <w:pPr>
                    <w:jc w:val="center"/>
                    <w:rPr>
                      <w:sz w:val="21"/>
                      <w:szCs w:val="21"/>
                      <w:u w:val="single"/>
                    </w:rPr>
                  </w:pPr>
                  <w:r>
                    <w:rPr>
                      <w:sz w:val="21"/>
                      <w:szCs w:val="21"/>
                      <w:u w:val="single"/>
                    </w:rPr>
                    <w:t>数量（吨/年）</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30" w:type="dxa"/>
                  <w:noWrap w:val="0"/>
                  <w:vAlign w:val="center"/>
                </w:tcPr>
                <w:p>
                  <w:pPr>
                    <w:jc w:val="center"/>
                    <w:rPr>
                      <w:sz w:val="21"/>
                      <w:szCs w:val="21"/>
                      <w:u w:val="single"/>
                    </w:rPr>
                  </w:pPr>
                  <w:r>
                    <w:rPr>
                      <w:sz w:val="21"/>
                      <w:szCs w:val="21"/>
                      <w:u w:val="single"/>
                    </w:rPr>
                    <w:t>1</w:t>
                  </w:r>
                </w:p>
              </w:tc>
              <w:tc>
                <w:tcPr>
                  <w:tcW w:w="567" w:type="dxa"/>
                  <w:vMerge w:val="restart"/>
                  <w:tcBorders>
                    <w:right w:val="single" w:color="auto" w:sz="4" w:space="0"/>
                  </w:tcBorders>
                  <w:noWrap w:val="0"/>
                  <w:vAlign w:val="center"/>
                </w:tcPr>
                <w:p>
                  <w:pPr>
                    <w:jc w:val="center"/>
                    <w:rPr>
                      <w:rFonts w:hint="default" w:eastAsia="宋体"/>
                      <w:b w:val="0"/>
                      <w:kern w:val="0"/>
                      <w:sz w:val="21"/>
                      <w:szCs w:val="21"/>
                      <w:u w:val="single"/>
                      <w:lang w:val="en-US" w:eastAsia="zh-CN"/>
                    </w:rPr>
                  </w:pPr>
                  <w:r>
                    <w:rPr>
                      <w:rFonts w:hint="eastAsia"/>
                      <w:b w:val="0"/>
                      <w:kern w:val="0"/>
                      <w:sz w:val="21"/>
                      <w:szCs w:val="21"/>
                      <w:u w:val="single"/>
                      <w:lang w:val="en-US" w:eastAsia="zh-CN"/>
                    </w:rPr>
                    <w:t>主要原料</w:t>
                  </w:r>
                </w:p>
              </w:tc>
              <w:tc>
                <w:tcPr>
                  <w:tcW w:w="1545" w:type="dxa"/>
                  <w:tcBorders>
                    <w:left w:val="single" w:color="auto" w:sz="4" w:space="0"/>
                  </w:tcBorders>
                  <w:noWrap w:val="0"/>
                  <w:vAlign w:val="center"/>
                </w:tcPr>
                <w:p>
                  <w:pPr>
                    <w:jc w:val="center"/>
                    <w:rPr>
                      <w:rFonts w:hint="eastAsia"/>
                      <w:szCs w:val="21"/>
                      <w:u w:val="single"/>
                    </w:rPr>
                  </w:pPr>
                  <w:r>
                    <w:rPr>
                      <w:rFonts w:hint="eastAsia"/>
                      <w:szCs w:val="21"/>
                      <w:u w:val="single"/>
                    </w:rPr>
                    <w:t>冷压块</w:t>
                  </w:r>
                </w:p>
              </w:tc>
              <w:tc>
                <w:tcPr>
                  <w:tcW w:w="1500" w:type="dxa"/>
                  <w:noWrap w:val="0"/>
                  <w:vAlign w:val="center"/>
                </w:tcPr>
                <w:p>
                  <w:pPr>
                    <w:jc w:val="center"/>
                    <w:rPr>
                      <w:rFonts w:hint="default"/>
                      <w:kern w:val="0"/>
                      <w:sz w:val="21"/>
                      <w:szCs w:val="21"/>
                      <w:u w:val="single"/>
                      <w:lang w:val="en-US"/>
                    </w:rPr>
                  </w:pPr>
                  <w:r>
                    <w:rPr>
                      <w:rFonts w:hint="eastAsia"/>
                      <w:szCs w:val="21"/>
                      <w:u w:val="single"/>
                      <w:lang w:val="en-US" w:eastAsia="zh-CN"/>
                    </w:rPr>
                    <w:t>1250.8</w:t>
                  </w:r>
                </w:p>
              </w:tc>
              <w:tc>
                <w:tcPr>
                  <w:tcW w:w="840" w:type="dxa"/>
                  <w:vMerge w:val="restart"/>
                  <w:noWrap w:val="0"/>
                  <w:vAlign w:val="center"/>
                </w:tcPr>
                <w:p>
                  <w:pPr>
                    <w:jc w:val="center"/>
                    <w:rPr>
                      <w:sz w:val="21"/>
                      <w:szCs w:val="21"/>
                      <w:u w:val="single"/>
                    </w:rPr>
                  </w:pPr>
                  <w:r>
                    <w:rPr>
                      <w:sz w:val="21"/>
                      <w:szCs w:val="21"/>
                      <w:u w:val="single"/>
                    </w:rPr>
                    <w:t>产品</w:t>
                  </w:r>
                </w:p>
              </w:tc>
              <w:tc>
                <w:tcPr>
                  <w:tcW w:w="1090" w:type="dxa"/>
                  <w:vMerge w:val="restart"/>
                  <w:noWrap w:val="0"/>
                  <w:vAlign w:val="center"/>
                </w:tcPr>
                <w:p>
                  <w:pPr>
                    <w:pStyle w:val="27"/>
                    <w:snapToGrid w:val="0"/>
                    <w:jc w:val="center"/>
                    <w:rPr>
                      <w:u w:val="single"/>
                    </w:rPr>
                  </w:pPr>
                  <w:r>
                    <w:rPr>
                      <w:rFonts w:hint="eastAsia" w:ascii="Times New Roman" w:hAnsi="Times New Roman"/>
                      <w:color w:val="auto"/>
                      <w:sz w:val="21"/>
                      <w:u w:val="single"/>
                      <w:lang w:val="en-US" w:eastAsia="zh-CN"/>
                    </w:rPr>
                    <w:t>EPS</w:t>
                  </w:r>
                  <w:r>
                    <w:rPr>
                      <w:rFonts w:ascii="Times New Roman" w:hAnsi="Times New Roman"/>
                      <w:color w:val="auto"/>
                      <w:sz w:val="21"/>
                      <w:u w:val="single"/>
                    </w:rPr>
                    <w:t>颗粒</w:t>
                  </w:r>
                </w:p>
              </w:tc>
              <w:tc>
                <w:tcPr>
                  <w:tcW w:w="1508" w:type="dxa"/>
                  <w:vMerge w:val="restart"/>
                  <w:noWrap w:val="0"/>
                  <w:vAlign w:val="center"/>
                </w:tcPr>
                <w:p>
                  <w:pPr>
                    <w:pStyle w:val="60"/>
                    <w:jc w:val="center"/>
                    <w:rPr>
                      <w:rFonts w:hint="default" w:eastAsia="宋体"/>
                      <w:u w:val="single"/>
                      <w:lang w:val="en-US" w:eastAsia="zh-CN"/>
                    </w:rPr>
                  </w:pPr>
                  <w:r>
                    <w:rPr>
                      <w:rFonts w:hint="eastAsia"/>
                      <w:u w:val="single"/>
                      <w:lang w:val="en-US" w:eastAsia="zh-CN"/>
                    </w:rPr>
                    <w:t>3750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30" w:type="dxa"/>
                  <w:noWrap w:val="0"/>
                  <w:vAlign w:val="center"/>
                </w:tcPr>
                <w:p>
                  <w:pPr>
                    <w:jc w:val="center"/>
                    <w:rPr>
                      <w:sz w:val="21"/>
                      <w:szCs w:val="21"/>
                      <w:u w:val="single"/>
                    </w:rPr>
                  </w:pPr>
                  <w:r>
                    <w:rPr>
                      <w:sz w:val="21"/>
                      <w:szCs w:val="21"/>
                      <w:u w:val="single"/>
                    </w:rPr>
                    <w:t>2</w:t>
                  </w:r>
                </w:p>
              </w:tc>
              <w:tc>
                <w:tcPr>
                  <w:tcW w:w="567" w:type="dxa"/>
                  <w:vMerge w:val="continue"/>
                  <w:tcBorders>
                    <w:right w:val="single" w:color="auto" w:sz="4" w:space="0"/>
                  </w:tcBorders>
                  <w:noWrap w:val="0"/>
                  <w:vAlign w:val="center"/>
                </w:tcPr>
                <w:p>
                  <w:pPr>
                    <w:jc w:val="center"/>
                    <w:rPr>
                      <w:rFonts w:ascii="Times New Roman" w:hAnsi="Times New Roman"/>
                      <w:sz w:val="21"/>
                      <w:szCs w:val="20"/>
                      <w:u w:val="single"/>
                    </w:rPr>
                  </w:pPr>
                </w:p>
              </w:tc>
              <w:tc>
                <w:tcPr>
                  <w:tcW w:w="1545" w:type="dxa"/>
                  <w:tcBorders>
                    <w:left w:val="single" w:color="auto" w:sz="4" w:space="0"/>
                  </w:tcBorders>
                  <w:noWrap w:val="0"/>
                  <w:vAlign w:val="center"/>
                </w:tcPr>
                <w:p>
                  <w:pPr>
                    <w:jc w:val="center"/>
                    <w:rPr>
                      <w:rFonts w:hint="eastAsia"/>
                      <w:szCs w:val="21"/>
                      <w:u w:val="single"/>
                    </w:rPr>
                  </w:pPr>
                  <w:r>
                    <w:rPr>
                      <w:rFonts w:hint="eastAsia"/>
                      <w:szCs w:val="21"/>
                      <w:u w:val="single"/>
                    </w:rPr>
                    <w:t>热熔块</w:t>
                  </w:r>
                </w:p>
              </w:tc>
              <w:tc>
                <w:tcPr>
                  <w:tcW w:w="1500" w:type="dxa"/>
                  <w:noWrap w:val="0"/>
                  <w:vAlign w:val="center"/>
                </w:tcPr>
                <w:p>
                  <w:pPr>
                    <w:jc w:val="center"/>
                    <w:rPr>
                      <w:rFonts w:hint="default" w:ascii="Times New Roman" w:hAnsi="Times New Roman"/>
                      <w:sz w:val="21"/>
                      <w:u w:val="single"/>
                      <w:lang w:val="en-US"/>
                    </w:rPr>
                  </w:pPr>
                  <w:r>
                    <w:rPr>
                      <w:rFonts w:hint="eastAsia"/>
                      <w:szCs w:val="21"/>
                      <w:u w:val="single"/>
                      <w:lang w:val="en-US" w:eastAsia="zh-CN"/>
                    </w:rPr>
                    <w:t>1250.8</w:t>
                  </w:r>
                </w:p>
              </w:tc>
              <w:tc>
                <w:tcPr>
                  <w:tcW w:w="840" w:type="dxa"/>
                  <w:vMerge w:val="continue"/>
                  <w:noWrap w:val="0"/>
                  <w:vAlign w:val="center"/>
                </w:tcPr>
                <w:p>
                  <w:pPr>
                    <w:pStyle w:val="17"/>
                    <w:jc w:val="center"/>
                    <w:rPr>
                      <w:rFonts w:ascii="Times New Roman" w:hAnsi="Times New Roman"/>
                      <w:sz w:val="21"/>
                      <w:u w:val="single"/>
                    </w:rPr>
                  </w:pPr>
                </w:p>
              </w:tc>
              <w:tc>
                <w:tcPr>
                  <w:tcW w:w="1090" w:type="dxa"/>
                  <w:vMerge w:val="continue"/>
                  <w:noWrap w:val="0"/>
                  <w:vAlign w:val="center"/>
                </w:tcPr>
                <w:p>
                  <w:pPr>
                    <w:pStyle w:val="27"/>
                    <w:snapToGrid w:val="0"/>
                    <w:jc w:val="center"/>
                    <w:rPr>
                      <w:u w:val="single"/>
                    </w:rPr>
                  </w:pPr>
                </w:p>
              </w:tc>
              <w:tc>
                <w:tcPr>
                  <w:tcW w:w="1508" w:type="dxa"/>
                  <w:vMerge w:val="continue"/>
                  <w:noWrap w:val="0"/>
                  <w:vAlign w:val="center"/>
                </w:tcPr>
                <w:p>
                  <w:pPr>
                    <w:pStyle w:val="60"/>
                    <w:jc w:val="center"/>
                    <w:rPr>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630" w:type="dxa"/>
                  <w:noWrap w:val="0"/>
                  <w:vAlign w:val="center"/>
                </w:tcPr>
                <w:p>
                  <w:pPr>
                    <w:jc w:val="center"/>
                    <w:rPr>
                      <w:sz w:val="21"/>
                      <w:szCs w:val="21"/>
                      <w:u w:val="single"/>
                    </w:rPr>
                  </w:pPr>
                  <w:r>
                    <w:rPr>
                      <w:sz w:val="21"/>
                      <w:szCs w:val="21"/>
                      <w:u w:val="single"/>
                    </w:rPr>
                    <w:t>3</w:t>
                  </w:r>
                </w:p>
              </w:tc>
              <w:tc>
                <w:tcPr>
                  <w:tcW w:w="567" w:type="dxa"/>
                  <w:vMerge w:val="continue"/>
                  <w:tcBorders>
                    <w:right w:val="single" w:color="auto" w:sz="4" w:space="0"/>
                  </w:tcBorders>
                  <w:noWrap w:val="0"/>
                  <w:vAlign w:val="center"/>
                </w:tcPr>
                <w:p>
                  <w:pPr>
                    <w:jc w:val="center"/>
                    <w:rPr>
                      <w:rFonts w:ascii="Times New Roman" w:hAnsi="Times New Roman"/>
                      <w:sz w:val="21"/>
                      <w:szCs w:val="20"/>
                      <w:u w:val="single"/>
                    </w:rPr>
                  </w:pPr>
                </w:p>
              </w:tc>
              <w:tc>
                <w:tcPr>
                  <w:tcW w:w="1545" w:type="dxa"/>
                  <w:tcBorders>
                    <w:left w:val="single" w:color="auto" w:sz="4" w:space="0"/>
                  </w:tcBorders>
                  <w:noWrap w:val="0"/>
                  <w:vAlign w:val="center"/>
                </w:tcPr>
                <w:p>
                  <w:pPr>
                    <w:jc w:val="center"/>
                    <w:rPr>
                      <w:rFonts w:hint="eastAsia"/>
                      <w:szCs w:val="21"/>
                      <w:u w:val="single"/>
                    </w:rPr>
                  </w:pPr>
                  <w:r>
                    <w:rPr>
                      <w:rFonts w:hint="eastAsia"/>
                      <w:szCs w:val="21"/>
                      <w:u w:val="single"/>
                    </w:rPr>
                    <w:t>原泡沫</w:t>
                  </w:r>
                </w:p>
              </w:tc>
              <w:tc>
                <w:tcPr>
                  <w:tcW w:w="1500" w:type="dxa"/>
                  <w:noWrap w:val="0"/>
                  <w:vAlign w:val="center"/>
                </w:tcPr>
                <w:p>
                  <w:pPr>
                    <w:jc w:val="center"/>
                    <w:rPr>
                      <w:rFonts w:hint="default" w:ascii="Times New Roman" w:hAnsi="Times New Roman"/>
                      <w:sz w:val="21"/>
                      <w:u w:val="single"/>
                      <w:lang w:val="en-US"/>
                    </w:rPr>
                  </w:pPr>
                  <w:r>
                    <w:rPr>
                      <w:rFonts w:hint="eastAsia"/>
                      <w:szCs w:val="21"/>
                      <w:u w:val="single"/>
                      <w:lang w:val="en-US" w:eastAsia="zh-CN"/>
                    </w:rPr>
                    <w:t>1250.8</w:t>
                  </w:r>
                </w:p>
              </w:tc>
              <w:tc>
                <w:tcPr>
                  <w:tcW w:w="840" w:type="dxa"/>
                  <w:vMerge w:val="continue"/>
                  <w:noWrap w:val="0"/>
                  <w:vAlign w:val="center"/>
                </w:tcPr>
                <w:p>
                  <w:pPr>
                    <w:jc w:val="center"/>
                    <w:rPr>
                      <w:sz w:val="21"/>
                      <w:szCs w:val="21"/>
                      <w:u w:val="single"/>
                    </w:rPr>
                  </w:pPr>
                </w:p>
              </w:tc>
              <w:tc>
                <w:tcPr>
                  <w:tcW w:w="1090" w:type="dxa"/>
                  <w:vMerge w:val="continue"/>
                  <w:noWrap w:val="0"/>
                  <w:vAlign w:val="center"/>
                </w:tcPr>
                <w:p>
                  <w:pPr>
                    <w:jc w:val="center"/>
                    <w:rPr>
                      <w:sz w:val="21"/>
                      <w:szCs w:val="21"/>
                      <w:u w:val="single"/>
                    </w:rPr>
                  </w:pPr>
                </w:p>
              </w:tc>
              <w:tc>
                <w:tcPr>
                  <w:tcW w:w="1508" w:type="dxa"/>
                  <w:vMerge w:val="continue"/>
                  <w:noWrap w:val="0"/>
                  <w:vAlign w:val="center"/>
                </w:tcPr>
                <w:p>
                  <w:pPr>
                    <w:autoSpaceDE w:val="0"/>
                    <w:autoSpaceDN w:val="0"/>
                    <w:jc w:val="center"/>
                    <w:rPr>
                      <w:sz w:val="21"/>
                      <w:szCs w:val="21"/>
                      <w:u w:val="singl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30" w:type="dxa"/>
                  <w:noWrap w:val="0"/>
                  <w:vAlign w:val="center"/>
                </w:tcPr>
                <w:p>
                  <w:pPr>
                    <w:jc w:val="center"/>
                    <w:rPr>
                      <w:rFonts w:hint="eastAsia" w:eastAsia="宋体"/>
                      <w:sz w:val="21"/>
                      <w:szCs w:val="21"/>
                      <w:u w:val="single"/>
                      <w:lang w:val="en-US" w:eastAsia="zh-CN"/>
                    </w:rPr>
                  </w:pPr>
                  <w:r>
                    <w:rPr>
                      <w:rFonts w:hint="eastAsia"/>
                      <w:sz w:val="21"/>
                      <w:szCs w:val="21"/>
                      <w:u w:val="single"/>
                      <w:lang w:val="en-US" w:eastAsia="zh-CN"/>
                    </w:rPr>
                    <w:t>4</w:t>
                  </w:r>
                </w:p>
              </w:tc>
              <w:tc>
                <w:tcPr>
                  <w:tcW w:w="567" w:type="dxa"/>
                  <w:vMerge w:val="continue"/>
                  <w:tcBorders>
                    <w:right w:val="single" w:color="auto" w:sz="4" w:space="0"/>
                  </w:tcBorders>
                  <w:noWrap w:val="0"/>
                  <w:vAlign w:val="center"/>
                </w:tcPr>
                <w:p>
                  <w:pPr>
                    <w:jc w:val="center"/>
                    <w:rPr>
                      <w:rFonts w:ascii="Times New Roman" w:hAnsi="Times New Roman"/>
                      <w:sz w:val="21"/>
                      <w:szCs w:val="20"/>
                      <w:u w:val="single"/>
                    </w:rPr>
                  </w:pPr>
                </w:p>
              </w:tc>
              <w:tc>
                <w:tcPr>
                  <w:tcW w:w="1545" w:type="dxa"/>
                  <w:tcBorders>
                    <w:left w:val="single" w:color="auto" w:sz="4" w:space="0"/>
                  </w:tcBorders>
                  <w:noWrap w:val="0"/>
                  <w:vAlign w:val="center"/>
                </w:tcPr>
                <w:p>
                  <w:pPr>
                    <w:jc w:val="center"/>
                    <w:rPr>
                      <w:rFonts w:hint="eastAsia"/>
                      <w:szCs w:val="21"/>
                      <w:u w:val="single"/>
                    </w:rPr>
                  </w:pPr>
                  <w:r>
                    <w:rPr>
                      <w:rFonts w:hint="eastAsia"/>
                      <w:szCs w:val="21"/>
                      <w:u w:val="single"/>
                    </w:rPr>
                    <w:t>汽车旧保险杠</w:t>
                  </w:r>
                </w:p>
              </w:tc>
              <w:tc>
                <w:tcPr>
                  <w:tcW w:w="1500" w:type="dxa"/>
                  <w:noWrap w:val="0"/>
                  <w:vAlign w:val="center"/>
                </w:tcPr>
                <w:p>
                  <w:pPr>
                    <w:jc w:val="center"/>
                    <w:rPr>
                      <w:rFonts w:hint="default" w:ascii="Times New Roman" w:hAnsi="Times New Roman"/>
                      <w:sz w:val="21"/>
                      <w:u w:val="single"/>
                      <w:lang w:val="en-US"/>
                    </w:rPr>
                  </w:pPr>
                  <w:r>
                    <w:rPr>
                      <w:rFonts w:hint="eastAsia"/>
                      <w:szCs w:val="21"/>
                      <w:u w:val="single"/>
                      <w:lang w:val="en-US" w:eastAsia="zh-CN"/>
                    </w:rPr>
                    <w:t>1251.565</w:t>
                  </w:r>
                </w:p>
              </w:tc>
              <w:tc>
                <w:tcPr>
                  <w:tcW w:w="840" w:type="dxa"/>
                  <w:vMerge w:val="continue"/>
                  <w:noWrap w:val="0"/>
                  <w:vAlign w:val="center"/>
                </w:tcPr>
                <w:p>
                  <w:pPr>
                    <w:jc w:val="center"/>
                    <w:rPr>
                      <w:sz w:val="21"/>
                      <w:szCs w:val="21"/>
                      <w:u w:val="single"/>
                    </w:rPr>
                  </w:pPr>
                </w:p>
              </w:tc>
              <w:tc>
                <w:tcPr>
                  <w:tcW w:w="1090" w:type="dxa"/>
                  <w:noWrap w:val="0"/>
                  <w:vAlign w:val="center"/>
                </w:tcPr>
                <w:p>
                  <w:pPr>
                    <w:jc w:val="center"/>
                    <w:rPr>
                      <w:sz w:val="21"/>
                      <w:szCs w:val="21"/>
                      <w:u w:val="single"/>
                    </w:rPr>
                  </w:pPr>
                  <w:r>
                    <w:rPr>
                      <w:rFonts w:hint="eastAsia" w:ascii="Times New Roman" w:hAnsi="Times New Roman"/>
                      <w:color w:val="auto"/>
                      <w:sz w:val="21"/>
                      <w:u w:val="single"/>
                      <w:lang w:val="en-US" w:eastAsia="zh-CN"/>
                    </w:rPr>
                    <w:t>PP</w:t>
                  </w:r>
                  <w:r>
                    <w:rPr>
                      <w:rFonts w:ascii="Times New Roman" w:hAnsi="Times New Roman"/>
                      <w:color w:val="auto"/>
                      <w:sz w:val="21"/>
                      <w:u w:val="single"/>
                    </w:rPr>
                    <w:t>颗粒</w:t>
                  </w:r>
                </w:p>
              </w:tc>
              <w:tc>
                <w:tcPr>
                  <w:tcW w:w="1508" w:type="dxa"/>
                  <w:noWrap w:val="0"/>
                  <w:vAlign w:val="center"/>
                </w:tcPr>
                <w:p>
                  <w:pPr>
                    <w:autoSpaceDE w:val="0"/>
                    <w:autoSpaceDN w:val="0"/>
                    <w:jc w:val="center"/>
                    <w:rPr>
                      <w:rFonts w:hint="default" w:eastAsia="宋体"/>
                      <w:sz w:val="21"/>
                      <w:szCs w:val="21"/>
                      <w:u w:val="single"/>
                      <w:lang w:val="en-US" w:eastAsia="zh-CN"/>
                    </w:rPr>
                  </w:pPr>
                  <w:r>
                    <w:rPr>
                      <w:rFonts w:hint="eastAsia"/>
                      <w:sz w:val="21"/>
                      <w:szCs w:val="21"/>
                      <w:u w:val="single"/>
                      <w:lang w:val="en-US" w:eastAsia="zh-CN"/>
                    </w:rPr>
                    <w:t>1250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30" w:type="dxa"/>
                  <w:noWrap w:val="0"/>
                  <w:vAlign w:val="center"/>
                </w:tcPr>
                <w:p>
                  <w:pPr>
                    <w:jc w:val="center"/>
                    <w:rPr>
                      <w:rFonts w:hint="default"/>
                      <w:sz w:val="21"/>
                      <w:szCs w:val="21"/>
                      <w:u w:val="single"/>
                      <w:lang w:val="en-US" w:eastAsia="zh-CN"/>
                    </w:rPr>
                  </w:pPr>
                  <w:r>
                    <w:rPr>
                      <w:rFonts w:hint="eastAsia"/>
                      <w:sz w:val="21"/>
                      <w:szCs w:val="21"/>
                      <w:u w:val="single"/>
                      <w:lang w:val="en-US" w:eastAsia="zh-CN"/>
                    </w:rPr>
                    <w:t>5</w:t>
                  </w:r>
                </w:p>
              </w:tc>
              <w:tc>
                <w:tcPr>
                  <w:tcW w:w="567" w:type="dxa"/>
                  <w:tcBorders>
                    <w:right w:val="single" w:color="auto" w:sz="4" w:space="0"/>
                  </w:tcBorders>
                  <w:noWrap w:val="0"/>
                  <w:vAlign w:val="center"/>
                </w:tcPr>
                <w:p>
                  <w:pPr>
                    <w:jc w:val="center"/>
                    <w:rPr>
                      <w:rFonts w:ascii="Times New Roman" w:hAnsi="Times New Roman"/>
                      <w:sz w:val="21"/>
                      <w:szCs w:val="20"/>
                      <w:u w:val="single"/>
                    </w:rPr>
                  </w:pPr>
                </w:p>
              </w:tc>
              <w:tc>
                <w:tcPr>
                  <w:tcW w:w="1545" w:type="dxa"/>
                  <w:tcBorders>
                    <w:left w:val="single" w:color="auto" w:sz="4" w:space="0"/>
                  </w:tcBorders>
                  <w:noWrap w:val="0"/>
                  <w:vAlign w:val="center"/>
                </w:tcPr>
                <w:p>
                  <w:pPr>
                    <w:jc w:val="center"/>
                    <w:rPr>
                      <w:rFonts w:hint="eastAsia" w:eastAsia="宋体"/>
                      <w:szCs w:val="21"/>
                      <w:u w:val="single"/>
                      <w:lang w:val="en-US" w:eastAsia="zh-CN"/>
                    </w:rPr>
                  </w:pPr>
                  <w:r>
                    <w:rPr>
                      <w:rFonts w:hint="eastAsia"/>
                      <w:szCs w:val="21"/>
                      <w:u w:val="single"/>
                      <w:lang w:val="en-US" w:eastAsia="zh-CN"/>
                    </w:rPr>
                    <w:t>过滤网</w:t>
                  </w:r>
                </w:p>
              </w:tc>
              <w:tc>
                <w:tcPr>
                  <w:tcW w:w="1500" w:type="dxa"/>
                  <w:noWrap w:val="0"/>
                  <w:vAlign w:val="center"/>
                </w:tcPr>
                <w:p>
                  <w:pPr>
                    <w:jc w:val="center"/>
                    <w:rPr>
                      <w:rFonts w:hint="default"/>
                      <w:szCs w:val="21"/>
                      <w:u w:val="single"/>
                      <w:lang w:val="en-US" w:eastAsia="zh-CN"/>
                    </w:rPr>
                  </w:pPr>
                  <w:r>
                    <w:rPr>
                      <w:rFonts w:hint="eastAsia"/>
                      <w:szCs w:val="21"/>
                      <w:u w:val="single"/>
                      <w:lang w:val="en-US" w:eastAsia="zh-CN"/>
                    </w:rPr>
                    <w:t>0.1</w:t>
                  </w:r>
                </w:p>
              </w:tc>
              <w:tc>
                <w:tcPr>
                  <w:tcW w:w="840" w:type="dxa"/>
                  <w:vMerge w:val="restart"/>
                  <w:noWrap w:val="0"/>
                  <w:vAlign w:val="center"/>
                </w:tcPr>
                <w:p>
                  <w:pPr>
                    <w:jc w:val="center"/>
                    <w:rPr>
                      <w:rFonts w:hint="eastAsia" w:eastAsia="宋体"/>
                      <w:sz w:val="21"/>
                      <w:szCs w:val="21"/>
                      <w:u w:val="single"/>
                      <w:lang w:val="en-US" w:eastAsia="zh-CN"/>
                    </w:rPr>
                  </w:pPr>
                  <w:r>
                    <w:rPr>
                      <w:rFonts w:hint="eastAsia"/>
                      <w:sz w:val="21"/>
                      <w:szCs w:val="21"/>
                      <w:u w:val="single"/>
                      <w:lang w:val="en-US" w:eastAsia="zh-CN"/>
                    </w:rPr>
                    <w:t>废气</w:t>
                  </w:r>
                </w:p>
              </w:tc>
              <w:tc>
                <w:tcPr>
                  <w:tcW w:w="1090" w:type="dxa"/>
                  <w:noWrap w:val="0"/>
                  <w:vAlign w:val="center"/>
                </w:tcPr>
                <w:p>
                  <w:pPr>
                    <w:jc w:val="center"/>
                    <w:rPr>
                      <w:rFonts w:hint="default" w:ascii="Times New Roman" w:hAnsi="Times New Roman"/>
                      <w:color w:val="auto"/>
                      <w:sz w:val="21"/>
                      <w:u w:val="single"/>
                      <w:lang w:val="en-US" w:eastAsia="zh-CN"/>
                    </w:rPr>
                  </w:pPr>
                  <w:r>
                    <w:rPr>
                      <w:rFonts w:hint="eastAsia"/>
                      <w:color w:val="auto"/>
                      <w:sz w:val="21"/>
                      <w:u w:val="single"/>
                      <w:lang w:val="en-US" w:eastAsia="zh-CN"/>
                    </w:rPr>
                    <w:t>颗粒物</w:t>
                  </w:r>
                </w:p>
              </w:tc>
              <w:tc>
                <w:tcPr>
                  <w:tcW w:w="1508" w:type="dxa"/>
                  <w:noWrap w:val="0"/>
                  <w:vAlign w:val="center"/>
                </w:tcPr>
                <w:p>
                  <w:pPr>
                    <w:autoSpaceDE w:val="0"/>
                    <w:autoSpaceDN w:val="0"/>
                    <w:jc w:val="center"/>
                    <w:rPr>
                      <w:rFonts w:hint="eastAsia"/>
                      <w:sz w:val="21"/>
                      <w:szCs w:val="21"/>
                      <w:u w:val="single"/>
                      <w:lang w:val="en-US" w:eastAsia="zh-CN"/>
                    </w:rPr>
                  </w:pPr>
                  <w:r>
                    <w:rPr>
                      <w:rFonts w:hint="eastAsia" w:ascii="Times New Roman" w:hAnsi="Times New Roman" w:cs="Times New Roman"/>
                      <w:color w:val="auto"/>
                      <w:kern w:val="2"/>
                      <w:u w:val="single"/>
                      <w:lang w:val="en-US" w:eastAsia="zh-CN"/>
                    </w:rPr>
                    <w:t>2.125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30" w:type="dxa"/>
                  <w:noWrap w:val="0"/>
                  <w:vAlign w:val="center"/>
                </w:tcPr>
                <w:p>
                  <w:pPr>
                    <w:jc w:val="center"/>
                    <w:rPr>
                      <w:rFonts w:hint="default"/>
                      <w:sz w:val="21"/>
                      <w:szCs w:val="21"/>
                      <w:u w:val="single"/>
                      <w:lang w:val="en-US" w:eastAsia="zh-CN"/>
                    </w:rPr>
                  </w:pPr>
                  <w:r>
                    <w:rPr>
                      <w:rFonts w:hint="eastAsia"/>
                      <w:sz w:val="21"/>
                      <w:szCs w:val="21"/>
                      <w:u w:val="single"/>
                      <w:lang w:val="en-US" w:eastAsia="zh-CN"/>
                    </w:rPr>
                    <w:t>6</w:t>
                  </w:r>
                </w:p>
              </w:tc>
              <w:tc>
                <w:tcPr>
                  <w:tcW w:w="567" w:type="dxa"/>
                  <w:tcBorders>
                    <w:right w:val="single" w:color="auto" w:sz="4" w:space="0"/>
                  </w:tcBorders>
                  <w:noWrap w:val="0"/>
                  <w:vAlign w:val="center"/>
                </w:tcPr>
                <w:p>
                  <w:pPr>
                    <w:jc w:val="center"/>
                    <w:rPr>
                      <w:rFonts w:ascii="Times New Roman" w:hAnsi="Times New Roman"/>
                      <w:sz w:val="21"/>
                      <w:szCs w:val="20"/>
                      <w:u w:val="single"/>
                    </w:rPr>
                  </w:pPr>
                </w:p>
              </w:tc>
              <w:tc>
                <w:tcPr>
                  <w:tcW w:w="1545" w:type="dxa"/>
                  <w:tcBorders>
                    <w:left w:val="single" w:color="auto" w:sz="4" w:space="0"/>
                  </w:tcBorders>
                  <w:noWrap w:val="0"/>
                  <w:vAlign w:val="center"/>
                </w:tcPr>
                <w:p>
                  <w:pPr>
                    <w:jc w:val="center"/>
                    <w:rPr>
                      <w:rFonts w:hint="default" w:eastAsia="宋体"/>
                      <w:szCs w:val="21"/>
                      <w:u w:val="single"/>
                      <w:lang w:val="en-US" w:eastAsia="zh-CN"/>
                    </w:rPr>
                  </w:pPr>
                  <w:r>
                    <w:rPr>
                      <w:rFonts w:hint="eastAsia"/>
                      <w:szCs w:val="21"/>
                      <w:u w:val="single"/>
                      <w:lang w:val="en-US" w:eastAsia="zh-CN"/>
                    </w:rPr>
                    <w:t>包装材料</w:t>
                  </w:r>
                </w:p>
              </w:tc>
              <w:tc>
                <w:tcPr>
                  <w:tcW w:w="1500" w:type="dxa"/>
                  <w:noWrap w:val="0"/>
                  <w:vAlign w:val="center"/>
                </w:tcPr>
                <w:p>
                  <w:pPr>
                    <w:jc w:val="center"/>
                    <w:rPr>
                      <w:rFonts w:hint="default"/>
                      <w:szCs w:val="21"/>
                      <w:u w:val="single"/>
                      <w:lang w:val="en-US" w:eastAsia="zh-CN"/>
                    </w:rPr>
                  </w:pPr>
                  <w:r>
                    <w:rPr>
                      <w:rFonts w:hint="eastAsia"/>
                      <w:szCs w:val="21"/>
                      <w:u w:val="single"/>
                      <w:lang w:val="en-US" w:eastAsia="zh-CN"/>
                    </w:rPr>
                    <w:t>0.2</w:t>
                  </w:r>
                </w:p>
              </w:tc>
              <w:tc>
                <w:tcPr>
                  <w:tcW w:w="840" w:type="dxa"/>
                  <w:vMerge w:val="continue"/>
                  <w:noWrap w:val="0"/>
                  <w:vAlign w:val="center"/>
                </w:tcPr>
                <w:p>
                  <w:pPr>
                    <w:jc w:val="center"/>
                    <w:rPr>
                      <w:sz w:val="21"/>
                      <w:szCs w:val="21"/>
                      <w:u w:val="single"/>
                    </w:rPr>
                  </w:pPr>
                </w:p>
              </w:tc>
              <w:tc>
                <w:tcPr>
                  <w:tcW w:w="1090" w:type="dxa"/>
                  <w:noWrap w:val="0"/>
                  <w:vAlign w:val="center"/>
                </w:tcPr>
                <w:p>
                  <w:pPr>
                    <w:jc w:val="center"/>
                    <w:rPr>
                      <w:rFonts w:hint="default" w:ascii="Times New Roman" w:hAnsi="Times New Roman"/>
                      <w:color w:val="auto"/>
                      <w:sz w:val="21"/>
                      <w:u w:val="single"/>
                      <w:lang w:val="en-US" w:eastAsia="zh-CN"/>
                    </w:rPr>
                  </w:pPr>
                  <w:r>
                    <w:rPr>
                      <w:rFonts w:hint="eastAsia"/>
                      <w:color w:val="auto"/>
                      <w:sz w:val="21"/>
                      <w:u w:val="single"/>
                      <w:lang w:val="en-US" w:eastAsia="zh-CN"/>
                    </w:rPr>
                    <w:t>有机废气</w:t>
                  </w:r>
                </w:p>
              </w:tc>
              <w:tc>
                <w:tcPr>
                  <w:tcW w:w="1508" w:type="dxa"/>
                  <w:noWrap w:val="0"/>
                  <w:vAlign w:val="center"/>
                </w:tcPr>
                <w:p>
                  <w:pPr>
                    <w:autoSpaceDE w:val="0"/>
                    <w:autoSpaceDN w:val="0"/>
                    <w:jc w:val="center"/>
                    <w:rPr>
                      <w:rFonts w:hint="default"/>
                      <w:sz w:val="21"/>
                      <w:szCs w:val="21"/>
                      <w:u w:val="single"/>
                      <w:lang w:val="en-US" w:eastAsia="zh-CN"/>
                    </w:rPr>
                  </w:pPr>
                  <w:r>
                    <w:rPr>
                      <w:rFonts w:hint="eastAsia"/>
                      <w:sz w:val="21"/>
                      <w:szCs w:val="21"/>
                      <w:u w:val="single"/>
                      <w:lang w:val="en-US" w:eastAsia="zh-CN"/>
                    </w:rPr>
                    <w:t>1.84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30" w:type="dxa"/>
                  <w:noWrap w:val="0"/>
                  <w:vAlign w:val="center"/>
                </w:tcPr>
                <w:p>
                  <w:pPr>
                    <w:jc w:val="center"/>
                    <w:rPr>
                      <w:rFonts w:hint="eastAsia"/>
                      <w:sz w:val="21"/>
                      <w:szCs w:val="21"/>
                      <w:u w:val="single"/>
                      <w:lang w:val="en-US" w:eastAsia="zh-CN"/>
                    </w:rPr>
                  </w:pPr>
                </w:p>
              </w:tc>
              <w:tc>
                <w:tcPr>
                  <w:tcW w:w="567" w:type="dxa"/>
                  <w:tcBorders>
                    <w:right w:val="single" w:color="auto" w:sz="4" w:space="0"/>
                  </w:tcBorders>
                  <w:noWrap w:val="0"/>
                  <w:vAlign w:val="center"/>
                </w:tcPr>
                <w:p>
                  <w:pPr>
                    <w:jc w:val="center"/>
                    <w:rPr>
                      <w:rFonts w:ascii="Times New Roman" w:hAnsi="Times New Roman"/>
                      <w:sz w:val="21"/>
                      <w:szCs w:val="20"/>
                      <w:u w:val="single"/>
                    </w:rPr>
                  </w:pPr>
                </w:p>
              </w:tc>
              <w:tc>
                <w:tcPr>
                  <w:tcW w:w="1545" w:type="dxa"/>
                  <w:tcBorders>
                    <w:left w:val="single" w:color="auto" w:sz="4" w:space="0"/>
                  </w:tcBorders>
                  <w:noWrap w:val="0"/>
                  <w:vAlign w:val="center"/>
                </w:tcPr>
                <w:p>
                  <w:pPr>
                    <w:jc w:val="center"/>
                    <w:rPr>
                      <w:rFonts w:hint="eastAsia"/>
                      <w:szCs w:val="21"/>
                      <w:u w:val="single"/>
                    </w:rPr>
                  </w:pPr>
                </w:p>
              </w:tc>
              <w:tc>
                <w:tcPr>
                  <w:tcW w:w="1500" w:type="dxa"/>
                  <w:noWrap w:val="0"/>
                  <w:vAlign w:val="center"/>
                </w:tcPr>
                <w:p>
                  <w:pPr>
                    <w:jc w:val="center"/>
                    <w:rPr>
                      <w:rFonts w:hint="eastAsia"/>
                      <w:szCs w:val="21"/>
                      <w:u w:val="single"/>
                      <w:lang w:val="en-US" w:eastAsia="zh-CN"/>
                    </w:rPr>
                  </w:pPr>
                </w:p>
              </w:tc>
              <w:tc>
                <w:tcPr>
                  <w:tcW w:w="840" w:type="dxa"/>
                  <w:vMerge w:val="restart"/>
                  <w:noWrap w:val="0"/>
                  <w:vAlign w:val="center"/>
                </w:tcPr>
                <w:p>
                  <w:pPr>
                    <w:jc w:val="center"/>
                    <w:rPr>
                      <w:rFonts w:hint="eastAsia" w:eastAsia="宋体"/>
                      <w:sz w:val="21"/>
                      <w:szCs w:val="21"/>
                      <w:u w:val="single"/>
                      <w:lang w:val="en-US" w:eastAsia="zh-CN"/>
                    </w:rPr>
                  </w:pPr>
                  <w:r>
                    <w:rPr>
                      <w:rFonts w:hint="eastAsia"/>
                      <w:sz w:val="21"/>
                      <w:szCs w:val="21"/>
                      <w:u w:val="single"/>
                      <w:lang w:val="en-US" w:eastAsia="zh-CN"/>
                    </w:rPr>
                    <w:t>固废</w:t>
                  </w:r>
                </w:p>
              </w:tc>
              <w:tc>
                <w:tcPr>
                  <w:tcW w:w="1090" w:type="dxa"/>
                  <w:noWrap w:val="0"/>
                  <w:vAlign w:val="center"/>
                </w:tcPr>
                <w:p>
                  <w:pPr>
                    <w:jc w:val="center"/>
                    <w:rPr>
                      <w:rFonts w:hint="default"/>
                      <w:color w:val="auto"/>
                      <w:sz w:val="21"/>
                      <w:u w:val="single"/>
                      <w:lang w:val="en-US" w:eastAsia="zh-CN"/>
                    </w:rPr>
                  </w:pPr>
                  <w:r>
                    <w:rPr>
                      <w:rFonts w:hint="eastAsia"/>
                      <w:color w:val="auto"/>
                      <w:sz w:val="21"/>
                      <w:u w:val="single"/>
                      <w:lang w:val="en-US" w:eastAsia="zh-CN"/>
                    </w:rPr>
                    <w:t>过滤网</w:t>
                  </w:r>
                </w:p>
              </w:tc>
              <w:tc>
                <w:tcPr>
                  <w:tcW w:w="1508" w:type="dxa"/>
                  <w:noWrap w:val="0"/>
                  <w:vAlign w:val="center"/>
                </w:tcPr>
                <w:p>
                  <w:pPr>
                    <w:autoSpaceDE w:val="0"/>
                    <w:autoSpaceDN w:val="0"/>
                    <w:jc w:val="center"/>
                    <w:rPr>
                      <w:rFonts w:hint="default"/>
                      <w:sz w:val="21"/>
                      <w:szCs w:val="21"/>
                      <w:u w:val="single"/>
                      <w:lang w:val="en-US" w:eastAsia="zh-CN"/>
                    </w:rPr>
                  </w:pPr>
                  <w:r>
                    <w:rPr>
                      <w:rFonts w:hint="eastAsia"/>
                      <w:sz w:val="21"/>
                      <w:szCs w:val="21"/>
                      <w:u w:val="single"/>
                      <w:lang w:val="en-US" w:eastAsia="zh-CN"/>
                    </w:rPr>
                    <w:t>0.1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630" w:type="dxa"/>
                  <w:noWrap w:val="0"/>
                  <w:vAlign w:val="center"/>
                </w:tcPr>
                <w:p>
                  <w:pPr>
                    <w:jc w:val="center"/>
                    <w:rPr>
                      <w:rFonts w:hint="eastAsia"/>
                      <w:sz w:val="21"/>
                      <w:szCs w:val="21"/>
                      <w:u w:val="single"/>
                      <w:lang w:val="en-US" w:eastAsia="zh-CN"/>
                    </w:rPr>
                  </w:pPr>
                </w:p>
              </w:tc>
              <w:tc>
                <w:tcPr>
                  <w:tcW w:w="567" w:type="dxa"/>
                  <w:tcBorders>
                    <w:right w:val="single" w:color="auto" w:sz="4" w:space="0"/>
                  </w:tcBorders>
                  <w:noWrap w:val="0"/>
                  <w:vAlign w:val="center"/>
                </w:tcPr>
                <w:p>
                  <w:pPr>
                    <w:jc w:val="center"/>
                    <w:rPr>
                      <w:rFonts w:ascii="Times New Roman" w:hAnsi="Times New Roman"/>
                      <w:sz w:val="21"/>
                      <w:szCs w:val="20"/>
                      <w:u w:val="single"/>
                    </w:rPr>
                  </w:pPr>
                </w:p>
              </w:tc>
              <w:tc>
                <w:tcPr>
                  <w:tcW w:w="1545" w:type="dxa"/>
                  <w:tcBorders>
                    <w:left w:val="single" w:color="auto" w:sz="4" w:space="0"/>
                  </w:tcBorders>
                  <w:noWrap w:val="0"/>
                  <w:vAlign w:val="center"/>
                </w:tcPr>
                <w:p>
                  <w:pPr>
                    <w:jc w:val="center"/>
                    <w:rPr>
                      <w:rFonts w:hint="eastAsia"/>
                      <w:szCs w:val="21"/>
                      <w:u w:val="single"/>
                    </w:rPr>
                  </w:pPr>
                </w:p>
              </w:tc>
              <w:tc>
                <w:tcPr>
                  <w:tcW w:w="1500" w:type="dxa"/>
                  <w:noWrap w:val="0"/>
                  <w:vAlign w:val="center"/>
                </w:tcPr>
                <w:p>
                  <w:pPr>
                    <w:jc w:val="center"/>
                    <w:rPr>
                      <w:rFonts w:hint="eastAsia"/>
                      <w:szCs w:val="21"/>
                      <w:u w:val="single"/>
                      <w:lang w:val="en-US" w:eastAsia="zh-CN"/>
                    </w:rPr>
                  </w:pPr>
                </w:p>
              </w:tc>
              <w:tc>
                <w:tcPr>
                  <w:tcW w:w="840" w:type="dxa"/>
                  <w:vMerge w:val="continue"/>
                  <w:noWrap w:val="0"/>
                  <w:vAlign w:val="center"/>
                </w:tcPr>
                <w:p>
                  <w:pPr>
                    <w:jc w:val="center"/>
                    <w:rPr>
                      <w:rFonts w:hint="eastAsia"/>
                      <w:sz w:val="21"/>
                      <w:szCs w:val="21"/>
                      <w:u w:val="single"/>
                      <w:lang w:val="en-US" w:eastAsia="zh-CN"/>
                    </w:rPr>
                  </w:pPr>
                </w:p>
              </w:tc>
              <w:tc>
                <w:tcPr>
                  <w:tcW w:w="1090" w:type="dxa"/>
                  <w:noWrap w:val="0"/>
                  <w:vAlign w:val="center"/>
                </w:tcPr>
                <w:p>
                  <w:pPr>
                    <w:jc w:val="center"/>
                    <w:rPr>
                      <w:rFonts w:hint="default"/>
                      <w:color w:val="auto"/>
                      <w:sz w:val="21"/>
                      <w:u w:val="single"/>
                      <w:lang w:val="en-US" w:eastAsia="zh-CN"/>
                    </w:rPr>
                  </w:pPr>
                  <w:r>
                    <w:rPr>
                      <w:rFonts w:hint="eastAsia"/>
                      <w:color w:val="auto"/>
                      <w:sz w:val="21"/>
                      <w:u w:val="single"/>
                      <w:lang w:val="en-US" w:eastAsia="zh-CN"/>
                    </w:rPr>
                    <w:t>废包装</w:t>
                  </w:r>
                </w:p>
              </w:tc>
              <w:tc>
                <w:tcPr>
                  <w:tcW w:w="1508" w:type="dxa"/>
                  <w:noWrap w:val="0"/>
                  <w:vAlign w:val="center"/>
                </w:tcPr>
                <w:p>
                  <w:pPr>
                    <w:autoSpaceDE w:val="0"/>
                    <w:autoSpaceDN w:val="0"/>
                    <w:jc w:val="center"/>
                    <w:rPr>
                      <w:rFonts w:hint="default"/>
                      <w:sz w:val="21"/>
                      <w:szCs w:val="21"/>
                      <w:u w:val="single"/>
                      <w:lang w:val="en-US" w:eastAsia="zh-CN"/>
                    </w:rPr>
                  </w:pPr>
                  <w:r>
                    <w:rPr>
                      <w:rFonts w:hint="eastAsia"/>
                      <w:sz w:val="21"/>
                      <w:szCs w:val="21"/>
                      <w:u w:val="single"/>
                      <w:lang w:val="en-US" w:eastAsia="zh-CN"/>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2742" w:type="dxa"/>
                  <w:gridSpan w:val="3"/>
                  <w:noWrap w:val="0"/>
                  <w:vAlign w:val="center"/>
                </w:tcPr>
                <w:p>
                  <w:pPr>
                    <w:jc w:val="center"/>
                    <w:rPr>
                      <w:rFonts w:hint="eastAsia" w:eastAsia="宋体"/>
                      <w:szCs w:val="21"/>
                      <w:u w:val="single"/>
                      <w:lang w:val="en-US" w:eastAsia="zh-CN"/>
                    </w:rPr>
                  </w:pPr>
                  <w:r>
                    <w:rPr>
                      <w:rFonts w:hint="eastAsia"/>
                      <w:szCs w:val="21"/>
                      <w:u w:val="single"/>
                      <w:lang w:val="en-US" w:eastAsia="zh-CN"/>
                    </w:rPr>
                    <w:t>合计</w:t>
                  </w:r>
                </w:p>
              </w:tc>
              <w:tc>
                <w:tcPr>
                  <w:tcW w:w="1500" w:type="dxa"/>
                  <w:noWrap w:val="0"/>
                  <w:vAlign w:val="center"/>
                </w:tcPr>
                <w:p>
                  <w:pPr>
                    <w:jc w:val="center"/>
                    <w:rPr>
                      <w:rFonts w:hint="default"/>
                      <w:szCs w:val="21"/>
                      <w:u w:val="single"/>
                      <w:lang w:val="en-US" w:eastAsia="zh-CN"/>
                    </w:rPr>
                  </w:pPr>
                  <w:r>
                    <w:rPr>
                      <w:rFonts w:hint="eastAsia"/>
                      <w:szCs w:val="21"/>
                      <w:u w:val="single"/>
                      <w:lang w:val="en-US" w:eastAsia="zh-CN"/>
                    </w:rPr>
                    <w:t>5004.265</w:t>
                  </w:r>
                </w:p>
              </w:tc>
              <w:tc>
                <w:tcPr>
                  <w:tcW w:w="1930" w:type="dxa"/>
                  <w:gridSpan w:val="2"/>
                  <w:noWrap w:val="0"/>
                  <w:vAlign w:val="center"/>
                </w:tcPr>
                <w:p>
                  <w:pPr>
                    <w:jc w:val="center"/>
                    <w:rPr>
                      <w:rFonts w:hint="eastAsia"/>
                      <w:color w:val="auto"/>
                      <w:sz w:val="21"/>
                      <w:u w:val="single"/>
                      <w:lang w:val="en-US" w:eastAsia="zh-CN"/>
                    </w:rPr>
                  </w:pPr>
                  <w:r>
                    <w:rPr>
                      <w:rFonts w:hint="eastAsia"/>
                      <w:sz w:val="21"/>
                      <w:szCs w:val="21"/>
                      <w:u w:val="single"/>
                      <w:lang w:val="en-US" w:eastAsia="zh-CN"/>
                    </w:rPr>
                    <w:t>合计</w:t>
                  </w:r>
                </w:p>
              </w:tc>
              <w:tc>
                <w:tcPr>
                  <w:tcW w:w="1508" w:type="dxa"/>
                  <w:noWrap w:val="0"/>
                  <w:vAlign w:val="center"/>
                </w:tcPr>
                <w:p>
                  <w:pPr>
                    <w:autoSpaceDE w:val="0"/>
                    <w:autoSpaceDN w:val="0"/>
                    <w:jc w:val="center"/>
                    <w:rPr>
                      <w:rFonts w:hint="default"/>
                      <w:sz w:val="21"/>
                      <w:szCs w:val="21"/>
                      <w:u w:val="single"/>
                      <w:lang w:val="en-US" w:eastAsia="zh-CN"/>
                    </w:rPr>
                  </w:pPr>
                  <w:r>
                    <w:rPr>
                      <w:rFonts w:hint="eastAsia"/>
                      <w:sz w:val="21"/>
                      <w:szCs w:val="21"/>
                      <w:u w:val="single"/>
                      <w:lang w:val="en-US" w:eastAsia="zh-CN"/>
                    </w:rPr>
                    <w:t>5004.265</w:t>
                  </w:r>
                </w:p>
              </w:tc>
            </w:tr>
          </w:tbl>
          <w:p>
            <w:pPr>
              <w:spacing w:line="480" w:lineRule="exact"/>
              <w:rPr>
                <w:b/>
                <w:bCs/>
                <w:sz w:val="24"/>
              </w:rPr>
            </w:pPr>
            <w:r>
              <w:rPr>
                <w:rFonts w:hint="eastAsia"/>
                <w:b/>
                <w:bCs/>
                <w:sz w:val="24"/>
              </w:rPr>
              <w:t>2.1.</w:t>
            </w:r>
            <w:r>
              <w:rPr>
                <w:b/>
                <w:bCs/>
                <w:sz w:val="24"/>
              </w:rPr>
              <w:t>5、劳动定员及工作制度</w:t>
            </w:r>
          </w:p>
          <w:p>
            <w:pPr>
              <w:pStyle w:val="19"/>
              <w:spacing w:after="0" w:line="480" w:lineRule="exact"/>
              <w:ind w:firstLine="480" w:firstLineChars="200"/>
              <w:rPr>
                <w:sz w:val="24"/>
              </w:rPr>
            </w:pPr>
            <w:r>
              <w:rPr>
                <w:rFonts w:hint="eastAsia"/>
                <w:sz w:val="24"/>
              </w:rPr>
              <w:t>根据建设单位提供的资料，本项目拟定员工人数为5人，均在厂区内食宿，项目年工作日按264天计，</w:t>
            </w:r>
            <w:r>
              <w:rPr>
                <w:sz w:val="24"/>
              </w:rPr>
              <w:t>整体工作制度</w:t>
            </w:r>
            <w:r>
              <w:rPr>
                <w:rFonts w:hint="eastAsia"/>
                <w:sz w:val="24"/>
              </w:rPr>
              <w:t>为</w:t>
            </w:r>
            <w:r>
              <w:rPr>
                <w:sz w:val="24"/>
              </w:rPr>
              <w:t>一班制，每天工作8小时</w:t>
            </w:r>
            <w:r>
              <w:rPr>
                <w:rFonts w:hint="eastAsia"/>
                <w:sz w:val="24"/>
              </w:rPr>
              <w:t>。</w:t>
            </w:r>
          </w:p>
          <w:p>
            <w:pPr>
              <w:pStyle w:val="19"/>
              <w:spacing w:after="0" w:line="360" w:lineRule="auto"/>
              <w:ind w:firstLine="0" w:firstLineChars="0"/>
              <w:rPr>
                <w:b/>
                <w:bCs/>
                <w:sz w:val="24"/>
                <w:u w:val="single"/>
              </w:rPr>
            </w:pPr>
            <w:r>
              <w:rPr>
                <w:rFonts w:hint="eastAsia"/>
                <w:b/>
                <w:bCs/>
                <w:sz w:val="24"/>
                <w:u w:val="single"/>
              </w:rPr>
              <w:t>2.1.</w:t>
            </w:r>
            <w:r>
              <w:rPr>
                <w:b/>
                <w:bCs/>
                <w:sz w:val="24"/>
                <w:u w:val="single"/>
              </w:rPr>
              <w:t>6、公用工程</w:t>
            </w:r>
          </w:p>
          <w:p>
            <w:pPr>
              <w:snapToGrid w:val="0"/>
              <w:spacing w:line="360" w:lineRule="auto"/>
              <w:rPr>
                <w:b/>
                <w:bCs/>
                <w:sz w:val="24"/>
                <w:u w:val="single"/>
              </w:rPr>
            </w:pPr>
            <w:r>
              <w:rPr>
                <w:rFonts w:hint="eastAsia"/>
                <w:b/>
                <w:bCs/>
                <w:sz w:val="24"/>
                <w:u w:val="single"/>
              </w:rPr>
              <w:t>（1）</w:t>
            </w:r>
            <w:r>
              <w:rPr>
                <w:b/>
                <w:bCs/>
                <w:sz w:val="24"/>
                <w:u w:val="single"/>
              </w:rPr>
              <w:t>给水</w:t>
            </w:r>
          </w:p>
          <w:p>
            <w:pPr>
              <w:snapToGrid w:val="0"/>
              <w:spacing w:line="360" w:lineRule="auto"/>
              <w:ind w:firstLine="480" w:firstLineChars="200"/>
              <w:rPr>
                <w:sz w:val="24"/>
                <w:u w:val="single"/>
              </w:rPr>
            </w:pPr>
            <w:r>
              <w:rPr>
                <w:sz w:val="24"/>
                <w:u w:val="single"/>
              </w:rPr>
              <w:t>本项目用水来源园区自来水，用水主要包括循环冷却水补水、喷淋用水和员工生活用水。</w:t>
            </w:r>
          </w:p>
          <w:p>
            <w:pPr>
              <w:pStyle w:val="54"/>
              <w:spacing w:line="360" w:lineRule="auto"/>
              <w:ind w:firstLine="480" w:firstLineChars="200"/>
              <w:rPr>
                <w:u w:val="single"/>
              </w:rPr>
            </w:pPr>
            <w:r>
              <w:rPr>
                <w:rFonts w:hint="eastAsia"/>
                <w:u w:val="single"/>
              </w:rPr>
              <w:t>①</w:t>
            </w:r>
            <w:r>
              <w:rPr>
                <w:u w:val="single"/>
              </w:rPr>
              <w:t>生活用水：</w:t>
            </w:r>
          </w:p>
          <w:p>
            <w:pPr>
              <w:pStyle w:val="54"/>
              <w:spacing w:line="360" w:lineRule="auto"/>
              <w:ind w:firstLine="480" w:firstLineChars="200"/>
              <w:rPr>
                <w:u w:val="single"/>
              </w:rPr>
            </w:pPr>
            <w:r>
              <w:rPr>
                <w:u w:val="single"/>
              </w:rPr>
              <w:t>本项目厂区职工定员</w:t>
            </w:r>
            <w:r>
              <w:rPr>
                <w:rFonts w:hint="eastAsia"/>
                <w:u w:val="single"/>
              </w:rPr>
              <w:t>5</w:t>
            </w:r>
            <w:r>
              <w:rPr>
                <w:u w:val="single"/>
              </w:rPr>
              <w:t>人，</w:t>
            </w:r>
            <w:r>
              <w:rPr>
                <w:rFonts w:hint="eastAsia"/>
                <w:u w:val="single"/>
              </w:rPr>
              <w:t>不</w:t>
            </w:r>
            <w:r>
              <w:rPr>
                <w:u w:val="single"/>
              </w:rPr>
              <w:t>在厂区内食宿。本项目用水定额参照湖南省地方标准《湖南省地方标准用水定额》（DB</w:t>
            </w:r>
            <w:r>
              <w:rPr>
                <w:rFonts w:hint="eastAsia"/>
                <w:u w:val="single"/>
              </w:rPr>
              <w:t xml:space="preserve"> </w:t>
            </w:r>
            <w:r>
              <w:rPr>
                <w:u w:val="single"/>
              </w:rPr>
              <w:t>43/T</w:t>
            </w:r>
            <w:r>
              <w:rPr>
                <w:rFonts w:hint="eastAsia"/>
                <w:u w:val="single"/>
              </w:rPr>
              <w:t xml:space="preserve"> </w:t>
            </w:r>
            <w:r>
              <w:rPr>
                <w:u w:val="single"/>
              </w:rPr>
              <w:t>388-2020），在厂区内食宿的职工生活用水量按</w:t>
            </w:r>
            <w:r>
              <w:rPr>
                <w:rFonts w:hint="eastAsia"/>
                <w:u w:val="single"/>
              </w:rPr>
              <w:t>50</w:t>
            </w:r>
            <w:r>
              <w:rPr>
                <w:u w:val="single"/>
              </w:rPr>
              <w:t>L/人·d计算，本项目每年正常运行按</w:t>
            </w:r>
            <w:r>
              <w:rPr>
                <w:rFonts w:hint="eastAsia"/>
                <w:u w:val="single"/>
              </w:rPr>
              <w:t>264</w:t>
            </w:r>
            <w:r>
              <w:rPr>
                <w:u w:val="single"/>
              </w:rPr>
              <w:t>天计，则生活用水量为</w:t>
            </w:r>
            <w:r>
              <w:rPr>
                <w:rFonts w:hint="eastAsia"/>
                <w:u w:val="single"/>
              </w:rPr>
              <w:t>0.25</w:t>
            </w:r>
            <w:r>
              <w:rPr>
                <w:u w:val="single"/>
              </w:rPr>
              <w:t>m</w:t>
            </w:r>
            <w:r>
              <w:rPr>
                <w:u w:val="single"/>
                <w:vertAlign w:val="superscript"/>
              </w:rPr>
              <w:t>3</w:t>
            </w:r>
            <w:r>
              <w:rPr>
                <w:u w:val="single"/>
              </w:rPr>
              <w:t>/</w:t>
            </w:r>
            <w:r>
              <w:rPr>
                <w:rFonts w:hint="eastAsia"/>
                <w:u w:val="single"/>
              </w:rPr>
              <w:t>d</w:t>
            </w:r>
            <w:r>
              <w:rPr>
                <w:u w:val="single"/>
              </w:rPr>
              <w:t>（</w:t>
            </w:r>
            <w:r>
              <w:rPr>
                <w:rFonts w:hint="eastAsia"/>
                <w:u w:val="single"/>
              </w:rPr>
              <w:t>66</w:t>
            </w:r>
            <w:r>
              <w:rPr>
                <w:u w:val="single"/>
              </w:rPr>
              <w:t>m</w:t>
            </w:r>
            <w:r>
              <w:rPr>
                <w:u w:val="single"/>
                <w:vertAlign w:val="superscript"/>
              </w:rPr>
              <w:t>3</w:t>
            </w:r>
            <w:r>
              <w:rPr>
                <w:u w:val="single"/>
              </w:rPr>
              <w:t>/a）。</w:t>
            </w:r>
          </w:p>
          <w:p>
            <w:pPr>
              <w:pStyle w:val="27"/>
              <w:spacing w:line="360" w:lineRule="auto"/>
              <w:ind w:firstLine="480" w:firstLineChars="200"/>
              <w:rPr>
                <w:rFonts w:ascii="Times New Roman" w:hAnsi="Times New Roman"/>
                <w:color w:val="auto"/>
                <w:u w:val="single"/>
              </w:rPr>
            </w:pPr>
            <w:r>
              <w:rPr>
                <w:rFonts w:hint="eastAsia" w:ascii="Times New Roman" w:hAnsi="Times New Roman"/>
                <w:color w:val="auto"/>
                <w:u w:val="single"/>
              </w:rPr>
              <w:t>②冷却用水：本项目冷却水主要用于挤出过程的冷却，该冷却水循环使用，定期补充损失水量</w:t>
            </w:r>
            <w:r>
              <w:rPr>
                <w:rStyle w:val="26"/>
                <w:rFonts w:hint="eastAsia" w:ascii="Times New Roman" w:hAnsi="Times New Roman" w:cs="Times New Roman"/>
                <w:color w:val="auto"/>
                <w:szCs w:val="20"/>
                <w:u w:val="single"/>
                <w:lang w:eastAsia="zh-CN"/>
              </w:rPr>
              <w:t>，</w:t>
            </w:r>
            <w:r>
              <w:rPr>
                <w:rFonts w:hint="eastAsia" w:ascii="Times New Roman" w:hAnsi="Times New Roman"/>
                <w:color w:val="auto"/>
                <w:sz w:val="24"/>
                <w:u w:val="single"/>
                <w:lang w:val="en-US" w:eastAsia="zh-CN"/>
              </w:rPr>
              <w:t>根据建设单位提供的资料，冷却循环水量为30m</w:t>
            </w:r>
            <w:r>
              <w:rPr>
                <w:rFonts w:hint="eastAsia" w:ascii="Times New Roman" w:hAnsi="Times New Roman"/>
                <w:color w:val="auto"/>
                <w:sz w:val="24"/>
                <w:u w:val="single"/>
                <w:vertAlign w:val="superscript"/>
                <w:lang w:val="en-US" w:eastAsia="zh-CN"/>
              </w:rPr>
              <w:t>3</w:t>
            </w:r>
            <w:r>
              <w:rPr>
                <w:rFonts w:hint="eastAsia" w:ascii="Times New Roman" w:hAnsi="Times New Roman"/>
                <w:color w:val="auto"/>
                <w:sz w:val="24"/>
                <w:u w:val="single"/>
                <w:lang w:val="en-US" w:eastAsia="zh-CN"/>
              </w:rPr>
              <w:t>/d，每天损耗按2%计，则需补充新鲜水量为0.6m</w:t>
            </w:r>
            <w:r>
              <w:rPr>
                <w:rFonts w:hint="eastAsia" w:ascii="Times New Roman" w:hAnsi="Times New Roman"/>
                <w:color w:val="auto"/>
                <w:sz w:val="24"/>
                <w:u w:val="single"/>
                <w:vertAlign w:val="superscript"/>
                <w:lang w:val="en-US" w:eastAsia="zh-CN"/>
              </w:rPr>
              <w:t>3</w:t>
            </w:r>
            <w:r>
              <w:rPr>
                <w:rFonts w:hint="eastAsia" w:ascii="Times New Roman" w:hAnsi="Times New Roman"/>
                <w:color w:val="auto"/>
                <w:sz w:val="24"/>
                <w:u w:val="single"/>
                <w:lang w:val="en-US" w:eastAsia="zh-CN"/>
              </w:rPr>
              <w:t>/d。</w:t>
            </w:r>
          </w:p>
          <w:p>
            <w:pPr>
              <w:pStyle w:val="27"/>
              <w:spacing w:line="360" w:lineRule="auto"/>
              <w:ind w:firstLine="480" w:firstLineChars="200"/>
              <w:rPr>
                <w:rFonts w:ascii="Times New Roman" w:hAnsi="Times New Roman"/>
                <w:color w:val="auto"/>
                <w:u w:val="single"/>
              </w:rPr>
            </w:pPr>
            <w:r>
              <w:rPr>
                <w:rFonts w:hint="eastAsia" w:ascii="Times New Roman" w:hAnsi="Times New Roman"/>
                <w:color w:val="auto"/>
                <w:u w:val="single"/>
              </w:rPr>
              <w:t>③</w:t>
            </w:r>
            <w:bookmarkStart w:id="16" w:name="OLE_LINK14"/>
            <w:r>
              <w:rPr>
                <w:rFonts w:hint="eastAsia" w:ascii="Times New Roman" w:hAnsi="Times New Roman"/>
                <w:color w:val="auto"/>
                <w:u w:val="single"/>
              </w:rPr>
              <w:t>喷淋用水：本项目喷淋塔在废气处理过程中对废气进行冷却，冷却水由喷淋塔提供循环使用不外排，定期补充。</w:t>
            </w:r>
          </w:p>
          <w:bookmarkEnd w:id="16"/>
          <w:p>
            <w:pPr>
              <w:snapToGrid w:val="0"/>
              <w:spacing w:line="480" w:lineRule="exact"/>
              <w:rPr>
                <w:b/>
                <w:bCs/>
                <w:sz w:val="24"/>
                <w:u w:val="single"/>
              </w:rPr>
            </w:pPr>
            <w:r>
              <w:rPr>
                <w:rFonts w:hint="eastAsia"/>
                <w:b/>
                <w:bCs/>
                <w:sz w:val="24"/>
                <w:u w:val="single"/>
              </w:rPr>
              <w:t>（2）</w:t>
            </w:r>
            <w:r>
              <w:rPr>
                <w:b/>
                <w:bCs/>
                <w:sz w:val="24"/>
                <w:u w:val="single"/>
              </w:rPr>
              <w:t>排水</w:t>
            </w:r>
          </w:p>
          <w:p>
            <w:pPr>
              <w:pStyle w:val="19"/>
              <w:spacing w:after="0" w:line="480" w:lineRule="exact"/>
              <w:ind w:firstLine="480" w:firstLineChars="200"/>
              <w:rPr>
                <w:rFonts w:hint="eastAsia"/>
                <w:sz w:val="24"/>
                <w:u w:val="single"/>
              </w:rPr>
            </w:pPr>
            <w:r>
              <w:rPr>
                <w:rFonts w:hint="eastAsia"/>
                <w:sz w:val="24"/>
                <w:u w:val="single"/>
              </w:rPr>
              <w:t>园区排水实行雨污分流制，雨水依托园区雨水管网排至市政雨水管网； 项目营运过程喷淋塔用水和冷却水循环使用，不外排；生活污水依托已有的化粪池处理达到《污水综合排放标准》（GB8978-1996）表 4 中的三级标准后通过园区市政污水管网排入益阳</w:t>
            </w:r>
            <w:r>
              <w:rPr>
                <w:rFonts w:hint="eastAsia"/>
                <w:sz w:val="24"/>
                <w:u w:val="single"/>
                <w:lang w:val="en-US" w:eastAsia="zh-CN"/>
              </w:rPr>
              <w:t>城东</w:t>
            </w:r>
            <w:r>
              <w:rPr>
                <w:rFonts w:hint="eastAsia"/>
                <w:sz w:val="24"/>
                <w:u w:val="single"/>
              </w:rPr>
              <w:t>污水处理厂处理达 《城镇污水处理厂污染物排放标准》（GB18918-2002）一级 A 标准后排入撇洪新河。</w:t>
            </w:r>
          </w:p>
          <w:p>
            <w:pPr>
              <w:rPr>
                <w:rFonts w:hint="eastAsia"/>
                <w:sz w:val="24"/>
                <w:u w:val="single"/>
              </w:rPr>
            </w:pPr>
          </w:p>
          <w:p>
            <w:pPr>
              <w:pStyle w:val="27"/>
              <w:rPr>
                <w:u w:val="single"/>
              </w:rPr>
            </w:pPr>
            <w:r>
              <w:rPr>
                <w:u w:val="single"/>
              </w:rPr>
              <w:pict>
                <v:shape id="_x0000_i1025" o:spt="75" type="#_x0000_t75" style="height:170.45pt;width:385.85pt;" filled="f" stroked="f" coordsize="21600,21600">
                  <v:path/>
                  <v:fill on="f" focussize="0,0"/>
                  <v:stroke on="f"/>
                  <v:imagedata r:id="rId10" o:title=""/>
                  <o:lock v:ext="edit" aspectratio="t"/>
                  <w10:wrap type="none"/>
                  <w10:anchorlock/>
                </v:shape>
              </w:pict>
            </w:r>
          </w:p>
          <w:p>
            <w:pPr>
              <w:pStyle w:val="20"/>
              <w:spacing w:after="0"/>
              <w:ind w:left="0" w:leftChars="0" w:firstLine="0" w:firstLineChars="0"/>
              <w:jc w:val="center"/>
              <w:rPr>
                <w:rFonts w:hint="default" w:eastAsia="宋体"/>
                <w:b/>
                <w:bCs/>
                <w:u w:val="single"/>
                <w:lang w:val="en-US" w:eastAsia="zh-CN"/>
              </w:rPr>
            </w:pPr>
            <w:r>
              <w:rPr>
                <w:rFonts w:hint="eastAsia"/>
                <w:b/>
                <w:bCs/>
                <w:u w:val="single"/>
                <w:lang w:eastAsia="zh-CN"/>
              </w:rPr>
              <w:t>项目水平衡图</w:t>
            </w:r>
            <w:r>
              <w:rPr>
                <w:rFonts w:hint="eastAsia"/>
                <w:b/>
                <w:bCs/>
                <w:u w:val="single"/>
                <w:lang w:val="en-US" w:eastAsia="zh-CN"/>
              </w:rPr>
              <w:t xml:space="preserve">  m</w:t>
            </w:r>
            <w:r>
              <w:rPr>
                <w:rFonts w:hint="eastAsia"/>
                <w:b/>
                <w:bCs/>
                <w:u w:val="single"/>
                <w:vertAlign w:val="superscript"/>
                <w:lang w:val="en-US" w:eastAsia="zh-CN"/>
              </w:rPr>
              <w:t>3</w:t>
            </w:r>
            <w:r>
              <w:rPr>
                <w:rFonts w:hint="eastAsia"/>
                <w:b/>
                <w:bCs/>
                <w:u w:val="single"/>
                <w:lang w:val="en-US" w:eastAsia="zh-CN"/>
              </w:rPr>
              <w:t>/a</w:t>
            </w:r>
          </w:p>
          <w:p>
            <w:pPr>
              <w:snapToGrid w:val="0"/>
              <w:spacing w:line="480" w:lineRule="exact"/>
              <w:rPr>
                <w:b/>
                <w:bCs/>
                <w:sz w:val="24"/>
              </w:rPr>
            </w:pPr>
            <w:r>
              <w:rPr>
                <w:rFonts w:hint="eastAsia"/>
                <w:b/>
                <w:bCs/>
                <w:sz w:val="24"/>
              </w:rPr>
              <w:t>（3）</w:t>
            </w:r>
            <w:r>
              <w:rPr>
                <w:b/>
                <w:bCs/>
                <w:sz w:val="24"/>
              </w:rPr>
              <w:t>供电</w:t>
            </w:r>
          </w:p>
          <w:p>
            <w:pPr>
              <w:spacing w:line="480" w:lineRule="exact"/>
              <w:ind w:firstLine="480" w:firstLineChars="200"/>
              <w:rPr>
                <w:sz w:val="24"/>
              </w:rPr>
            </w:pPr>
            <w:r>
              <w:rPr>
                <w:sz w:val="24"/>
              </w:rPr>
              <w:t>本项目供电由园区市政电网提供，项目年用量约</w:t>
            </w:r>
            <w:r>
              <w:rPr>
                <w:rFonts w:hint="eastAsia"/>
                <w:sz w:val="24"/>
              </w:rPr>
              <w:t>3</w:t>
            </w:r>
            <w:r>
              <w:rPr>
                <w:sz w:val="24"/>
              </w:rPr>
              <w:t>万KWh，厂区不设置备用发电机。</w:t>
            </w:r>
          </w:p>
          <w:p>
            <w:pPr>
              <w:pStyle w:val="27"/>
              <w:spacing w:line="480" w:lineRule="exact"/>
              <w:rPr>
                <w:rFonts w:ascii="Times New Roman" w:hAnsi="Times New Roman"/>
                <w:b/>
                <w:bCs/>
                <w:color w:val="auto"/>
              </w:rPr>
            </w:pPr>
            <w:r>
              <w:rPr>
                <w:rFonts w:hint="eastAsia" w:ascii="Times New Roman" w:hAnsi="Times New Roman"/>
                <w:b/>
                <w:bCs/>
                <w:color w:val="auto"/>
              </w:rPr>
              <w:t>（4）采暖、制冷</w:t>
            </w:r>
          </w:p>
          <w:p>
            <w:pPr>
              <w:pStyle w:val="27"/>
              <w:spacing w:line="480" w:lineRule="exact"/>
              <w:ind w:firstLine="480" w:firstLineChars="200"/>
              <w:rPr>
                <w:rFonts w:ascii="Times New Roman" w:hAnsi="Times New Roman"/>
                <w:color w:val="auto"/>
              </w:rPr>
            </w:pPr>
            <w:r>
              <w:rPr>
                <w:rFonts w:hint="eastAsia" w:ascii="Times New Roman" w:hAnsi="Times New Roman"/>
                <w:color w:val="auto"/>
              </w:rPr>
              <w:t>生产系统不需加热、烘干，办公区的供暖、制冷采用单体式空调。</w:t>
            </w:r>
          </w:p>
          <w:p>
            <w:pPr>
              <w:snapToGrid w:val="0"/>
              <w:spacing w:line="480" w:lineRule="exact"/>
              <w:rPr>
                <w:b/>
                <w:bCs/>
                <w:sz w:val="24"/>
              </w:rPr>
            </w:pPr>
            <w:r>
              <w:rPr>
                <w:rFonts w:hint="eastAsia"/>
                <w:b/>
                <w:bCs/>
                <w:sz w:val="24"/>
              </w:rPr>
              <w:t>（5）</w:t>
            </w:r>
            <w:r>
              <w:rPr>
                <w:b/>
                <w:bCs/>
                <w:sz w:val="24"/>
              </w:rPr>
              <w:t>消防</w:t>
            </w:r>
          </w:p>
          <w:p>
            <w:pPr>
              <w:snapToGrid w:val="0"/>
              <w:spacing w:line="480" w:lineRule="exact"/>
              <w:ind w:firstLine="480" w:firstLineChars="200"/>
              <w:rPr>
                <w:sz w:val="24"/>
              </w:rPr>
            </w:pPr>
            <w:r>
              <w:rPr>
                <w:sz w:val="24"/>
              </w:rPr>
              <w:t>本项目生产厂房内设有灭火器。</w:t>
            </w:r>
          </w:p>
          <w:p>
            <w:pPr>
              <w:snapToGrid w:val="0"/>
              <w:spacing w:line="480" w:lineRule="exact"/>
              <w:rPr>
                <w:b/>
                <w:bCs/>
                <w:sz w:val="24"/>
              </w:rPr>
            </w:pPr>
            <w:r>
              <w:rPr>
                <w:rFonts w:hint="eastAsia"/>
                <w:b/>
                <w:bCs/>
                <w:sz w:val="24"/>
              </w:rPr>
              <w:t>（6）</w:t>
            </w:r>
            <w:r>
              <w:rPr>
                <w:b/>
                <w:bCs/>
                <w:sz w:val="24"/>
              </w:rPr>
              <w:t>运输</w:t>
            </w:r>
          </w:p>
          <w:p>
            <w:pPr>
              <w:pStyle w:val="27"/>
              <w:spacing w:line="480" w:lineRule="exact"/>
              <w:ind w:firstLine="480" w:firstLineChars="200"/>
              <w:rPr>
                <w:rFonts w:ascii="Times New Roman" w:hAnsi="Times New Roman"/>
                <w:color w:val="auto"/>
              </w:rPr>
            </w:pPr>
            <w:r>
              <w:rPr>
                <w:rFonts w:hint="eastAsia" w:ascii="Times New Roman" w:hAnsi="Times New Roman"/>
                <w:color w:val="auto"/>
              </w:rPr>
              <w:t>运输方式为专用汽车运输。厂内运输采用叉车及小推车、输送带运输等；成品运输：以公路运输为主。</w:t>
            </w:r>
          </w:p>
          <w:p>
            <w:pPr>
              <w:autoSpaceDE w:val="0"/>
              <w:autoSpaceDN w:val="0"/>
              <w:adjustRightInd w:val="0"/>
              <w:snapToGrid w:val="0"/>
              <w:spacing w:line="480" w:lineRule="exact"/>
              <w:rPr>
                <w:b/>
                <w:bCs/>
                <w:sz w:val="24"/>
              </w:rPr>
            </w:pPr>
            <w:r>
              <w:rPr>
                <w:rFonts w:hint="eastAsia"/>
                <w:b/>
                <w:bCs/>
                <w:sz w:val="24"/>
              </w:rPr>
              <w:t>（7）</w:t>
            </w:r>
            <w:bookmarkStart w:id="17" w:name="OLE_LINK30"/>
            <w:r>
              <w:rPr>
                <w:rFonts w:hint="eastAsia"/>
                <w:b/>
                <w:bCs/>
                <w:sz w:val="24"/>
              </w:rPr>
              <w:t>公辅设施依托可行性</w:t>
            </w:r>
            <w:bookmarkEnd w:id="17"/>
            <w:r>
              <w:rPr>
                <w:rFonts w:hint="eastAsia"/>
                <w:b/>
                <w:bCs/>
                <w:sz w:val="24"/>
              </w:rPr>
              <w:t>分析</w:t>
            </w:r>
          </w:p>
          <w:p>
            <w:pPr>
              <w:pStyle w:val="27"/>
              <w:spacing w:line="480" w:lineRule="exact"/>
              <w:ind w:firstLine="480" w:firstLineChars="200"/>
              <w:rPr>
                <w:color w:val="auto"/>
              </w:rPr>
            </w:pPr>
            <w:r>
              <w:rPr>
                <w:rFonts w:hint="eastAsia"/>
                <w:color w:val="auto"/>
              </w:rPr>
              <w:t>项目</w:t>
            </w:r>
            <w:r>
              <w:rPr>
                <w:rFonts w:hint="eastAsia" w:ascii="Times New Roman" w:hAnsi="Times New Roman"/>
                <w:color w:val="auto"/>
              </w:rPr>
              <w:t>公辅设施依托可行性情况详见表2-5。</w:t>
            </w:r>
          </w:p>
          <w:p>
            <w:pPr>
              <w:jc w:val="center"/>
              <w:rPr>
                <w:b/>
                <w:bCs/>
              </w:rPr>
            </w:pPr>
            <w:r>
              <w:rPr>
                <w:rFonts w:hint="eastAsia"/>
                <w:b/>
                <w:bCs/>
              </w:rPr>
              <w:t>表2-5  公辅设施依托情况一览表</w:t>
            </w:r>
          </w:p>
          <w:tbl>
            <w:tblPr>
              <w:tblStyle w:val="21"/>
              <w:tblW w:w="76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553"/>
              <w:gridCol w:w="1434"/>
              <w:gridCol w:w="3337"/>
              <w:gridCol w:w="7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5" w:type="dxa"/>
                  <w:tcBorders>
                    <w:tl2br w:val="nil"/>
                    <w:tr2bl w:val="nil"/>
                  </w:tcBorders>
                  <w:vAlign w:val="center"/>
                </w:tcPr>
                <w:p>
                  <w:pPr>
                    <w:jc w:val="center"/>
                    <w:rPr>
                      <w:b/>
                      <w:bCs/>
                    </w:rPr>
                  </w:pPr>
                  <w:r>
                    <w:rPr>
                      <w:rFonts w:hint="eastAsia"/>
                      <w:b/>
                      <w:bCs/>
                    </w:rPr>
                    <w:t>序号</w:t>
                  </w:r>
                </w:p>
              </w:tc>
              <w:tc>
                <w:tcPr>
                  <w:tcW w:w="1553" w:type="dxa"/>
                  <w:tcBorders>
                    <w:tl2br w:val="nil"/>
                    <w:tr2bl w:val="nil"/>
                  </w:tcBorders>
                  <w:vAlign w:val="center"/>
                </w:tcPr>
                <w:p>
                  <w:pPr>
                    <w:jc w:val="center"/>
                    <w:rPr>
                      <w:b/>
                      <w:bCs/>
                    </w:rPr>
                  </w:pPr>
                  <w:r>
                    <w:rPr>
                      <w:rFonts w:hint="eastAsia"/>
                      <w:b/>
                      <w:bCs/>
                    </w:rPr>
                    <w:t>主要依托设施</w:t>
                  </w:r>
                </w:p>
              </w:tc>
              <w:tc>
                <w:tcPr>
                  <w:tcW w:w="1434" w:type="dxa"/>
                  <w:tcBorders>
                    <w:tl2br w:val="nil"/>
                    <w:tr2bl w:val="nil"/>
                  </w:tcBorders>
                  <w:vAlign w:val="center"/>
                </w:tcPr>
                <w:p>
                  <w:pPr>
                    <w:jc w:val="center"/>
                    <w:rPr>
                      <w:b/>
                      <w:bCs/>
                    </w:rPr>
                  </w:pPr>
                  <w:r>
                    <w:rPr>
                      <w:rFonts w:hint="eastAsia"/>
                      <w:b/>
                      <w:bCs/>
                    </w:rPr>
                    <w:t>内容</w:t>
                  </w:r>
                </w:p>
              </w:tc>
              <w:tc>
                <w:tcPr>
                  <w:tcW w:w="3337" w:type="dxa"/>
                  <w:tcBorders>
                    <w:tl2br w:val="nil"/>
                    <w:tr2bl w:val="nil"/>
                  </w:tcBorders>
                  <w:vAlign w:val="center"/>
                </w:tcPr>
                <w:p>
                  <w:pPr>
                    <w:jc w:val="center"/>
                    <w:rPr>
                      <w:b/>
                      <w:bCs/>
                    </w:rPr>
                  </w:pPr>
                  <w:r>
                    <w:rPr>
                      <w:rFonts w:hint="eastAsia"/>
                      <w:b/>
                      <w:bCs/>
                    </w:rPr>
                    <w:t>使用情况</w:t>
                  </w:r>
                </w:p>
              </w:tc>
              <w:tc>
                <w:tcPr>
                  <w:tcW w:w="763" w:type="dxa"/>
                  <w:tcBorders>
                    <w:tl2br w:val="nil"/>
                    <w:tr2bl w:val="nil"/>
                  </w:tcBorders>
                  <w:vAlign w:val="center"/>
                </w:tcPr>
                <w:p>
                  <w:pPr>
                    <w:jc w:val="center"/>
                    <w:rPr>
                      <w:b/>
                      <w:bCs/>
                    </w:rPr>
                  </w:pPr>
                  <w:r>
                    <w:rPr>
                      <w:rFonts w:hint="eastAsia"/>
                      <w:b/>
                      <w:bCs/>
                    </w:rPr>
                    <w:t>是否满足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5" w:type="dxa"/>
                  <w:tcBorders>
                    <w:tl2br w:val="nil"/>
                    <w:tr2bl w:val="nil"/>
                  </w:tcBorders>
                  <w:vAlign w:val="center"/>
                </w:tcPr>
                <w:p>
                  <w:pPr>
                    <w:jc w:val="center"/>
                  </w:pPr>
                  <w:r>
                    <w:rPr>
                      <w:rFonts w:hint="eastAsia"/>
                    </w:rPr>
                    <w:t>1</w:t>
                  </w:r>
                </w:p>
              </w:tc>
              <w:tc>
                <w:tcPr>
                  <w:tcW w:w="1553" w:type="dxa"/>
                  <w:tcBorders>
                    <w:tl2br w:val="nil"/>
                    <w:tr2bl w:val="nil"/>
                  </w:tcBorders>
                  <w:vAlign w:val="center"/>
                </w:tcPr>
                <w:p>
                  <w:pPr>
                    <w:jc w:val="center"/>
                  </w:pPr>
                  <w:r>
                    <w:rPr>
                      <w:rFonts w:hint="eastAsia"/>
                    </w:rPr>
                    <w:t>供水设施</w:t>
                  </w:r>
                </w:p>
              </w:tc>
              <w:tc>
                <w:tcPr>
                  <w:tcW w:w="1434" w:type="dxa"/>
                  <w:tcBorders>
                    <w:tl2br w:val="nil"/>
                    <w:tr2bl w:val="nil"/>
                  </w:tcBorders>
                  <w:vAlign w:val="center"/>
                </w:tcPr>
                <w:p>
                  <w:pPr>
                    <w:jc w:val="center"/>
                  </w:pPr>
                  <w:r>
                    <w:rPr>
                      <w:rFonts w:hint="eastAsia"/>
                    </w:rPr>
                    <w:t>自来水</w:t>
                  </w:r>
                </w:p>
              </w:tc>
              <w:tc>
                <w:tcPr>
                  <w:tcW w:w="3337" w:type="dxa"/>
                  <w:tcBorders>
                    <w:tl2br w:val="nil"/>
                    <w:tr2bl w:val="nil"/>
                  </w:tcBorders>
                  <w:vAlign w:val="center"/>
                </w:tcPr>
                <w:p>
                  <w:pPr>
                    <w:jc w:val="center"/>
                  </w:pPr>
                  <w:r>
                    <w:rPr>
                      <w:rFonts w:hint="eastAsia"/>
                    </w:rPr>
                    <w:t>本项目用水量较少，满足本项目需求。</w:t>
                  </w:r>
                </w:p>
              </w:tc>
              <w:tc>
                <w:tcPr>
                  <w:tcW w:w="763" w:type="dxa"/>
                  <w:tcBorders>
                    <w:tl2br w:val="nil"/>
                    <w:tr2bl w:val="nil"/>
                  </w:tcBorders>
                  <w:vAlign w:val="center"/>
                </w:tcPr>
                <w:p>
                  <w:pPr>
                    <w:jc w:val="center"/>
                  </w:pPr>
                  <w:r>
                    <w:rPr>
                      <w:rFonts w:hint="eastAsi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5" w:type="dxa"/>
                  <w:tcBorders>
                    <w:tl2br w:val="nil"/>
                    <w:tr2bl w:val="nil"/>
                  </w:tcBorders>
                  <w:vAlign w:val="center"/>
                </w:tcPr>
                <w:p>
                  <w:pPr>
                    <w:jc w:val="center"/>
                  </w:pPr>
                  <w:r>
                    <w:rPr>
                      <w:rFonts w:hint="eastAsia"/>
                    </w:rPr>
                    <w:t>2</w:t>
                  </w:r>
                </w:p>
              </w:tc>
              <w:tc>
                <w:tcPr>
                  <w:tcW w:w="1553" w:type="dxa"/>
                  <w:tcBorders>
                    <w:tl2br w:val="nil"/>
                    <w:tr2bl w:val="nil"/>
                  </w:tcBorders>
                  <w:vAlign w:val="center"/>
                </w:tcPr>
                <w:p>
                  <w:pPr>
                    <w:jc w:val="center"/>
                  </w:pPr>
                  <w:r>
                    <w:rPr>
                      <w:rFonts w:hint="eastAsia"/>
                    </w:rPr>
                    <w:t>生活污水处理设施</w:t>
                  </w:r>
                </w:p>
              </w:tc>
              <w:tc>
                <w:tcPr>
                  <w:tcW w:w="1434" w:type="dxa"/>
                  <w:tcBorders>
                    <w:tl2br w:val="nil"/>
                    <w:tr2bl w:val="nil"/>
                  </w:tcBorders>
                  <w:vAlign w:val="center"/>
                </w:tcPr>
                <w:p>
                  <w:pPr>
                    <w:jc w:val="center"/>
                  </w:pPr>
                  <w:r>
                    <w:rPr>
                      <w:rFonts w:hint="eastAsia"/>
                    </w:rPr>
                    <w:t>隔油池+化粪池（10 m</w:t>
                  </w:r>
                  <w:r>
                    <w:rPr>
                      <w:rFonts w:hint="eastAsia"/>
                      <w:vertAlign w:val="superscript"/>
                    </w:rPr>
                    <w:t>3</w:t>
                  </w:r>
                  <w:r>
                    <w:rPr>
                      <w:rFonts w:hint="eastAsia"/>
                    </w:rPr>
                    <w:t>）处理设施</w:t>
                  </w:r>
                </w:p>
              </w:tc>
              <w:tc>
                <w:tcPr>
                  <w:tcW w:w="3337" w:type="dxa"/>
                  <w:tcBorders>
                    <w:tl2br w:val="nil"/>
                    <w:tr2bl w:val="nil"/>
                  </w:tcBorders>
                  <w:vAlign w:val="center"/>
                </w:tcPr>
                <w:p>
                  <w:pPr>
                    <w:jc w:val="center"/>
                  </w:pPr>
                  <w:r>
                    <w:rPr>
                      <w:rFonts w:hint="eastAsia"/>
                    </w:rPr>
                    <w:t>本项目生活污水产生量0.928 t/d，化粪池处理能力10 t/d（停留时间以24 h计），可满足本项目需求。</w:t>
                  </w:r>
                </w:p>
              </w:tc>
              <w:tc>
                <w:tcPr>
                  <w:tcW w:w="763" w:type="dxa"/>
                  <w:tcBorders>
                    <w:tl2br w:val="nil"/>
                    <w:tr2bl w:val="nil"/>
                  </w:tcBorders>
                  <w:vAlign w:val="center"/>
                </w:tcPr>
                <w:p>
                  <w:pPr>
                    <w:jc w:val="center"/>
                  </w:pPr>
                  <w:r>
                    <w:rPr>
                      <w:rFonts w:hint="eastAsia"/>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5" w:type="dxa"/>
                  <w:tcBorders>
                    <w:tl2br w:val="nil"/>
                    <w:tr2bl w:val="nil"/>
                  </w:tcBorders>
                  <w:vAlign w:val="center"/>
                </w:tcPr>
                <w:p>
                  <w:pPr>
                    <w:jc w:val="center"/>
                  </w:pPr>
                  <w:r>
                    <w:rPr>
                      <w:rFonts w:hint="eastAsia"/>
                    </w:rPr>
                    <w:t>4</w:t>
                  </w:r>
                </w:p>
              </w:tc>
              <w:tc>
                <w:tcPr>
                  <w:tcW w:w="1553" w:type="dxa"/>
                  <w:tcBorders>
                    <w:tl2br w:val="nil"/>
                    <w:tr2bl w:val="nil"/>
                  </w:tcBorders>
                  <w:vAlign w:val="center"/>
                </w:tcPr>
                <w:p>
                  <w:pPr>
                    <w:jc w:val="center"/>
                  </w:pPr>
                  <w:r>
                    <w:rPr>
                      <w:rFonts w:hint="eastAsia"/>
                    </w:rPr>
                    <w:t>生活办公用房</w:t>
                  </w:r>
                </w:p>
              </w:tc>
              <w:tc>
                <w:tcPr>
                  <w:tcW w:w="1434" w:type="dxa"/>
                  <w:tcBorders>
                    <w:tl2br w:val="nil"/>
                    <w:tr2bl w:val="nil"/>
                  </w:tcBorders>
                  <w:vAlign w:val="center"/>
                </w:tcPr>
                <w:p>
                  <w:pPr>
                    <w:jc w:val="center"/>
                  </w:pPr>
                  <w:r>
                    <w:rPr>
                      <w:rFonts w:hint="eastAsia"/>
                    </w:rPr>
                    <w:t xml:space="preserve">总建筑占地面积300 </w:t>
                  </w:r>
                  <w:r>
                    <w:t>m</w:t>
                  </w:r>
                  <w:r>
                    <w:rPr>
                      <w:vertAlign w:val="superscript"/>
                    </w:rPr>
                    <w:t>2</w:t>
                  </w:r>
                </w:p>
              </w:tc>
              <w:tc>
                <w:tcPr>
                  <w:tcW w:w="3337" w:type="dxa"/>
                  <w:tcBorders>
                    <w:tl2br w:val="nil"/>
                    <w:tr2bl w:val="nil"/>
                  </w:tcBorders>
                  <w:vAlign w:val="center"/>
                </w:tcPr>
                <w:p>
                  <w:pPr>
                    <w:jc w:val="center"/>
                  </w:pPr>
                  <w:r>
                    <w:rPr>
                      <w:rFonts w:hint="eastAsia"/>
                    </w:rPr>
                    <w:t>本项目使用1栋3F的砖混结构生活办公用房，用于日常办公以及员工食宿，满足本项目需求。</w:t>
                  </w:r>
                </w:p>
              </w:tc>
              <w:tc>
                <w:tcPr>
                  <w:tcW w:w="763" w:type="dxa"/>
                  <w:tcBorders>
                    <w:tl2br w:val="nil"/>
                    <w:tr2bl w:val="nil"/>
                  </w:tcBorders>
                  <w:vAlign w:val="center"/>
                </w:tcPr>
                <w:p>
                  <w:pPr>
                    <w:jc w:val="center"/>
                  </w:pPr>
                  <w:r>
                    <w:rPr>
                      <w:rFonts w:hint="eastAsia"/>
                    </w:rPr>
                    <w:t>是</w:t>
                  </w:r>
                </w:p>
              </w:tc>
            </w:tr>
          </w:tbl>
          <w:p>
            <w:pPr>
              <w:pStyle w:val="20"/>
              <w:spacing w:after="0" w:line="480" w:lineRule="exact"/>
              <w:ind w:left="0" w:leftChars="0" w:firstLine="480"/>
              <w:rPr>
                <w:sz w:val="24"/>
              </w:rPr>
            </w:pPr>
            <w:r>
              <w:rPr>
                <w:rFonts w:hint="eastAsia"/>
                <w:sz w:val="24"/>
              </w:rPr>
              <w:t>根据上表对比分析可知，本项目依托利用现有公辅设施是可行的。</w:t>
            </w:r>
          </w:p>
          <w:p>
            <w:pPr>
              <w:spacing w:line="480" w:lineRule="exact"/>
              <w:rPr>
                <w:b/>
                <w:bCs/>
                <w:sz w:val="24"/>
              </w:rPr>
            </w:pPr>
            <w:r>
              <w:rPr>
                <w:rFonts w:hint="eastAsia"/>
                <w:b/>
                <w:bCs/>
                <w:sz w:val="24"/>
              </w:rPr>
              <w:t>2.1.7</w:t>
            </w:r>
            <w:r>
              <w:rPr>
                <w:b/>
                <w:bCs/>
                <w:sz w:val="24"/>
              </w:rPr>
              <w:t>、厂区平面布置</w:t>
            </w:r>
            <w:r>
              <w:rPr>
                <w:rFonts w:hint="eastAsia"/>
                <w:b/>
                <w:bCs/>
                <w:sz w:val="24"/>
              </w:rPr>
              <w:t>合理性分析</w:t>
            </w:r>
            <w:r>
              <w:rPr>
                <w:b/>
                <w:bCs/>
                <w:sz w:val="24"/>
              </w:rPr>
              <w:t>及四</w:t>
            </w:r>
            <w:r>
              <w:rPr>
                <w:rFonts w:hint="eastAsia"/>
                <w:b/>
                <w:bCs/>
                <w:sz w:val="24"/>
              </w:rPr>
              <w:t>周</w:t>
            </w:r>
            <w:r>
              <w:rPr>
                <w:b/>
                <w:bCs/>
                <w:sz w:val="24"/>
              </w:rPr>
              <w:t>情况</w:t>
            </w:r>
          </w:p>
          <w:p>
            <w:pPr>
              <w:pStyle w:val="27"/>
              <w:spacing w:line="480" w:lineRule="exact"/>
              <w:ind w:firstLine="480" w:firstLineChars="200"/>
              <w:rPr>
                <w:rFonts w:hint="eastAsia" w:ascii="Times New Roman" w:hAnsi="Times New Roman"/>
                <w:color w:val="auto"/>
                <w:lang w:val="en-US" w:eastAsia="zh-CN"/>
              </w:rPr>
            </w:pPr>
            <w:r>
              <w:rPr>
                <w:rFonts w:hint="eastAsia" w:ascii="Times New Roman" w:hAnsi="Times New Roman"/>
                <w:color w:val="auto"/>
              </w:rPr>
              <w:t>本项目</w:t>
            </w:r>
            <w:r>
              <w:rPr>
                <w:rFonts w:hint="eastAsia" w:ascii="Times New Roman" w:hAnsi="Times New Roman"/>
                <w:color w:val="auto"/>
                <w:lang w:val="en-US" w:eastAsia="zh-CN"/>
              </w:rPr>
              <w:t>租赁</w:t>
            </w:r>
            <w:r>
              <w:rPr>
                <w:rFonts w:hint="eastAsia" w:ascii="Times New Roman" w:hAnsi="Times New Roman"/>
                <w:color w:val="auto"/>
              </w:rPr>
              <w:t>龙舟农机制造有限公司</w:t>
            </w:r>
            <w:r>
              <w:rPr>
                <w:rFonts w:hint="eastAsia" w:ascii="Times New Roman" w:hAnsi="Times New Roman"/>
                <w:color w:val="auto"/>
                <w:lang w:val="en-US" w:eastAsia="zh-CN"/>
              </w:rPr>
              <w:t>的厂房进行生产</w:t>
            </w:r>
            <w:r>
              <w:rPr>
                <w:rFonts w:hint="eastAsia" w:ascii="Times New Roman" w:hAnsi="Times New Roman"/>
                <w:color w:val="auto"/>
              </w:rPr>
              <w:t>，龙舟农机制造有限公司</w:t>
            </w:r>
            <w:r>
              <w:rPr>
                <w:rFonts w:hint="eastAsia" w:ascii="Times New Roman" w:hAnsi="Times New Roman"/>
                <w:color w:val="auto"/>
                <w:lang w:val="en-US" w:eastAsia="zh-CN"/>
              </w:rPr>
              <w:t>内其他厂房均为空置，并且不会入驻医疗、农业等行业企业。</w:t>
            </w:r>
          </w:p>
          <w:p>
            <w:pPr>
              <w:pStyle w:val="27"/>
              <w:spacing w:line="480" w:lineRule="exact"/>
              <w:ind w:firstLine="480" w:firstLineChars="200"/>
              <w:rPr>
                <w:rFonts w:hint="default" w:eastAsia="宋体"/>
                <w:lang w:val="en-US" w:eastAsia="zh-CN"/>
              </w:rPr>
            </w:pPr>
            <w:r>
              <w:rPr>
                <w:rFonts w:hint="eastAsia" w:ascii="Times New Roman" w:hAnsi="Times New Roman"/>
                <w:color w:val="auto"/>
                <w:lang w:val="en-US" w:eastAsia="zh-CN"/>
              </w:rPr>
              <w:t>本项目</w:t>
            </w:r>
            <w:r>
              <w:rPr>
                <w:rFonts w:hint="eastAsia" w:ascii="Times New Roman" w:hAnsi="Times New Roman"/>
                <w:color w:val="auto"/>
              </w:rPr>
              <w:t>占地面积 900m</w:t>
            </w:r>
            <w:r>
              <w:rPr>
                <w:rFonts w:hint="eastAsia" w:ascii="Times New Roman" w:hAnsi="Times New Roman"/>
                <w:color w:val="auto"/>
                <w:vertAlign w:val="superscript"/>
              </w:rPr>
              <w:t>2</w:t>
            </w:r>
            <w:r>
              <w:rPr>
                <w:rFonts w:hint="eastAsia" w:ascii="Times New Roman" w:hAnsi="Times New Roman"/>
                <w:color w:val="auto"/>
              </w:rPr>
              <w:t>，厂房呈矩形，南侧设置出入口，入口处为成品区和原料储存区，车间东侧为生产线，项目平面布置力求做到按工序划分车间，功能明确，流程简捷流畅，有利于生产和运输。符合工艺流程要求，建筑整体布置满足消防和环保要求。平面布置示意图见附图。</w:t>
            </w:r>
            <w:r>
              <w:rPr>
                <w:rFonts w:hint="eastAsia" w:ascii="Times New Roman" w:hAnsi="Times New Roman"/>
                <w:color w:val="auto"/>
                <w:lang w:val="en-US" w:eastAsia="zh-CN"/>
              </w:rPr>
              <w:t xml:space="preserve">    </w:t>
            </w:r>
          </w:p>
          <w:p>
            <w:pPr>
              <w:pStyle w:val="27"/>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pPr>
              <w:pStyle w:val="17"/>
              <w:adjustRightInd w:val="0"/>
              <w:snapToGrid w:val="0"/>
              <w:spacing w:before="0" w:beforeAutospacing="0" w:after="0" w:afterAutospacing="0"/>
              <w:jc w:val="center"/>
              <w:rPr>
                <w:rFonts w:ascii="Times New Roman" w:hAnsi="Times New Roman" w:cs="宋体"/>
                <w:color w:val="0000FF"/>
                <w:kern w:val="21"/>
                <w:szCs w:val="21"/>
              </w:rPr>
            </w:pPr>
            <w:r>
              <w:rPr>
                <w:rFonts w:hint="eastAsia" w:ascii="Times New Roman" w:hAnsi="Times New Roman" w:cs="宋体"/>
                <w:kern w:val="21"/>
                <w:szCs w:val="21"/>
              </w:rPr>
              <w:t>工艺流程和产排污环节</w:t>
            </w:r>
          </w:p>
        </w:tc>
        <w:tc>
          <w:tcPr>
            <w:tcW w:w="7938" w:type="dxa"/>
            <w:vAlign w:val="center"/>
          </w:tcPr>
          <w:p>
            <w:pPr>
              <w:adjustRightInd w:val="0"/>
              <w:snapToGrid w:val="0"/>
              <w:spacing w:line="480" w:lineRule="exact"/>
              <w:rPr>
                <w:b/>
                <w:bCs/>
                <w:sz w:val="24"/>
              </w:rPr>
            </w:pPr>
            <w:r>
              <w:rPr>
                <w:rFonts w:hint="eastAsia"/>
                <w:b/>
                <w:bCs/>
                <w:sz w:val="24"/>
              </w:rPr>
              <w:t>2.2.1、施工期工艺流程简述</w:t>
            </w:r>
          </w:p>
          <w:p>
            <w:pPr>
              <w:pStyle w:val="6"/>
              <w:spacing w:line="480" w:lineRule="exact"/>
              <w:ind w:firstLine="480" w:firstLineChars="200"/>
            </w:pPr>
            <w:r>
              <w:rPr>
                <w:rFonts w:hint="eastAsia"/>
              </w:rPr>
              <w:t>建设项目租赁现有厂房进行生产，</w:t>
            </w:r>
            <w:r>
              <w:t>主要施工期已结束</w:t>
            </w:r>
            <w:r>
              <w:rPr>
                <w:rFonts w:hint="eastAsia"/>
              </w:rPr>
              <w:t>，本次评价不做详细分析。</w:t>
            </w:r>
          </w:p>
          <w:p>
            <w:pPr>
              <w:spacing w:line="480" w:lineRule="exact"/>
              <w:rPr>
                <w:b/>
                <w:bCs/>
                <w:sz w:val="24"/>
              </w:rPr>
            </w:pPr>
            <w:r>
              <w:rPr>
                <w:rFonts w:hint="eastAsia"/>
                <w:b/>
                <w:bCs/>
                <w:sz w:val="24"/>
              </w:rPr>
              <w:t>2.2.2、运营期工艺流程简述</w:t>
            </w:r>
          </w:p>
          <w:p>
            <w:pPr>
              <w:pStyle w:val="27"/>
              <w:spacing w:line="480" w:lineRule="exact"/>
              <w:ind w:firstLine="480" w:firstLineChars="200"/>
              <w:rPr>
                <w:rFonts w:ascii="Times New Roman" w:hAnsi="Times New Roman"/>
                <w:color w:val="auto"/>
                <w:u w:val="single"/>
              </w:rPr>
            </w:pPr>
            <w:r>
              <w:rPr>
                <w:rFonts w:hint="eastAsia" w:ascii="Times New Roman" w:hAnsi="Times New Roman"/>
                <w:color w:val="auto"/>
              </w:rPr>
              <w:t>本</w:t>
            </w:r>
            <w:r>
              <w:rPr>
                <w:rFonts w:hint="eastAsia" w:ascii="Times New Roman" w:hAnsi="Times New Roman"/>
                <w:color w:val="auto"/>
                <w:u w:val="single"/>
              </w:rPr>
              <w:t>项目主要工艺流程及产污节点图如下：</w:t>
            </w:r>
          </w:p>
          <w:p>
            <w:pPr>
              <w:rPr>
                <w:u w:val="single"/>
              </w:rPr>
            </w:pPr>
          </w:p>
          <w:p>
            <w:pPr>
              <w:rPr>
                <w:u w:val="single"/>
              </w:rPr>
            </w:pPr>
          </w:p>
          <w:p>
            <w:pPr>
              <w:rPr>
                <w:u w:val="single"/>
              </w:rPr>
            </w:pPr>
            <w:r>
              <w:rPr>
                <w:u w:val="single"/>
              </w:rPr>
              <w:pict>
                <v:shape id="文本框 21" o:spid="_x0000_s1049" o:spt="202" type="#_x0000_t202" style="position:absolute;left:0pt;margin-left:81.3pt;margin-top:2.55pt;height:23.25pt;width:57.05pt;z-index:251659264;mso-width-relative:page;mso-height-relative:page;" filled="f" stroked="f" coordsize="21600,21600" o:gfxdata="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65&#10;PDrbAAAACQEAAA8AAAAAAAAAAQAgAAAAIgAAAGRycy9kb3ducmV2LnhtbFBLAQIUABQAAAAIAIdO&#10;4kDacPbSIAIAABkEAAAOAAAAAAAAAAEAIAAAACoBAABkcnMvZTJvRG9jLnhtbFBLBQYAAAAABgAG&#10;AFkBAAC8BQAAAAA=&#10;">
                  <v:path/>
                  <v:fill on="f" focussize="0,0"/>
                  <v:stroke on="f" weight="0.5pt" joinstyle="miter"/>
                  <v:imagedata o:title=""/>
                  <o:lock v:ext="edit"/>
                  <v:textbox>
                    <w:txbxContent>
                      <w:p>
                        <w:pPr>
                          <w:jc w:val="center"/>
                        </w:pPr>
                        <w:r>
                          <w:rPr>
                            <w:rFonts w:hint="eastAsia"/>
                          </w:rPr>
                          <w:t>G1</w:t>
                        </w:r>
                      </w:p>
                    </w:txbxContent>
                  </v:textbox>
                </v:shape>
              </w:pict>
            </w:r>
            <w:r>
              <w:rPr>
                <w:u w:val="single"/>
              </w:rPr>
              <w:pict>
                <v:shape id="文本框 24" o:spid="_x0000_s1055" o:spt="202" type="#_x0000_t202" style="position:absolute;left:0pt;margin-left:250.05pt;margin-top:2pt;height:23.25pt;width:57.05pt;z-index:251659264;mso-width-relative:page;mso-height-relative:page;" filled="f" stroked="f" coordsize="21600,21600" o:gfxdata="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eRzHA&#10;2QAAAAgBAAAPAAAAAAAAAAEAIAAAACIAAABkcnMvZG93bnJldi54bWxQSwECFAAUAAAACACHTuJA&#10;av7aLyACAAAZBAAADgAAAAAAAAABACAAAAAoAQAAZHJzL2Uyb0RvYy54bWxQSwUGAAAAAAYABgBZ&#10;AQAAugUAAAAA&#10;">
                  <v:path/>
                  <v:fill on="f" focussize="0,0"/>
                  <v:stroke on="f" weight="0.5pt" joinstyle="miter"/>
                  <v:imagedata o:title=""/>
                  <o:lock v:ext="edit"/>
                  <v:textbox>
                    <w:txbxContent>
                      <w:p>
                        <w:pPr>
                          <w:jc w:val="center"/>
                        </w:pPr>
                        <w:r>
                          <w:rPr>
                            <w:rFonts w:hint="eastAsia"/>
                          </w:rPr>
                          <w:t>G2</w:t>
                        </w:r>
                      </w:p>
                    </w:txbxContent>
                  </v:textbox>
                </v:shape>
              </w:pict>
            </w:r>
            <w:r>
              <w:rPr>
                <w:u w:val="single"/>
              </w:rPr>
              <w:pict>
                <v:shape id="文本框 22" o:spid="_x0000_s1050" o:spt="202" type="#_x0000_t202" style="position:absolute;left:0pt;margin-left:323.55pt;margin-top:1.25pt;height:23.25pt;width:57.05pt;z-index:251659264;mso-width-relative:page;mso-height-relative:page;" filled="f" stroked="f" coordsize="21600,21600" o:gfxdata="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2x&#10;J9oAAAAIAQAADwAAAAAAAAABACAAAAAiAAAAZHJzL2Rvd25yZXYueG1sUEsBAhQAFAAAAAgAh07i&#10;QHX3wjAgAgAAGQQAAA4AAAAAAAAAAQAgAAAAKQEAAGRycy9lMm9Eb2MueG1sUEsFBgAAAAAGAAYA&#10;WQEAALsFAAAAAA==&#10;">
                  <v:path/>
                  <v:fill on="f" focussize="0,0"/>
                  <v:stroke on="f" weight="0.5pt" joinstyle="miter"/>
                  <v:imagedata o:title=""/>
                  <o:lock v:ext="edit"/>
                  <v:textbox>
                    <w:txbxContent>
                      <w:p>
                        <w:pPr>
                          <w:jc w:val="center"/>
                        </w:pPr>
                        <w:r>
                          <w:rPr>
                            <w:rFonts w:hint="eastAsia"/>
                          </w:rPr>
                          <w:t>S1</w:t>
                        </w:r>
                      </w:p>
                    </w:txbxContent>
                  </v:textbox>
                </v:shape>
              </w:pict>
            </w:r>
          </w:p>
          <w:p>
            <w:pPr>
              <w:rPr>
                <w:u w:val="single"/>
              </w:rPr>
            </w:pPr>
            <w:r>
              <w:rPr>
                <w:u w:val="single"/>
              </w:rPr>
              <w:pict>
                <v:shape id="直接箭头连接符 23" o:spid="_x0000_s1051" o:spt="32" type="#_x0000_t32" style="position:absolute;left:0pt;flip:y;margin-left:352.85pt;margin-top:3.45pt;height:15.15pt;width:0.7pt;z-index:251659264;mso-width-relative:page;mso-height-relative:page;" filled="f" coordsize="21600,21600" o:gfxdata="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euS7tQA&#10;AAAIAQAADwAAAAAAAAABACAAAAAiAAAAZHJzL2Rvd25yZXYueG1sUEsBAhQAFAAAAAgAh07iQNJn&#10;UMbqAQAAiQMAAA4AAAAAAAAAAQAgAAAAIwEAAGRycy9lMm9Eb2MueG1sUEsFBgAAAAAGAAYAWQEA&#10;AH8FAAAAAA==&#10;">
                  <v:path arrowok="t"/>
                  <v:fill on="f" focussize="0,0"/>
                  <v:stroke dashstyle="dash" endarrow="block"/>
                  <v:imagedata o:title=""/>
                  <o:lock v:ext="edit"/>
                </v:shape>
              </w:pict>
            </w:r>
            <w:r>
              <w:rPr>
                <w:u w:val="single"/>
              </w:rPr>
              <w:pict>
                <v:shape id="直接箭头连接符 25" o:spid="_x0000_s1052" o:spt="32" type="#_x0000_t32" style="position:absolute;left:0pt;flip:y;margin-left:278.6pt;margin-top:2.2pt;height:15.15pt;width:0.7pt;z-index:251659264;mso-width-relative:page;mso-height-relative:page;" filled="f" coordsize="21600,21600" o:gfxdata="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15v/T1QAA&#10;AAoBAAAPAAAAAAAAAAEAIAAAACIAAABkcnMvZG93bnJldi54bWxQSwECFAAUAAAACACHTuJAdrvg&#10;eugBAACJAwAADgAAAAAAAAABACAAAAAkAQAAZHJzL2Uyb0RvYy54bWxQSwUGAAAAAAYABgBZAQAA&#10;fgUAAAAA&#10;">
                  <v:path arrowok="t"/>
                  <v:fill on="f" focussize="0,0"/>
                  <v:stroke dashstyle="dash" endarrow="block"/>
                  <v:imagedata o:title=""/>
                  <o:lock v:ext="edit"/>
                </v:shape>
              </w:pict>
            </w:r>
            <w:r>
              <w:rPr>
                <w:u w:val="single"/>
              </w:rPr>
              <w:pict>
                <v:shape id="直接箭头连接符 20" o:spid="_x0000_s1056" o:spt="32" type="#_x0000_t32" style="position:absolute;left:0pt;flip:y;margin-left:109.1pt;margin-top:5.7pt;height:15.15pt;width:0.7pt;z-index:251659264;mso-width-relative:page;mso-height-relative:page;" filled="f" coordsize="21600,21600" o:gfxdata="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ZEeHzTAAAA&#10;CQEAAA8AAAAAAAAAAQAgAAAAIgAAAGRycy9kb3ducmV2LnhtbFBLAQIUABQAAAAIAIdO4kCACQiY&#10;6QEAAIkDAAAOAAAAAAAAAAEAIAAAACIBAABkcnMvZTJvRG9jLnhtbFBLBQYAAAAABgAGAFkBAAB9&#10;BQAAAAA=&#10;">
                  <v:path arrowok="t"/>
                  <v:fill on="f" focussize="0,0"/>
                  <v:stroke dashstyle="dash" endarrow="block"/>
                  <v:imagedata o:title=""/>
                  <o:lock v:ext="edit"/>
                </v:shape>
              </w:pict>
            </w:r>
          </w:p>
          <w:p>
            <w:pPr>
              <w:pStyle w:val="20"/>
              <w:rPr>
                <w:sz w:val="24"/>
                <w:u w:val="single"/>
              </w:rPr>
            </w:pPr>
            <w:r>
              <w:rPr>
                <w:u w:val="single"/>
              </w:rPr>
              <w:pict>
                <v:shape id="文本框 3" o:spid="_x0000_s1071" o:spt="202" type="#_x0000_t202" style="position:absolute;left:0pt;margin-left:-2.7pt;margin-top:3.8pt;height:23.25pt;width:57.05pt;z-index:251659264;mso-width-relative:page;mso-height-relative:page;" stroked="f" coordsize="21600,21600" o:gfxdata="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0Xj59MAAAAHAQAADwAAAAAAAAABACAAAAAiAAAAZHJzL2Rvd25yZXYueG1sUEsB&#10;AhQAFAAAAAgAh07iQCNk+J4zAgAAQAQAAA4AAAAAAAAAAQAgAAAAIgEAAGRycy9lMm9Eb2MueG1s&#10;UEsFBgAAAAAGAAYAWQEAAMcFAAAAAA==&#10;">
                  <v:path/>
                  <v:fill focussize="0,0"/>
                  <v:stroke on="f" weight="0.5pt" joinstyle="miter"/>
                  <v:imagedata o:title=""/>
                  <o:lock v:ext="edit"/>
                  <v:textbox>
                    <w:txbxContent>
                      <w:p>
                        <w:pPr>
                          <w:jc w:val="center"/>
                        </w:pPr>
                        <w:r>
                          <w:rPr>
                            <w:rFonts w:hint="eastAsia"/>
                          </w:rPr>
                          <w:t>原材料</w:t>
                        </w:r>
                      </w:p>
                    </w:txbxContent>
                  </v:textbox>
                </v:shape>
              </w:pict>
            </w:r>
            <w:r>
              <w:rPr>
                <w:u w:val="single"/>
              </w:rPr>
              <w:pict>
                <v:shape id="直接箭头连接符 11" o:spid="_x0000_s1063" o:spt="32" type="#_x0000_t32" style="position:absolute;left:0pt;flip:y;margin-left:304.1pt;margin-top:17.9pt;height:0.15pt;width:26.95pt;z-index:251659264;mso-width-relative:page;mso-height-relative:page;" filled="f" coordsize="21600,21600" o:gfxdata="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Me1n&#10;2QAAAAkBAAAPAAAAAAAAAAEAIAAAACIAAABkcnMvZG93bnJldi54bWxQSwECFAAUAAAACACHTuJA&#10;0wEJnOcBAACKAwAADgAAAAAAAAABACAAAAAoAQAAZHJzL2Uyb0RvYy54bWxQSwUGAAAAAAYABgBZ&#10;AQAAgQUAAAAA&#10;">
                  <v:path arrowok="t"/>
                  <v:fill on="f" focussize="0,0"/>
                  <v:stroke endarrow="block"/>
                  <v:imagedata o:title=""/>
                  <o:lock v:ext="edit"/>
                </v:shape>
              </w:pict>
            </w:r>
            <w:r>
              <w:rPr>
                <w:u w:val="single"/>
              </w:rPr>
              <w:pict>
                <v:shape id="直接箭头连接符 8" o:spid="_x0000_s1070" o:spt="32" type="#_x0000_t32" style="position:absolute;left:0pt;flip:y;margin-left:226.85pt;margin-top:17.15pt;height:0.15pt;width:26.95pt;z-index:251659264;mso-width-relative:page;mso-height-relative:page;" filled="f" coordsize="21600,21600" o:gfxdata="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WD&#10;p9kAAAAJAQAADwAAAAAAAAABACAAAAAiAAAAZHJzL2Rvd25yZXYueG1sUEsBAhQAFAAAAAgAh07i&#10;QIH7XpjoAQAAiAMAAA4AAAAAAAAAAQAgAAAAKAEAAGRycy9lMm9Eb2MueG1sUEsFBgAAAAAGAAYA&#10;WQEAAIIFAAAAAA==&#10;">
                  <v:path arrowok="t"/>
                  <v:fill on="f" focussize="0,0"/>
                  <v:stroke endarrow="block"/>
                  <v:imagedata o:title=""/>
                  <o:lock v:ext="edit"/>
                </v:shape>
              </w:pict>
            </w:r>
            <w:r>
              <w:rPr>
                <w:u w:val="single"/>
              </w:rPr>
              <w:pict>
                <v:shape id="文本框 6" o:spid="_x0000_s1069" o:spt="202" type="#_x0000_t202" style="position:absolute;left:0pt;margin-left:178.8pt;margin-top:6.65pt;height:23.25pt;width:40.6pt;z-index:251659264;mso-width-relative:page;mso-height-relative:page;" coordsize="21600,21600" o:gfxdata="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VKSLH1gAAAAkBAAAPAAAAAAAAAAEAIAAAACIAAABkcnMvZG93&#10;bnJldi54bWxQSwECFAAUAAAACACHTuJAxSbSPDsCAABoBAAADgAAAAAAAAABACAAAAAlAQAAZHJz&#10;L2Uyb0RvYy54bWxQSwUGAAAAAAYABgBZAQAA0gUAAAAA&#10;">
                  <v:path/>
                  <v:fill focussize="0,0"/>
                  <v:stroke weight="0.5pt" joinstyle="round"/>
                  <v:imagedata o:title=""/>
                  <o:lock v:ext="edit"/>
                  <v:textbox>
                    <w:txbxContent>
                      <w:p>
                        <w:pPr>
                          <w:jc w:val="center"/>
                        </w:pPr>
                        <w:r>
                          <w:rPr>
                            <w:rFonts w:hint="eastAsia"/>
                          </w:rPr>
                          <w:t>上料</w:t>
                        </w:r>
                      </w:p>
                    </w:txbxContent>
                  </v:textbox>
                </v:shape>
              </w:pict>
            </w:r>
            <w:r>
              <w:rPr>
                <w:u w:val="single"/>
              </w:rPr>
              <w:pict>
                <v:shape id="直接箭头连接符 7" o:spid="_x0000_s1065" o:spt="32" type="#_x0000_t32" style="position:absolute;left:0pt;flip:y;margin-left:145.85pt;margin-top:16.4pt;height:0.15pt;width:26.95pt;z-index:251659264;mso-width-relative:page;mso-height-relative:page;" filled="f" coordsize="21600,21600" o:gfxdata="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7Uoi&#10;2QAAAAkBAAAPAAAAAAAAAAEAIAAAACIAAABkcnMvZG93bnJldi54bWxQSwECFAAUAAAACACHTuJA&#10;HsEm3+cBAACIAwAADgAAAAAAAAABACAAAAAoAQAAZHJzL2Uyb0RvYy54bWxQSwUGAAAAAAYABgBZ&#10;AQAAgQUAAAAA&#10;">
                  <v:path arrowok="t"/>
                  <v:fill on="f" focussize="0,0"/>
                  <v:stroke endarrow="block"/>
                  <v:imagedata o:title=""/>
                  <o:lock v:ext="edit"/>
                </v:shape>
              </w:pict>
            </w:r>
            <w:r>
              <w:rPr>
                <w:u w:val="single"/>
              </w:rPr>
              <w:pict>
                <v:shape id="文本框 2" o:spid="_x0000_s1067" o:spt="202" type="#_x0000_t202" style="position:absolute;left:0pt;margin-left:82.05pt;margin-top:5.9pt;height:23.25pt;width:57.05pt;z-index:251659264;mso-width-relative:page;mso-height-relative:page;" coordsize="21600,21600" o:gfxdata="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0BeEX1QAAAAkBAAAPAAAAAAAAAAEAIAAA&#10;ACIAAABkcnMvZG93bnJldi54bWxQSwECFAAUAAAACACHTuJAsMCQs0gCAAB0BAAADgAAAAAAAAAB&#10;ACAAAAAkAQAAZHJzL2Uyb0RvYy54bWxQSwUGAAAAAAYABgBZAQAA3gUAAAAA&#10;">
                  <v:path/>
                  <v:fill focussize="0,0"/>
                  <v:stroke weight="0.5pt" joinstyle="round"/>
                  <v:imagedata o:title=""/>
                  <o:lock v:ext="edit"/>
                  <v:textbox>
                    <w:txbxContent>
                      <w:p>
                        <w:pPr>
                          <w:jc w:val="center"/>
                        </w:pPr>
                        <w:r>
                          <w:rPr>
                            <w:rFonts w:hint="eastAsia"/>
                          </w:rPr>
                          <w:t>破碎</w:t>
                        </w:r>
                      </w:p>
                    </w:txbxContent>
                  </v:textbox>
                </v:shape>
              </w:pict>
            </w:r>
            <w:r>
              <w:rPr>
                <w:u w:val="single"/>
              </w:rPr>
              <w:pict>
                <v:shape id="文本框 10" o:spid="_x0000_s1064" o:spt="202" type="#_x0000_t202" style="position:absolute;left:0pt;margin-left:332.55pt;margin-top:5.9pt;height:23.25pt;width:40.6pt;z-index:251659264;mso-width-relative:page;mso-height-relative:page;" coordsize="21600,21600" o:gfxdata="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Mnzu1gAAAAkBAAAPAAAAAAAAAAEAIAAAACIAAABkcnMvZG93&#10;bnJldi54bWxQSwECFAAUAAAACACHTuJA8tFZRTsCAABqBAAADgAAAAAAAAABACAAAAAlAQAAZHJz&#10;L2Uyb0RvYy54bWxQSwUGAAAAAAYABgBZAQAA0gUAAAAA&#10;">
                  <v:path/>
                  <v:fill focussize="0,0"/>
                  <v:stroke weight="0.5pt" joinstyle="round"/>
                  <v:imagedata o:title=""/>
                  <o:lock v:ext="edit"/>
                  <v:textbox>
                    <w:txbxContent>
                      <w:p>
                        <w:pPr>
                          <w:jc w:val="center"/>
                        </w:pPr>
                        <w:r>
                          <w:rPr>
                            <w:rFonts w:hint="eastAsia"/>
                          </w:rPr>
                          <w:t>过滤</w:t>
                        </w:r>
                      </w:p>
                    </w:txbxContent>
                  </v:textbox>
                </v:shape>
              </w:pict>
            </w:r>
            <w:r>
              <w:rPr>
                <w:u w:val="single"/>
              </w:rPr>
              <w:pict>
                <v:shape id="文本框 9" o:spid="_x0000_s1068" o:spt="202" type="#_x0000_t202" style="position:absolute;left:0pt;margin-left:257.55pt;margin-top:5.9pt;height:23.25pt;width:40.6pt;z-index:251659264;mso-width-relative:page;mso-height-relative:page;" coordsize="21600,21600" o:gfxdata="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wl91+1gAAAAkBAAAPAAAAAAAAAAEAIAAAACIAAABkcnMvZG93&#10;bnJldi54bWxQSwECFAAUAAAACACHTuJAksS4HTsCAABoBAAADgAAAAAAAAABACAAAAAlAQAAZHJz&#10;L2Uyb0RvYy54bWxQSwUGAAAAAAYABgBZAQAA0gUAAAAA&#10;">
                  <v:path/>
                  <v:fill focussize="0,0"/>
                  <v:stroke weight="0.5pt" joinstyle="round"/>
                  <v:imagedata o:title=""/>
                  <o:lock v:ext="edit"/>
                  <v:textbox>
                    <w:txbxContent>
                      <w:p>
                        <w:pPr>
                          <w:jc w:val="center"/>
                        </w:pPr>
                        <w:r>
                          <w:rPr>
                            <w:rFonts w:hint="eastAsia"/>
                          </w:rPr>
                          <w:t>热熔</w:t>
                        </w:r>
                      </w:p>
                    </w:txbxContent>
                  </v:textbox>
                </v:shape>
              </w:pict>
            </w:r>
            <w:r>
              <w:rPr>
                <w:u w:val="single"/>
              </w:rPr>
              <w:pict>
                <v:shape id="直接箭头连接符 4" o:spid="_x0000_s1066" o:spt="32" type="#_x0000_t32" style="position:absolute;left:0pt;flip:y;margin-left:48.35pt;margin-top:16.4pt;height:0.15pt;width:26.95pt;z-index:251659264;mso-width-relative:page;mso-height-relative:page;" filled="f" coordsize="21600,21600" o:gfxdata="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lSyF2AAAAAgBAAAPAAAAAAAAAAEAIAAAACIAAABkcnMvZG93bnJldi54bWxQSwEC&#10;FAAUAAAACACHTuJA/lTNC/QBAACUAwAADgAAAAAAAAABACAAAAAnAQAAZHJzL2Uyb0RvYy54bWxQ&#10;SwUGAAAAAAYABgBZAQAAjQUAAAAA&#10;">
                  <v:path arrowok="t"/>
                  <v:fill on="f" focussize="0,0"/>
                  <v:stroke endarrow="block"/>
                  <v:imagedata o:title=""/>
                  <o:lock v:ext="edit"/>
                </v:shape>
              </w:pict>
            </w:r>
          </w:p>
          <w:p>
            <w:pPr>
              <w:rPr>
                <w:sz w:val="24"/>
                <w:u w:val="single"/>
              </w:rPr>
            </w:pPr>
            <w:r>
              <w:rPr>
                <w:u w:val="single"/>
              </w:rPr>
              <w:pict>
                <v:shape id="直接箭头连接符 12" o:spid="_x0000_s1062" o:spt="32" type="#_x0000_t32" style="position:absolute;left:0pt;flip:x;margin-left:352.8pt;margin-top:10.25pt;height:25.35pt;width:0.05pt;z-index:251659264;mso-width-relative:page;mso-height-relative:page;" filled="f" coordsize="21600,21600" o:gfxdata="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P1VnzY&#10;AAAACgEAAA8AAAAAAAAAAQAgAAAAIgAAAGRycy9kb3ducmV2LnhtbFBLAQIUABQAAAAIAIdO4kBO&#10;zLMp5wEAAIkDAAAOAAAAAAAAAAEAIAAAACcBAABkcnMvZTJvRG9jLnhtbFBLBQYAAAAABgAGAFkB&#10;AACABQAAAAA=&#10;">
                  <v:path arrowok="t"/>
                  <v:fill on="f" focussize="0,0"/>
                  <v:stroke endarrow="block"/>
                  <v:imagedata o:title=""/>
                  <o:lock v:ext="edit"/>
                </v:shape>
              </w:pict>
            </w:r>
          </w:p>
          <w:p>
            <w:pPr>
              <w:pStyle w:val="27"/>
              <w:rPr>
                <w:rFonts w:ascii="Times New Roman" w:hAnsi="Times New Roman"/>
                <w:color w:val="auto"/>
                <w:u w:val="single"/>
              </w:rPr>
            </w:pPr>
          </w:p>
          <w:p>
            <w:pPr>
              <w:pStyle w:val="20"/>
              <w:rPr>
                <w:sz w:val="24"/>
                <w:u w:val="single"/>
              </w:rPr>
            </w:pPr>
            <w:r>
              <w:rPr>
                <w:u w:val="single"/>
              </w:rPr>
              <w:pict>
                <v:shape id="文本框 17" o:spid="_x0000_s1059" o:spt="202" type="#_x0000_t202" style="position:absolute;left:0pt;margin-left:153.35pt;margin-top:14.75pt;height:23.25pt;width:59.3pt;z-index:251659264;mso-width-relative:page;mso-height-relative:page;" coordsize="21600,21600" o:gfxdata="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ruXaL1wAAAAsBAAAPAAAAAAAAAAEAIAAAACIAAABkcnMv&#10;ZG93bnJldi54bWxQSwECFAAUAAAACACHTuJAsgqdVT0CAABqBAAADgAAAAAAAAABACAAAAAmAQAA&#10;ZHJzL2Uyb0RvYy54bWxQSwUGAAAAAAYABgBZAQAA1QUAAAAA&#10;">
                  <v:path/>
                  <v:fill focussize="0,0"/>
                  <v:stroke weight="0.5pt" joinstyle="round"/>
                  <v:imagedata o:title=""/>
                  <o:lock v:ext="edit"/>
                  <v:textbox>
                    <w:txbxContent>
                      <w:p>
                        <w:pPr>
                          <w:jc w:val="center"/>
                        </w:pPr>
                        <w:r>
                          <w:rPr>
                            <w:rFonts w:hint="eastAsia"/>
                          </w:rPr>
                          <w:t>切断成粒</w:t>
                        </w:r>
                      </w:p>
                    </w:txbxContent>
                  </v:textbox>
                </v:shape>
              </w:pict>
            </w:r>
            <w:r>
              <w:rPr>
                <w:u w:val="single"/>
              </w:rPr>
              <w:pict>
                <v:shape id="文本框 15" o:spid="_x0000_s1058" o:spt="202" type="#_x0000_t202" style="position:absolute;left:0pt;margin-left:243.35pt;margin-top:13.25pt;height:23.25pt;width:59.3pt;z-index:251659264;mso-width-relative:page;mso-height-relative:page;" coordsize="21600,21600" o:gfxdata="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&#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iN5VrYAAAACwEAAA8AAAAAAAAAAQAgAAAAIgAAAGRy&#10;cy9kb3ducmV2LnhtbFBLAQIUABQAAAAIAIdO4kB70pbgPgIAAGoEAAAOAAAAAAAAAAEAIAAAACcB&#10;AABkcnMvZTJvRG9jLnhtbFBLBQYAAAAABgAGAFkBAADXBQAAAAA=&#10;">
                  <v:path/>
                  <v:fill focussize="0,0"/>
                  <v:stroke weight="0.5pt" joinstyle="round"/>
                  <v:imagedata o:title=""/>
                  <o:lock v:ext="edit"/>
                  <v:textbox>
                    <w:txbxContent>
                      <w:p>
                        <w:pPr>
                          <w:jc w:val="center"/>
                        </w:pPr>
                        <w:r>
                          <w:rPr>
                            <w:rFonts w:hint="eastAsia"/>
                          </w:rPr>
                          <w:t>过水冷却</w:t>
                        </w:r>
                      </w:p>
                    </w:txbxContent>
                  </v:textbox>
                </v:shape>
              </w:pict>
            </w:r>
            <w:r>
              <w:rPr>
                <w:u w:val="single"/>
              </w:rPr>
              <w:pict>
                <v:shape id="文本框 13" o:spid="_x0000_s1061" o:spt="202" type="#_x0000_t202" style="position:absolute;left:0pt;margin-left:334.05pt;margin-top:12.5pt;height:23.25pt;width:40.6pt;z-index:251659264;mso-width-relative:page;mso-height-relative:page;" coordsize="21600,21600" o:gfxdata="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IXhfHXAAAACwEAAA8AAAAAAAAAAQAgAAAAIgAAAGRycy9k&#10;b3ducmV2LnhtbFBLAQIUABQAAAAIAIdO4kB/Zm9HPAIAAGoEAAAOAAAAAAAAAAEAIAAAACYBAABk&#10;cnMvZTJvRG9jLnhtbFBLBQYAAAAABgAGAFkBAADUBQAAAAA=&#10;">
                  <v:path/>
                  <v:fill focussize="0,0"/>
                  <v:stroke weight="0.5pt" joinstyle="round"/>
                  <v:imagedata o:title=""/>
                  <o:lock v:ext="edit"/>
                  <v:textbox>
                    <w:txbxContent>
                      <w:p>
                        <w:pPr>
                          <w:jc w:val="center"/>
                        </w:pPr>
                        <w:r>
                          <w:rPr>
                            <w:rFonts w:hint="eastAsia"/>
                          </w:rPr>
                          <w:t>拉丝</w:t>
                        </w:r>
                      </w:p>
                    </w:txbxContent>
                  </v:textbox>
                </v:shape>
              </w:pict>
            </w:r>
            <w:r>
              <w:rPr>
                <w:u w:val="single"/>
              </w:rPr>
              <w:pict>
                <v:shape id="文本框 19" o:spid="_x0000_s1054" o:spt="202" type="#_x0000_t202" style="position:absolute;left:0pt;margin-left:65.55pt;margin-top:15.65pt;height:23.25pt;width:57.05pt;z-index:251659264;mso-width-relative:page;mso-height-relative:page;" stroked="f" coordsize="21600,21600" o:gfxdata="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Pvu3zUAAAACwEAAA8AAAAAAAAAAQAgAAAAIgAAAGRycy9kb3ducmV2LnhtbFBL&#10;AQIUABQAAAAIAIdO4kCMT9WcMwIAAEIEAAAOAAAAAAAAAAEAIAAAACMBAABkcnMvZTJvRG9jLnht&#10;bFBLBQYAAAAABgAGAFkBAADIBQAAAAA=&#10;">
                  <v:path/>
                  <v:fill focussize="0,0"/>
                  <v:stroke on="f" weight="0.5pt" joinstyle="miter"/>
                  <v:imagedata o:title=""/>
                  <o:lock v:ext="edit"/>
                  <v:textbox>
                    <w:txbxContent>
                      <w:p>
                        <w:pPr>
                          <w:jc w:val="center"/>
                        </w:pPr>
                        <w:r>
                          <w:rPr>
                            <w:rFonts w:hint="eastAsia"/>
                          </w:rPr>
                          <w:t>罐装储存</w:t>
                        </w:r>
                      </w:p>
                    </w:txbxContent>
                  </v:textbox>
                </v:shape>
              </w:pict>
            </w:r>
          </w:p>
          <w:p>
            <w:pPr>
              <w:rPr>
                <w:sz w:val="24"/>
                <w:u w:val="single"/>
              </w:rPr>
            </w:pPr>
            <w:r>
              <w:rPr>
                <w:u w:val="single"/>
              </w:rPr>
              <w:pict>
                <v:shape id="直接箭头连接符 16" o:spid="_x0000_s1057" o:spt="32" type="#_x0000_t32" style="position:absolute;left:0pt;flip:x y;margin-left:215.55pt;margin-top:4.7pt;height:0.15pt;width:25.55pt;z-index:251659264;mso-width-relative:page;mso-height-relative:page;" filled="f" coordsize="21600,21600" o:gfxdata="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XFU4/YAAAACwEAAA8AAAAAAAAAAQAgAAAAIgAAAGRycy9kb3ducmV2LnhtbFBLAQIUABQAAAAI&#10;AIdO4kAXd7iR7QEAAJQDAAAOAAAAAAAAAAEAIAAAACcBAABkcnMvZTJvRG9jLnhtbFBLBQYAAAAA&#10;BgAGAFkBAACGBQAAAAA=&#10;">
                  <v:path arrowok="t"/>
                  <v:fill on="f" focussize="0,0"/>
                  <v:stroke endarrow="block"/>
                  <v:imagedata o:title=""/>
                  <o:lock v:ext="edit"/>
                </v:shape>
              </w:pict>
            </w:r>
            <w:r>
              <w:rPr>
                <w:u w:val="single"/>
              </w:rPr>
              <w:pict>
                <v:shape id="直接箭头连接符 18" o:spid="_x0000_s1053" o:spt="32" type="#_x0000_t32" style="position:absolute;left:0pt;flip:x y;margin-left:124.05pt;margin-top:6.95pt;height:0.15pt;width:25.55pt;z-index:251659264;mso-width-relative:page;mso-height-relative:page;" filled="f" coordsize="21600,21600" o:gfxdata="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DElv/ZAAAACwEAAA8AAAAAAAAAAQAgAAAAIgAAAGRycy9kb3ducmV2LnhtbFBLAQIUABQAAAAI&#10;AIdO4kCxWuMj7AEAAJQDAAAOAAAAAAAAAAEAIAAAACgBAABkcnMvZTJvRG9jLnhtbFBLBQYAAAAA&#10;BgAGAFkBAACGBQAAAAA=&#10;">
                  <v:path arrowok="t"/>
                  <v:fill on="f" focussize="0,0"/>
                  <v:stroke endarrow="block"/>
                  <v:imagedata o:title=""/>
                  <o:lock v:ext="edit"/>
                </v:shape>
              </w:pict>
            </w:r>
            <w:r>
              <w:rPr>
                <w:u w:val="single"/>
              </w:rPr>
              <w:pict>
                <v:shape id="直接箭头连接符 14" o:spid="_x0000_s1060" o:spt="32" type="#_x0000_t32" style="position:absolute;left:0pt;flip:x y;margin-left:307.05pt;margin-top:3.2pt;height:0.15pt;width:25.55pt;z-index:251659264;mso-width-relative:page;mso-height-relative:page;" filled="f" coordsize="21600,21600" o:gfxdata="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6JAh2QAAAAsBAAAPAAAAAAAAAAEAIAAAACIAAABkcnMvZG93bnJldi54bWxQSwECFAAUAAAA&#10;CACHTuJAABb7Y+0BAACUAwAADgAAAAAAAAABACAAAAAoAQAAZHJzL2Uyb0RvYy54bWxQSwUGAAAA&#10;AAYABgBZAQAAhwUAAAAA&#10;">
                  <v:path arrowok="t"/>
                  <v:fill on="f" focussize="0,0"/>
                  <v:stroke endarrow="block"/>
                  <v:imagedata o:title=""/>
                  <o:lock v:ext="edit"/>
                </v:shape>
              </w:pict>
            </w:r>
          </w:p>
          <w:p>
            <w:pPr>
              <w:pStyle w:val="27"/>
              <w:rPr>
                <w:rFonts w:ascii="Times New Roman" w:hAnsi="Times New Roman"/>
                <w:color w:val="auto"/>
                <w:u w:val="single"/>
              </w:rPr>
            </w:pPr>
          </w:p>
          <w:p>
            <w:pPr>
              <w:pStyle w:val="19"/>
              <w:ind w:firstLine="0" w:firstLineChars="0"/>
              <w:rPr>
                <w:sz w:val="24"/>
                <w:u w:val="single"/>
              </w:rPr>
            </w:pPr>
            <w:r>
              <w:rPr>
                <w:u w:val="single"/>
              </w:rPr>
              <w:pict>
                <v:shape id="_x0000_s1072" o:spid="_x0000_s1072" o:spt="202" type="#_x0000_t202" style="position:absolute;left:0pt;margin-left:253.05pt;margin-top:2pt;height:23.25pt;width:128.25pt;z-index:251659264;mso-width-relative:page;mso-height-relative:page;" stroked="f" coordsize="21600,21600" o:gfxdata="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Pvu3zUAAAACwEAAA8AAAAAAAAAAQAgAAAAIgAAAGRycy9kb3ducmV2LnhtbFBL&#10;AQIUABQAAAAIAIdO4kCMT9WcMwIAAEIEAAAOAAAAAAAAAAEAIAAAACMBAABkcnMvZTJvRG9jLnht&#10;bFBLBQYAAAAABgAGAFkBAADIBQAAAAA=&#10;">
                  <v:path/>
                  <v:fill focussize="0,0"/>
                  <v:stroke on="f" weight="0.5pt" joinstyle="miter"/>
                  <v:imagedata o:title=""/>
                  <o:lock v:ext="edit"/>
                  <v:textbox>
                    <w:txbxContent>
                      <w:p>
                        <w:pPr>
                          <w:jc w:val="center"/>
                          <w:rPr>
                            <w:sz w:val="18"/>
                            <w:szCs w:val="21"/>
                          </w:rPr>
                        </w:pPr>
                        <w:r>
                          <w:rPr>
                            <w:rFonts w:hint="eastAsia"/>
                            <w:sz w:val="18"/>
                            <w:szCs w:val="21"/>
                          </w:rPr>
                          <w:t>图例：G：废气、S：固废</w:t>
                        </w:r>
                      </w:p>
                    </w:txbxContent>
                  </v:textbox>
                </v:shape>
              </w:pict>
            </w:r>
          </w:p>
          <w:p>
            <w:pPr>
              <w:rPr>
                <w:u w:val="single"/>
              </w:rPr>
            </w:pPr>
          </w:p>
          <w:p>
            <w:pPr>
              <w:jc w:val="center"/>
              <w:rPr>
                <w:b/>
                <w:bCs/>
                <w:szCs w:val="21"/>
                <w:u w:val="single"/>
              </w:rPr>
            </w:pPr>
            <w:r>
              <w:rPr>
                <w:rFonts w:hint="eastAsia"/>
                <w:b/>
                <w:bCs/>
                <w:szCs w:val="21"/>
                <w:u w:val="single"/>
              </w:rPr>
              <w:t>图 2-2  项目运营期工艺流程及产污环节图</w:t>
            </w:r>
          </w:p>
          <w:p>
            <w:pPr>
              <w:spacing w:line="480" w:lineRule="exact"/>
              <w:rPr>
                <w:sz w:val="24"/>
                <w:u w:val="single"/>
              </w:rPr>
            </w:pPr>
            <w:r>
              <w:rPr>
                <w:rFonts w:hint="eastAsia"/>
                <w:sz w:val="24"/>
                <w:u w:val="single"/>
              </w:rPr>
              <w:t>工艺介绍及产污环节：</w:t>
            </w:r>
          </w:p>
          <w:p>
            <w:pPr>
              <w:pStyle w:val="27"/>
              <w:spacing w:line="480" w:lineRule="exact"/>
              <w:ind w:firstLine="474" w:firstLineChars="200"/>
              <w:rPr>
                <w:rFonts w:ascii="Times New Roman" w:hAnsi="Times New Roman"/>
                <w:b/>
                <w:bCs/>
                <w:snapToGrid w:val="0"/>
                <w:color w:val="auto"/>
                <w:spacing w:val="-10"/>
                <w:u w:val="single"/>
              </w:rPr>
            </w:pPr>
            <w:r>
              <w:rPr>
                <w:rFonts w:hint="eastAsia" w:ascii="Times New Roman" w:hAnsi="Times New Roman"/>
                <w:b/>
                <w:bCs/>
                <w:snapToGrid w:val="0"/>
                <w:color w:val="auto"/>
                <w:spacing w:val="-2"/>
                <w:u w:val="single"/>
              </w:rPr>
              <w:t>（1）</w:t>
            </w:r>
            <w:r>
              <w:rPr>
                <w:rFonts w:hint="eastAsia" w:ascii="Times New Roman" w:hAnsi="Times New Roman"/>
                <w:b/>
                <w:bCs/>
                <w:snapToGrid w:val="0"/>
                <w:color w:val="auto"/>
                <w:spacing w:val="-10"/>
                <w:u w:val="single"/>
              </w:rPr>
              <w:t>破碎</w:t>
            </w:r>
          </w:p>
          <w:p>
            <w:pPr>
              <w:spacing w:line="480" w:lineRule="exact"/>
              <w:ind w:firstLine="480" w:firstLineChars="200"/>
              <w:rPr>
                <w:sz w:val="24"/>
                <w:u w:val="single"/>
              </w:rPr>
            </w:pPr>
            <w:r>
              <w:rPr>
                <w:rFonts w:hint="eastAsia"/>
                <w:bCs/>
                <w:kern w:val="0"/>
                <w:sz w:val="24"/>
                <w:szCs w:val="21"/>
                <w:u w:val="single"/>
                <w:lang w:eastAsia="zh-CN"/>
              </w:rPr>
              <w:t>项目采购的原材料</w:t>
            </w:r>
            <w:r>
              <w:rPr>
                <w:rFonts w:hint="eastAsia"/>
                <w:sz w:val="24"/>
                <w:u w:val="single"/>
              </w:rPr>
              <w:t>已经分选处理</w:t>
            </w:r>
            <w:r>
              <w:rPr>
                <w:rFonts w:hint="eastAsia"/>
                <w:sz w:val="24"/>
                <w:u w:val="single"/>
                <w:lang w:eastAsia="zh-CN"/>
              </w:rPr>
              <w:t>，因此不需要进行水洗分选，直接将</w:t>
            </w:r>
            <w:r>
              <w:rPr>
                <w:rFonts w:hint="eastAsia"/>
                <w:bCs/>
                <w:kern w:val="0"/>
                <w:sz w:val="24"/>
                <w:szCs w:val="21"/>
                <w:u w:val="single"/>
              </w:rPr>
              <w:t>原料分别送入破碎机（冷压块破碎与热熔块破碎），</w:t>
            </w:r>
            <w:r>
              <w:rPr>
                <w:bCs/>
                <w:kern w:val="0"/>
                <w:sz w:val="24"/>
                <w:szCs w:val="21"/>
                <w:u w:val="single"/>
              </w:rPr>
              <w:t>通过剪切、撕裂和挤压的作用，</w:t>
            </w:r>
            <w:r>
              <w:rPr>
                <w:rFonts w:hint="eastAsia"/>
                <w:bCs/>
                <w:kern w:val="0"/>
                <w:sz w:val="24"/>
                <w:szCs w:val="21"/>
                <w:u w:val="single"/>
              </w:rPr>
              <w:t>对</w:t>
            </w:r>
            <w:r>
              <w:rPr>
                <w:bCs/>
                <w:kern w:val="0"/>
                <w:sz w:val="24"/>
                <w:szCs w:val="21"/>
                <w:u w:val="single"/>
              </w:rPr>
              <w:t>废塑料</w:t>
            </w:r>
            <w:r>
              <w:rPr>
                <w:rFonts w:hint="eastAsia"/>
                <w:bCs/>
                <w:kern w:val="0"/>
                <w:sz w:val="24"/>
                <w:szCs w:val="21"/>
                <w:u w:val="single"/>
              </w:rPr>
              <w:t>进行</w:t>
            </w:r>
            <w:r>
              <w:rPr>
                <w:bCs/>
                <w:kern w:val="0"/>
                <w:sz w:val="24"/>
                <w:szCs w:val="21"/>
                <w:u w:val="single"/>
              </w:rPr>
              <w:t>破碎，</w:t>
            </w:r>
            <w:r>
              <w:rPr>
                <w:rFonts w:hint="eastAsia"/>
                <w:bCs/>
                <w:kern w:val="0"/>
                <w:sz w:val="24"/>
                <w:szCs w:val="21"/>
                <w:u w:val="single"/>
              </w:rPr>
              <w:t>破碎后通过封闭式输送带</w:t>
            </w:r>
            <w:r>
              <w:rPr>
                <w:bCs/>
                <w:kern w:val="0"/>
                <w:sz w:val="24"/>
                <w:szCs w:val="21"/>
                <w:u w:val="single"/>
              </w:rPr>
              <w:t>将</w:t>
            </w:r>
            <w:r>
              <w:rPr>
                <w:rFonts w:hint="eastAsia"/>
                <w:bCs/>
                <w:kern w:val="0"/>
                <w:sz w:val="24"/>
                <w:szCs w:val="21"/>
                <w:u w:val="single"/>
              </w:rPr>
              <w:t>其</w:t>
            </w:r>
            <w:r>
              <w:rPr>
                <w:bCs/>
                <w:kern w:val="0"/>
                <w:sz w:val="24"/>
                <w:szCs w:val="21"/>
                <w:u w:val="single"/>
              </w:rPr>
              <w:t>传入至</w:t>
            </w:r>
            <w:r>
              <w:rPr>
                <w:rFonts w:hint="eastAsia"/>
                <w:bCs/>
                <w:kern w:val="0"/>
                <w:sz w:val="24"/>
                <w:szCs w:val="21"/>
                <w:u w:val="single"/>
              </w:rPr>
              <w:t>粉碎仓内</w:t>
            </w:r>
            <w:r>
              <w:rPr>
                <w:bCs/>
                <w:kern w:val="0"/>
                <w:sz w:val="24"/>
                <w:szCs w:val="21"/>
                <w:u w:val="single"/>
              </w:rPr>
              <w:t>。</w:t>
            </w:r>
            <w:r>
              <w:rPr>
                <w:rFonts w:hint="eastAsia"/>
                <w:bCs/>
                <w:kern w:val="0"/>
                <w:sz w:val="24"/>
                <w:szCs w:val="21"/>
                <w:u w:val="single"/>
              </w:rPr>
              <w:t>破碎过程将产生机械设备运行噪声、以及少量粉尘G1。</w:t>
            </w:r>
          </w:p>
          <w:p>
            <w:pPr>
              <w:spacing w:line="480" w:lineRule="exact"/>
              <w:ind w:firstLine="482" w:firstLineChars="200"/>
              <w:rPr>
                <w:b/>
                <w:bCs/>
                <w:sz w:val="24"/>
                <w:u w:val="single"/>
              </w:rPr>
            </w:pPr>
            <w:r>
              <w:rPr>
                <w:rFonts w:hint="eastAsia"/>
                <w:b/>
                <w:bCs/>
                <w:sz w:val="24"/>
                <w:u w:val="single"/>
              </w:rPr>
              <w:t>（2）上料、热熔、过滤、拉丝</w:t>
            </w:r>
          </w:p>
          <w:p>
            <w:pPr>
              <w:pStyle w:val="20"/>
              <w:spacing w:after="0" w:line="480" w:lineRule="exact"/>
              <w:ind w:left="0" w:leftChars="0" w:firstLine="480"/>
              <w:rPr>
                <w:bCs/>
                <w:kern w:val="0"/>
                <w:sz w:val="24"/>
                <w:szCs w:val="21"/>
                <w:u w:val="single"/>
              </w:rPr>
            </w:pPr>
            <w:r>
              <w:rPr>
                <w:rFonts w:hint="eastAsia"/>
                <w:bCs/>
                <w:kern w:val="0"/>
                <w:sz w:val="24"/>
                <w:szCs w:val="21"/>
                <w:u w:val="single"/>
              </w:rPr>
              <w:t>本项目采用造粒机组进行生产，机组分为主机以及副机，工艺上料、热熔、过滤、拉丝工艺均在封闭式造粒机组中完成。</w:t>
            </w:r>
          </w:p>
          <w:p>
            <w:pPr>
              <w:pStyle w:val="20"/>
              <w:spacing w:after="0" w:line="480" w:lineRule="exact"/>
              <w:ind w:left="0" w:leftChars="0" w:firstLine="480"/>
              <w:rPr>
                <w:bCs/>
                <w:kern w:val="0"/>
                <w:sz w:val="24"/>
                <w:szCs w:val="21"/>
                <w:u w:val="single"/>
              </w:rPr>
            </w:pPr>
            <w:r>
              <w:rPr>
                <w:rFonts w:hint="eastAsia"/>
                <w:bCs/>
                <w:kern w:val="0"/>
                <w:sz w:val="24"/>
                <w:szCs w:val="21"/>
                <w:u w:val="single"/>
              </w:rPr>
              <w:t>项目粉碎仓内的原料通过封闭式输送带送入机组主机内上料，通过电加热至200度进行热熔，在机组内过滤渣滓后将融后的泡沫/塑料进行拉丝，拉丝成型后的泡沫/塑料送入冷却槽冷却。热熔过程会产生一定量有机废气（G2）。</w:t>
            </w:r>
          </w:p>
          <w:p>
            <w:pPr>
              <w:pStyle w:val="20"/>
              <w:spacing w:after="0" w:line="480" w:lineRule="exact"/>
              <w:ind w:left="0" w:leftChars="0" w:firstLine="482"/>
              <w:rPr>
                <w:bCs/>
                <w:kern w:val="0"/>
                <w:sz w:val="24"/>
                <w:szCs w:val="21"/>
                <w:u w:val="single"/>
              </w:rPr>
            </w:pPr>
            <w:r>
              <w:rPr>
                <w:rFonts w:hint="eastAsia"/>
                <w:b/>
                <w:bCs/>
                <w:sz w:val="24"/>
                <w:u w:val="single"/>
              </w:rPr>
              <w:t>（3）过水冷却</w:t>
            </w:r>
          </w:p>
          <w:p>
            <w:pPr>
              <w:pStyle w:val="20"/>
              <w:spacing w:after="0" w:line="360" w:lineRule="auto"/>
              <w:ind w:left="0" w:leftChars="0" w:firstLine="480"/>
              <w:rPr>
                <w:bCs/>
                <w:kern w:val="0"/>
                <w:sz w:val="24"/>
                <w:u w:val="single"/>
              </w:rPr>
            </w:pPr>
            <w:r>
              <w:rPr>
                <w:rFonts w:hint="eastAsia"/>
                <w:bCs/>
                <w:kern w:val="0"/>
                <w:sz w:val="24"/>
                <w:szCs w:val="21"/>
                <w:u w:val="single"/>
              </w:rPr>
              <w:t>拉丝成型后的泡沫/塑料从机组中通过输送带送入冷却槽</w:t>
            </w:r>
            <w:r>
              <w:rPr>
                <w:rFonts w:hint="eastAsia"/>
                <w:bCs/>
                <w:kern w:val="0"/>
                <w:sz w:val="24"/>
                <w:szCs w:val="21"/>
                <w:u w:val="single"/>
                <w:lang w:val="en-US" w:eastAsia="zh-CN"/>
              </w:rPr>
              <w:t>间接</w:t>
            </w:r>
            <w:r>
              <w:rPr>
                <w:rFonts w:hint="eastAsia"/>
                <w:bCs/>
                <w:kern w:val="0"/>
                <w:sz w:val="24"/>
                <w:szCs w:val="21"/>
                <w:u w:val="single"/>
              </w:rPr>
              <w:t>冷却，冷却水循环使</w:t>
            </w:r>
            <w:r>
              <w:rPr>
                <w:rFonts w:hint="eastAsia"/>
                <w:bCs/>
                <w:kern w:val="0"/>
                <w:sz w:val="24"/>
                <w:u w:val="single"/>
              </w:rPr>
              <w:t>用不外排，定期补充新鲜水。</w:t>
            </w:r>
          </w:p>
          <w:p>
            <w:pPr>
              <w:pStyle w:val="20"/>
              <w:spacing w:after="0" w:line="360" w:lineRule="auto"/>
              <w:ind w:left="0" w:leftChars="0" w:firstLine="482"/>
              <w:rPr>
                <w:bCs/>
                <w:kern w:val="0"/>
                <w:sz w:val="24"/>
              </w:rPr>
            </w:pPr>
            <w:r>
              <w:rPr>
                <w:rFonts w:hint="eastAsia"/>
                <w:b/>
                <w:bCs/>
                <w:sz w:val="24"/>
              </w:rPr>
              <w:t>（4）切断成粒</w:t>
            </w:r>
          </w:p>
          <w:p>
            <w:pPr>
              <w:spacing w:line="360" w:lineRule="auto"/>
              <w:rPr>
                <w:sz w:val="24"/>
              </w:rPr>
            </w:pPr>
            <w:r>
              <w:rPr>
                <w:rFonts w:hint="eastAsia"/>
                <w:sz w:val="24"/>
              </w:rPr>
              <w:t xml:space="preserve">    通过输送带将冷却后的半成品送入切粒机进行切断成粒状，送入储存罐内暂存，袋装后进入成品区储存外售。</w:t>
            </w:r>
          </w:p>
          <w:p>
            <w:pPr>
              <w:spacing w:line="480" w:lineRule="exact"/>
              <w:ind w:firstLine="480" w:firstLineChars="200"/>
              <w:rPr>
                <w:sz w:val="24"/>
              </w:rPr>
            </w:pPr>
            <w:r>
              <w:rPr>
                <w:rFonts w:hint="eastAsia"/>
                <w:sz w:val="24"/>
              </w:rPr>
              <w:t>项目主要污染工序及污染因子见表2-7：</w:t>
            </w:r>
          </w:p>
          <w:p>
            <w:pPr>
              <w:pStyle w:val="27"/>
            </w:pPr>
          </w:p>
          <w:p>
            <w:pPr>
              <w:jc w:val="center"/>
              <w:rPr>
                <w:b/>
                <w:bCs/>
              </w:rPr>
            </w:pPr>
            <w:r>
              <w:rPr>
                <w:rFonts w:hint="eastAsia"/>
                <w:b/>
                <w:bCs/>
              </w:rPr>
              <w:t>表2-7  项目主要污染产生环节一览表</w:t>
            </w:r>
          </w:p>
          <w:tbl>
            <w:tblPr>
              <w:tblStyle w:val="21"/>
              <w:tblW w:w="769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907"/>
              <w:gridCol w:w="557"/>
              <w:gridCol w:w="1382"/>
              <w:gridCol w:w="34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tcBorders>
                    <w:tl2br w:val="nil"/>
                    <w:tr2bl w:val="nil"/>
                  </w:tcBorders>
                  <w:vAlign w:val="center"/>
                </w:tcPr>
                <w:p>
                  <w:pPr>
                    <w:ind w:left="-42" w:leftChars="-20" w:right="-42" w:rightChars="-20"/>
                    <w:jc w:val="center"/>
                    <w:rPr>
                      <w:b/>
                      <w:bCs/>
                      <w:szCs w:val="18"/>
                    </w:rPr>
                  </w:pPr>
                  <w:r>
                    <w:rPr>
                      <w:rFonts w:hint="eastAsia"/>
                      <w:b/>
                      <w:bCs/>
                      <w:szCs w:val="18"/>
                    </w:rPr>
                    <w:t>类别</w:t>
                  </w:r>
                </w:p>
              </w:tc>
              <w:tc>
                <w:tcPr>
                  <w:tcW w:w="1907" w:type="dxa"/>
                  <w:tcBorders>
                    <w:tl2br w:val="nil"/>
                    <w:tr2bl w:val="nil"/>
                  </w:tcBorders>
                  <w:vAlign w:val="center"/>
                </w:tcPr>
                <w:p>
                  <w:pPr>
                    <w:ind w:left="-42" w:leftChars="-20" w:right="-42" w:rightChars="-20"/>
                    <w:jc w:val="center"/>
                    <w:rPr>
                      <w:b/>
                      <w:bCs/>
                      <w:szCs w:val="18"/>
                    </w:rPr>
                  </w:pPr>
                  <w:r>
                    <w:rPr>
                      <w:rFonts w:hint="eastAsia"/>
                      <w:b/>
                      <w:bCs/>
                      <w:szCs w:val="18"/>
                    </w:rPr>
                    <w:t>产污环节</w:t>
                  </w:r>
                </w:p>
              </w:tc>
              <w:tc>
                <w:tcPr>
                  <w:tcW w:w="557" w:type="dxa"/>
                  <w:tcBorders>
                    <w:tl2br w:val="nil"/>
                    <w:tr2bl w:val="nil"/>
                  </w:tcBorders>
                  <w:vAlign w:val="center"/>
                </w:tcPr>
                <w:p>
                  <w:pPr>
                    <w:ind w:left="-42" w:leftChars="-20" w:right="-42" w:rightChars="-20"/>
                    <w:jc w:val="center"/>
                    <w:rPr>
                      <w:b/>
                      <w:bCs/>
                      <w:szCs w:val="18"/>
                    </w:rPr>
                  </w:pPr>
                  <w:r>
                    <w:rPr>
                      <w:rFonts w:hint="eastAsia"/>
                      <w:b/>
                      <w:bCs/>
                      <w:szCs w:val="18"/>
                    </w:rPr>
                    <w:t>排放规律</w:t>
                  </w:r>
                </w:p>
              </w:tc>
              <w:tc>
                <w:tcPr>
                  <w:tcW w:w="1382" w:type="dxa"/>
                  <w:tcBorders>
                    <w:tl2br w:val="nil"/>
                    <w:tr2bl w:val="nil"/>
                  </w:tcBorders>
                  <w:vAlign w:val="center"/>
                </w:tcPr>
                <w:p>
                  <w:pPr>
                    <w:ind w:left="-42" w:leftChars="-20" w:right="-42" w:rightChars="-20"/>
                    <w:jc w:val="center"/>
                    <w:rPr>
                      <w:b/>
                      <w:bCs/>
                      <w:szCs w:val="18"/>
                    </w:rPr>
                  </w:pPr>
                  <w:r>
                    <w:rPr>
                      <w:rFonts w:hint="eastAsia"/>
                      <w:b/>
                      <w:bCs/>
                      <w:szCs w:val="18"/>
                    </w:rPr>
                    <w:t>污染物</w:t>
                  </w:r>
                </w:p>
              </w:tc>
              <w:tc>
                <w:tcPr>
                  <w:tcW w:w="3486" w:type="dxa"/>
                  <w:tcBorders>
                    <w:tl2br w:val="nil"/>
                    <w:tr2bl w:val="nil"/>
                  </w:tcBorders>
                  <w:vAlign w:val="center"/>
                </w:tcPr>
                <w:p>
                  <w:pPr>
                    <w:ind w:left="-42" w:leftChars="-20" w:right="-42" w:rightChars="-20"/>
                    <w:jc w:val="center"/>
                    <w:rPr>
                      <w:b/>
                      <w:bCs/>
                      <w:szCs w:val="18"/>
                    </w:rPr>
                  </w:pPr>
                  <w:r>
                    <w:rPr>
                      <w:rFonts w:hint="eastAsia"/>
                      <w:b/>
                      <w:bCs/>
                      <w:szCs w:val="18"/>
                    </w:rPr>
                    <w:t>去向（措施）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vMerge w:val="restart"/>
                  <w:tcBorders>
                    <w:tl2br w:val="nil"/>
                    <w:tr2bl w:val="nil"/>
                  </w:tcBorders>
                  <w:vAlign w:val="center"/>
                </w:tcPr>
                <w:p>
                  <w:pPr>
                    <w:ind w:left="-42" w:leftChars="-20" w:right="-42" w:rightChars="-20"/>
                    <w:jc w:val="center"/>
                    <w:rPr>
                      <w:bCs/>
                      <w:szCs w:val="18"/>
                    </w:rPr>
                  </w:pPr>
                  <w:r>
                    <w:rPr>
                      <w:rFonts w:hint="eastAsia"/>
                      <w:bCs/>
                      <w:szCs w:val="18"/>
                    </w:rPr>
                    <w:t>废气</w:t>
                  </w:r>
                </w:p>
              </w:tc>
              <w:tc>
                <w:tcPr>
                  <w:tcW w:w="1907" w:type="dxa"/>
                  <w:tcBorders>
                    <w:tl2br w:val="nil"/>
                    <w:tr2bl w:val="nil"/>
                  </w:tcBorders>
                  <w:vAlign w:val="center"/>
                </w:tcPr>
                <w:p>
                  <w:pPr>
                    <w:ind w:left="-42" w:leftChars="-20" w:right="-42" w:rightChars="-20"/>
                    <w:jc w:val="center"/>
                    <w:rPr>
                      <w:bCs/>
                      <w:szCs w:val="18"/>
                    </w:rPr>
                  </w:pPr>
                  <w:r>
                    <w:rPr>
                      <w:rFonts w:hint="eastAsia"/>
                      <w:bCs/>
                      <w:szCs w:val="18"/>
                    </w:rPr>
                    <w:t>破碎工序</w:t>
                  </w:r>
                </w:p>
              </w:tc>
              <w:tc>
                <w:tcPr>
                  <w:tcW w:w="557" w:type="dxa"/>
                  <w:tcBorders>
                    <w:tl2br w:val="nil"/>
                    <w:tr2bl w:val="nil"/>
                  </w:tcBorders>
                  <w:vAlign w:val="center"/>
                </w:tcPr>
                <w:p>
                  <w:pPr>
                    <w:ind w:left="-42" w:leftChars="-20" w:right="-42" w:rightChars="-20"/>
                    <w:jc w:val="center"/>
                    <w:rPr>
                      <w:bCs/>
                      <w:szCs w:val="18"/>
                    </w:rPr>
                  </w:pPr>
                  <w:r>
                    <w:rPr>
                      <w:rFonts w:hint="eastAsia"/>
                      <w:bCs/>
                      <w:szCs w:val="18"/>
                    </w:rPr>
                    <w:t>间断</w:t>
                  </w:r>
                </w:p>
              </w:tc>
              <w:tc>
                <w:tcPr>
                  <w:tcW w:w="1382" w:type="dxa"/>
                  <w:tcBorders>
                    <w:tl2br w:val="nil"/>
                    <w:tr2bl w:val="nil"/>
                  </w:tcBorders>
                  <w:vAlign w:val="center"/>
                </w:tcPr>
                <w:p>
                  <w:pPr>
                    <w:ind w:left="-42" w:leftChars="-20" w:right="-42" w:rightChars="-20"/>
                    <w:jc w:val="center"/>
                    <w:rPr>
                      <w:bCs/>
                      <w:szCs w:val="18"/>
                    </w:rPr>
                  </w:pPr>
                  <w:r>
                    <w:rPr>
                      <w:rFonts w:hint="eastAsia"/>
                      <w:bCs/>
                      <w:szCs w:val="18"/>
                    </w:rPr>
                    <w:t>颗粒物</w:t>
                  </w:r>
                </w:p>
              </w:tc>
              <w:tc>
                <w:tcPr>
                  <w:tcW w:w="3486" w:type="dxa"/>
                  <w:tcBorders>
                    <w:tl2br w:val="nil"/>
                    <w:tr2bl w:val="nil"/>
                  </w:tcBorders>
                  <w:vAlign w:val="center"/>
                </w:tcPr>
                <w:p>
                  <w:pPr>
                    <w:ind w:left="-42" w:leftChars="-20" w:right="-42" w:rightChars="-20"/>
                    <w:jc w:val="center"/>
                    <w:rPr>
                      <w:bCs/>
                      <w:szCs w:val="18"/>
                    </w:rPr>
                  </w:pPr>
                  <w:r>
                    <w:rPr>
                      <w:bCs/>
                      <w:szCs w:val="18"/>
                    </w:rPr>
                    <w:t>全封闭</w:t>
                  </w:r>
                  <w:r>
                    <w:rPr>
                      <w:rFonts w:hint="eastAsia"/>
                      <w:bCs/>
                      <w:szCs w:val="18"/>
                    </w:rPr>
                    <w:t>，</w:t>
                  </w:r>
                  <w:r>
                    <w:rPr>
                      <w:rFonts w:hint="eastAsia"/>
                      <w:bCs/>
                      <w:szCs w:val="18"/>
                      <w:lang w:val="en-US" w:eastAsia="zh-CN"/>
                    </w:rPr>
                    <w:t>布袋除尘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vMerge w:val="continue"/>
                  <w:tcBorders>
                    <w:tl2br w:val="nil"/>
                    <w:tr2bl w:val="nil"/>
                  </w:tcBorders>
                  <w:vAlign w:val="center"/>
                </w:tcPr>
                <w:p>
                  <w:pPr>
                    <w:ind w:left="-42" w:leftChars="-20" w:right="-42" w:rightChars="-20"/>
                    <w:jc w:val="center"/>
                    <w:rPr>
                      <w:bCs/>
                      <w:szCs w:val="18"/>
                    </w:rPr>
                  </w:pPr>
                </w:p>
              </w:tc>
              <w:tc>
                <w:tcPr>
                  <w:tcW w:w="1907" w:type="dxa"/>
                  <w:tcBorders>
                    <w:tl2br w:val="nil"/>
                    <w:tr2bl w:val="nil"/>
                  </w:tcBorders>
                  <w:vAlign w:val="center"/>
                </w:tcPr>
                <w:p>
                  <w:pPr>
                    <w:ind w:left="-42" w:leftChars="-20" w:right="-42" w:rightChars="-20"/>
                    <w:jc w:val="center"/>
                    <w:rPr>
                      <w:bCs/>
                      <w:szCs w:val="18"/>
                    </w:rPr>
                  </w:pPr>
                  <w:r>
                    <w:rPr>
                      <w:rFonts w:hint="eastAsia"/>
                      <w:bCs/>
                      <w:szCs w:val="18"/>
                    </w:rPr>
                    <w:t>热熔</w:t>
                  </w:r>
                </w:p>
              </w:tc>
              <w:tc>
                <w:tcPr>
                  <w:tcW w:w="557" w:type="dxa"/>
                  <w:tcBorders>
                    <w:tl2br w:val="nil"/>
                    <w:tr2bl w:val="nil"/>
                  </w:tcBorders>
                  <w:vAlign w:val="center"/>
                </w:tcPr>
                <w:p>
                  <w:pPr>
                    <w:ind w:left="-42" w:leftChars="-20" w:right="-42" w:rightChars="-20"/>
                    <w:jc w:val="center"/>
                    <w:rPr>
                      <w:bCs/>
                      <w:szCs w:val="18"/>
                    </w:rPr>
                  </w:pPr>
                  <w:r>
                    <w:rPr>
                      <w:rFonts w:hint="eastAsia"/>
                      <w:bCs/>
                      <w:szCs w:val="18"/>
                    </w:rPr>
                    <w:t>间断</w:t>
                  </w:r>
                </w:p>
              </w:tc>
              <w:tc>
                <w:tcPr>
                  <w:tcW w:w="1382" w:type="dxa"/>
                  <w:tcBorders>
                    <w:tl2br w:val="nil"/>
                    <w:tr2bl w:val="nil"/>
                  </w:tcBorders>
                  <w:vAlign w:val="center"/>
                </w:tcPr>
                <w:p>
                  <w:pPr>
                    <w:ind w:left="-42" w:leftChars="-20" w:right="-42" w:rightChars="-20"/>
                    <w:jc w:val="center"/>
                    <w:rPr>
                      <w:rFonts w:hint="eastAsia" w:eastAsia="宋体"/>
                      <w:bCs/>
                      <w:szCs w:val="18"/>
                      <w:lang w:eastAsia="zh-CN"/>
                    </w:rPr>
                  </w:pPr>
                  <w:r>
                    <w:rPr>
                      <w:rFonts w:hint="eastAsia"/>
                      <w:bCs/>
                      <w:szCs w:val="18"/>
                    </w:rPr>
                    <w:t>非甲烷总烃</w:t>
                  </w:r>
                  <w:r>
                    <w:rPr>
                      <w:rStyle w:val="26"/>
                      <w:rFonts w:hint="eastAsia"/>
                      <w:kern w:val="0"/>
                      <w:szCs w:val="20"/>
                      <w:lang w:eastAsia="zh-CN"/>
                    </w:rPr>
                    <w:t>、</w:t>
                  </w:r>
                  <w:r>
                    <w:t>苯乙烯、甲苯、乙苯</w:t>
                  </w:r>
                </w:p>
              </w:tc>
              <w:tc>
                <w:tcPr>
                  <w:tcW w:w="3486" w:type="dxa"/>
                  <w:tcBorders>
                    <w:tl2br w:val="nil"/>
                    <w:tr2bl w:val="nil"/>
                  </w:tcBorders>
                  <w:vAlign w:val="center"/>
                </w:tcPr>
                <w:p>
                  <w:pPr>
                    <w:ind w:left="-42" w:leftChars="-20" w:right="-42" w:rightChars="-20"/>
                    <w:jc w:val="center"/>
                    <w:rPr>
                      <w:bCs/>
                      <w:szCs w:val="18"/>
                    </w:rPr>
                  </w:pPr>
                  <w:r>
                    <w:rPr>
                      <w:rFonts w:hint="eastAsia"/>
                      <w:bCs/>
                      <w:szCs w:val="18"/>
                    </w:rPr>
                    <w:t>全封闭，</w:t>
                  </w:r>
                  <w:r>
                    <w:rPr>
                      <w:rFonts w:hint="eastAsia"/>
                      <w:bCs/>
                      <w:szCs w:val="18"/>
                      <w:lang w:val="en-US" w:eastAsia="zh-CN"/>
                    </w:rPr>
                    <w:t>喷淋+</w:t>
                  </w:r>
                  <w:r>
                    <w:t>UV光解+活性炭吸附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tcBorders>
                    <w:tl2br w:val="nil"/>
                    <w:tr2bl w:val="nil"/>
                  </w:tcBorders>
                  <w:vAlign w:val="center"/>
                </w:tcPr>
                <w:p>
                  <w:pPr>
                    <w:ind w:left="-42" w:leftChars="-20" w:right="-42" w:rightChars="-20"/>
                    <w:jc w:val="center"/>
                    <w:rPr>
                      <w:bCs/>
                      <w:szCs w:val="18"/>
                    </w:rPr>
                  </w:pPr>
                  <w:r>
                    <w:rPr>
                      <w:rFonts w:hint="eastAsia"/>
                      <w:bCs/>
                      <w:szCs w:val="18"/>
                    </w:rPr>
                    <w:t>废水</w:t>
                  </w:r>
                </w:p>
              </w:tc>
              <w:tc>
                <w:tcPr>
                  <w:tcW w:w="1907" w:type="dxa"/>
                  <w:tcBorders>
                    <w:tl2br w:val="nil"/>
                    <w:tr2bl w:val="nil"/>
                  </w:tcBorders>
                  <w:vAlign w:val="center"/>
                </w:tcPr>
                <w:p>
                  <w:pPr>
                    <w:ind w:left="-42" w:leftChars="-20" w:right="-42" w:rightChars="-20"/>
                    <w:jc w:val="center"/>
                    <w:rPr>
                      <w:bCs/>
                      <w:szCs w:val="18"/>
                    </w:rPr>
                  </w:pPr>
                  <w:r>
                    <w:rPr>
                      <w:bCs/>
                      <w:szCs w:val="18"/>
                    </w:rPr>
                    <w:t>职工生活办公</w:t>
                  </w:r>
                </w:p>
              </w:tc>
              <w:tc>
                <w:tcPr>
                  <w:tcW w:w="557" w:type="dxa"/>
                  <w:tcBorders>
                    <w:tl2br w:val="nil"/>
                    <w:tr2bl w:val="nil"/>
                  </w:tcBorders>
                  <w:vAlign w:val="center"/>
                </w:tcPr>
                <w:p>
                  <w:pPr>
                    <w:ind w:left="-42" w:leftChars="-20" w:right="-42" w:rightChars="-20"/>
                    <w:jc w:val="center"/>
                    <w:rPr>
                      <w:bCs/>
                      <w:szCs w:val="18"/>
                    </w:rPr>
                  </w:pPr>
                  <w:r>
                    <w:rPr>
                      <w:rFonts w:hint="eastAsia"/>
                      <w:bCs/>
                      <w:szCs w:val="18"/>
                    </w:rPr>
                    <w:t>间断</w:t>
                  </w:r>
                </w:p>
              </w:tc>
              <w:tc>
                <w:tcPr>
                  <w:tcW w:w="1382" w:type="dxa"/>
                  <w:tcBorders>
                    <w:tl2br w:val="nil"/>
                    <w:tr2bl w:val="nil"/>
                  </w:tcBorders>
                  <w:vAlign w:val="center"/>
                </w:tcPr>
                <w:p>
                  <w:pPr>
                    <w:ind w:left="-42" w:leftChars="-20" w:right="-42" w:rightChars="-20"/>
                    <w:jc w:val="center"/>
                    <w:rPr>
                      <w:bCs/>
                      <w:szCs w:val="18"/>
                    </w:rPr>
                  </w:pPr>
                  <w:r>
                    <w:rPr>
                      <w:rFonts w:hint="eastAsia"/>
                      <w:bCs/>
                      <w:szCs w:val="18"/>
                    </w:rPr>
                    <w:t>生活污水</w:t>
                  </w:r>
                </w:p>
              </w:tc>
              <w:tc>
                <w:tcPr>
                  <w:tcW w:w="3486" w:type="dxa"/>
                  <w:tcBorders>
                    <w:tl2br w:val="nil"/>
                    <w:tr2bl w:val="nil"/>
                  </w:tcBorders>
                  <w:vAlign w:val="center"/>
                </w:tcPr>
                <w:p>
                  <w:pPr>
                    <w:ind w:left="-42" w:leftChars="-20" w:right="-42" w:rightChars="-20"/>
                    <w:jc w:val="center"/>
                    <w:rPr>
                      <w:bCs/>
                      <w:szCs w:val="18"/>
                    </w:rPr>
                  </w:pPr>
                  <w:r>
                    <w:rPr>
                      <w:rFonts w:hint="eastAsia"/>
                      <w:bCs/>
                      <w:szCs w:val="18"/>
                    </w:rPr>
                    <w:t>经现有隔油池、化粪池处理暂存后，定期清掏用作农肥，资源化利用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tcBorders>
                    <w:tl2br w:val="nil"/>
                    <w:tr2bl w:val="nil"/>
                  </w:tcBorders>
                  <w:vAlign w:val="center"/>
                </w:tcPr>
                <w:p>
                  <w:pPr>
                    <w:ind w:left="-42" w:leftChars="-20" w:right="-42" w:rightChars="-20"/>
                    <w:jc w:val="center"/>
                    <w:rPr>
                      <w:bCs/>
                      <w:szCs w:val="18"/>
                    </w:rPr>
                  </w:pPr>
                  <w:r>
                    <w:rPr>
                      <w:rFonts w:hint="eastAsia"/>
                      <w:bCs/>
                      <w:szCs w:val="18"/>
                    </w:rPr>
                    <w:t>噪声</w:t>
                  </w:r>
                </w:p>
              </w:tc>
              <w:tc>
                <w:tcPr>
                  <w:tcW w:w="1907" w:type="dxa"/>
                  <w:tcBorders>
                    <w:tl2br w:val="nil"/>
                    <w:tr2bl w:val="nil"/>
                  </w:tcBorders>
                  <w:vAlign w:val="center"/>
                </w:tcPr>
                <w:p>
                  <w:pPr>
                    <w:ind w:left="-42" w:leftChars="-20" w:right="-42" w:rightChars="-20"/>
                    <w:jc w:val="center"/>
                    <w:rPr>
                      <w:bCs/>
                      <w:szCs w:val="18"/>
                    </w:rPr>
                  </w:pPr>
                  <w:r>
                    <w:rPr>
                      <w:rFonts w:hint="eastAsia"/>
                      <w:bCs/>
                      <w:szCs w:val="18"/>
                    </w:rPr>
                    <w:t>设备运行</w:t>
                  </w:r>
                </w:p>
              </w:tc>
              <w:tc>
                <w:tcPr>
                  <w:tcW w:w="557" w:type="dxa"/>
                  <w:tcBorders>
                    <w:tl2br w:val="nil"/>
                    <w:tr2bl w:val="nil"/>
                  </w:tcBorders>
                  <w:vAlign w:val="center"/>
                </w:tcPr>
                <w:p>
                  <w:pPr>
                    <w:ind w:left="-42" w:leftChars="-20" w:right="-42" w:rightChars="-20"/>
                    <w:jc w:val="center"/>
                    <w:rPr>
                      <w:bCs/>
                      <w:szCs w:val="18"/>
                    </w:rPr>
                  </w:pPr>
                  <w:r>
                    <w:rPr>
                      <w:rFonts w:hint="eastAsia"/>
                      <w:bCs/>
                      <w:szCs w:val="18"/>
                    </w:rPr>
                    <w:t>间断</w:t>
                  </w:r>
                </w:p>
              </w:tc>
              <w:tc>
                <w:tcPr>
                  <w:tcW w:w="1382" w:type="dxa"/>
                  <w:tcBorders>
                    <w:tl2br w:val="nil"/>
                    <w:tr2bl w:val="nil"/>
                  </w:tcBorders>
                  <w:vAlign w:val="center"/>
                </w:tcPr>
                <w:p>
                  <w:pPr>
                    <w:ind w:left="-42" w:leftChars="-20" w:right="-42" w:rightChars="-20"/>
                    <w:jc w:val="center"/>
                    <w:rPr>
                      <w:bCs/>
                      <w:szCs w:val="18"/>
                    </w:rPr>
                  </w:pPr>
                  <w:r>
                    <w:rPr>
                      <w:rFonts w:hint="eastAsia"/>
                      <w:bCs/>
                      <w:szCs w:val="18"/>
                    </w:rPr>
                    <w:t>噪声</w:t>
                  </w:r>
                </w:p>
              </w:tc>
              <w:tc>
                <w:tcPr>
                  <w:tcW w:w="3486" w:type="dxa"/>
                  <w:tcBorders>
                    <w:tl2br w:val="nil"/>
                    <w:tr2bl w:val="nil"/>
                  </w:tcBorders>
                  <w:vAlign w:val="center"/>
                </w:tcPr>
                <w:p>
                  <w:pPr>
                    <w:ind w:left="-42" w:leftChars="-20" w:right="-42" w:rightChars="-20"/>
                    <w:jc w:val="center"/>
                    <w:rPr>
                      <w:bCs/>
                      <w:szCs w:val="18"/>
                    </w:rPr>
                  </w:pPr>
                  <w:r>
                    <w:rPr>
                      <w:rFonts w:hint="eastAsia"/>
                      <w:bCs/>
                      <w:szCs w:val="18"/>
                    </w:rPr>
                    <w:t>选用低噪声设备、</w:t>
                  </w:r>
                  <w:r>
                    <w:rPr>
                      <w:bCs/>
                      <w:szCs w:val="18"/>
                    </w:rPr>
                    <w:t>基础减震</w:t>
                  </w:r>
                  <w:r>
                    <w:rPr>
                      <w:rFonts w:hint="eastAsia"/>
                      <w:bCs/>
                      <w:szCs w:val="18"/>
                    </w:rPr>
                    <w:t>、厂房</w:t>
                  </w:r>
                  <w:r>
                    <w:rPr>
                      <w:bCs/>
                      <w:szCs w:val="18"/>
                    </w:rPr>
                    <w:t>隔声</w:t>
                  </w:r>
                  <w:r>
                    <w:rPr>
                      <w:rFonts w:hint="eastAsia"/>
                      <w:bCs/>
                      <w:szCs w:val="18"/>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vMerge w:val="restart"/>
                  <w:tcBorders>
                    <w:tl2br w:val="nil"/>
                    <w:tr2bl w:val="nil"/>
                  </w:tcBorders>
                  <w:vAlign w:val="center"/>
                </w:tcPr>
                <w:p>
                  <w:pPr>
                    <w:ind w:left="-42" w:leftChars="-20" w:right="-42" w:rightChars="-20"/>
                    <w:jc w:val="center"/>
                    <w:rPr>
                      <w:bCs/>
                      <w:szCs w:val="18"/>
                    </w:rPr>
                  </w:pPr>
                  <w:r>
                    <w:rPr>
                      <w:rFonts w:hint="eastAsia"/>
                      <w:bCs/>
                      <w:szCs w:val="18"/>
                    </w:rPr>
                    <w:t>固废</w:t>
                  </w:r>
                </w:p>
              </w:tc>
              <w:tc>
                <w:tcPr>
                  <w:tcW w:w="1907" w:type="dxa"/>
                  <w:tcBorders>
                    <w:tl2br w:val="nil"/>
                    <w:tr2bl w:val="nil"/>
                  </w:tcBorders>
                  <w:vAlign w:val="center"/>
                </w:tcPr>
                <w:p>
                  <w:pPr>
                    <w:ind w:left="-42" w:leftChars="-20" w:right="-42" w:rightChars="-20"/>
                    <w:jc w:val="center"/>
                    <w:rPr>
                      <w:bCs/>
                      <w:szCs w:val="18"/>
                    </w:rPr>
                  </w:pPr>
                  <w:r>
                    <w:rPr>
                      <w:rFonts w:hint="eastAsia"/>
                      <w:bCs/>
                      <w:szCs w:val="18"/>
                    </w:rPr>
                    <w:t>处理设备</w:t>
                  </w:r>
                </w:p>
              </w:tc>
              <w:tc>
                <w:tcPr>
                  <w:tcW w:w="557" w:type="dxa"/>
                  <w:tcBorders>
                    <w:tl2br w:val="nil"/>
                    <w:tr2bl w:val="nil"/>
                  </w:tcBorders>
                  <w:vAlign w:val="center"/>
                </w:tcPr>
                <w:p>
                  <w:pPr>
                    <w:ind w:left="-42" w:leftChars="-20" w:right="-42" w:rightChars="-20"/>
                    <w:jc w:val="center"/>
                    <w:rPr>
                      <w:bCs/>
                      <w:szCs w:val="18"/>
                    </w:rPr>
                  </w:pPr>
                  <w:r>
                    <w:rPr>
                      <w:rFonts w:hint="eastAsia"/>
                      <w:bCs/>
                      <w:szCs w:val="18"/>
                    </w:rPr>
                    <w:t>间断</w:t>
                  </w:r>
                </w:p>
              </w:tc>
              <w:tc>
                <w:tcPr>
                  <w:tcW w:w="1382" w:type="dxa"/>
                  <w:tcBorders>
                    <w:tl2br w:val="nil"/>
                    <w:tr2bl w:val="nil"/>
                  </w:tcBorders>
                  <w:vAlign w:val="center"/>
                </w:tcPr>
                <w:p>
                  <w:pPr>
                    <w:ind w:left="-42" w:leftChars="-20" w:right="-42" w:rightChars="-20"/>
                    <w:jc w:val="center"/>
                    <w:rPr>
                      <w:bCs/>
                      <w:szCs w:val="18"/>
                    </w:rPr>
                  </w:pPr>
                  <w:r>
                    <w:rPr>
                      <w:rFonts w:hint="eastAsia"/>
                      <w:bCs/>
                      <w:szCs w:val="18"/>
                    </w:rPr>
                    <w:t>废活性炭、废灯管</w:t>
                  </w:r>
                </w:p>
              </w:tc>
              <w:tc>
                <w:tcPr>
                  <w:tcW w:w="3486" w:type="dxa"/>
                  <w:vMerge w:val="restart"/>
                  <w:tcBorders>
                    <w:tl2br w:val="nil"/>
                    <w:tr2bl w:val="nil"/>
                  </w:tcBorders>
                  <w:vAlign w:val="center"/>
                </w:tcPr>
                <w:p>
                  <w:pPr>
                    <w:ind w:left="-42" w:leftChars="-20" w:right="-42" w:rightChars="-20"/>
                    <w:jc w:val="center"/>
                    <w:rPr>
                      <w:bCs/>
                      <w:szCs w:val="18"/>
                    </w:rPr>
                  </w:pPr>
                  <w:r>
                    <w:rPr>
                      <w:rFonts w:hint="eastAsia"/>
                      <w:bCs/>
                      <w:szCs w:val="18"/>
                    </w:rPr>
                    <w:t>集中分类收集于危废暂存间内，定期交由有资质的单位回收处理、处置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vMerge w:val="continue"/>
                  <w:tcBorders>
                    <w:tl2br w:val="nil"/>
                    <w:tr2bl w:val="nil"/>
                  </w:tcBorders>
                  <w:vAlign w:val="center"/>
                </w:tcPr>
                <w:p>
                  <w:pPr>
                    <w:ind w:left="-42" w:leftChars="-20" w:right="-42" w:rightChars="-20"/>
                    <w:jc w:val="center"/>
                    <w:rPr>
                      <w:rFonts w:hint="eastAsia"/>
                      <w:bCs/>
                      <w:szCs w:val="18"/>
                    </w:rPr>
                  </w:pPr>
                </w:p>
              </w:tc>
              <w:tc>
                <w:tcPr>
                  <w:tcW w:w="1907" w:type="dxa"/>
                  <w:tcBorders>
                    <w:tl2br w:val="nil"/>
                    <w:tr2bl w:val="nil"/>
                  </w:tcBorders>
                  <w:vAlign w:val="center"/>
                </w:tcPr>
                <w:p>
                  <w:pPr>
                    <w:ind w:left="-42" w:leftChars="-20" w:right="-42" w:rightChars="-20"/>
                    <w:jc w:val="center"/>
                    <w:rPr>
                      <w:rFonts w:hint="default" w:eastAsia="宋体"/>
                      <w:bCs/>
                      <w:szCs w:val="18"/>
                      <w:lang w:val="en-US" w:eastAsia="zh-CN"/>
                    </w:rPr>
                  </w:pPr>
                  <w:r>
                    <w:rPr>
                      <w:rFonts w:hint="eastAsia"/>
                      <w:bCs/>
                      <w:szCs w:val="18"/>
                      <w:lang w:val="en-US" w:eastAsia="zh-CN"/>
                    </w:rPr>
                    <w:t>设备</w:t>
                  </w:r>
                </w:p>
              </w:tc>
              <w:tc>
                <w:tcPr>
                  <w:tcW w:w="557" w:type="dxa"/>
                  <w:tcBorders>
                    <w:tl2br w:val="nil"/>
                    <w:tr2bl w:val="nil"/>
                  </w:tcBorders>
                  <w:vAlign w:val="center"/>
                </w:tcPr>
                <w:p>
                  <w:pPr>
                    <w:ind w:left="-42" w:leftChars="-20" w:right="-42" w:rightChars="-20"/>
                    <w:jc w:val="center"/>
                    <w:rPr>
                      <w:rFonts w:hint="default" w:eastAsia="宋体"/>
                      <w:bCs/>
                      <w:szCs w:val="18"/>
                      <w:lang w:val="en-US" w:eastAsia="zh-CN"/>
                    </w:rPr>
                  </w:pPr>
                  <w:r>
                    <w:rPr>
                      <w:rFonts w:hint="eastAsia"/>
                      <w:bCs/>
                      <w:szCs w:val="18"/>
                    </w:rPr>
                    <w:t>间断</w:t>
                  </w:r>
                </w:p>
              </w:tc>
              <w:tc>
                <w:tcPr>
                  <w:tcW w:w="1382" w:type="dxa"/>
                  <w:tcBorders>
                    <w:tl2br w:val="nil"/>
                    <w:tr2bl w:val="nil"/>
                  </w:tcBorders>
                  <w:vAlign w:val="center"/>
                </w:tcPr>
                <w:p>
                  <w:pPr>
                    <w:ind w:left="-42" w:leftChars="-20" w:right="-42" w:rightChars="-20"/>
                    <w:jc w:val="center"/>
                    <w:rPr>
                      <w:rFonts w:hint="eastAsia"/>
                      <w:bCs/>
                      <w:szCs w:val="18"/>
                    </w:rPr>
                  </w:pPr>
                  <w:r>
                    <w:rPr>
                      <w:rFonts w:hint="eastAsia"/>
                      <w:bCs/>
                      <w:szCs w:val="18"/>
                      <w:lang w:val="en-US" w:eastAsia="zh-CN"/>
                    </w:rPr>
                    <w:t>废机油</w:t>
                  </w:r>
                </w:p>
              </w:tc>
              <w:tc>
                <w:tcPr>
                  <w:tcW w:w="3486" w:type="dxa"/>
                  <w:vMerge w:val="continue"/>
                  <w:tcBorders>
                    <w:tl2br w:val="nil"/>
                    <w:tr2bl w:val="nil"/>
                  </w:tcBorders>
                  <w:vAlign w:val="center"/>
                </w:tcPr>
                <w:p>
                  <w:pPr>
                    <w:ind w:left="-42" w:leftChars="-20" w:right="-42" w:rightChars="-20"/>
                    <w:jc w:val="center"/>
                    <w:rPr>
                      <w:rFonts w:hint="eastAsia"/>
                      <w:bCs/>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vMerge w:val="continue"/>
                  <w:tcBorders>
                    <w:tl2br w:val="nil"/>
                    <w:tr2bl w:val="nil"/>
                  </w:tcBorders>
                  <w:vAlign w:val="center"/>
                </w:tcPr>
                <w:p>
                  <w:pPr>
                    <w:ind w:left="-42" w:leftChars="-20" w:right="-42" w:rightChars="-20"/>
                    <w:jc w:val="center"/>
                    <w:rPr>
                      <w:bCs/>
                      <w:szCs w:val="18"/>
                    </w:rPr>
                  </w:pPr>
                </w:p>
              </w:tc>
              <w:tc>
                <w:tcPr>
                  <w:tcW w:w="1907" w:type="dxa"/>
                  <w:tcBorders>
                    <w:tl2br w:val="nil"/>
                    <w:tr2bl w:val="nil"/>
                  </w:tcBorders>
                  <w:vAlign w:val="center"/>
                </w:tcPr>
                <w:p>
                  <w:pPr>
                    <w:ind w:left="-42" w:leftChars="-20" w:right="-42" w:rightChars="-20"/>
                    <w:jc w:val="center"/>
                    <w:rPr>
                      <w:bCs/>
                      <w:szCs w:val="18"/>
                    </w:rPr>
                  </w:pPr>
                  <w:r>
                    <w:rPr>
                      <w:rFonts w:hint="eastAsia"/>
                      <w:bCs/>
                      <w:szCs w:val="18"/>
                    </w:rPr>
                    <w:t>原料/成品区</w:t>
                  </w:r>
                </w:p>
              </w:tc>
              <w:tc>
                <w:tcPr>
                  <w:tcW w:w="557" w:type="dxa"/>
                  <w:tcBorders>
                    <w:tl2br w:val="nil"/>
                    <w:tr2bl w:val="nil"/>
                  </w:tcBorders>
                  <w:vAlign w:val="center"/>
                </w:tcPr>
                <w:p>
                  <w:pPr>
                    <w:ind w:left="-42" w:leftChars="-20" w:right="-42" w:rightChars="-20"/>
                    <w:jc w:val="center"/>
                    <w:rPr>
                      <w:bCs/>
                      <w:szCs w:val="18"/>
                    </w:rPr>
                  </w:pPr>
                  <w:r>
                    <w:rPr>
                      <w:rFonts w:hint="eastAsia"/>
                      <w:bCs/>
                      <w:szCs w:val="18"/>
                    </w:rPr>
                    <w:t>间断</w:t>
                  </w:r>
                </w:p>
              </w:tc>
              <w:tc>
                <w:tcPr>
                  <w:tcW w:w="1382" w:type="dxa"/>
                  <w:tcBorders>
                    <w:tl2br w:val="nil"/>
                    <w:tr2bl w:val="nil"/>
                  </w:tcBorders>
                  <w:vAlign w:val="center"/>
                </w:tcPr>
                <w:p>
                  <w:pPr>
                    <w:ind w:left="-42" w:leftChars="-20" w:right="-42" w:rightChars="-20"/>
                    <w:jc w:val="center"/>
                    <w:rPr>
                      <w:bCs/>
                      <w:szCs w:val="18"/>
                    </w:rPr>
                  </w:pPr>
                  <w:r>
                    <w:rPr>
                      <w:rFonts w:hint="eastAsia"/>
                      <w:bCs/>
                      <w:szCs w:val="18"/>
                    </w:rPr>
                    <w:t>废包装材料</w:t>
                  </w:r>
                </w:p>
              </w:tc>
              <w:tc>
                <w:tcPr>
                  <w:tcW w:w="3486" w:type="dxa"/>
                  <w:vMerge w:val="restart"/>
                  <w:tcBorders>
                    <w:tl2br w:val="nil"/>
                    <w:tr2bl w:val="nil"/>
                  </w:tcBorders>
                  <w:vAlign w:val="center"/>
                </w:tcPr>
                <w:p>
                  <w:pPr>
                    <w:ind w:left="-42" w:leftChars="-20" w:right="-42" w:rightChars="-20"/>
                    <w:jc w:val="center"/>
                    <w:rPr>
                      <w:bCs/>
                      <w:szCs w:val="18"/>
                    </w:rPr>
                  </w:pPr>
                  <w:r>
                    <w:rPr>
                      <w:bCs/>
                      <w:szCs w:val="18"/>
                    </w:rPr>
                    <w:t>委托当地环卫部门清运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vMerge w:val="continue"/>
                  <w:tcBorders>
                    <w:tl2br w:val="nil"/>
                    <w:tr2bl w:val="nil"/>
                  </w:tcBorders>
                  <w:vAlign w:val="center"/>
                </w:tcPr>
                <w:p>
                  <w:pPr>
                    <w:ind w:left="-42" w:leftChars="-20" w:right="-42" w:rightChars="-20"/>
                    <w:jc w:val="center"/>
                    <w:rPr>
                      <w:bCs/>
                      <w:szCs w:val="18"/>
                    </w:rPr>
                  </w:pPr>
                </w:p>
              </w:tc>
              <w:tc>
                <w:tcPr>
                  <w:tcW w:w="1907" w:type="dxa"/>
                  <w:tcBorders>
                    <w:tl2br w:val="nil"/>
                    <w:tr2bl w:val="nil"/>
                  </w:tcBorders>
                  <w:vAlign w:val="center"/>
                </w:tcPr>
                <w:p>
                  <w:pPr>
                    <w:ind w:left="-42" w:leftChars="-20" w:right="-42" w:rightChars="-20"/>
                    <w:jc w:val="center"/>
                    <w:rPr>
                      <w:bCs/>
                      <w:szCs w:val="18"/>
                    </w:rPr>
                  </w:pPr>
                  <w:r>
                    <w:rPr>
                      <w:rFonts w:hint="eastAsia"/>
                      <w:bCs/>
                      <w:szCs w:val="18"/>
                    </w:rPr>
                    <w:t>过滤</w:t>
                  </w:r>
                </w:p>
              </w:tc>
              <w:tc>
                <w:tcPr>
                  <w:tcW w:w="557" w:type="dxa"/>
                  <w:tcBorders>
                    <w:tl2br w:val="nil"/>
                    <w:tr2bl w:val="nil"/>
                  </w:tcBorders>
                  <w:vAlign w:val="center"/>
                </w:tcPr>
                <w:p>
                  <w:pPr>
                    <w:ind w:left="-42" w:leftChars="-20" w:right="-42" w:rightChars="-20"/>
                    <w:jc w:val="center"/>
                    <w:rPr>
                      <w:bCs/>
                      <w:szCs w:val="18"/>
                    </w:rPr>
                  </w:pPr>
                  <w:r>
                    <w:rPr>
                      <w:rFonts w:hint="eastAsia"/>
                      <w:bCs/>
                      <w:szCs w:val="18"/>
                    </w:rPr>
                    <w:t>间断</w:t>
                  </w:r>
                </w:p>
              </w:tc>
              <w:tc>
                <w:tcPr>
                  <w:tcW w:w="1382" w:type="dxa"/>
                  <w:tcBorders>
                    <w:tl2br w:val="nil"/>
                    <w:tr2bl w:val="nil"/>
                  </w:tcBorders>
                  <w:vAlign w:val="center"/>
                </w:tcPr>
                <w:p>
                  <w:pPr>
                    <w:ind w:left="-42" w:leftChars="-20" w:right="-42" w:rightChars="-20"/>
                    <w:jc w:val="center"/>
                    <w:rPr>
                      <w:bCs/>
                      <w:szCs w:val="18"/>
                    </w:rPr>
                  </w:pPr>
                  <w:r>
                    <w:rPr>
                      <w:rFonts w:hint="eastAsia"/>
                      <w:bCs/>
                      <w:szCs w:val="18"/>
                    </w:rPr>
                    <w:t>废过滤网</w:t>
                  </w:r>
                </w:p>
              </w:tc>
              <w:tc>
                <w:tcPr>
                  <w:tcW w:w="3486" w:type="dxa"/>
                  <w:vMerge w:val="continue"/>
                  <w:tcBorders>
                    <w:tl2br w:val="nil"/>
                    <w:tr2bl w:val="nil"/>
                  </w:tcBorders>
                  <w:vAlign w:val="center"/>
                </w:tcPr>
                <w:p>
                  <w:pPr>
                    <w:ind w:left="-42" w:leftChars="-20" w:right="-42" w:rightChars="-20"/>
                    <w:jc w:val="center"/>
                    <w:rPr>
                      <w:bCs/>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60" w:type="dxa"/>
                  <w:vMerge w:val="continue"/>
                  <w:tcBorders>
                    <w:tl2br w:val="nil"/>
                    <w:tr2bl w:val="nil"/>
                  </w:tcBorders>
                  <w:vAlign w:val="center"/>
                </w:tcPr>
                <w:p>
                  <w:pPr>
                    <w:ind w:left="-42" w:leftChars="-20" w:right="-42" w:rightChars="-20"/>
                    <w:jc w:val="center"/>
                    <w:rPr>
                      <w:bCs/>
                      <w:szCs w:val="18"/>
                      <w:highlight w:val="yellow"/>
                    </w:rPr>
                  </w:pPr>
                </w:p>
              </w:tc>
              <w:tc>
                <w:tcPr>
                  <w:tcW w:w="1907" w:type="dxa"/>
                  <w:tcBorders>
                    <w:tl2br w:val="nil"/>
                    <w:tr2bl w:val="nil"/>
                  </w:tcBorders>
                  <w:vAlign w:val="center"/>
                </w:tcPr>
                <w:p>
                  <w:pPr>
                    <w:ind w:left="-42" w:leftChars="-20" w:right="-42" w:rightChars="-20"/>
                    <w:jc w:val="center"/>
                    <w:rPr>
                      <w:bCs/>
                      <w:szCs w:val="18"/>
                    </w:rPr>
                  </w:pPr>
                  <w:r>
                    <w:rPr>
                      <w:rFonts w:hint="eastAsia"/>
                      <w:bCs/>
                      <w:szCs w:val="18"/>
                    </w:rPr>
                    <w:t>职工生活办公</w:t>
                  </w:r>
                </w:p>
              </w:tc>
              <w:tc>
                <w:tcPr>
                  <w:tcW w:w="557" w:type="dxa"/>
                  <w:tcBorders>
                    <w:tl2br w:val="nil"/>
                    <w:tr2bl w:val="nil"/>
                  </w:tcBorders>
                  <w:vAlign w:val="center"/>
                </w:tcPr>
                <w:p>
                  <w:pPr>
                    <w:ind w:left="-42" w:leftChars="-20" w:right="-42" w:rightChars="-20"/>
                    <w:jc w:val="center"/>
                    <w:rPr>
                      <w:bCs/>
                      <w:szCs w:val="18"/>
                    </w:rPr>
                  </w:pPr>
                  <w:r>
                    <w:rPr>
                      <w:rFonts w:hint="eastAsia"/>
                      <w:bCs/>
                      <w:szCs w:val="18"/>
                    </w:rPr>
                    <w:t>间断</w:t>
                  </w:r>
                </w:p>
              </w:tc>
              <w:tc>
                <w:tcPr>
                  <w:tcW w:w="1382" w:type="dxa"/>
                  <w:tcBorders>
                    <w:tl2br w:val="nil"/>
                    <w:tr2bl w:val="nil"/>
                  </w:tcBorders>
                  <w:vAlign w:val="center"/>
                </w:tcPr>
                <w:p>
                  <w:pPr>
                    <w:ind w:left="-42" w:leftChars="-20" w:right="-42" w:rightChars="-20"/>
                    <w:jc w:val="center"/>
                    <w:rPr>
                      <w:bCs/>
                      <w:szCs w:val="18"/>
                    </w:rPr>
                  </w:pPr>
                  <w:r>
                    <w:rPr>
                      <w:rFonts w:hint="eastAsia"/>
                      <w:bCs/>
                      <w:szCs w:val="18"/>
                    </w:rPr>
                    <w:t>生活垃圾</w:t>
                  </w:r>
                </w:p>
              </w:tc>
              <w:tc>
                <w:tcPr>
                  <w:tcW w:w="3486" w:type="dxa"/>
                  <w:vMerge w:val="continue"/>
                  <w:tcBorders>
                    <w:tl2br w:val="nil"/>
                    <w:tr2bl w:val="nil"/>
                  </w:tcBorders>
                  <w:vAlign w:val="center"/>
                </w:tcPr>
                <w:p>
                  <w:pPr>
                    <w:ind w:left="-42" w:leftChars="-20" w:right="-42" w:rightChars="-20"/>
                    <w:jc w:val="center"/>
                    <w:rPr>
                      <w:bCs/>
                      <w:szCs w:val="18"/>
                    </w:rPr>
                  </w:pPr>
                </w:p>
              </w:tc>
            </w:tr>
          </w:tbl>
          <w:p>
            <w:pPr>
              <w:pStyle w:val="19"/>
              <w:ind w:firstLine="0" w:firstLineChars="0"/>
              <w:rPr>
                <w:color w:val="0000FF"/>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1" w:type="dxa"/>
            <w:vAlign w:val="center"/>
          </w:tcPr>
          <w:p>
            <w:pPr>
              <w:pStyle w:val="17"/>
              <w:adjustRightInd w:val="0"/>
              <w:snapToGrid w:val="0"/>
              <w:spacing w:before="0" w:beforeAutospacing="0" w:after="0" w:afterAutospacing="0"/>
              <w:jc w:val="center"/>
              <w:rPr>
                <w:rFonts w:ascii="Times New Roman" w:hAnsi="Times New Roman" w:cs="宋体"/>
                <w:kern w:val="21"/>
                <w:szCs w:val="21"/>
              </w:rPr>
            </w:pPr>
            <w:r>
              <w:rPr>
                <w:rFonts w:hint="eastAsia" w:ascii="Times New Roman" w:hAnsi="Times New Roman" w:cs="宋体"/>
                <w:bCs/>
                <w:kern w:val="21"/>
                <w:szCs w:val="21"/>
              </w:rPr>
              <w:t>与项目有关的原有环境污染问题</w:t>
            </w:r>
          </w:p>
        </w:tc>
        <w:tc>
          <w:tcPr>
            <w:tcW w:w="7938" w:type="dxa"/>
            <w:vAlign w:val="center"/>
          </w:tcPr>
          <w:p>
            <w:pPr>
              <w:pStyle w:val="58"/>
              <w:spacing w:line="480" w:lineRule="exact"/>
              <w:ind w:firstLine="480"/>
              <w:rPr>
                <w:bCs/>
                <w:kern w:val="21"/>
                <w:sz w:val="24"/>
                <w:szCs w:val="21"/>
              </w:rPr>
            </w:pPr>
            <w:r>
              <w:rPr>
                <w:bCs/>
                <w:kern w:val="21"/>
                <w:sz w:val="24"/>
                <w:szCs w:val="21"/>
              </w:rPr>
              <w:t>本项目属于新建项目，租赁</w:t>
            </w:r>
            <w:r>
              <w:rPr>
                <w:rFonts w:hint="eastAsia"/>
                <w:bCs/>
                <w:kern w:val="21"/>
                <w:sz w:val="24"/>
                <w:szCs w:val="21"/>
              </w:rPr>
              <w:t>益阳市龙舟农机制造有限公司</w:t>
            </w:r>
            <w:r>
              <w:rPr>
                <w:bCs/>
                <w:kern w:val="21"/>
                <w:sz w:val="24"/>
                <w:szCs w:val="21"/>
              </w:rPr>
              <w:t>现有闲置厂房进行生产，本项目入驻前，厂房内无遗留生产设备且原料均已清理完毕，无历史遗留污染环境问题。因此，无原有污染物情况及环境问题</w:t>
            </w:r>
          </w:p>
        </w:tc>
      </w:tr>
    </w:tbl>
    <w:p>
      <w:pPr>
        <w:pStyle w:val="17"/>
        <w:jc w:val="center"/>
        <w:rPr>
          <w:rFonts w:ascii="黑体" w:hAnsi="黑体" w:eastAsia="黑体"/>
          <w:snapToGrid w:val="0"/>
          <w:color w:val="0000FF"/>
          <w:kern w:val="21"/>
          <w:sz w:val="36"/>
          <w:szCs w:val="36"/>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7"/>
        <w:jc w:val="center"/>
        <w:outlineLvl w:val="0"/>
        <w:rPr>
          <w:rFonts w:ascii="黑体" w:hAnsi="黑体" w:eastAsia="黑体"/>
          <w:snapToGrid w:val="0"/>
          <w:kern w:val="21"/>
          <w:sz w:val="30"/>
          <w:szCs w:val="30"/>
        </w:rPr>
      </w:pPr>
      <w:bookmarkStart w:id="18" w:name="_Toc23705"/>
      <w:r>
        <w:rPr>
          <w:rFonts w:hint="eastAsia" w:ascii="黑体" w:hAnsi="黑体" w:eastAsia="黑体"/>
          <w:snapToGrid w:val="0"/>
          <w:kern w:val="21"/>
          <w:sz w:val="30"/>
          <w:szCs w:val="30"/>
        </w:rPr>
        <w:t>三、区域环境质量现状、环境保护目标及评价标准</w:t>
      </w:r>
      <w:bookmarkEnd w:id="18"/>
    </w:p>
    <w:tbl>
      <w:tblPr>
        <w:tblStyle w:val="21"/>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9"/>
        <w:gridCol w:w="7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pPr>
              <w:adjustRightInd w:val="0"/>
              <w:snapToGrid w:val="0"/>
              <w:jc w:val="center"/>
              <w:rPr>
                <w:rFonts w:cs="宋体"/>
                <w:kern w:val="21"/>
                <w:sz w:val="24"/>
                <w:szCs w:val="21"/>
              </w:rPr>
            </w:pPr>
            <w:r>
              <w:rPr>
                <w:rFonts w:hint="eastAsia" w:cs="宋体"/>
                <w:kern w:val="21"/>
                <w:sz w:val="24"/>
                <w:szCs w:val="21"/>
              </w:rPr>
              <w:t>区域</w:t>
            </w:r>
          </w:p>
          <w:p>
            <w:pPr>
              <w:adjustRightInd w:val="0"/>
              <w:snapToGrid w:val="0"/>
              <w:jc w:val="center"/>
              <w:rPr>
                <w:rFonts w:cs="宋体"/>
                <w:kern w:val="21"/>
                <w:sz w:val="24"/>
                <w:szCs w:val="21"/>
              </w:rPr>
            </w:pPr>
            <w:r>
              <w:rPr>
                <w:rFonts w:hint="eastAsia" w:cs="宋体"/>
                <w:kern w:val="21"/>
                <w:sz w:val="24"/>
                <w:szCs w:val="21"/>
              </w:rPr>
              <w:t>环境</w:t>
            </w:r>
          </w:p>
          <w:p>
            <w:pPr>
              <w:adjustRightInd w:val="0"/>
              <w:snapToGrid w:val="0"/>
              <w:jc w:val="center"/>
              <w:rPr>
                <w:rFonts w:cs="宋体"/>
                <w:kern w:val="21"/>
                <w:sz w:val="24"/>
                <w:szCs w:val="21"/>
              </w:rPr>
            </w:pPr>
            <w:r>
              <w:rPr>
                <w:rFonts w:hint="eastAsia" w:cs="宋体"/>
                <w:kern w:val="21"/>
                <w:sz w:val="24"/>
                <w:szCs w:val="21"/>
              </w:rPr>
              <w:t>质量</w:t>
            </w:r>
          </w:p>
          <w:p>
            <w:pPr>
              <w:adjustRightInd w:val="0"/>
              <w:snapToGrid w:val="0"/>
              <w:jc w:val="center"/>
              <w:rPr>
                <w:rFonts w:cs="宋体"/>
                <w:color w:val="0000FF"/>
                <w:kern w:val="21"/>
                <w:sz w:val="24"/>
                <w:szCs w:val="21"/>
              </w:rPr>
            </w:pPr>
            <w:r>
              <w:rPr>
                <w:rFonts w:hint="eastAsia" w:cs="宋体"/>
                <w:kern w:val="21"/>
                <w:sz w:val="24"/>
                <w:szCs w:val="21"/>
              </w:rPr>
              <w:t>现状</w:t>
            </w:r>
          </w:p>
        </w:tc>
        <w:tc>
          <w:tcPr>
            <w:tcW w:w="7985" w:type="dxa"/>
            <w:vAlign w:val="center"/>
          </w:tcPr>
          <w:p>
            <w:pPr>
              <w:snapToGrid w:val="0"/>
              <w:spacing w:line="480" w:lineRule="exact"/>
              <w:jc w:val="left"/>
              <w:rPr>
                <w:b/>
                <w:sz w:val="24"/>
              </w:rPr>
            </w:pPr>
            <w:r>
              <w:rPr>
                <w:b/>
                <w:sz w:val="24"/>
              </w:rPr>
              <w:t>1、环境空气质量现状</w:t>
            </w:r>
          </w:p>
          <w:p>
            <w:pPr>
              <w:pStyle w:val="51"/>
              <w:snapToGrid w:val="0"/>
              <w:spacing w:line="480" w:lineRule="exact"/>
              <w:ind w:firstLine="240" w:firstLineChars="100"/>
              <w:rPr>
                <w:kern w:val="0"/>
              </w:rPr>
            </w:pPr>
            <w:r>
              <w:rPr>
                <w:kern w:val="0"/>
              </w:rPr>
              <w:t>（1）达标区判定</w:t>
            </w:r>
          </w:p>
          <w:p>
            <w:pPr>
              <w:pStyle w:val="51"/>
              <w:snapToGrid w:val="0"/>
              <w:spacing w:line="480" w:lineRule="exact"/>
              <w:rPr>
                <w:kern w:val="0"/>
              </w:rPr>
            </w:pPr>
            <w:r>
              <w:rPr>
                <w:kern w:val="0"/>
              </w:rPr>
              <w:t>根据《建设项目环境影响报告表编制技术指南》（2021），常规污染物引用与建设项目距离近的有效数据，包括近3年的规划环境影响评价的监测数据， 国家、地方环境空气质量监测网数据或生态环境主管部门公开发布的质量数据等。</w:t>
            </w:r>
          </w:p>
          <w:p>
            <w:pPr>
              <w:pStyle w:val="51"/>
              <w:snapToGrid w:val="0"/>
              <w:spacing w:line="480" w:lineRule="exact"/>
              <w:rPr>
                <w:kern w:val="0"/>
              </w:rPr>
            </w:pPr>
            <w:r>
              <w:rPr>
                <w:kern w:val="0"/>
              </w:rPr>
              <w:t>本评价收集了益阳市生态环境局202</w:t>
            </w:r>
            <w:r>
              <w:rPr>
                <w:rFonts w:hint="eastAsia"/>
                <w:kern w:val="0"/>
                <w:lang w:val="en-US" w:eastAsia="zh-CN"/>
              </w:rPr>
              <w:t>1</w:t>
            </w:r>
            <w:r>
              <w:rPr>
                <w:kern w:val="0"/>
              </w:rPr>
              <w:t>年度益阳市环境空气污染浓度均值统计数据，说明项目所在区域环境质量达标情况，作为项目所在区域是否为达标区的判断依据。</w:t>
            </w:r>
          </w:p>
          <w:p>
            <w:pPr>
              <w:pStyle w:val="51"/>
              <w:snapToGrid w:val="0"/>
              <w:spacing w:line="480" w:lineRule="exact"/>
              <w:rPr>
                <w:kern w:val="0"/>
              </w:rPr>
            </w:pPr>
            <w:r>
              <w:rPr>
                <w:kern w:val="0"/>
              </w:rPr>
              <w:t>益阳市环境空气质量状况监测数据统计情况见下表3-1。</w:t>
            </w:r>
          </w:p>
          <w:p>
            <w:pPr>
              <w:pStyle w:val="51"/>
              <w:snapToGrid w:val="0"/>
              <w:spacing w:line="240" w:lineRule="auto"/>
              <w:ind w:firstLine="0" w:firstLineChars="0"/>
              <w:jc w:val="center"/>
              <w:rPr>
                <w:b/>
                <w:sz w:val="21"/>
                <w:szCs w:val="21"/>
              </w:rPr>
            </w:pPr>
            <w:bookmarkStart w:id="19" w:name="_Ref528415780"/>
            <w:r>
              <w:rPr>
                <w:b/>
                <w:kern w:val="0"/>
                <w:sz w:val="21"/>
                <w:szCs w:val="21"/>
              </w:rPr>
              <w:t>表</w:t>
            </w:r>
            <w:bookmarkEnd w:id="19"/>
            <w:r>
              <w:rPr>
                <w:b/>
                <w:kern w:val="0"/>
                <w:sz w:val="21"/>
                <w:szCs w:val="21"/>
              </w:rPr>
              <w:t xml:space="preserve">3-1  </w:t>
            </w:r>
            <w:r>
              <w:rPr>
                <w:b/>
                <w:sz w:val="21"/>
                <w:szCs w:val="21"/>
              </w:rPr>
              <w:t>202</w:t>
            </w:r>
            <w:r>
              <w:rPr>
                <w:rFonts w:hint="eastAsia"/>
                <w:b/>
                <w:sz w:val="21"/>
                <w:szCs w:val="21"/>
                <w:lang w:val="en-US" w:eastAsia="zh-CN"/>
              </w:rPr>
              <w:t>1</w:t>
            </w:r>
            <w:r>
              <w:rPr>
                <w:b/>
                <w:sz w:val="21"/>
                <w:szCs w:val="21"/>
              </w:rPr>
              <w:t>年益阳市中心城区环境空气质量状况</w:t>
            </w:r>
            <w:r>
              <w:rPr>
                <w:b/>
                <w:sz w:val="21"/>
                <w:szCs w:val="21"/>
              </w:rPr>
              <w:tab/>
            </w:r>
            <w:r>
              <w:rPr>
                <w:b/>
                <w:sz w:val="21"/>
                <w:szCs w:val="21"/>
              </w:rPr>
              <w:t>单位:μg/m</w:t>
            </w:r>
            <w:r>
              <w:rPr>
                <w:b/>
                <w:sz w:val="21"/>
                <w:szCs w:val="21"/>
                <w:vertAlign w:val="superscript"/>
              </w:rPr>
              <w:t>3</w:t>
            </w:r>
          </w:p>
          <w:tbl>
            <w:tblPr>
              <w:tblStyle w:val="21"/>
              <w:tblW w:w="749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10"/>
              <w:gridCol w:w="2385"/>
              <w:gridCol w:w="1200"/>
              <w:gridCol w:w="1155"/>
              <w:gridCol w:w="885"/>
              <w:gridCol w:w="105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0" w:type="dxa"/>
                  <w:tcBorders>
                    <w:top w:val="single" w:color="000000" w:sz="12" w:space="0"/>
                    <w:left w:val="single" w:color="000000" w:sz="12"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污染物</w:t>
                  </w:r>
                </w:p>
              </w:tc>
              <w:tc>
                <w:tcPr>
                  <w:tcW w:w="2385" w:type="dxa"/>
                  <w:tcBorders>
                    <w:top w:val="single" w:color="000000" w:sz="12"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年评价指标</w:t>
                  </w:r>
                </w:p>
              </w:tc>
              <w:tc>
                <w:tcPr>
                  <w:tcW w:w="1200" w:type="dxa"/>
                  <w:tcBorders>
                    <w:top w:val="single" w:color="000000" w:sz="12"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现状浓度</w:t>
                  </w:r>
                </w:p>
              </w:tc>
              <w:tc>
                <w:tcPr>
                  <w:tcW w:w="1155" w:type="dxa"/>
                  <w:tcBorders>
                    <w:top w:val="single" w:color="000000" w:sz="12"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标准浓度</w:t>
                  </w:r>
                </w:p>
              </w:tc>
              <w:tc>
                <w:tcPr>
                  <w:tcW w:w="885" w:type="dxa"/>
                  <w:tcBorders>
                    <w:top w:val="single" w:color="000000" w:sz="12"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占标率</w:t>
                  </w:r>
                </w:p>
              </w:tc>
              <w:tc>
                <w:tcPr>
                  <w:tcW w:w="1057" w:type="dxa"/>
                  <w:tcBorders>
                    <w:top w:val="single" w:color="000000" w:sz="12" w:space="0"/>
                    <w:left w:val="single" w:color="000000" w:sz="4" w:space="0"/>
                    <w:bottom w:val="single" w:color="000000" w:sz="4" w:space="0"/>
                    <w:right w:val="single" w:color="000000" w:sz="12"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0" w:type="dxa"/>
                  <w:tcBorders>
                    <w:top w:val="single" w:color="000000" w:sz="4" w:space="0"/>
                    <w:left w:val="single" w:color="000000" w:sz="12"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PM</w:t>
                  </w:r>
                  <w:r>
                    <w:rPr>
                      <w:rFonts w:hint="default" w:ascii="Times New Roman" w:hAnsi="Times New Roman" w:eastAsia="宋体" w:cs="Times New Roman"/>
                      <w:color w:val="auto"/>
                      <w:vertAlign w:val="subscript"/>
                    </w:rPr>
                    <w:t>10</w:t>
                  </w:r>
                </w:p>
              </w:tc>
              <w:tc>
                <w:tcPr>
                  <w:tcW w:w="23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年平均质量浓度</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5</w:t>
                  </w:r>
                  <w:r>
                    <w:rPr>
                      <w:rFonts w:hint="eastAsia" w:cs="Times New Roman"/>
                      <w:color w:val="auto"/>
                      <w:lang w:val="en-US" w:eastAsia="zh-CN"/>
                    </w:rPr>
                    <w:t>2</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70</w:t>
                  </w: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74.3</w:t>
                  </w:r>
                </w:p>
              </w:tc>
              <w:tc>
                <w:tcPr>
                  <w:tcW w:w="1057" w:type="dxa"/>
                  <w:tcBorders>
                    <w:top w:val="single" w:color="000000" w:sz="4" w:space="0"/>
                    <w:left w:val="single" w:color="000000" w:sz="4" w:space="0"/>
                    <w:bottom w:val="single" w:color="000000" w:sz="4" w:space="0"/>
                    <w:right w:val="single" w:color="000000" w:sz="12"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0" w:type="dxa"/>
                  <w:tcBorders>
                    <w:top w:val="single" w:color="000000" w:sz="4" w:space="0"/>
                    <w:left w:val="single" w:color="000000" w:sz="12"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PM</w:t>
                  </w:r>
                  <w:r>
                    <w:rPr>
                      <w:rFonts w:hint="default" w:ascii="Times New Roman" w:hAnsi="Times New Roman" w:eastAsia="宋体" w:cs="Times New Roman"/>
                      <w:color w:val="auto"/>
                      <w:vertAlign w:val="subscript"/>
                    </w:rPr>
                    <w:t>2.5</w:t>
                  </w:r>
                </w:p>
              </w:tc>
              <w:tc>
                <w:tcPr>
                  <w:tcW w:w="23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年平均质量浓度</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36</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35</w:t>
                  </w: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102.9</w:t>
                  </w:r>
                </w:p>
              </w:tc>
              <w:tc>
                <w:tcPr>
                  <w:tcW w:w="1057" w:type="dxa"/>
                  <w:tcBorders>
                    <w:top w:val="single" w:color="000000" w:sz="4" w:space="0"/>
                    <w:left w:val="single" w:color="000000" w:sz="4" w:space="0"/>
                    <w:bottom w:val="single" w:color="000000" w:sz="4" w:space="0"/>
                    <w:right w:val="single" w:color="000000" w:sz="12"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0" w:type="dxa"/>
                  <w:tcBorders>
                    <w:top w:val="single" w:color="000000" w:sz="4" w:space="0"/>
                    <w:left w:val="single" w:color="000000" w:sz="12"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SO</w:t>
                  </w:r>
                  <w:r>
                    <w:rPr>
                      <w:rFonts w:hint="default" w:ascii="Times New Roman" w:hAnsi="Times New Roman" w:eastAsia="宋体" w:cs="Times New Roman"/>
                      <w:color w:val="auto"/>
                      <w:vertAlign w:val="subscript"/>
                    </w:rPr>
                    <w:t>2</w:t>
                  </w:r>
                </w:p>
              </w:tc>
              <w:tc>
                <w:tcPr>
                  <w:tcW w:w="23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年平均质量浓度</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Times New Roman" w:hAnsi="Times New Roman" w:eastAsia="宋体" w:cs="Times New Roman"/>
                      <w:color w:val="auto"/>
                      <w:lang w:val="en-US" w:eastAsia="zh-CN"/>
                    </w:rPr>
                  </w:pPr>
                  <w:r>
                    <w:rPr>
                      <w:rFonts w:hint="eastAsia" w:cs="Times New Roman"/>
                      <w:color w:val="auto"/>
                      <w:lang w:val="en-US" w:eastAsia="zh-CN"/>
                    </w:rPr>
                    <w:t>5</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60</w:t>
                  </w: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8.3</w:t>
                  </w:r>
                </w:p>
              </w:tc>
              <w:tc>
                <w:tcPr>
                  <w:tcW w:w="1057" w:type="dxa"/>
                  <w:tcBorders>
                    <w:top w:val="single" w:color="000000" w:sz="4" w:space="0"/>
                    <w:left w:val="single" w:color="000000" w:sz="4" w:space="0"/>
                    <w:bottom w:val="single" w:color="000000" w:sz="4" w:space="0"/>
                    <w:right w:val="single" w:color="000000" w:sz="12"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0" w:type="dxa"/>
                  <w:tcBorders>
                    <w:top w:val="single" w:color="000000" w:sz="4" w:space="0"/>
                    <w:left w:val="single" w:color="000000" w:sz="12"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NO</w:t>
                  </w:r>
                  <w:r>
                    <w:rPr>
                      <w:rFonts w:hint="default" w:ascii="Times New Roman" w:hAnsi="Times New Roman" w:eastAsia="宋体" w:cs="Times New Roman"/>
                      <w:color w:val="auto"/>
                      <w:vertAlign w:val="subscript"/>
                    </w:rPr>
                    <w:t>2</w:t>
                  </w:r>
                </w:p>
              </w:tc>
              <w:tc>
                <w:tcPr>
                  <w:tcW w:w="23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年平均质量浓度</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21</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40</w:t>
                  </w: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52.5</w:t>
                  </w:r>
                </w:p>
              </w:tc>
              <w:tc>
                <w:tcPr>
                  <w:tcW w:w="1057" w:type="dxa"/>
                  <w:tcBorders>
                    <w:top w:val="single" w:color="000000" w:sz="4" w:space="0"/>
                    <w:left w:val="single" w:color="000000" w:sz="4" w:space="0"/>
                    <w:bottom w:val="single" w:color="000000" w:sz="4" w:space="0"/>
                    <w:right w:val="single" w:color="000000" w:sz="12"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超标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0" w:type="dxa"/>
                  <w:tcBorders>
                    <w:top w:val="single" w:color="000000" w:sz="4" w:space="0"/>
                    <w:left w:val="single" w:color="000000" w:sz="12"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CO</w:t>
                  </w:r>
                </w:p>
              </w:tc>
              <w:tc>
                <w:tcPr>
                  <w:tcW w:w="23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百分位数日平均质量浓度</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1500</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4000</w:t>
                  </w: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37.5</w:t>
                  </w:r>
                </w:p>
              </w:tc>
              <w:tc>
                <w:tcPr>
                  <w:tcW w:w="1057" w:type="dxa"/>
                  <w:tcBorders>
                    <w:top w:val="single" w:color="000000" w:sz="4" w:space="0"/>
                    <w:left w:val="single" w:color="000000" w:sz="4" w:space="0"/>
                    <w:bottom w:val="single" w:color="000000" w:sz="4" w:space="0"/>
                    <w:right w:val="single" w:color="000000" w:sz="12"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10" w:type="dxa"/>
                  <w:tcBorders>
                    <w:top w:val="single" w:color="000000" w:sz="4" w:space="0"/>
                    <w:left w:val="single" w:color="000000" w:sz="12"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O</w:t>
                  </w:r>
                  <w:r>
                    <w:rPr>
                      <w:rFonts w:hint="default" w:ascii="Times New Roman" w:hAnsi="Times New Roman" w:eastAsia="宋体" w:cs="Times New Roman"/>
                      <w:color w:val="auto"/>
                      <w:vertAlign w:val="subscript"/>
                    </w:rPr>
                    <w:t>3</w:t>
                  </w:r>
                </w:p>
              </w:tc>
              <w:tc>
                <w:tcPr>
                  <w:tcW w:w="23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rPr>
                    <w:t>8</w:t>
                  </w:r>
                  <w:r>
                    <w:rPr>
                      <w:rFonts w:hint="eastAsia" w:cs="Times New Roman"/>
                      <w:color w:val="auto"/>
                      <w:lang w:val="en-US" w:eastAsia="zh-CN"/>
                    </w:rPr>
                    <w:t>h</w:t>
                  </w:r>
                  <w:r>
                    <w:rPr>
                      <w:rFonts w:hint="default" w:ascii="Times New Roman" w:hAnsi="Times New Roman" w:eastAsia="宋体" w:cs="Times New Roman"/>
                      <w:color w:val="auto"/>
                    </w:rPr>
                    <w:t>平均</w:t>
                  </w:r>
                  <w:r>
                    <w:rPr>
                      <w:rFonts w:hint="eastAsia" w:cs="Times New Roman"/>
                      <w:color w:val="auto"/>
                      <w:lang w:val="en-US" w:eastAsia="zh-CN"/>
                    </w:rPr>
                    <w:t>质量浓度（日均值）</w:t>
                  </w:r>
                </w:p>
              </w:tc>
              <w:tc>
                <w:tcPr>
                  <w:tcW w:w="120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131</w:t>
                  </w:r>
                </w:p>
              </w:tc>
              <w:tc>
                <w:tcPr>
                  <w:tcW w:w="115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160</w:t>
                  </w: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default" w:ascii="Times New Roman" w:hAnsi="Times New Roman" w:eastAsia="宋体" w:cs="Times New Roman"/>
                      <w:color w:val="auto"/>
                      <w:lang w:val="en-US" w:eastAsia="zh-CN"/>
                    </w:rPr>
                  </w:pPr>
                  <w:r>
                    <w:rPr>
                      <w:rFonts w:hint="eastAsia" w:cs="Times New Roman"/>
                      <w:color w:val="auto"/>
                      <w:lang w:val="en-US" w:eastAsia="zh-CN"/>
                    </w:rPr>
                    <w:t>81.9</w:t>
                  </w:r>
                </w:p>
              </w:tc>
              <w:tc>
                <w:tcPr>
                  <w:tcW w:w="1057" w:type="dxa"/>
                  <w:tcBorders>
                    <w:top w:val="single" w:color="000000" w:sz="4" w:space="0"/>
                    <w:left w:val="single" w:color="000000" w:sz="4" w:space="0"/>
                    <w:bottom w:val="single" w:color="000000" w:sz="4" w:space="0"/>
                    <w:right w:val="single" w:color="000000" w:sz="12" w:space="0"/>
                  </w:tcBorders>
                  <w:noWrap w:val="0"/>
                  <w:vAlign w:val="top"/>
                </w:tcPr>
                <w:p>
                  <w:pPr>
                    <w:jc w:val="center"/>
                    <w:rPr>
                      <w:rFonts w:hint="default" w:ascii="Times New Roman" w:hAnsi="Times New Roman" w:eastAsia="宋体" w:cs="Times New Roman"/>
                      <w:color w:val="auto"/>
                    </w:rPr>
                  </w:pPr>
                  <w:r>
                    <w:rPr>
                      <w:rFonts w:hint="default" w:ascii="Times New Roman" w:hAnsi="Times New Roman" w:eastAsia="宋体" w:cs="Times New Roman"/>
                      <w:color w:val="auto"/>
                    </w:rPr>
                    <w:t>达标</w:t>
                  </w:r>
                </w:p>
              </w:tc>
            </w:tr>
          </w:tbl>
          <w:p>
            <w:pPr>
              <w:pStyle w:val="51"/>
              <w:snapToGrid w:val="0"/>
              <w:spacing w:line="480" w:lineRule="exact"/>
            </w:pPr>
            <w:r>
              <w:rPr>
                <w:rFonts w:hint="default" w:ascii="Times New Roman" w:hAnsi="Times New Roman" w:eastAsia="宋体" w:cs="Times New Roman"/>
                <w:color w:val="auto"/>
              </w:rPr>
              <w:t>综上，根据表3-1统计结果可知，202</w:t>
            </w:r>
            <w:r>
              <w:rPr>
                <w:rFonts w:hint="eastAsia" w:cs="Times New Roman"/>
                <w:color w:val="auto"/>
                <w:lang w:val="en-US" w:eastAsia="zh-CN"/>
              </w:rPr>
              <w:t>1</w:t>
            </w:r>
            <w:r>
              <w:rPr>
                <w:rFonts w:hint="default" w:ascii="Times New Roman" w:hAnsi="Times New Roman" w:eastAsia="宋体" w:cs="Times New Roman"/>
                <w:color w:val="auto"/>
              </w:rPr>
              <w:t>年本项目所在区域环境空气中 PM</w:t>
            </w:r>
            <w:r>
              <w:rPr>
                <w:rFonts w:hint="default" w:ascii="Times New Roman" w:hAnsi="Times New Roman" w:eastAsia="宋体" w:cs="Times New Roman"/>
                <w:color w:val="auto"/>
                <w:vertAlign w:val="subscript"/>
              </w:rPr>
              <w:t>2.5</w:t>
            </w:r>
            <w:r>
              <w:rPr>
                <w:rFonts w:hint="default" w:ascii="Times New Roman" w:hAnsi="Times New Roman" w:eastAsia="宋体" w:cs="Times New Roman"/>
                <w:color w:val="auto"/>
              </w:rPr>
              <w:t>年平均浓度超过了《环境空气质量标准》（GB3095-2012）中的二级标准限值，因此项目所在区域为不达标区</w:t>
            </w:r>
            <w:r>
              <w:t>。</w:t>
            </w:r>
          </w:p>
          <w:p>
            <w:pPr>
              <w:pStyle w:val="51"/>
              <w:snapToGrid w:val="0"/>
              <w:spacing w:line="480" w:lineRule="exact"/>
            </w:pPr>
            <w:r>
              <w:t xml:space="preserve">目前益阳市发布了《益阳市大气环境质量限期达标规划（2020-2025）》，规划范围为益阳市行政区域，总面积12144平方公里。包括市辖3县（桃江、安化、南县），1市（沅江）、3区（资阳、赫山、大通湖区）和国家级益阳高新技术产业开发区。规划基准年为2017年，规划期限从2020年到2025年。总体目标：益阳市环境空气质量在2025年实现达标。近期规划到2023年，PM </w:t>
            </w:r>
            <w:r>
              <w:rPr>
                <w:vertAlign w:val="subscript"/>
              </w:rPr>
              <w:t>2.5</w:t>
            </w:r>
            <w:r>
              <w:t xml:space="preserve">、PM </w:t>
            </w:r>
            <w:r>
              <w:rPr>
                <w:vertAlign w:val="subscript"/>
              </w:rPr>
              <w:t>10</w:t>
            </w:r>
            <w:r>
              <w:t>年均浓度和特护期浓度显著下降，且PM10年均浓度实现达标。中期规划到2025年，PM</w:t>
            </w:r>
            <w:r>
              <w:rPr>
                <w:vertAlign w:val="subscript"/>
              </w:rPr>
              <w:t>2.5</w:t>
            </w:r>
            <w:r>
              <w:t>年均浓度低于35μg/m3，实现达标，O</w:t>
            </w:r>
            <w:r>
              <w:rPr>
                <w:vertAlign w:val="subscript"/>
              </w:rPr>
              <w:t>3</w:t>
            </w:r>
            <w:r>
              <w:t>污染形势得到有效遏制。规划期间，环境空气质量优良率稳步上升。</w:t>
            </w:r>
          </w:p>
          <w:p>
            <w:pPr>
              <w:snapToGrid w:val="0"/>
              <w:spacing w:line="480" w:lineRule="exact"/>
              <w:jc w:val="left"/>
              <w:rPr>
                <w:bCs/>
                <w:sz w:val="24"/>
                <w:u w:val="single"/>
              </w:rPr>
            </w:pPr>
            <w:r>
              <w:rPr>
                <w:bCs/>
                <w:sz w:val="24"/>
                <w:u w:val="single"/>
              </w:rPr>
              <w:t>（2）特征污染因子</w:t>
            </w:r>
          </w:p>
          <w:p>
            <w:pPr>
              <w:pStyle w:val="51"/>
              <w:snapToGrid w:val="0"/>
              <w:spacing w:line="480" w:lineRule="exact"/>
              <w:rPr>
                <w:u w:val="single"/>
              </w:rPr>
            </w:pPr>
            <w:r>
              <w:rPr>
                <w:u w:val="single"/>
              </w:rPr>
              <w:t>本项目引用《</w:t>
            </w:r>
            <w:r>
              <w:rPr>
                <w:rFonts w:hint="eastAsia"/>
                <w:u w:val="single"/>
              </w:rPr>
              <w:t>龙岭产业开发区管理委员会关于2022年度园区环境质量状况的公示</w:t>
            </w:r>
            <w:r>
              <w:rPr>
                <w:rFonts w:hint="eastAsia"/>
                <w:u w:val="single"/>
                <w:lang w:eastAsia="zh-CN"/>
              </w:rPr>
              <w:t>》中</w:t>
            </w:r>
            <w:r>
              <w:rPr>
                <w:u w:val="single"/>
              </w:rPr>
              <w:t>于20</w:t>
            </w:r>
            <w:r>
              <w:rPr>
                <w:rFonts w:hint="eastAsia"/>
                <w:u w:val="single"/>
                <w:lang w:val="en-US" w:eastAsia="zh-CN"/>
              </w:rPr>
              <w:t>22</w:t>
            </w:r>
            <w:r>
              <w:rPr>
                <w:u w:val="single"/>
              </w:rPr>
              <w:t>年</w:t>
            </w:r>
            <w:r>
              <w:rPr>
                <w:rFonts w:hint="eastAsia"/>
                <w:u w:val="single"/>
                <w:lang w:val="en-US" w:eastAsia="zh-CN"/>
              </w:rPr>
              <w:t>2</w:t>
            </w:r>
            <w:r>
              <w:rPr>
                <w:u w:val="single"/>
              </w:rPr>
              <w:t>月</w:t>
            </w:r>
            <w:r>
              <w:rPr>
                <w:rFonts w:hint="eastAsia"/>
                <w:u w:val="single"/>
                <w:lang w:eastAsia="zh-CN"/>
              </w:rPr>
              <w:t>以及</w:t>
            </w:r>
            <w:r>
              <w:rPr>
                <w:rFonts w:hint="eastAsia"/>
                <w:u w:val="single"/>
                <w:lang w:val="en-US" w:eastAsia="zh-CN"/>
              </w:rPr>
              <w:t>2022年9月</w:t>
            </w:r>
            <w:r>
              <w:rPr>
                <w:u w:val="single"/>
              </w:rPr>
              <w:t>对龙岭主区上风向（箴言中学北侧）监测点进行的大气环境监测，根据《建设项目环境影响报告表编制技术指南》（2021），排放国家、地方环境空气质量标准中有标准限值要求的特征污染物时，引用建设项目周边5千米范围内近3年的现有监测数据，无相关数据的选择当季主导风向下风向1个点位补充不少于3天的监测数据，引用监测内容如下。</w:t>
            </w:r>
          </w:p>
          <w:p>
            <w:pPr>
              <w:pStyle w:val="51"/>
              <w:snapToGrid w:val="0"/>
              <w:spacing w:line="480" w:lineRule="exact"/>
              <w:rPr>
                <w:u w:val="single"/>
              </w:rPr>
            </w:pPr>
            <w:r>
              <w:rPr>
                <w:u w:val="single"/>
              </w:rPr>
              <w:t>①监测工作内容</w:t>
            </w:r>
          </w:p>
          <w:p>
            <w:pPr>
              <w:pStyle w:val="51"/>
              <w:snapToGrid w:val="0"/>
              <w:spacing w:line="480" w:lineRule="exact"/>
              <w:rPr>
                <w:u w:val="single"/>
              </w:rPr>
            </w:pPr>
            <w:r>
              <w:rPr>
                <w:u w:val="single"/>
              </w:rPr>
              <w:t>监测工作内容详见表3-2所示：</w:t>
            </w:r>
          </w:p>
          <w:p>
            <w:pPr>
              <w:pStyle w:val="51"/>
              <w:snapToGrid w:val="0"/>
              <w:spacing w:line="480" w:lineRule="exact"/>
              <w:ind w:firstLine="422"/>
              <w:jc w:val="center"/>
              <w:rPr>
                <w:sz w:val="21"/>
                <w:szCs w:val="21"/>
                <w:u w:val="single"/>
              </w:rPr>
            </w:pPr>
            <w:r>
              <w:rPr>
                <w:b/>
                <w:bCs/>
                <w:sz w:val="21"/>
                <w:szCs w:val="21"/>
                <w:u w:val="single"/>
              </w:rPr>
              <w:t>表3-2 大气监测工作内容一览表</w:t>
            </w:r>
          </w:p>
          <w:tbl>
            <w:tblPr>
              <w:tblStyle w:val="21"/>
              <w:tblW w:w="7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6"/>
              <w:gridCol w:w="1241"/>
              <w:gridCol w:w="2134"/>
              <w:gridCol w:w="2249"/>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416"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序号</w:t>
                  </w:r>
                </w:p>
              </w:tc>
              <w:tc>
                <w:tcPr>
                  <w:tcW w:w="1241"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监测点名称</w:t>
                  </w:r>
                </w:p>
              </w:tc>
              <w:tc>
                <w:tcPr>
                  <w:tcW w:w="2134"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相对于本项目的位置</w:t>
                  </w:r>
                </w:p>
              </w:tc>
              <w:tc>
                <w:tcPr>
                  <w:tcW w:w="2249"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监测时间</w:t>
                  </w:r>
                </w:p>
              </w:tc>
              <w:tc>
                <w:tcPr>
                  <w:tcW w:w="1673"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监测因子及监测</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416"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1</w:t>
                  </w:r>
                </w:p>
              </w:tc>
              <w:tc>
                <w:tcPr>
                  <w:tcW w:w="1241"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u w:val="single"/>
                    </w:rPr>
                    <w:t>箴言中学北侧</w:t>
                  </w:r>
                </w:p>
              </w:tc>
              <w:tc>
                <w:tcPr>
                  <w:tcW w:w="2134"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hint="eastAsia" w:ascii="Times New Roman" w:hAnsi="Times New Roman" w:cs="Times New Roman"/>
                      <w:u w:val="single"/>
                      <w:lang w:eastAsia="zh-CN"/>
                    </w:rPr>
                    <w:t>东南侧</w:t>
                  </w:r>
                  <w:r>
                    <w:rPr>
                      <w:rFonts w:hint="eastAsia" w:ascii="Times New Roman" w:hAnsi="Times New Roman" w:cs="Times New Roman"/>
                      <w:u w:val="single"/>
                      <w:lang w:val="en-US" w:eastAsia="zh-CN"/>
                    </w:rPr>
                    <w:t>2830</w:t>
                  </w:r>
                  <w:r>
                    <w:rPr>
                      <w:rFonts w:ascii="Times New Roman" w:hAnsi="Times New Roman" w:cs="Times New Roman"/>
                      <w:u w:val="single"/>
                    </w:rPr>
                    <w:t>m</w:t>
                  </w:r>
                </w:p>
              </w:tc>
              <w:tc>
                <w:tcPr>
                  <w:tcW w:w="2249"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20</w:t>
                  </w:r>
                  <w:r>
                    <w:rPr>
                      <w:rFonts w:hint="eastAsia" w:ascii="Times New Roman" w:hAnsi="Times New Roman" w:cs="Times New Roman"/>
                      <w:u w:val="single"/>
                      <w:lang w:val="en-US" w:eastAsia="zh-CN"/>
                    </w:rPr>
                    <w:t>22</w:t>
                  </w:r>
                  <w:r>
                    <w:rPr>
                      <w:rFonts w:ascii="Times New Roman" w:hAnsi="Times New Roman" w:cs="Times New Roman"/>
                      <w:spacing w:val="-32"/>
                      <w:u w:val="single"/>
                    </w:rPr>
                    <w:t xml:space="preserve">年 </w:t>
                  </w:r>
                  <w:r>
                    <w:rPr>
                      <w:rFonts w:hint="eastAsia" w:ascii="Times New Roman" w:hAnsi="Times New Roman" w:cs="Times New Roman"/>
                      <w:u w:val="single"/>
                      <w:lang w:val="en-US" w:eastAsia="zh-CN"/>
                    </w:rPr>
                    <w:t>2</w:t>
                  </w:r>
                  <w:r>
                    <w:rPr>
                      <w:rFonts w:ascii="Times New Roman" w:hAnsi="Times New Roman" w:cs="Times New Roman"/>
                      <w:spacing w:val="-33"/>
                      <w:u w:val="single"/>
                    </w:rPr>
                    <w:t xml:space="preserve">月 </w:t>
                  </w:r>
                  <w:r>
                    <w:rPr>
                      <w:rFonts w:hint="eastAsia" w:ascii="Times New Roman" w:hAnsi="Times New Roman" w:cs="Times New Roman"/>
                      <w:u w:val="single"/>
                      <w:lang w:eastAsia="zh-CN"/>
                    </w:rPr>
                    <w:t>与</w:t>
                  </w:r>
                  <w:r>
                    <w:rPr>
                      <w:rFonts w:hint="eastAsia" w:ascii="Times New Roman" w:hAnsi="Times New Roman" w:cs="Times New Roman"/>
                      <w:u w:val="single"/>
                      <w:lang w:val="en-US" w:eastAsia="zh-CN"/>
                    </w:rPr>
                    <w:t>2022年9月</w:t>
                  </w:r>
                  <w:r>
                    <w:rPr>
                      <w:rFonts w:ascii="Times New Roman" w:hAnsi="Times New Roman" w:cs="Times New Roman"/>
                      <w:u w:val="single"/>
                    </w:rPr>
                    <w:t>，</w:t>
                  </w:r>
                  <w:r>
                    <w:rPr>
                      <w:rFonts w:hint="eastAsia" w:ascii="Times New Roman" w:hAnsi="Times New Roman" w:cs="Times New Roman"/>
                      <w:u w:val="single"/>
                      <w:lang w:eastAsia="zh-CN"/>
                    </w:rPr>
                    <w:t>月平均</w:t>
                  </w:r>
                  <w:r>
                    <w:rPr>
                      <w:rFonts w:ascii="Times New Roman" w:hAnsi="Times New Roman" w:cs="Times New Roman"/>
                      <w:u w:val="single"/>
                    </w:rPr>
                    <w:t>有效数据</w:t>
                  </w:r>
                </w:p>
              </w:tc>
              <w:tc>
                <w:tcPr>
                  <w:tcW w:w="1673"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TVOC</w:t>
                  </w:r>
                  <w:r>
                    <w:rPr>
                      <w:rFonts w:ascii="Times New Roman" w:hAnsi="Times New Roman" w:cs="Times New Roman"/>
                      <w:spacing w:val="-3"/>
                      <w:u w:val="single"/>
                    </w:rPr>
                    <w:t>测一次值</w:t>
                  </w:r>
                </w:p>
              </w:tc>
            </w:tr>
          </w:tbl>
          <w:p>
            <w:pPr>
              <w:adjustRightInd w:val="0"/>
              <w:snapToGrid w:val="0"/>
              <w:spacing w:line="480" w:lineRule="exact"/>
              <w:ind w:firstLine="480" w:firstLineChars="200"/>
              <w:rPr>
                <w:sz w:val="24"/>
                <w:u w:val="single"/>
              </w:rPr>
            </w:pPr>
            <w:r>
              <w:rPr>
                <w:sz w:val="24"/>
                <w:u w:val="single"/>
              </w:rPr>
              <w:t>②评价标准</w:t>
            </w:r>
          </w:p>
          <w:p>
            <w:pPr>
              <w:adjustRightInd w:val="0"/>
              <w:snapToGrid w:val="0"/>
              <w:spacing w:line="480" w:lineRule="exact"/>
              <w:ind w:firstLine="480" w:firstLineChars="200"/>
              <w:rPr>
                <w:sz w:val="24"/>
                <w:u w:val="single"/>
              </w:rPr>
            </w:pPr>
            <w:r>
              <w:rPr>
                <w:sz w:val="24"/>
                <w:u w:val="single"/>
              </w:rPr>
              <w:t>执行《环境影响评价技术导则 大气环境》（HJ2.2-2018）附录D。</w:t>
            </w:r>
          </w:p>
          <w:p>
            <w:pPr>
              <w:adjustRightInd w:val="0"/>
              <w:snapToGrid w:val="0"/>
              <w:spacing w:line="480" w:lineRule="exact"/>
              <w:ind w:firstLine="480" w:firstLineChars="200"/>
              <w:rPr>
                <w:sz w:val="24"/>
                <w:u w:val="single"/>
              </w:rPr>
            </w:pPr>
            <w:r>
              <w:rPr>
                <w:sz w:val="24"/>
                <w:u w:val="single"/>
              </w:rPr>
              <w:t>③监测结果统计</w:t>
            </w:r>
          </w:p>
          <w:p>
            <w:pPr>
              <w:adjustRightInd w:val="0"/>
              <w:snapToGrid w:val="0"/>
              <w:spacing w:line="480" w:lineRule="exact"/>
              <w:ind w:firstLine="422" w:firstLineChars="200"/>
              <w:jc w:val="center"/>
              <w:rPr>
                <w:b/>
                <w:bCs/>
                <w:szCs w:val="21"/>
                <w:u w:val="single"/>
              </w:rPr>
            </w:pPr>
            <w:r>
              <w:rPr>
                <w:b/>
                <w:bCs/>
                <w:szCs w:val="21"/>
                <w:u w:val="single"/>
              </w:rPr>
              <w:t>表 3-3</w:t>
            </w:r>
            <w:r>
              <w:rPr>
                <w:b/>
                <w:bCs/>
                <w:szCs w:val="21"/>
                <w:u w:val="single"/>
              </w:rPr>
              <w:tab/>
            </w:r>
            <w:r>
              <w:rPr>
                <w:b/>
                <w:bCs/>
                <w:szCs w:val="21"/>
                <w:u w:val="single"/>
              </w:rPr>
              <w:t>特征污染物环境质量现状监测结果统计一览表</w:t>
            </w:r>
          </w:p>
          <w:tbl>
            <w:tblPr>
              <w:tblStyle w:val="21"/>
              <w:tblW w:w="7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0"/>
              <w:gridCol w:w="2910"/>
              <w:gridCol w:w="1633"/>
              <w:gridCol w:w="4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4610" w:type="dxa"/>
                  <w:gridSpan w:val="2"/>
                  <w:vMerge w:val="restart"/>
                  <w:tcBorders>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监测项目</w:t>
                  </w:r>
                </w:p>
              </w:tc>
              <w:tc>
                <w:tcPr>
                  <w:tcW w:w="3103" w:type="dxa"/>
                  <w:gridSpan w:val="3"/>
                  <w:tcBorders>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监测评价结果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4610" w:type="dxa"/>
                  <w:gridSpan w:val="2"/>
                  <w:vMerge w:val="continue"/>
                  <w:tcBorders>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lang w:val="en-US"/>
                    </w:rPr>
                  </w:pPr>
                </w:p>
              </w:tc>
              <w:tc>
                <w:tcPr>
                  <w:tcW w:w="1678" w:type="dxa"/>
                  <w:gridSpan w:val="2"/>
                  <w:tcBorders>
                    <w:left w:val="single" w:color="000000" w:sz="6" w:space="0"/>
                    <w:bottom w:val="single" w:color="000000" w:sz="6" w:space="0"/>
                    <w:right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2022年2月</w:t>
                  </w:r>
                </w:p>
              </w:tc>
              <w:tc>
                <w:tcPr>
                  <w:tcW w:w="1425" w:type="dxa"/>
                  <w:tcBorders>
                    <w:left w:val="single" w:color="auto" w:sz="4"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2022年9月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700" w:type="dxa"/>
                  <w:vMerge w:val="restart"/>
                  <w:tcBorders>
                    <w:top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TVOC</w:t>
                  </w:r>
                </w:p>
              </w:tc>
              <w:tc>
                <w:tcPr>
                  <w:tcW w:w="2910"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小时浓度范围</w:t>
                  </w:r>
                </w:p>
              </w:tc>
              <w:tc>
                <w:tcPr>
                  <w:tcW w:w="3103" w:type="dxa"/>
                  <w:gridSpan w:val="3"/>
                  <w:tcBorders>
                    <w:top w:val="single" w:color="000000" w:sz="6" w:space="0"/>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0.5×10</w:t>
                  </w:r>
                  <w:r>
                    <w:rPr>
                      <w:rFonts w:ascii="Times New Roman" w:hAnsi="Times New Roman" w:cs="Times New Roman"/>
                      <w:u w:val="single"/>
                      <w:vertAlign w:val="superscript"/>
                    </w:rPr>
                    <w:t>-3</w:t>
                  </w:r>
                  <w:r>
                    <w:rPr>
                      <w:rFonts w:ascii="Times New Roman" w:hAnsi="Times New Roman" w:cs="Times New Roman"/>
                      <w:u w:val="single"/>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700" w:type="dxa"/>
                  <w:vMerge w:val="continue"/>
                  <w:tcBorders>
                    <w:top w:val="nil"/>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
                      <w:szCs w:val="2"/>
                      <w:u w:val="single"/>
                    </w:rPr>
                  </w:pPr>
                </w:p>
              </w:tc>
              <w:tc>
                <w:tcPr>
                  <w:tcW w:w="2910"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超标率（%）</w:t>
                  </w:r>
                </w:p>
              </w:tc>
              <w:tc>
                <w:tcPr>
                  <w:tcW w:w="3103" w:type="dxa"/>
                  <w:gridSpan w:val="3"/>
                  <w:tcBorders>
                    <w:top w:val="single" w:color="000000" w:sz="6" w:space="0"/>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ascii="Times New Roman" w:hAnsi="Times New Roman" w:cs="Times New Roman"/>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700" w:type="dxa"/>
                  <w:vMerge w:val="continue"/>
                  <w:tcBorders>
                    <w:top w:val="nil"/>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
                      <w:szCs w:val="2"/>
                      <w:u w:val="single"/>
                    </w:rPr>
                  </w:pPr>
                </w:p>
              </w:tc>
              <w:tc>
                <w:tcPr>
                  <w:tcW w:w="2910"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u w:val="single"/>
                      <w:lang w:eastAsia="zh-CN"/>
                    </w:rPr>
                  </w:pPr>
                  <w:r>
                    <w:rPr>
                      <w:rFonts w:ascii="Times New Roman" w:hAnsi="Times New Roman" w:cs="Times New Roman"/>
                      <w:u w:val="single"/>
                    </w:rPr>
                    <w:t>标准</w:t>
                  </w:r>
                  <w:r>
                    <w:rPr>
                      <w:rFonts w:hint="eastAsia" w:ascii="Times New Roman" w:hAnsi="Times New Roman" w:cs="Times New Roman"/>
                      <w:u w:val="single"/>
                      <w:lang w:eastAsia="zh-CN"/>
                    </w:rPr>
                    <w:t>值</w:t>
                  </w:r>
                </w:p>
              </w:tc>
              <w:tc>
                <w:tcPr>
                  <w:tcW w:w="3103" w:type="dxa"/>
                  <w:gridSpan w:val="3"/>
                  <w:tcBorders>
                    <w:top w:val="single" w:color="000000" w:sz="6" w:space="0"/>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u w:val="single"/>
                      <w:lang w:eastAsia="zh-CN"/>
                    </w:rPr>
                  </w:pPr>
                  <w:r>
                    <w:rPr>
                      <w:rFonts w:ascii="Times New Roman" w:hAnsi="Times New Roman" w:cs="Times New Roman"/>
                      <w:u w:val="single"/>
                    </w:rPr>
                    <w:t>0.0</w:t>
                  </w:r>
                  <w:r>
                    <w:rPr>
                      <w:rFonts w:hint="eastAsia" w:ascii="Times New Roman" w:hAnsi="Times New Roman" w:cs="Times New Roman"/>
                      <w:u w:val="singl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700" w:type="dxa"/>
                  <w:vMerge w:val="continue"/>
                  <w:tcBorders>
                    <w:top w:val="nil"/>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sz w:val="2"/>
                      <w:szCs w:val="2"/>
                      <w:u w:val="single"/>
                    </w:rPr>
                  </w:pPr>
                </w:p>
              </w:tc>
              <w:tc>
                <w:tcPr>
                  <w:tcW w:w="2910" w:type="dxa"/>
                  <w:tcBorders>
                    <w:top w:val="single" w:color="000000" w:sz="6" w:space="0"/>
                    <w:left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u w:val="single"/>
                      <w:lang w:eastAsia="zh-CN"/>
                    </w:rPr>
                  </w:pPr>
                  <w:r>
                    <w:rPr>
                      <w:rFonts w:hint="eastAsia" w:ascii="Times New Roman" w:hAnsi="Times New Roman" w:cs="Times New Roman"/>
                      <w:u w:val="single"/>
                      <w:lang w:eastAsia="zh-CN"/>
                    </w:rPr>
                    <w:t>监测结果</w:t>
                  </w:r>
                </w:p>
              </w:tc>
              <w:tc>
                <w:tcPr>
                  <w:tcW w:w="1633" w:type="dxa"/>
                  <w:tcBorders>
                    <w:top w:val="single" w:color="000000" w:sz="6" w:space="0"/>
                    <w:left w:val="single" w:color="000000" w:sz="6" w:space="0"/>
                    <w:right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u w:val="single"/>
                    </w:rPr>
                  </w:pPr>
                  <w:r>
                    <w:rPr>
                      <w:rFonts w:hint="default" w:ascii="Times New Roman" w:hAnsi="Times New Roman" w:eastAsia="宋体" w:cs="Times New Roman"/>
                      <w:i w:val="0"/>
                      <w:iCs w:val="0"/>
                      <w:caps w:val="0"/>
                      <w:color w:val="000000"/>
                      <w:spacing w:val="0"/>
                      <w:sz w:val="21"/>
                      <w:szCs w:val="21"/>
                      <w:u w:val="single"/>
                      <w:shd w:val="clear" w:fill="FFFFFF"/>
                    </w:rPr>
                    <w:t>0.0467</w:t>
                  </w:r>
                </w:p>
              </w:tc>
              <w:tc>
                <w:tcPr>
                  <w:tcW w:w="1470" w:type="dxa"/>
                  <w:gridSpan w:val="2"/>
                  <w:tcBorders>
                    <w:top w:val="single" w:color="000000" w:sz="6" w:space="0"/>
                    <w:left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0.086</w:t>
                  </w:r>
                </w:p>
              </w:tc>
            </w:tr>
          </w:tbl>
          <w:p>
            <w:pPr>
              <w:pStyle w:val="19"/>
              <w:adjustRightInd w:val="0"/>
              <w:snapToGrid w:val="0"/>
              <w:spacing w:after="0" w:line="360" w:lineRule="auto"/>
              <w:ind w:firstLine="480" w:firstLineChars="200"/>
              <w:rPr>
                <w:sz w:val="24"/>
                <w:u w:val="single"/>
              </w:rPr>
            </w:pPr>
            <w:r>
              <w:rPr>
                <w:snapToGrid w:val="0"/>
                <w:sz w:val="24"/>
                <w:u w:val="single"/>
              </w:rPr>
              <w:t>根据表3-3可知：TVOC监测值满足《环境影响评价技术导则大气环境》（HJ2.2-2018）附录D表D.1其他污染物空气质量浓度参考限值标准。</w:t>
            </w:r>
          </w:p>
          <w:p>
            <w:pPr>
              <w:adjustRightInd w:val="0"/>
              <w:snapToGrid w:val="0"/>
              <w:spacing w:line="360" w:lineRule="auto"/>
              <w:rPr>
                <w:sz w:val="24"/>
                <w:u w:val="single"/>
              </w:rPr>
            </w:pPr>
            <w:r>
              <w:rPr>
                <w:sz w:val="24"/>
                <w:u w:val="single"/>
              </w:rPr>
              <w:t>2、地表水环境质量现状评价</w:t>
            </w:r>
          </w:p>
          <w:p>
            <w:pPr>
              <w:adjustRightInd w:val="0"/>
              <w:snapToGrid w:val="0"/>
              <w:spacing w:line="360" w:lineRule="auto"/>
              <w:ind w:firstLine="480" w:firstLineChars="200"/>
              <w:rPr>
                <w:sz w:val="24"/>
                <w:u w:val="single"/>
              </w:rPr>
            </w:pPr>
            <w:r>
              <w:rPr>
                <w:kern w:val="2"/>
                <w:sz w:val="24"/>
                <w:szCs w:val="24"/>
                <w:u w:val="single"/>
              </w:rPr>
              <w:t>根据《建设项目环境影响报告表编制技术指南》（2021），地表水环境质量现状调查可引用与建设项目距离近的有效数据，包括近3年的规划环境影响评价的监测数据，所在流域控制单元内国家、地方控制断面监测数据，生态环境主管部门发布的水环境质量数据或地表水达标情况的结论。</w:t>
            </w:r>
          </w:p>
          <w:p>
            <w:pPr>
              <w:adjustRightInd w:val="0"/>
              <w:snapToGrid w:val="0"/>
              <w:spacing w:line="360" w:lineRule="auto"/>
              <w:ind w:firstLine="480" w:firstLineChars="200"/>
              <w:rPr>
                <w:sz w:val="24"/>
                <w:u w:val="single"/>
              </w:rPr>
            </w:pPr>
            <w:r>
              <w:rPr>
                <w:sz w:val="24"/>
                <w:u w:val="single"/>
              </w:rPr>
              <w:t>本项目生活污水经化粪池预处理后通过园区市政污水管网排入益阳</w:t>
            </w:r>
            <w:r>
              <w:rPr>
                <w:rFonts w:hint="eastAsia"/>
                <w:sz w:val="24"/>
                <w:u w:val="single"/>
                <w:lang w:val="en-US" w:eastAsia="zh-CN"/>
              </w:rPr>
              <w:t>城东</w:t>
            </w:r>
            <w:r>
              <w:rPr>
                <w:sz w:val="24"/>
                <w:u w:val="single"/>
              </w:rPr>
              <w:t>污水处理厂处理达《城镇污水处理厂污染物排放标准》（GB18918-2002）一级 A 标准后排入撇洪新河。</w:t>
            </w:r>
          </w:p>
          <w:p>
            <w:pPr>
              <w:adjustRightInd w:val="0"/>
              <w:snapToGrid w:val="0"/>
              <w:spacing w:line="360" w:lineRule="auto"/>
              <w:ind w:firstLine="480" w:firstLineChars="200"/>
              <w:rPr>
                <w:sz w:val="24"/>
                <w:u w:val="single"/>
              </w:rPr>
            </w:pPr>
            <w:r>
              <w:rPr>
                <w:sz w:val="24"/>
                <w:u w:val="single"/>
              </w:rPr>
              <w:t>为了解项目所在区域地表水环境质量现状，本项目收集了《益阳高新技术产业园 区环境影响跟踪评价报告书》中于2021年4月1~3日对撇洪新河水质的监测数据。水质监测数据统计情况见下表。</w:t>
            </w:r>
          </w:p>
          <w:p>
            <w:pPr>
              <w:pStyle w:val="2"/>
              <w:ind w:firstLine="480" w:firstLineChars="200"/>
              <w:rPr>
                <w:kern w:val="2"/>
                <w:sz w:val="24"/>
                <w:szCs w:val="24"/>
                <w:u w:val="single"/>
              </w:rPr>
            </w:pPr>
            <w:r>
              <w:rPr>
                <w:kern w:val="2"/>
                <w:sz w:val="24"/>
                <w:szCs w:val="24"/>
                <w:u w:val="single"/>
              </w:rPr>
              <w:t>①监测工作内容</w:t>
            </w:r>
          </w:p>
          <w:p>
            <w:pPr>
              <w:pStyle w:val="2"/>
              <w:spacing w:before="153"/>
              <w:ind w:firstLine="480" w:firstLineChars="200"/>
              <w:rPr>
                <w:kern w:val="2"/>
                <w:sz w:val="24"/>
                <w:szCs w:val="24"/>
                <w:u w:val="single"/>
              </w:rPr>
            </w:pPr>
            <w:r>
              <w:rPr>
                <w:kern w:val="2"/>
                <w:sz w:val="24"/>
                <w:szCs w:val="24"/>
                <w:u w:val="single"/>
              </w:rPr>
              <w:t>监测工作内容详见表3-4所示：</w:t>
            </w:r>
          </w:p>
          <w:p>
            <w:pPr>
              <w:adjustRightInd w:val="0"/>
              <w:snapToGrid w:val="0"/>
              <w:jc w:val="center"/>
              <w:rPr>
                <w:b/>
                <w:szCs w:val="21"/>
                <w:u w:val="single"/>
              </w:rPr>
            </w:pPr>
            <w:r>
              <w:rPr>
                <w:b/>
                <w:szCs w:val="21"/>
                <w:u w:val="single"/>
              </w:rPr>
              <w:t>表3-4  地表水监测工作内容一览表</w:t>
            </w:r>
          </w:p>
          <w:tbl>
            <w:tblPr>
              <w:tblStyle w:val="21"/>
              <w:tblW w:w="77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9"/>
              <w:gridCol w:w="1004"/>
              <w:gridCol w:w="3838"/>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579" w:type="dxa"/>
                  <w:tcBorders>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u w:val="single"/>
                    </w:rPr>
                  </w:pPr>
                  <w:r>
                    <w:rPr>
                      <w:rFonts w:ascii="Times New Roman" w:hAnsi="Times New Roman" w:cs="Times New Roman"/>
                      <w:u w:val="single"/>
                    </w:rPr>
                    <w:t>编号</w:t>
                  </w:r>
                </w:p>
              </w:tc>
              <w:tc>
                <w:tcPr>
                  <w:tcW w:w="1004" w:type="dxa"/>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u w:val="single"/>
                    </w:rPr>
                  </w:pPr>
                  <w:r>
                    <w:rPr>
                      <w:rFonts w:ascii="Times New Roman" w:hAnsi="Times New Roman" w:cs="Times New Roman"/>
                      <w:u w:val="single"/>
                    </w:rPr>
                    <w:t>水体名称</w:t>
                  </w:r>
                </w:p>
              </w:tc>
              <w:tc>
                <w:tcPr>
                  <w:tcW w:w="3838" w:type="dxa"/>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u w:val="single"/>
                    </w:rPr>
                  </w:pPr>
                  <w:r>
                    <w:rPr>
                      <w:rFonts w:ascii="Times New Roman" w:hAnsi="Times New Roman" w:cs="Times New Roman"/>
                      <w:u w:val="single"/>
                    </w:rPr>
                    <w:t>监测断面名称</w:t>
                  </w:r>
                </w:p>
              </w:tc>
              <w:tc>
                <w:tcPr>
                  <w:tcW w:w="2336" w:type="dxa"/>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u w:val="single"/>
                    </w:rPr>
                  </w:pPr>
                  <w:r>
                    <w:rPr>
                      <w:rFonts w:ascii="Times New Roman" w:hAnsi="Times New Roman" w:cs="Times New Roman"/>
                      <w:u w:val="single"/>
                    </w:rPr>
                    <w:t>监测因子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579" w:type="dxa"/>
                  <w:tcBorders>
                    <w:top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W1</w:t>
                  </w:r>
                </w:p>
              </w:tc>
              <w:tc>
                <w:tcPr>
                  <w:tcW w:w="1004" w:type="dxa"/>
                  <w:vMerge w:val="restart"/>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u w:val="single"/>
                      <w:lang w:val="en-US" w:eastAsia="zh-CN"/>
                    </w:rPr>
                  </w:pPr>
                  <w:r>
                    <w:rPr>
                      <w:rFonts w:ascii="Times New Roman" w:hAnsi="Times New Roman" w:cs="Times New Roman"/>
                      <w:u w:val="single"/>
                    </w:rPr>
                    <w:t>撇洪新</w:t>
                  </w:r>
                  <w:r>
                    <w:rPr>
                      <w:rFonts w:hint="eastAsia" w:ascii="Times New Roman" w:hAnsi="Times New Roman" w:cs="Times New Roman"/>
                      <w:u w:val="single"/>
                      <w:lang w:val="en-US" w:eastAsia="zh-CN"/>
                    </w:rPr>
                    <w:t>河</w:t>
                  </w:r>
                </w:p>
              </w:tc>
              <w:tc>
                <w:tcPr>
                  <w:tcW w:w="3838"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u w:val="single"/>
                    </w:rPr>
                  </w:pPr>
                  <w:r>
                    <w:rPr>
                      <w:rFonts w:ascii="宋体" w:hAnsi="宋体" w:eastAsia="宋体" w:cs="宋体"/>
                      <w:sz w:val="21"/>
                      <w:szCs w:val="21"/>
                      <w:u w:val="single"/>
                    </w:rPr>
                    <w:t>鑫福二手车交易市场附近地表水断面</w:t>
                  </w:r>
                </w:p>
              </w:tc>
              <w:tc>
                <w:tcPr>
                  <w:tcW w:w="2336" w:type="dxa"/>
                  <w:vMerge w:val="restart"/>
                  <w:tcBorders>
                    <w:top w:val="single" w:color="000000" w:sz="6" w:space="0"/>
                    <w:left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u w:val="single"/>
                    </w:rPr>
                  </w:pPr>
                  <w:r>
                    <w:rPr>
                      <w:rFonts w:ascii="Times New Roman" w:hAnsi="Times New Roman" w:cs="Times New Roman"/>
                      <w:u w:val="single"/>
                    </w:rPr>
                    <w:t>pH、色度、COD、氨氮、石油类、铅、镉、六价铬、 汞、铜、锌、砷、挥发酚、BOD</w:t>
                  </w:r>
                  <w:r>
                    <w:rPr>
                      <w:rFonts w:ascii="Times New Roman" w:hAnsi="Times New Roman" w:cs="Times New Roman"/>
                      <w:u w:val="single"/>
                      <w:vertAlign w:val="subscript"/>
                    </w:rPr>
                    <w:t>5</w:t>
                  </w:r>
                  <w:r>
                    <w:rPr>
                      <w:rFonts w:ascii="Times New Roman" w:hAnsi="Times New Roman" w:cs="Times New Roman"/>
                      <w:u w:val="single"/>
                    </w:rPr>
                    <w:t>、总磷、阴离子表面 活性剂、粪大肠杆菌、锑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579" w:type="dxa"/>
                  <w:tcBorders>
                    <w:top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u w:val="single"/>
                      <w:lang w:val="en-US" w:eastAsia="zh-CN"/>
                    </w:rPr>
                  </w:pPr>
                  <w:r>
                    <w:rPr>
                      <w:rFonts w:hint="eastAsia" w:ascii="Times New Roman" w:hAnsi="Times New Roman" w:cs="Times New Roman"/>
                      <w:u w:val="single"/>
                      <w:lang w:val="en-US" w:eastAsia="zh-CN"/>
                    </w:rPr>
                    <w:t>W2</w:t>
                  </w:r>
                </w:p>
              </w:tc>
              <w:tc>
                <w:tcPr>
                  <w:tcW w:w="1004" w:type="dxa"/>
                  <w:vMerge w:val="continue"/>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u w:val="single"/>
                    </w:rPr>
                  </w:pPr>
                </w:p>
              </w:tc>
              <w:tc>
                <w:tcPr>
                  <w:tcW w:w="3838"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u w:val="single"/>
                    </w:rPr>
                  </w:pPr>
                  <w:r>
                    <w:rPr>
                      <w:rFonts w:ascii="Times New Roman" w:hAnsi="Times New Roman" w:cs="Times New Roman"/>
                      <w:sz w:val="21"/>
                      <w:szCs w:val="21"/>
                      <w:u w:val="single"/>
                    </w:rPr>
                    <w:t>长坡岭金贝贝幼儿园附近地表水断面</w:t>
                  </w:r>
                </w:p>
              </w:tc>
              <w:tc>
                <w:tcPr>
                  <w:tcW w:w="2336" w:type="dxa"/>
                  <w:vMerge w:val="continue"/>
                  <w:tcBorders>
                    <w:top w:val="nil"/>
                    <w:left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u w:val="single"/>
                    </w:rPr>
                  </w:pPr>
                </w:p>
              </w:tc>
            </w:tr>
          </w:tbl>
          <w:p>
            <w:pPr>
              <w:adjustRightInd w:val="0"/>
              <w:snapToGrid w:val="0"/>
              <w:spacing w:line="480" w:lineRule="exact"/>
              <w:ind w:firstLine="480" w:firstLineChars="200"/>
              <w:rPr>
                <w:sz w:val="24"/>
                <w:u w:val="single"/>
              </w:rPr>
            </w:pPr>
            <w:r>
              <w:rPr>
                <w:sz w:val="24"/>
                <w:u w:val="single"/>
              </w:rPr>
              <w:t>②评价标准</w:t>
            </w:r>
          </w:p>
          <w:p>
            <w:pPr>
              <w:adjustRightInd w:val="0"/>
              <w:snapToGrid w:val="0"/>
              <w:spacing w:line="480" w:lineRule="exact"/>
              <w:ind w:firstLine="480" w:firstLineChars="200"/>
              <w:rPr>
                <w:sz w:val="24"/>
                <w:u w:val="single"/>
              </w:rPr>
            </w:pPr>
            <w:r>
              <w:rPr>
                <w:sz w:val="24"/>
                <w:u w:val="single"/>
              </w:rPr>
              <w:t>执行《地表水环境质量标准》（GB3838-2002）中的Ⅲ类标准。</w:t>
            </w:r>
          </w:p>
          <w:p>
            <w:pPr>
              <w:adjustRightInd w:val="0"/>
              <w:snapToGrid w:val="0"/>
              <w:spacing w:line="480" w:lineRule="exact"/>
              <w:ind w:firstLine="480" w:firstLineChars="200"/>
              <w:rPr>
                <w:sz w:val="24"/>
                <w:u w:val="single"/>
              </w:rPr>
            </w:pPr>
            <w:r>
              <w:rPr>
                <w:sz w:val="24"/>
                <w:u w:val="single"/>
              </w:rPr>
              <w:t>③监测结果统计</w:t>
            </w:r>
          </w:p>
          <w:p>
            <w:pPr>
              <w:adjustRightInd w:val="0"/>
              <w:snapToGrid w:val="0"/>
              <w:spacing w:line="480" w:lineRule="exact"/>
              <w:ind w:firstLine="480" w:firstLineChars="200"/>
              <w:rPr>
                <w:sz w:val="24"/>
                <w:u w:val="single"/>
              </w:rPr>
            </w:pPr>
            <w:r>
              <w:rPr>
                <w:sz w:val="24"/>
                <w:u w:val="single"/>
              </w:rPr>
              <w:t>监测结果统计如表3-5所示：</w:t>
            </w:r>
          </w:p>
          <w:p>
            <w:pPr>
              <w:spacing w:line="480" w:lineRule="exact"/>
              <w:jc w:val="center"/>
              <w:rPr>
                <w:b/>
                <w:szCs w:val="21"/>
                <w:u w:val="single"/>
              </w:rPr>
            </w:pPr>
            <w:r>
              <w:rPr>
                <w:b/>
                <w:szCs w:val="21"/>
                <w:u w:val="single"/>
              </w:rPr>
              <w:t>表 3-5 地表水环境质量监测结果 单位：mg/L</w:t>
            </w:r>
          </w:p>
          <w:tbl>
            <w:tblPr>
              <w:tblStyle w:val="21"/>
              <w:tblW w:w="7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90"/>
              <w:gridCol w:w="1125"/>
              <w:gridCol w:w="930"/>
              <w:gridCol w:w="1095"/>
              <w:gridCol w:w="1110"/>
              <w:gridCol w:w="1050"/>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39" w:type="dxa"/>
                  <w:vMerge w:val="restart"/>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采样点位</w:t>
                  </w:r>
                </w:p>
              </w:tc>
              <w:tc>
                <w:tcPr>
                  <w:tcW w:w="690" w:type="dxa"/>
                  <w:vMerge w:val="restart"/>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样品</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状态</w:t>
                  </w:r>
                </w:p>
              </w:tc>
              <w:tc>
                <w:tcPr>
                  <w:tcW w:w="1125" w:type="dxa"/>
                  <w:vMerge w:val="restart"/>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检测</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项目</w:t>
                  </w:r>
                </w:p>
              </w:tc>
              <w:tc>
                <w:tcPr>
                  <w:tcW w:w="930" w:type="dxa"/>
                  <w:vMerge w:val="restart"/>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单位</w:t>
                  </w:r>
                </w:p>
              </w:tc>
              <w:tc>
                <w:tcPr>
                  <w:tcW w:w="3255" w:type="dxa"/>
                  <w:gridSpan w:val="3"/>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eastAsia="宋体" w:cs="Times New Roman"/>
                      <w:sz w:val="21"/>
                      <w:szCs w:val="21"/>
                    </w:rPr>
                    <w:t>采样时间及检测结果</w:t>
                  </w:r>
                </w:p>
              </w:tc>
              <w:tc>
                <w:tcPr>
                  <w:tcW w:w="1056" w:type="dxa"/>
                  <w:vMerge w:val="restart"/>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III类水质标准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rPr>
                  </w:pPr>
                </w:p>
              </w:tc>
              <w:tc>
                <w:tcPr>
                  <w:tcW w:w="1125"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rPr>
                  </w:pPr>
                </w:p>
              </w:tc>
              <w:tc>
                <w:tcPr>
                  <w:tcW w:w="93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rPr>
                  </w:pPr>
                </w:p>
              </w:tc>
              <w:tc>
                <w:tcPr>
                  <w:tcW w:w="109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4.01</w:t>
                  </w:r>
                </w:p>
              </w:tc>
              <w:tc>
                <w:tcPr>
                  <w:tcW w:w="111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4.02</w:t>
                  </w:r>
                </w:p>
              </w:tc>
              <w:tc>
                <w:tcPr>
                  <w:tcW w:w="105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4.03</w:t>
                  </w:r>
                </w:p>
              </w:tc>
              <w:tc>
                <w:tcPr>
                  <w:tcW w:w="1056"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restart"/>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pStyle w:val="27"/>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color w:val="auto"/>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eastAsia="宋体" w:cs="Times New Roman"/>
                      <w:sz w:val="21"/>
                      <w:szCs w:val="21"/>
                    </w:rPr>
                    <w:t>鑫福二手 车交易市 场附近地 表水断面</w:t>
                  </w:r>
                </w:p>
              </w:tc>
              <w:tc>
                <w:tcPr>
                  <w:tcW w:w="690" w:type="dxa"/>
                  <w:vMerge w:val="restart"/>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微</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黄、</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无异</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味</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pH</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无量纲</w:t>
                  </w:r>
                </w:p>
              </w:tc>
              <w:tc>
                <w:tcPr>
                  <w:tcW w:w="109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6.68</w:t>
                  </w:r>
                </w:p>
              </w:tc>
              <w:tc>
                <w:tcPr>
                  <w:tcW w:w="111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6.62</w:t>
                  </w:r>
                </w:p>
              </w:tc>
              <w:tc>
                <w:tcPr>
                  <w:tcW w:w="105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6.82</w:t>
                  </w:r>
                </w:p>
              </w:tc>
              <w:tc>
                <w:tcPr>
                  <w:tcW w:w="1056"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色度</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倍</w:t>
                  </w:r>
                </w:p>
              </w:tc>
              <w:tc>
                <w:tcPr>
                  <w:tcW w:w="109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2</w:t>
                  </w:r>
                </w:p>
              </w:tc>
              <w:tc>
                <w:tcPr>
                  <w:tcW w:w="111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lang w:val="en-US" w:eastAsia="zh-CN"/>
                    </w:rPr>
                    <w:t>2</w:t>
                  </w:r>
                </w:p>
              </w:tc>
              <w:tc>
                <w:tcPr>
                  <w:tcW w:w="105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lang w:val="en-US" w:eastAsia="zh-CN"/>
                    </w:rPr>
                    <w:t>2</w:t>
                  </w:r>
                </w:p>
              </w:tc>
              <w:tc>
                <w:tcPr>
                  <w:tcW w:w="1056"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BOD</w:t>
                  </w:r>
                  <w:r>
                    <w:rPr>
                      <w:rFonts w:hint="default" w:ascii="Times New Roman" w:hAnsi="Times New Roman" w:cs="Times New Roman"/>
                      <w:bCs/>
                      <w:sz w:val="21"/>
                      <w:szCs w:val="21"/>
                      <w:u w:val="single"/>
                      <w:vertAlign w:val="subscript"/>
                      <w:lang w:val="en-US" w:eastAsia="zh-CN"/>
                    </w:rPr>
                    <w:t>5</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3.0</w:t>
                  </w:r>
                </w:p>
              </w:tc>
              <w:tc>
                <w:tcPr>
                  <w:tcW w:w="111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2.6</w:t>
                  </w:r>
                </w:p>
              </w:tc>
              <w:tc>
                <w:tcPr>
                  <w:tcW w:w="105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2.8</w:t>
                  </w:r>
                </w:p>
              </w:tc>
              <w:tc>
                <w:tcPr>
                  <w:tcW w:w="1056"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eastAsia="宋体"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COD</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15</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13</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14</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氨氮</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0.218</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0.208</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0.182</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石油类</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eastAsia="zh-CN" w:bidi="ar-SA"/>
                    </w:rPr>
                  </w:pPr>
                  <w:r>
                    <w:rPr>
                      <w:rFonts w:hint="default" w:ascii="Times New Roman" w:hAnsi="Times New Roman" w:cs="Times New Roman"/>
                      <w:bCs/>
                      <w:sz w:val="21"/>
                      <w:szCs w:val="21"/>
                      <w:u w:val="single"/>
                      <w:lang w:val="en-US" w:eastAsia="zh-CN" w:bidi="ar-SA"/>
                    </w:rPr>
                    <w:t>0.01L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0.01L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0.01L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eastAsia="宋体" w:cs="Times New Roman"/>
                      <w:sz w:val="21"/>
                      <w:szCs w:val="21"/>
                    </w:rPr>
                    <w:t>锑</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0.004</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0.004</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0.004</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铅</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0.01L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0.01L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0.01L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镉</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0.001L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0.001L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0.001L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六价铬</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0.004L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0.004L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0.004L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汞</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4.0x10</w:t>
                  </w:r>
                  <w:r>
                    <w:rPr>
                      <w:rFonts w:hint="default" w:ascii="Times New Roman" w:hAnsi="Times New Roman" w:cs="Times New Roman"/>
                      <w:bCs/>
                      <w:sz w:val="21"/>
                      <w:szCs w:val="21"/>
                      <w:u w:val="single"/>
                      <w:vertAlign w:val="superscript"/>
                      <w:lang w:val="en-US" w:eastAsia="zh-CN" w:bidi="ar-SA"/>
                    </w:rPr>
                    <w:t>-5</w:t>
                  </w:r>
                  <w:r>
                    <w:rPr>
                      <w:rFonts w:hint="default" w:ascii="Times New Roman" w:hAnsi="Times New Roman" w:cs="Times New Roman"/>
                      <w:bCs/>
                      <w:sz w:val="21"/>
                      <w:szCs w:val="21"/>
                      <w:u w:val="single"/>
                      <w:lang w:val="en-US" w:eastAsia="zh-CN" w:bidi="ar-SA"/>
                    </w:rPr>
                    <w:t>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4.0x10</w:t>
                  </w:r>
                  <w:r>
                    <w:rPr>
                      <w:rFonts w:hint="default" w:ascii="Times New Roman" w:hAnsi="Times New Roman" w:cs="Times New Roman"/>
                      <w:bCs/>
                      <w:sz w:val="21"/>
                      <w:szCs w:val="21"/>
                      <w:u w:val="single"/>
                      <w:vertAlign w:val="superscript"/>
                      <w:lang w:val="en-US" w:eastAsia="zh-CN" w:bidi="ar-SA"/>
                    </w:rPr>
                    <w:t>-5</w:t>
                  </w:r>
                  <w:r>
                    <w:rPr>
                      <w:rFonts w:hint="default" w:ascii="Times New Roman" w:hAnsi="Times New Roman" w:cs="Times New Roman"/>
                      <w:bCs/>
                      <w:sz w:val="21"/>
                      <w:szCs w:val="21"/>
                      <w:u w:val="single"/>
                      <w:lang w:val="en-US" w:eastAsia="zh-CN" w:bidi="ar-SA"/>
                    </w:rPr>
                    <w:t>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4.0x10</w:t>
                  </w:r>
                  <w:r>
                    <w:rPr>
                      <w:rFonts w:hint="default" w:ascii="Times New Roman" w:hAnsi="Times New Roman" w:cs="Times New Roman"/>
                      <w:bCs/>
                      <w:sz w:val="21"/>
                      <w:szCs w:val="21"/>
                      <w:u w:val="single"/>
                      <w:vertAlign w:val="superscript"/>
                      <w:lang w:val="en-US" w:eastAsia="zh-CN" w:bidi="ar-SA"/>
                    </w:rPr>
                    <w:t>-5</w:t>
                  </w:r>
                  <w:r>
                    <w:rPr>
                      <w:rFonts w:hint="default" w:ascii="Times New Roman" w:hAnsi="Times New Roman" w:cs="Times New Roman"/>
                      <w:bCs/>
                      <w:sz w:val="21"/>
                      <w:szCs w:val="21"/>
                      <w:u w:val="single"/>
                      <w:lang w:val="en-US" w:eastAsia="zh-CN" w:bidi="ar-SA"/>
                    </w:rPr>
                    <w:t>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铜</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0.009L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0.009L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0.009L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锌</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0.020</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0.018</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0.020</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砷</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0.001</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0.001</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0.001</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挥发酚</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0.0003L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0.0003L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0.0003L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0.04</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0.03</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0.06</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阴离子表面活性剂</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0.05L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0.05L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0.05L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粪大肠菌群</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sz w:val="21"/>
                      <w:szCs w:val="21"/>
                      <w:u w:val="single"/>
                      <w:lang w:val="en-US" w:eastAsia="zh-CN"/>
                    </w:rPr>
                    <w:t>MPN/L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1.5x10</w:t>
                  </w:r>
                  <w:r>
                    <w:rPr>
                      <w:rFonts w:hint="default" w:ascii="Times New Roman" w:hAnsi="Times New Roman" w:cs="Times New Roman"/>
                      <w:bCs/>
                      <w:sz w:val="21"/>
                      <w:szCs w:val="21"/>
                      <w:u w:val="single"/>
                      <w:vertAlign w:val="superscript"/>
                      <w:lang w:val="en-US" w:eastAsia="zh-CN" w:bidi="ar-SA"/>
                    </w:rPr>
                    <w:t>3</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1.8x10</w:t>
                  </w:r>
                  <w:r>
                    <w:rPr>
                      <w:rFonts w:hint="default" w:ascii="Times New Roman" w:hAnsi="Times New Roman" w:cs="Times New Roman"/>
                      <w:bCs/>
                      <w:sz w:val="21"/>
                      <w:szCs w:val="21"/>
                      <w:u w:val="single"/>
                      <w:vertAlign w:val="superscript"/>
                      <w:lang w:val="en-US" w:eastAsia="zh-CN" w:bidi="ar-SA"/>
                    </w:rPr>
                    <w:t>3</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1.7x10</w:t>
                  </w:r>
                  <w:r>
                    <w:rPr>
                      <w:rFonts w:hint="default" w:ascii="Times New Roman" w:hAnsi="Times New Roman" w:cs="Times New Roman"/>
                      <w:bCs/>
                      <w:sz w:val="21"/>
                      <w:szCs w:val="21"/>
                      <w:u w:val="single"/>
                      <w:vertAlign w:val="superscript"/>
                      <w:lang w:val="en-US" w:eastAsia="zh-CN" w:bidi="ar-SA"/>
                    </w:rPr>
                    <w:t>3</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restart"/>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pStyle w:val="27"/>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color w:val="auto"/>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eastAsia="宋体" w:cs="Times New Roman"/>
                      <w:sz w:val="21"/>
                      <w:szCs w:val="21"/>
                    </w:rPr>
                    <w:t>鑫福二手 车交易市 场附近地 表水断面</w:t>
                  </w:r>
                </w:p>
              </w:tc>
              <w:tc>
                <w:tcPr>
                  <w:tcW w:w="690" w:type="dxa"/>
                  <w:vMerge w:val="restart"/>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微</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黄、</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无异</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味</w:t>
                  </w:r>
                </w:p>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pH</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无量纲</w:t>
                  </w:r>
                </w:p>
              </w:tc>
              <w:tc>
                <w:tcPr>
                  <w:tcW w:w="109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6.</w:t>
                  </w:r>
                  <w:r>
                    <w:rPr>
                      <w:rFonts w:hint="eastAsia" w:ascii="Times New Roman" w:hAnsi="Times New Roman" w:cs="Times New Roman"/>
                      <w:bCs/>
                      <w:sz w:val="21"/>
                      <w:szCs w:val="21"/>
                      <w:u w:val="single"/>
                      <w:lang w:val="en-US" w:eastAsia="zh-CN"/>
                    </w:rPr>
                    <w:t>8</w:t>
                  </w:r>
                  <w:r>
                    <w:rPr>
                      <w:rFonts w:hint="default" w:ascii="Times New Roman" w:hAnsi="Times New Roman" w:cs="Times New Roman"/>
                      <w:bCs/>
                      <w:sz w:val="21"/>
                      <w:szCs w:val="21"/>
                      <w:u w:val="single"/>
                      <w:lang w:val="en-US" w:eastAsia="zh-CN"/>
                    </w:rPr>
                    <w:t>8</w:t>
                  </w:r>
                </w:p>
              </w:tc>
              <w:tc>
                <w:tcPr>
                  <w:tcW w:w="111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6.</w:t>
                  </w:r>
                  <w:r>
                    <w:rPr>
                      <w:rFonts w:hint="eastAsia" w:ascii="Times New Roman" w:hAnsi="Times New Roman" w:cs="Times New Roman"/>
                      <w:bCs/>
                      <w:sz w:val="21"/>
                      <w:szCs w:val="21"/>
                      <w:u w:val="single"/>
                      <w:lang w:val="en-US" w:eastAsia="zh-CN"/>
                    </w:rPr>
                    <w:t>94</w:t>
                  </w:r>
                </w:p>
              </w:tc>
              <w:tc>
                <w:tcPr>
                  <w:tcW w:w="105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6.</w:t>
                  </w:r>
                  <w:r>
                    <w:rPr>
                      <w:rFonts w:hint="eastAsia" w:ascii="Times New Roman" w:hAnsi="Times New Roman" w:cs="Times New Roman"/>
                      <w:bCs/>
                      <w:sz w:val="21"/>
                      <w:szCs w:val="21"/>
                      <w:u w:val="single"/>
                      <w:lang w:val="en-US" w:eastAsia="zh-CN"/>
                    </w:rPr>
                    <w:t>91</w:t>
                  </w:r>
                </w:p>
              </w:tc>
              <w:tc>
                <w:tcPr>
                  <w:tcW w:w="1056"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色度</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倍</w:t>
                  </w:r>
                </w:p>
              </w:tc>
              <w:tc>
                <w:tcPr>
                  <w:tcW w:w="109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2</w:t>
                  </w:r>
                </w:p>
              </w:tc>
              <w:tc>
                <w:tcPr>
                  <w:tcW w:w="111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lang w:val="en-US" w:eastAsia="zh-CN"/>
                    </w:rPr>
                    <w:t>2</w:t>
                  </w:r>
                </w:p>
              </w:tc>
              <w:tc>
                <w:tcPr>
                  <w:tcW w:w="105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lang w:val="en-US" w:eastAsia="zh-CN"/>
                    </w:rPr>
                    <w:t>2</w:t>
                  </w:r>
                </w:p>
              </w:tc>
              <w:tc>
                <w:tcPr>
                  <w:tcW w:w="1056"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BOD</w:t>
                  </w:r>
                  <w:r>
                    <w:rPr>
                      <w:rFonts w:hint="default" w:ascii="Times New Roman" w:hAnsi="Times New Roman" w:cs="Times New Roman"/>
                      <w:bCs/>
                      <w:sz w:val="21"/>
                      <w:szCs w:val="21"/>
                      <w:u w:val="single"/>
                      <w:vertAlign w:val="subscript"/>
                      <w:lang w:val="en-US" w:eastAsia="zh-CN"/>
                    </w:rPr>
                    <w:t>5</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3.</w:t>
                  </w:r>
                  <w:r>
                    <w:rPr>
                      <w:rFonts w:hint="eastAsia" w:ascii="Times New Roman" w:hAnsi="Times New Roman" w:cs="Times New Roman"/>
                      <w:bCs/>
                      <w:sz w:val="21"/>
                      <w:szCs w:val="21"/>
                      <w:u w:val="single"/>
                      <w:lang w:val="en-US" w:eastAsia="zh-CN"/>
                    </w:rPr>
                    <w:t>5</w:t>
                  </w:r>
                </w:p>
              </w:tc>
              <w:tc>
                <w:tcPr>
                  <w:tcW w:w="111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eastAsia" w:ascii="Times New Roman" w:hAnsi="Times New Roman" w:cs="Times New Roman"/>
                      <w:bCs/>
                      <w:sz w:val="21"/>
                      <w:szCs w:val="21"/>
                      <w:u w:val="single"/>
                      <w:lang w:val="en-US" w:eastAsia="zh-CN"/>
                    </w:rPr>
                    <w:t>3.5</w:t>
                  </w:r>
                </w:p>
              </w:tc>
              <w:tc>
                <w:tcPr>
                  <w:tcW w:w="105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eastAsia" w:ascii="Times New Roman" w:hAnsi="Times New Roman" w:cs="Times New Roman"/>
                      <w:bCs/>
                      <w:sz w:val="21"/>
                      <w:szCs w:val="21"/>
                      <w:u w:val="single"/>
                      <w:lang w:val="en-US" w:eastAsia="zh-CN"/>
                    </w:rPr>
                    <w:t>3.4</w:t>
                  </w:r>
                </w:p>
              </w:tc>
              <w:tc>
                <w:tcPr>
                  <w:tcW w:w="1056"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eastAsia="宋体" w:cs="Times New Roman"/>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COD</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1</w:t>
                  </w:r>
                  <w:r>
                    <w:rPr>
                      <w:rFonts w:hint="eastAsia" w:ascii="Times New Roman" w:hAnsi="Times New Roman" w:cs="Times New Roman"/>
                      <w:bCs/>
                      <w:sz w:val="21"/>
                      <w:szCs w:val="21"/>
                      <w:u w:val="single"/>
                      <w:lang w:val="en-US" w:eastAsia="zh-CN" w:bidi="ar-SA"/>
                    </w:rPr>
                    <w:t>8</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1</w:t>
                  </w:r>
                  <w:r>
                    <w:rPr>
                      <w:rFonts w:hint="eastAsia" w:ascii="Times New Roman" w:hAnsi="Times New Roman" w:cs="Times New Roman"/>
                      <w:bCs/>
                      <w:sz w:val="21"/>
                      <w:szCs w:val="21"/>
                      <w:u w:val="single"/>
                      <w:lang w:val="en-US" w:eastAsia="zh-CN" w:bidi="ar-SA"/>
                    </w:rPr>
                    <w:t>6</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1</w:t>
                  </w:r>
                  <w:r>
                    <w:rPr>
                      <w:rFonts w:hint="eastAsia" w:ascii="Times New Roman" w:hAnsi="Times New Roman" w:cs="Times New Roman"/>
                      <w:bCs/>
                      <w:sz w:val="21"/>
                      <w:szCs w:val="21"/>
                      <w:u w:val="single"/>
                      <w:lang w:val="en-US" w:eastAsia="zh-CN" w:bidi="ar-SA"/>
                    </w:rPr>
                    <w:t>7</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氨氮</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0.2</w:t>
                  </w:r>
                  <w:r>
                    <w:rPr>
                      <w:rFonts w:hint="eastAsia" w:ascii="Times New Roman" w:hAnsi="Times New Roman" w:cs="Times New Roman"/>
                      <w:bCs/>
                      <w:sz w:val="21"/>
                      <w:szCs w:val="21"/>
                      <w:u w:val="single"/>
                      <w:lang w:val="en-US" w:eastAsia="zh-CN" w:bidi="ar-SA"/>
                    </w:rPr>
                    <w:t>44</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0.2</w:t>
                  </w:r>
                  <w:r>
                    <w:rPr>
                      <w:rFonts w:hint="eastAsia" w:ascii="Times New Roman" w:hAnsi="Times New Roman" w:cs="Times New Roman"/>
                      <w:bCs/>
                      <w:sz w:val="21"/>
                      <w:szCs w:val="21"/>
                      <w:u w:val="single"/>
                      <w:lang w:val="en-US" w:eastAsia="zh-CN" w:bidi="ar-SA"/>
                    </w:rPr>
                    <w:t>72</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w:t>
                  </w:r>
                  <w:r>
                    <w:rPr>
                      <w:rFonts w:hint="eastAsia" w:ascii="Times New Roman" w:hAnsi="Times New Roman" w:cs="Times New Roman"/>
                      <w:bCs/>
                      <w:sz w:val="21"/>
                      <w:szCs w:val="21"/>
                      <w:u w:val="single"/>
                      <w:lang w:val="en-US" w:eastAsia="zh-CN" w:bidi="ar-SA"/>
                    </w:rPr>
                    <w:t>249</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石油类</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eastAsia="zh-CN" w:bidi="ar-SA"/>
                    </w:rPr>
                  </w:pPr>
                  <w:r>
                    <w:rPr>
                      <w:rFonts w:hint="default" w:ascii="Times New Roman" w:hAnsi="Times New Roman" w:cs="Times New Roman"/>
                      <w:bCs/>
                      <w:sz w:val="21"/>
                      <w:szCs w:val="21"/>
                      <w:u w:val="single"/>
                      <w:lang w:val="en-US" w:eastAsia="zh-CN" w:bidi="ar-SA"/>
                    </w:rPr>
                    <w:t>0.01L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0.01L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0.01L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eastAsia="宋体" w:cs="Times New Roman"/>
                      <w:sz w:val="21"/>
                      <w:szCs w:val="21"/>
                    </w:rPr>
                    <w:t>锑</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eastAsia" w:ascii="Times New Roman" w:hAnsi="Times New Roman" w:cs="Times New Roman"/>
                      <w:bCs/>
                      <w:sz w:val="21"/>
                      <w:szCs w:val="21"/>
                      <w:u w:val="single"/>
                      <w:lang w:val="en-US" w:eastAsia="zh-CN" w:bidi="ar-SA"/>
                    </w:rPr>
                    <w:t>2.0x10</w:t>
                  </w:r>
                  <w:r>
                    <w:rPr>
                      <w:rFonts w:hint="eastAsia" w:ascii="Times New Roman" w:hAnsi="Times New Roman" w:cs="Times New Roman"/>
                      <w:bCs/>
                      <w:sz w:val="21"/>
                      <w:szCs w:val="21"/>
                      <w:u w:val="single"/>
                      <w:vertAlign w:val="superscript"/>
                      <w:lang w:val="en-US" w:eastAsia="zh-CN" w:bidi="ar-SA"/>
                    </w:rPr>
                    <w:t>-4</w:t>
                  </w:r>
                  <w:r>
                    <w:rPr>
                      <w:rFonts w:hint="eastAsia" w:ascii="Times New Roman" w:hAnsi="Times New Roman" w:cs="Times New Roman"/>
                      <w:bCs/>
                      <w:sz w:val="21"/>
                      <w:szCs w:val="21"/>
                      <w:u w:val="single"/>
                      <w:lang w:val="en-US" w:eastAsia="zh-CN" w:bidi="ar-SA"/>
                    </w:rPr>
                    <w:t>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eastAsia" w:ascii="Times New Roman" w:hAnsi="Times New Roman" w:cs="Times New Roman"/>
                      <w:bCs/>
                      <w:sz w:val="21"/>
                      <w:szCs w:val="21"/>
                      <w:u w:val="single"/>
                      <w:lang w:val="en-US" w:eastAsia="zh-CN" w:bidi="ar-SA"/>
                    </w:rPr>
                    <w:t>2.0x10</w:t>
                  </w:r>
                  <w:r>
                    <w:rPr>
                      <w:rFonts w:hint="eastAsia" w:ascii="Times New Roman" w:hAnsi="Times New Roman" w:cs="Times New Roman"/>
                      <w:bCs/>
                      <w:sz w:val="21"/>
                      <w:szCs w:val="21"/>
                      <w:u w:val="single"/>
                      <w:vertAlign w:val="superscript"/>
                      <w:lang w:val="en-US" w:eastAsia="zh-CN" w:bidi="ar-SA"/>
                    </w:rPr>
                    <w:t>-4</w:t>
                  </w:r>
                  <w:r>
                    <w:rPr>
                      <w:rFonts w:hint="eastAsia" w:ascii="Times New Roman" w:hAnsi="Times New Roman" w:cs="Times New Roman"/>
                      <w:bCs/>
                      <w:sz w:val="21"/>
                      <w:szCs w:val="21"/>
                      <w:u w:val="single"/>
                      <w:lang w:val="en-US" w:eastAsia="zh-CN" w:bidi="ar-SA"/>
                    </w:rPr>
                    <w:t>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eastAsia" w:ascii="Times New Roman" w:hAnsi="Times New Roman" w:cs="Times New Roman"/>
                      <w:bCs/>
                      <w:sz w:val="21"/>
                      <w:szCs w:val="21"/>
                      <w:u w:val="single"/>
                      <w:lang w:val="en-US" w:eastAsia="zh-CN" w:bidi="ar-SA"/>
                    </w:rPr>
                    <w:t>2.0x10</w:t>
                  </w:r>
                  <w:r>
                    <w:rPr>
                      <w:rFonts w:hint="eastAsia" w:ascii="Times New Roman" w:hAnsi="Times New Roman" w:cs="Times New Roman"/>
                      <w:bCs/>
                      <w:sz w:val="21"/>
                      <w:szCs w:val="21"/>
                      <w:u w:val="single"/>
                      <w:vertAlign w:val="superscript"/>
                      <w:lang w:val="en-US" w:eastAsia="zh-CN" w:bidi="ar-SA"/>
                    </w:rPr>
                    <w:t>-4</w:t>
                  </w:r>
                  <w:r>
                    <w:rPr>
                      <w:rFonts w:hint="eastAsia" w:ascii="Times New Roman" w:hAnsi="Times New Roman" w:cs="Times New Roman"/>
                      <w:bCs/>
                      <w:sz w:val="21"/>
                      <w:szCs w:val="21"/>
                      <w:u w:val="single"/>
                      <w:lang w:val="en-US" w:eastAsia="zh-CN" w:bidi="ar-SA"/>
                    </w:rPr>
                    <w:t>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rPr>
                  </w:pPr>
                  <w:r>
                    <w:rPr>
                      <w:rFonts w:hint="default" w:ascii="Times New Roman" w:hAnsi="Times New Roman" w:cs="Times New Roman"/>
                      <w:bCs/>
                      <w:sz w:val="21"/>
                      <w:szCs w:val="21"/>
                      <w:u w:val="single"/>
                      <w:lang w:val="en-US" w:eastAsia="zh-CN"/>
                    </w:rPr>
                    <w:t>铅</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0.01L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0.01L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0.01L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镉</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r>
                    <w:rPr>
                      <w:rFonts w:hint="default" w:ascii="Times New Roman" w:hAnsi="Times New Roman" w:cs="Times New Roman"/>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0.001L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0.001L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0.001L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六价铬</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0.004L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0.004L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0.004L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汞</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4.0x10</w:t>
                  </w:r>
                  <w:r>
                    <w:rPr>
                      <w:rFonts w:hint="default" w:ascii="Times New Roman" w:hAnsi="Times New Roman" w:cs="Times New Roman"/>
                      <w:bCs/>
                      <w:sz w:val="21"/>
                      <w:szCs w:val="21"/>
                      <w:u w:val="single"/>
                      <w:vertAlign w:val="superscript"/>
                      <w:lang w:val="en-US" w:eastAsia="zh-CN" w:bidi="ar-SA"/>
                    </w:rPr>
                    <w:t>-5</w:t>
                  </w:r>
                  <w:r>
                    <w:rPr>
                      <w:rFonts w:hint="default" w:ascii="Times New Roman" w:hAnsi="Times New Roman" w:cs="Times New Roman"/>
                      <w:bCs/>
                      <w:sz w:val="21"/>
                      <w:szCs w:val="21"/>
                      <w:u w:val="single"/>
                      <w:lang w:val="en-US" w:eastAsia="zh-CN" w:bidi="ar-SA"/>
                    </w:rPr>
                    <w:t>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4.0x10</w:t>
                  </w:r>
                  <w:r>
                    <w:rPr>
                      <w:rFonts w:hint="default" w:ascii="Times New Roman" w:hAnsi="Times New Roman" w:cs="Times New Roman"/>
                      <w:bCs/>
                      <w:sz w:val="21"/>
                      <w:szCs w:val="21"/>
                      <w:u w:val="single"/>
                      <w:vertAlign w:val="superscript"/>
                      <w:lang w:val="en-US" w:eastAsia="zh-CN" w:bidi="ar-SA"/>
                    </w:rPr>
                    <w:t>-5</w:t>
                  </w:r>
                  <w:r>
                    <w:rPr>
                      <w:rFonts w:hint="default" w:ascii="Times New Roman" w:hAnsi="Times New Roman" w:cs="Times New Roman"/>
                      <w:bCs/>
                      <w:sz w:val="21"/>
                      <w:szCs w:val="21"/>
                      <w:u w:val="single"/>
                      <w:lang w:val="en-US" w:eastAsia="zh-CN" w:bidi="ar-SA"/>
                    </w:rPr>
                    <w:t>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4.0x10</w:t>
                  </w:r>
                  <w:r>
                    <w:rPr>
                      <w:rFonts w:hint="default" w:ascii="Times New Roman" w:hAnsi="Times New Roman" w:cs="Times New Roman"/>
                      <w:bCs/>
                      <w:sz w:val="21"/>
                      <w:szCs w:val="21"/>
                      <w:u w:val="single"/>
                      <w:vertAlign w:val="superscript"/>
                      <w:lang w:val="en-US" w:eastAsia="zh-CN" w:bidi="ar-SA"/>
                    </w:rPr>
                    <w:t>-5</w:t>
                  </w:r>
                  <w:r>
                    <w:rPr>
                      <w:rFonts w:hint="default" w:ascii="Times New Roman" w:hAnsi="Times New Roman" w:cs="Times New Roman"/>
                      <w:bCs/>
                      <w:sz w:val="21"/>
                      <w:szCs w:val="21"/>
                      <w:u w:val="single"/>
                      <w:lang w:val="en-US" w:eastAsia="zh-CN" w:bidi="ar-SA"/>
                    </w:rPr>
                    <w:t>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铜</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0.009L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0.009L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0.009L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锌</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w:t>
                  </w:r>
                  <w:r>
                    <w:rPr>
                      <w:rFonts w:hint="eastAsia" w:ascii="Times New Roman" w:hAnsi="Times New Roman" w:cs="Times New Roman"/>
                      <w:bCs/>
                      <w:sz w:val="21"/>
                      <w:szCs w:val="21"/>
                      <w:u w:val="single"/>
                      <w:lang w:val="en-US" w:eastAsia="zh-CN" w:bidi="ar-SA"/>
                    </w:rPr>
                    <w:t>15</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w:t>
                  </w:r>
                  <w:r>
                    <w:rPr>
                      <w:rFonts w:hint="eastAsia" w:ascii="Times New Roman" w:hAnsi="Times New Roman" w:cs="Times New Roman"/>
                      <w:bCs/>
                      <w:sz w:val="21"/>
                      <w:szCs w:val="21"/>
                      <w:u w:val="single"/>
                      <w:lang w:val="en-US" w:eastAsia="zh-CN" w:bidi="ar-SA"/>
                    </w:rPr>
                    <w:t>16</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w:t>
                  </w:r>
                  <w:r>
                    <w:rPr>
                      <w:rFonts w:hint="eastAsia" w:ascii="Times New Roman" w:hAnsi="Times New Roman" w:cs="Times New Roman"/>
                      <w:bCs/>
                      <w:sz w:val="21"/>
                      <w:szCs w:val="21"/>
                      <w:u w:val="single"/>
                      <w:lang w:val="en-US" w:eastAsia="zh-CN" w:bidi="ar-SA"/>
                    </w:rPr>
                    <w:t>16</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砷</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eastAsia" w:ascii="Times New Roman" w:hAnsi="Times New Roman" w:cs="Times New Roman"/>
                      <w:bCs/>
                      <w:sz w:val="21"/>
                      <w:szCs w:val="21"/>
                      <w:u w:val="single"/>
                      <w:lang w:val="en-US" w:eastAsia="zh-CN" w:bidi="ar-SA"/>
                    </w:rPr>
                    <w:t>3</w:t>
                  </w:r>
                  <w:r>
                    <w:rPr>
                      <w:rFonts w:hint="default" w:ascii="Times New Roman" w:hAnsi="Times New Roman" w:cs="Times New Roman"/>
                      <w:bCs/>
                      <w:sz w:val="21"/>
                      <w:szCs w:val="21"/>
                      <w:u w:val="single"/>
                      <w:lang w:val="en-US" w:eastAsia="zh-CN" w:bidi="ar-SA"/>
                    </w:rPr>
                    <w:t>.0x10</w:t>
                  </w:r>
                  <w:r>
                    <w:rPr>
                      <w:rFonts w:hint="default" w:ascii="Times New Roman" w:hAnsi="Times New Roman" w:cs="Times New Roman"/>
                      <w:bCs/>
                      <w:sz w:val="21"/>
                      <w:szCs w:val="21"/>
                      <w:u w:val="single"/>
                      <w:vertAlign w:val="superscript"/>
                      <w:lang w:val="en-US" w:eastAsia="zh-CN" w:bidi="ar-SA"/>
                    </w:rPr>
                    <w:t>-</w:t>
                  </w:r>
                  <w:r>
                    <w:rPr>
                      <w:rFonts w:hint="eastAsia" w:ascii="Times New Roman" w:hAnsi="Times New Roman" w:cs="Times New Roman"/>
                      <w:bCs/>
                      <w:sz w:val="21"/>
                      <w:szCs w:val="21"/>
                      <w:u w:val="single"/>
                      <w:vertAlign w:val="superscript"/>
                      <w:lang w:val="en-US" w:eastAsia="zh-CN" w:bidi="ar-SA"/>
                    </w:rPr>
                    <w:t>4</w:t>
                  </w:r>
                  <w:r>
                    <w:rPr>
                      <w:rFonts w:hint="default" w:ascii="Times New Roman" w:hAnsi="Times New Roman" w:cs="Times New Roman"/>
                      <w:bCs/>
                      <w:sz w:val="21"/>
                      <w:szCs w:val="21"/>
                      <w:u w:val="single"/>
                      <w:lang w:val="en-US" w:eastAsia="zh-CN" w:bidi="ar-SA"/>
                    </w:rPr>
                    <w:t>L</w:t>
                  </w:r>
                </w:p>
              </w:tc>
              <w:tc>
                <w:tcPr>
                  <w:tcW w:w="111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eastAsia" w:ascii="Times New Roman" w:hAnsi="Times New Roman" w:cs="Times New Roman"/>
                      <w:bCs/>
                      <w:sz w:val="21"/>
                      <w:szCs w:val="21"/>
                      <w:u w:val="single"/>
                      <w:lang w:val="en-US" w:eastAsia="zh-CN" w:bidi="ar-SA"/>
                    </w:rPr>
                    <w:t>3</w:t>
                  </w:r>
                  <w:r>
                    <w:rPr>
                      <w:rFonts w:hint="default" w:ascii="Times New Roman" w:hAnsi="Times New Roman" w:cs="Times New Roman"/>
                      <w:bCs/>
                      <w:sz w:val="21"/>
                      <w:szCs w:val="21"/>
                      <w:u w:val="single"/>
                      <w:lang w:val="en-US" w:eastAsia="zh-CN" w:bidi="ar-SA"/>
                    </w:rPr>
                    <w:t>.0x10</w:t>
                  </w:r>
                  <w:r>
                    <w:rPr>
                      <w:rFonts w:hint="default" w:ascii="Times New Roman" w:hAnsi="Times New Roman" w:cs="Times New Roman"/>
                      <w:bCs/>
                      <w:sz w:val="21"/>
                      <w:szCs w:val="21"/>
                      <w:u w:val="single"/>
                      <w:vertAlign w:val="superscript"/>
                      <w:lang w:val="en-US" w:eastAsia="zh-CN" w:bidi="ar-SA"/>
                    </w:rPr>
                    <w:t>-</w:t>
                  </w:r>
                  <w:r>
                    <w:rPr>
                      <w:rFonts w:hint="eastAsia" w:ascii="Times New Roman" w:hAnsi="Times New Roman" w:cs="Times New Roman"/>
                      <w:bCs/>
                      <w:sz w:val="21"/>
                      <w:szCs w:val="21"/>
                      <w:u w:val="single"/>
                      <w:vertAlign w:val="superscript"/>
                      <w:lang w:val="en-US" w:eastAsia="zh-CN" w:bidi="ar-SA"/>
                    </w:rPr>
                    <w:t>4</w:t>
                  </w:r>
                  <w:r>
                    <w:rPr>
                      <w:rFonts w:hint="default" w:ascii="Times New Roman" w:hAnsi="Times New Roman" w:cs="Times New Roman"/>
                      <w:bCs/>
                      <w:sz w:val="21"/>
                      <w:szCs w:val="21"/>
                      <w:u w:val="single"/>
                      <w:lang w:val="en-US" w:eastAsia="zh-CN" w:bidi="ar-SA"/>
                    </w:rPr>
                    <w:t>L</w:t>
                  </w:r>
                </w:p>
              </w:tc>
              <w:tc>
                <w:tcPr>
                  <w:tcW w:w="105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eastAsia" w:ascii="Times New Roman" w:hAnsi="Times New Roman" w:cs="Times New Roman"/>
                      <w:bCs/>
                      <w:sz w:val="21"/>
                      <w:szCs w:val="21"/>
                      <w:u w:val="single"/>
                      <w:lang w:val="en-US" w:eastAsia="zh-CN" w:bidi="ar-SA"/>
                    </w:rPr>
                    <w:t>3</w:t>
                  </w:r>
                  <w:r>
                    <w:rPr>
                      <w:rFonts w:hint="default" w:ascii="Times New Roman" w:hAnsi="Times New Roman" w:cs="Times New Roman"/>
                      <w:bCs/>
                      <w:sz w:val="21"/>
                      <w:szCs w:val="21"/>
                      <w:u w:val="single"/>
                      <w:lang w:val="en-US" w:eastAsia="zh-CN" w:bidi="ar-SA"/>
                    </w:rPr>
                    <w:t>.0x10</w:t>
                  </w:r>
                  <w:r>
                    <w:rPr>
                      <w:rFonts w:hint="default" w:ascii="Times New Roman" w:hAnsi="Times New Roman" w:cs="Times New Roman"/>
                      <w:bCs/>
                      <w:sz w:val="21"/>
                      <w:szCs w:val="21"/>
                      <w:u w:val="single"/>
                      <w:vertAlign w:val="superscript"/>
                      <w:lang w:val="en-US" w:eastAsia="zh-CN" w:bidi="ar-SA"/>
                    </w:rPr>
                    <w:t>-</w:t>
                  </w:r>
                  <w:r>
                    <w:rPr>
                      <w:rFonts w:hint="eastAsia" w:ascii="Times New Roman" w:hAnsi="Times New Roman" w:cs="Times New Roman"/>
                      <w:bCs/>
                      <w:sz w:val="21"/>
                      <w:szCs w:val="21"/>
                      <w:u w:val="single"/>
                      <w:vertAlign w:val="superscript"/>
                      <w:lang w:val="en-US" w:eastAsia="zh-CN" w:bidi="ar-SA"/>
                    </w:rPr>
                    <w:t>4</w:t>
                  </w:r>
                  <w:r>
                    <w:rPr>
                      <w:rFonts w:hint="default" w:ascii="Times New Roman" w:hAnsi="Times New Roman" w:cs="Times New Roman"/>
                      <w:bCs/>
                      <w:sz w:val="21"/>
                      <w:szCs w:val="21"/>
                      <w:u w:val="single"/>
                      <w:lang w:val="en-US" w:eastAsia="zh-CN" w:bidi="ar-SA"/>
                    </w:rPr>
                    <w:t>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挥发酚</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0.0003L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0.0003L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0.0003L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≤0.0</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总磷</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w:t>
                  </w:r>
                  <w:r>
                    <w:rPr>
                      <w:rFonts w:hint="eastAsia" w:ascii="Times New Roman" w:hAnsi="Times New Roman" w:cs="Times New Roman"/>
                      <w:bCs/>
                      <w:sz w:val="21"/>
                      <w:szCs w:val="21"/>
                      <w:u w:val="single"/>
                      <w:lang w:val="en-US" w:eastAsia="zh-CN" w:bidi="ar-SA"/>
                    </w:rPr>
                    <w:t>6</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w:t>
                  </w:r>
                  <w:r>
                    <w:rPr>
                      <w:rFonts w:hint="eastAsia" w:ascii="Times New Roman" w:hAnsi="Times New Roman" w:cs="Times New Roman"/>
                      <w:bCs/>
                      <w:sz w:val="21"/>
                      <w:szCs w:val="21"/>
                      <w:u w:val="single"/>
                      <w:lang w:val="en-US" w:eastAsia="zh-CN" w:bidi="ar-SA"/>
                    </w:rPr>
                    <w:t>8</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w:t>
                  </w:r>
                  <w:r>
                    <w:rPr>
                      <w:rFonts w:hint="eastAsia" w:ascii="Times New Roman" w:hAnsi="Times New Roman" w:cs="Times New Roman"/>
                      <w:bCs/>
                      <w:sz w:val="21"/>
                      <w:szCs w:val="21"/>
                      <w:u w:val="single"/>
                      <w:lang w:val="en-US" w:eastAsia="zh-CN" w:bidi="ar-SA"/>
                    </w:rPr>
                    <w:t>7</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阴离子表面活性剂</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sz w:val="21"/>
                      <w:szCs w:val="21"/>
                      <w:u w:val="single"/>
                    </w:rPr>
                  </w:pPr>
                  <w:r>
                    <w:rPr>
                      <w:rFonts w:hint="default" w:ascii="Times New Roman" w:hAnsi="Times New Roman" w:cs="Times New Roman"/>
                      <w:bCs/>
                      <w:sz w:val="21"/>
                      <w:szCs w:val="21"/>
                      <w:u w:val="single"/>
                    </w:rPr>
                    <w:t>mg/L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default" w:ascii="Times New Roman" w:hAnsi="Times New Roman" w:cs="Times New Roman"/>
                      <w:bCs/>
                      <w:sz w:val="21"/>
                      <w:szCs w:val="21"/>
                      <w:u w:val="single"/>
                      <w:lang w:val="en-US" w:eastAsia="zh-CN" w:bidi="ar-SA"/>
                    </w:rPr>
                    <w:t>0.05L</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0.05L</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cs="Times New Roman"/>
                      <w:bCs/>
                      <w:sz w:val="21"/>
                      <w:szCs w:val="21"/>
                      <w:u w:val="single"/>
                      <w:lang w:val="en-US" w:eastAsia="zh-CN" w:bidi="ar-SA"/>
                    </w:rPr>
                    <w:t>0.05L</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690" w:type="dxa"/>
                  <w:vMerge w:val="continue"/>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rPr>
                  </w:pPr>
                </w:p>
              </w:tc>
              <w:tc>
                <w:tcPr>
                  <w:tcW w:w="112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粪大肠菌群</w:t>
                  </w:r>
                </w:p>
              </w:tc>
              <w:tc>
                <w:tcPr>
                  <w:tcW w:w="930" w:type="dxa"/>
                  <w:shd w:val="clear" w:color="auto" w:fill="auto"/>
                  <w:vAlign w:val="center"/>
                </w:tcPr>
                <w:p>
                  <w:pPr>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sz w:val="21"/>
                      <w:szCs w:val="21"/>
                      <w:u w:val="single"/>
                      <w:lang w:val="en-US" w:eastAsia="zh-CN"/>
                    </w:rPr>
                  </w:pPr>
                  <w:r>
                    <w:rPr>
                      <w:rFonts w:hint="default" w:ascii="Times New Roman" w:hAnsi="Times New Roman" w:cs="Times New Roman"/>
                      <w:sz w:val="21"/>
                      <w:szCs w:val="21"/>
                      <w:u w:val="single"/>
                      <w:lang w:val="en-US" w:eastAsia="zh-CN"/>
                    </w:rPr>
                    <w:t>MPN/L</w:t>
                  </w:r>
                </w:p>
              </w:tc>
              <w:tc>
                <w:tcPr>
                  <w:tcW w:w="1095"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eastAsiaTheme="minorEastAsia"/>
                      <w:bCs/>
                      <w:sz w:val="21"/>
                      <w:szCs w:val="21"/>
                      <w:u w:val="single"/>
                      <w:lang w:val="en-US" w:eastAsia="zh-CN" w:bidi="ar-SA"/>
                    </w:rPr>
                  </w:pPr>
                  <w:r>
                    <w:rPr>
                      <w:rFonts w:hint="eastAsia" w:ascii="Times New Roman" w:hAnsi="Times New Roman" w:cs="Times New Roman"/>
                      <w:bCs/>
                      <w:sz w:val="21"/>
                      <w:szCs w:val="21"/>
                      <w:u w:val="single"/>
                      <w:lang w:val="en-US" w:eastAsia="zh-CN" w:bidi="ar-SA"/>
                    </w:rPr>
                    <w:t>2.2</w:t>
                  </w:r>
                  <w:r>
                    <w:rPr>
                      <w:rFonts w:hint="default" w:ascii="Times New Roman" w:hAnsi="Times New Roman" w:cs="Times New Roman"/>
                      <w:bCs/>
                      <w:sz w:val="21"/>
                      <w:szCs w:val="21"/>
                      <w:u w:val="single"/>
                      <w:lang w:val="en-US" w:eastAsia="zh-CN" w:bidi="ar-SA"/>
                    </w:rPr>
                    <w:t>x10</w:t>
                  </w:r>
                  <w:r>
                    <w:rPr>
                      <w:rFonts w:hint="default" w:ascii="Times New Roman" w:hAnsi="Times New Roman" w:cs="Times New Roman"/>
                      <w:bCs/>
                      <w:sz w:val="21"/>
                      <w:szCs w:val="21"/>
                      <w:u w:val="single"/>
                      <w:vertAlign w:val="superscript"/>
                      <w:lang w:val="en-US" w:eastAsia="zh-CN" w:bidi="ar-SA"/>
                    </w:rPr>
                    <w:t>3</w:t>
                  </w:r>
                </w:p>
              </w:tc>
              <w:tc>
                <w:tcPr>
                  <w:tcW w:w="111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eastAsia" w:ascii="Times New Roman" w:hAnsi="Times New Roman" w:cs="Times New Roman"/>
                      <w:bCs/>
                      <w:sz w:val="21"/>
                      <w:szCs w:val="21"/>
                      <w:u w:val="single"/>
                      <w:lang w:val="en-US" w:eastAsia="zh-CN" w:bidi="ar-SA"/>
                    </w:rPr>
                    <w:t>2.8</w:t>
                  </w:r>
                  <w:r>
                    <w:rPr>
                      <w:rFonts w:hint="default" w:ascii="Times New Roman" w:hAnsi="Times New Roman" w:cs="Times New Roman"/>
                      <w:bCs/>
                      <w:sz w:val="21"/>
                      <w:szCs w:val="21"/>
                      <w:u w:val="single"/>
                      <w:lang w:val="en-US" w:eastAsia="zh-CN" w:bidi="ar-SA"/>
                    </w:rPr>
                    <w:t>x10</w:t>
                  </w:r>
                  <w:r>
                    <w:rPr>
                      <w:rFonts w:hint="default" w:ascii="Times New Roman" w:hAnsi="Times New Roman" w:cs="Times New Roman"/>
                      <w:bCs/>
                      <w:sz w:val="21"/>
                      <w:szCs w:val="21"/>
                      <w:u w:val="single"/>
                      <w:vertAlign w:val="superscript"/>
                      <w:lang w:val="en-US" w:eastAsia="zh-CN" w:bidi="ar-SA"/>
                    </w:rPr>
                    <w:t>3</w:t>
                  </w:r>
                </w:p>
              </w:tc>
              <w:tc>
                <w:tcPr>
                  <w:tcW w:w="1050"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eastAsia" w:ascii="Times New Roman" w:hAnsi="Times New Roman" w:cs="Times New Roman"/>
                      <w:bCs/>
                      <w:sz w:val="21"/>
                      <w:szCs w:val="21"/>
                      <w:u w:val="single"/>
                      <w:lang w:val="en-US" w:eastAsia="zh-CN" w:bidi="ar-SA"/>
                    </w:rPr>
                    <w:t>2.4</w:t>
                  </w:r>
                  <w:r>
                    <w:rPr>
                      <w:rFonts w:hint="default" w:ascii="Times New Roman" w:hAnsi="Times New Roman" w:cs="Times New Roman"/>
                      <w:bCs/>
                      <w:sz w:val="21"/>
                      <w:szCs w:val="21"/>
                      <w:u w:val="single"/>
                      <w:lang w:val="en-US" w:eastAsia="zh-CN" w:bidi="ar-SA"/>
                    </w:rPr>
                    <w:t>x10</w:t>
                  </w:r>
                  <w:r>
                    <w:rPr>
                      <w:rFonts w:hint="default" w:ascii="Times New Roman" w:hAnsi="Times New Roman" w:cs="Times New Roman"/>
                      <w:bCs/>
                      <w:sz w:val="21"/>
                      <w:szCs w:val="21"/>
                      <w:u w:val="single"/>
                      <w:vertAlign w:val="superscript"/>
                      <w:lang w:val="en-US" w:eastAsia="zh-CN" w:bidi="ar-SA"/>
                    </w:rPr>
                    <w:t>3</w:t>
                  </w:r>
                </w:p>
              </w:tc>
              <w:tc>
                <w:tcPr>
                  <w:tcW w:w="1056" w:type="dxa"/>
                  <w:shd w:val="clear" w:color="auto" w:fill="auto"/>
                  <w:vAlign w:val="center"/>
                </w:tcPr>
                <w:p>
                  <w:pPr>
                    <w:pStyle w:val="59"/>
                    <w:keepNext w:val="0"/>
                    <w:keepLines w:val="0"/>
                    <w:pageBreakBefore w:val="0"/>
                    <w:widowControl w:val="0"/>
                    <w:kinsoku/>
                    <w:wordWrap/>
                    <w:overflowPunct/>
                    <w:topLinePunct w:val="0"/>
                    <w:bidi w:val="0"/>
                    <w:snapToGrid/>
                    <w:spacing w:line="240" w:lineRule="auto"/>
                    <w:ind w:left="0" w:right="0"/>
                    <w:jc w:val="center"/>
                    <w:textAlignment w:val="auto"/>
                    <w:rPr>
                      <w:rFonts w:hint="default" w:ascii="Times New Roman" w:hAnsi="Times New Roman" w:cs="Times New Roman"/>
                      <w:bCs/>
                      <w:sz w:val="21"/>
                      <w:szCs w:val="21"/>
                      <w:u w:val="single"/>
                      <w:lang w:val="en-US" w:bidi="ar-SA"/>
                    </w:rPr>
                  </w:pPr>
                  <w:r>
                    <w:rPr>
                      <w:rFonts w:hint="default" w:ascii="Times New Roman" w:hAnsi="Times New Roman" w:eastAsia="宋体" w:cs="Times New Roman"/>
                      <w:sz w:val="21"/>
                      <w:szCs w:val="21"/>
                    </w:rPr>
                    <w:t>≤10000</w:t>
                  </w:r>
                </w:p>
              </w:tc>
            </w:tr>
          </w:tbl>
          <w:p>
            <w:pPr>
              <w:pStyle w:val="59"/>
              <w:spacing w:before="76" w:line="364" w:lineRule="auto"/>
              <w:ind w:left="112" w:right="89" w:firstLine="480"/>
              <w:rPr>
                <w:rFonts w:ascii="Times New Roman" w:hAnsi="Times New Roman" w:cs="Times New Roman"/>
                <w:sz w:val="24"/>
                <w:u w:val="single"/>
              </w:rPr>
            </w:pPr>
            <w:r>
              <w:rPr>
                <w:rFonts w:ascii="Times New Roman" w:hAnsi="Times New Roman" w:cs="Times New Roman"/>
                <w:spacing w:val="-16"/>
                <w:sz w:val="24"/>
                <w:u w:val="single"/>
              </w:rPr>
              <w:t>根据表</w:t>
            </w:r>
            <w:r>
              <w:rPr>
                <w:rFonts w:ascii="Times New Roman" w:hAnsi="Times New Roman" w:cs="Times New Roman"/>
                <w:sz w:val="24"/>
                <w:u w:val="single"/>
              </w:rPr>
              <w:t>3-5</w:t>
            </w:r>
            <w:r>
              <w:rPr>
                <w:rFonts w:ascii="Times New Roman" w:hAnsi="Times New Roman" w:cs="Times New Roman"/>
                <w:spacing w:val="-8"/>
                <w:sz w:val="24"/>
                <w:u w:val="single"/>
              </w:rPr>
              <w:t>可知，本项目纳污河段撇洪新河各断面的监测数据表</w:t>
            </w:r>
            <w:r>
              <w:rPr>
                <w:rFonts w:ascii="Times New Roman" w:hAnsi="Times New Roman" w:cs="Times New Roman"/>
                <w:spacing w:val="-9"/>
                <w:sz w:val="24"/>
                <w:u w:val="single"/>
              </w:rPr>
              <w:t>明，各监测断面的监测因子浓度满足《地表水环境质量标准》</w:t>
            </w:r>
            <w:r>
              <w:rPr>
                <w:rFonts w:ascii="Times New Roman" w:hAnsi="Times New Roman" w:cs="Times New Roman"/>
                <w:sz w:val="24"/>
                <w:u w:val="single"/>
              </w:rPr>
              <w:t>（GB3838-2002）III</w:t>
            </w:r>
            <w:r>
              <w:rPr>
                <w:rFonts w:ascii="Times New Roman" w:hAnsi="Times New Roman" w:cs="Times New Roman"/>
                <w:spacing w:val="-4"/>
                <w:sz w:val="24"/>
                <w:u w:val="single"/>
              </w:rPr>
              <w:t>类水质</w:t>
            </w:r>
            <w:r>
              <w:rPr>
                <w:rFonts w:ascii="Times New Roman" w:hAnsi="Times New Roman" w:cs="Times New Roman"/>
                <w:sz w:val="24"/>
                <w:u w:val="single"/>
              </w:rPr>
              <w:t>标准。</w:t>
            </w:r>
          </w:p>
          <w:p>
            <w:pPr>
              <w:pStyle w:val="59"/>
              <w:spacing w:line="305" w:lineRule="exact"/>
              <w:ind w:left="112"/>
              <w:rPr>
                <w:rFonts w:ascii="Times New Roman" w:hAnsi="Times New Roman" w:cs="Times New Roman"/>
                <w:sz w:val="24"/>
              </w:rPr>
            </w:pPr>
            <w:r>
              <w:rPr>
                <w:rFonts w:ascii="Times New Roman" w:hAnsi="Times New Roman" w:cs="Times New Roman"/>
                <w:bCs/>
                <w:sz w:val="24"/>
              </w:rPr>
              <w:t>3、声环</w:t>
            </w:r>
            <w:r>
              <w:rPr>
                <w:rFonts w:ascii="Times New Roman" w:hAnsi="Times New Roman" w:cs="Times New Roman"/>
                <w:sz w:val="24"/>
              </w:rPr>
              <w:t>境质量现状评价</w:t>
            </w:r>
          </w:p>
          <w:p>
            <w:pPr>
              <w:pStyle w:val="59"/>
              <w:spacing w:before="158" w:line="364" w:lineRule="auto"/>
              <w:ind w:left="112" w:right="87" w:firstLine="470"/>
              <w:rPr>
                <w:rFonts w:ascii="Times New Roman" w:hAnsi="Times New Roman" w:cs="Times New Roman"/>
                <w:sz w:val="24"/>
              </w:rPr>
            </w:pPr>
            <w:r>
              <w:rPr>
                <w:rFonts w:ascii="Times New Roman" w:hAnsi="Times New Roman" w:cs="Times New Roman"/>
                <w:spacing w:val="-6"/>
                <w:sz w:val="24"/>
              </w:rPr>
              <w:t>根据《建设项目环境影响报告表编制技术指南》</w:t>
            </w:r>
            <w:r>
              <w:rPr>
                <w:rFonts w:ascii="Times New Roman" w:hAnsi="Times New Roman" w:cs="Times New Roman"/>
                <w:spacing w:val="2"/>
                <w:sz w:val="24"/>
              </w:rPr>
              <w:t>（</w:t>
            </w:r>
            <w:r>
              <w:rPr>
                <w:rFonts w:ascii="Times New Roman" w:hAnsi="Times New Roman" w:cs="Times New Roman"/>
                <w:sz w:val="24"/>
              </w:rPr>
              <w:t>202</w:t>
            </w:r>
            <w:r>
              <w:rPr>
                <w:rFonts w:ascii="Times New Roman" w:hAnsi="Times New Roman" w:cs="Times New Roman"/>
                <w:spacing w:val="2"/>
                <w:sz w:val="24"/>
              </w:rPr>
              <w:t>1</w:t>
            </w:r>
            <w:r>
              <w:rPr>
                <w:rFonts w:ascii="Times New Roman" w:hAnsi="Times New Roman" w:cs="Times New Roman"/>
                <w:spacing w:val="-120"/>
                <w:sz w:val="24"/>
              </w:rPr>
              <w:t>）</w:t>
            </w:r>
            <w:r>
              <w:rPr>
                <w:rFonts w:ascii="Times New Roman" w:hAnsi="Times New Roman" w:cs="Times New Roman"/>
                <w:sz w:val="24"/>
              </w:rPr>
              <w:t>，厂界外周边50</w:t>
            </w:r>
            <w:r>
              <w:rPr>
                <w:rFonts w:ascii="Times New Roman" w:hAnsi="Times New Roman" w:cs="Times New Roman"/>
                <w:spacing w:val="-6"/>
                <w:sz w:val="24"/>
              </w:rPr>
              <w:t>米范围内存在声环境保护目标的建设项目，应监测保护目标声环境质量现状并</w:t>
            </w:r>
            <w:r>
              <w:rPr>
                <w:rFonts w:ascii="Times New Roman" w:hAnsi="Times New Roman" w:cs="Times New Roman"/>
                <w:spacing w:val="-9"/>
                <w:sz w:val="24"/>
              </w:rPr>
              <w:t>评价达标情况。各点位应监测昼夜间噪声，监测时间不少于</w:t>
            </w:r>
            <w:r>
              <w:rPr>
                <w:rFonts w:ascii="Times New Roman" w:hAnsi="Times New Roman" w:cs="Times New Roman"/>
                <w:sz w:val="24"/>
              </w:rPr>
              <w:t>1</w:t>
            </w:r>
            <w:r>
              <w:rPr>
                <w:rFonts w:ascii="Times New Roman" w:hAnsi="Times New Roman" w:cs="Times New Roman"/>
                <w:spacing w:val="-8"/>
                <w:sz w:val="24"/>
              </w:rPr>
              <w:t>天，项目夜间不</w:t>
            </w:r>
            <w:r>
              <w:rPr>
                <w:rFonts w:ascii="Times New Roman" w:hAnsi="Times New Roman" w:cs="Times New Roman"/>
                <w:sz w:val="24"/>
              </w:rPr>
              <w:t>生产则仅监测昼间噪声。</w:t>
            </w:r>
          </w:p>
          <w:p>
            <w:pPr>
              <w:pStyle w:val="59"/>
              <w:spacing w:line="364" w:lineRule="auto"/>
              <w:ind w:left="112" w:right="89" w:firstLine="470"/>
              <w:rPr>
                <w:rFonts w:ascii="Times New Roman" w:hAnsi="Times New Roman" w:cs="Times New Roman"/>
                <w:sz w:val="24"/>
              </w:rPr>
            </w:pPr>
            <w:r>
              <w:rPr>
                <w:rFonts w:ascii="Times New Roman" w:hAnsi="Times New Roman" w:cs="Times New Roman"/>
                <w:spacing w:val="-6"/>
                <w:sz w:val="24"/>
              </w:rPr>
              <w:t>本项目厂界外</w:t>
            </w:r>
            <w:r>
              <w:rPr>
                <w:rFonts w:ascii="Times New Roman" w:hAnsi="Times New Roman" w:cs="Times New Roman"/>
                <w:sz w:val="24"/>
              </w:rPr>
              <w:t>50</w:t>
            </w:r>
            <w:r>
              <w:rPr>
                <w:rFonts w:ascii="Times New Roman" w:hAnsi="Times New Roman" w:cs="Times New Roman"/>
                <w:spacing w:val="-1"/>
                <w:sz w:val="24"/>
              </w:rPr>
              <w:t>米范围内没有声环境保护目标，因此不对声环境质量现</w:t>
            </w:r>
            <w:r>
              <w:rPr>
                <w:rFonts w:ascii="Times New Roman" w:hAnsi="Times New Roman" w:cs="Times New Roman"/>
                <w:sz w:val="24"/>
              </w:rPr>
              <w:t>状进行监测与评价。</w:t>
            </w:r>
          </w:p>
          <w:p>
            <w:pPr>
              <w:pStyle w:val="59"/>
              <w:spacing w:line="306" w:lineRule="exact"/>
              <w:ind w:left="112"/>
              <w:rPr>
                <w:rFonts w:ascii="Times New Roman" w:hAnsi="Times New Roman" w:cs="Times New Roman"/>
                <w:bCs/>
                <w:sz w:val="24"/>
              </w:rPr>
            </w:pPr>
            <w:r>
              <w:rPr>
                <w:rFonts w:ascii="Times New Roman" w:hAnsi="Times New Roman" w:cs="Times New Roman"/>
                <w:bCs/>
                <w:sz w:val="24"/>
              </w:rPr>
              <w:t>4、生态环境质量现状</w:t>
            </w:r>
          </w:p>
          <w:p>
            <w:pPr>
              <w:pStyle w:val="59"/>
              <w:spacing w:before="158" w:line="364" w:lineRule="auto"/>
              <w:ind w:left="112" w:right="87" w:firstLine="470"/>
              <w:rPr>
                <w:rFonts w:ascii="Times New Roman" w:hAnsi="Times New Roman" w:cs="Times New Roman"/>
                <w:bCs/>
                <w:sz w:val="24"/>
              </w:rPr>
            </w:pPr>
            <w:r>
              <w:rPr>
                <w:sz w:val="24"/>
                <w:szCs w:val="24"/>
              </w:rPr>
              <w:t>本项目位于规划工业园区内，且租用现有厂房进行生产，</w:t>
            </w:r>
            <w:r>
              <w:rPr>
                <w:rFonts w:ascii="Times New Roman" w:hAnsi="Times New Roman" w:cs="Times New Roman"/>
                <w:bCs/>
                <w:spacing w:val="-10"/>
                <w:sz w:val="24"/>
              </w:rPr>
              <w:t>根据《建设项目环境影响报告表编</w:t>
            </w:r>
            <w:r>
              <w:rPr>
                <w:rFonts w:ascii="Times New Roman" w:hAnsi="Times New Roman" w:cs="Times New Roman"/>
                <w:bCs/>
                <w:sz w:val="24"/>
              </w:rPr>
              <w:t>制技术指南（污染影响类</w:t>
            </w:r>
            <w:r>
              <w:rPr>
                <w:rFonts w:ascii="Times New Roman" w:hAnsi="Times New Roman" w:cs="Times New Roman"/>
                <w:bCs/>
                <w:spacing w:val="-120"/>
                <w:sz w:val="24"/>
              </w:rPr>
              <w:t>）</w:t>
            </w:r>
            <w:r>
              <w:rPr>
                <w:rFonts w:ascii="Times New Roman" w:hAnsi="Times New Roman" w:cs="Times New Roman"/>
                <w:bCs/>
                <w:sz w:val="24"/>
              </w:rPr>
              <w:t>（试行</w:t>
            </w:r>
            <w:r>
              <w:rPr>
                <w:rFonts w:ascii="Times New Roman" w:hAnsi="Times New Roman" w:cs="Times New Roman"/>
                <w:bCs/>
                <w:spacing w:val="-120"/>
                <w:sz w:val="24"/>
              </w:rPr>
              <w:t>）</w:t>
            </w:r>
            <w:r>
              <w:rPr>
                <w:rFonts w:ascii="Times New Roman" w:hAnsi="Times New Roman" w:cs="Times New Roman"/>
                <w:bCs/>
                <w:spacing w:val="-12"/>
                <w:sz w:val="24"/>
              </w:rPr>
              <w:t>》，本项目无需进行生态现状调查。</w:t>
            </w:r>
          </w:p>
          <w:p>
            <w:pPr>
              <w:pStyle w:val="59"/>
              <w:spacing w:line="307" w:lineRule="exact"/>
              <w:ind w:left="112"/>
              <w:rPr>
                <w:rFonts w:ascii="Times New Roman" w:hAnsi="Times New Roman" w:cs="Times New Roman"/>
                <w:sz w:val="24"/>
              </w:rPr>
            </w:pPr>
            <w:r>
              <w:rPr>
                <w:rFonts w:ascii="Times New Roman" w:hAnsi="Times New Roman" w:cs="Times New Roman"/>
                <w:bCs/>
                <w:sz w:val="24"/>
              </w:rPr>
              <w:t>5、地下</w:t>
            </w:r>
            <w:r>
              <w:rPr>
                <w:rFonts w:ascii="Times New Roman" w:hAnsi="Times New Roman" w:cs="Times New Roman"/>
                <w:sz w:val="24"/>
              </w:rPr>
              <w:t>水、土壤环境质量现状</w:t>
            </w:r>
          </w:p>
          <w:p>
            <w:pPr>
              <w:pStyle w:val="59"/>
              <w:spacing w:before="158" w:line="364" w:lineRule="auto"/>
              <w:ind w:left="112" w:right="-29" w:firstLine="470"/>
              <w:rPr>
                <w:rFonts w:ascii="Times New Roman" w:hAnsi="Times New Roman" w:cs="Times New Roman"/>
                <w:b/>
                <w:sz w:val="24"/>
              </w:rPr>
            </w:pPr>
            <w:r>
              <w:rPr>
                <w:rFonts w:ascii="Times New Roman" w:hAnsi="Times New Roman" w:cs="Times New Roman"/>
                <w:spacing w:val="-5"/>
                <w:sz w:val="24"/>
              </w:rPr>
              <w:t>根据生态环境部办公厅</w:t>
            </w:r>
            <w:r>
              <w:rPr>
                <w:rFonts w:ascii="Times New Roman" w:hAnsi="Times New Roman" w:cs="Times New Roman"/>
                <w:sz w:val="24"/>
              </w:rPr>
              <w:t>2020</w:t>
            </w:r>
            <w:r>
              <w:rPr>
                <w:rFonts w:ascii="Times New Roman" w:hAnsi="Times New Roman" w:cs="Times New Roman"/>
                <w:spacing w:val="-27"/>
                <w:sz w:val="24"/>
              </w:rPr>
              <w:t xml:space="preserve">年 </w:t>
            </w:r>
            <w:r>
              <w:rPr>
                <w:rFonts w:ascii="Times New Roman" w:hAnsi="Times New Roman" w:cs="Times New Roman"/>
                <w:sz w:val="24"/>
              </w:rPr>
              <w:t>12</w:t>
            </w:r>
            <w:r>
              <w:rPr>
                <w:rFonts w:ascii="Times New Roman" w:hAnsi="Times New Roman" w:cs="Times New Roman"/>
                <w:spacing w:val="-27"/>
                <w:sz w:val="24"/>
              </w:rPr>
              <w:t xml:space="preserve">月 </w:t>
            </w:r>
            <w:r>
              <w:rPr>
                <w:rFonts w:ascii="Times New Roman" w:hAnsi="Times New Roman" w:cs="Times New Roman"/>
                <w:sz w:val="24"/>
              </w:rPr>
              <w:t>24日印发的《建设项目环境影响报</w:t>
            </w:r>
            <w:r>
              <w:rPr>
                <w:rFonts w:ascii="Times New Roman" w:hAnsi="Times New Roman" w:cs="Times New Roman"/>
                <w:spacing w:val="-3"/>
                <w:sz w:val="24"/>
              </w:rPr>
              <w:t>告表编制技术指南</w:t>
            </w:r>
            <w:r>
              <w:rPr>
                <w:rFonts w:ascii="Times New Roman" w:hAnsi="Times New Roman" w:cs="Times New Roman"/>
                <w:sz w:val="24"/>
              </w:rPr>
              <w:t>（污染影响类</w:t>
            </w:r>
            <w:r>
              <w:rPr>
                <w:rFonts w:ascii="Times New Roman" w:hAnsi="Times New Roman" w:cs="Times New Roman"/>
                <w:spacing w:val="-142"/>
                <w:sz w:val="24"/>
              </w:rPr>
              <w:t>）</w:t>
            </w:r>
            <w:r>
              <w:rPr>
                <w:rFonts w:ascii="Times New Roman" w:hAnsi="Times New Roman" w:cs="Times New Roman"/>
                <w:sz w:val="24"/>
              </w:rPr>
              <w:t>（试行</w:t>
            </w:r>
            <w:r>
              <w:rPr>
                <w:rFonts w:ascii="Times New Roman" w:hAnsi="Times New Roman" w:cs="Times New Roman"/>
                <w:spacing w:val="-120"/>
                <w:sz w:val="24"/>
              </w:rPr>
              <w:t>）</w:t>
            </w:r>
            <w:r>
              <w:rPr>
                <w:rFonts w:ascii="Times New Roman" w:hAnsi="Times New Roman" w:cs="Times New Roman"/>
                <w:spacing w:val="-8"/>
                <w:sz w:val="24"/>
              </w:rPr>
              <w:t>》中具体编制要求“原则上不开展环</w:t>
            </w:r>
            <w:r>
              <w:rPr>
                <w:rFonts w:ascii="Times New Roman" w:hAnsi="Times New Roman" w:cs="Times New Roman"/>
                <w:spacing w:val="-18"/>
                <w:sz w:val="24"/>
              </w:rPr>
              <w:t>境质量现状调查。建设项目存在土壤、地下水环境污染途径的，应结合污染源、</w:t>
            </w:r>
            <w:r>
              <w:rPr>
                <w:rFonts w:ascii="Times New Roman" w:hAnsi="Times New Roman" w:cs="Times New Roman"/>
                <w:spacing w:val="-9"/>
                <w:sz w:val="24"/>
              </w:rPr>
              <w:t>保护目标分布情况开展现状调查以留作背景值。” 结合项目生产工艺，本项目</w:t>
            </w:r>
            <w:r>
              <w:rPr>
                <w:rFonts w:ascii="Times New Roman" w:hAnsi="Times New Roman" w:cs="Times New Roman"/>
                <w:spacing w:val="-17"/>
                <w:sz w:val="24"/>
              </w:rPr>
              <w:t>营运过程产生的废气、废水、固废均可得到有效处理和处置，厂房车间已硬化，</w:t>
            </w:r>
            <w:r>
              <w:rPr>
                <w:rFonts w:ascii="Times New Roman" w:hAnsi="Times New Roman" w:cs="Times New Roman"/>
                <w:spacing w:val="-7"/>
                <w:sz w:val="24"/>
              </w:rPr>
              <w:t>项目不存在土壤、地下水环境污染途径，因此不开展土壤、地下水环境质量现</w:t>
            </w:r>
            <w:r>
              <w:rPr>
                <w:rFonts w:ascii="Times New Roman" w:hAnsi="Times New Roman" w:cs="Times New Roman"/>
                <w:sz w:val="24"/>
              </w:rPr>
              <w:t>状调查。</w:t>
            </w:r>
          </w:p>
          <w:p>
            <w:pPr>
              <w:autoSpaceDE w:val="0"/>
              <w:autoSpaceDN w:val="0"/>
              <w:adjustRightInd w:val="0"/>
              <w:snapToGrid w:val="0"/>
              <w:rPr>
                <w:kern w:val="21"/>
                <w:sz w:val="24"/>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pPr>
              <w:adjustRightInd w:val="0"/>
              <w:snapToGrid w:val="0"/>
              <w:jc w:val="center"/>
              <w:rPr>
                <w:rFonts w:cs="宋体"/>
                <w:kern w:val="21"/>
                <w:sz w:val="24"/>
                <w:szCs w:val="21"/>
              </w:rPr>
            </w:pPr>
            <w:r>
              <w:rPr>
                <w:rFonts w:hint="eastAsia" w:cs="宋体"/>
                <w:kern w:val="21"/>
                <w:sz w:val="24"/>
                <w:szCs w:val="21"/>
              </w:rPr>
              <w:t>环境</w:t>
            </w:r>
          </w:p>
          <w:p>
            <w:pPr>
              <w:adjustRightInd w:val="0"/>
              <w:snapToGrid w:val="0"/>
              <w:jc w:val="center"/>
              <w:rPr>
                <w:rFonts w:cs="宋体"/>
                <w:kern w:val="21"/>
                <w:sz w:val="24"/>
                <w:szCs w:val="21"/>
              </w:rPr>
            </w:pPr>
            <w:r>
              <w:rPr>
                <w:rFonts w:hint="eastAsia" w:cs="宋体"/>
                <w:kern w:val="21"/>
                <w:sz w:val="24"/>
                <w:szCs w:val="21"/>
              </w:rPr>
              <w:t>保护</w:t>
            </w:r>
          </w:p>
          <w:p>
            <w:pPr>
              <w:adjustRightInd w:val="0"/>
              <w:snapToGrid w:val="0"/>
              <w:jc w:val="center"/>
              <w:rPr>
                <w:rFonts w:cs="宋体"/>
                <w:kern w:val="21"/>
                <w:sz w:val="24"/>
                <w:szCs w:val="21"/>
              </w:rPr>
            </w:pPr>
            <w:r>
              <w:rPr>
                <w:rFonts w:hint="eastAsia" w:cs="宋体"/>
                <w:kern w:val="21"/>
                <w:sz w:val="24"/>
                <w:szCs w:val="21"/>
              </w:rPr>
              <w:t>目标</w:t>
            </w:r>
          </w:p>
        </w:tc>
        <w:tc>
          <w:tcPr>
            <w:tcW w:w="7985" w:type="dxa"/>
            <w:vAlign w:val="center"/>
          </w:tcPr>
          <w:p>
            <w:pPr>
              <w:tabs>
                <w:tab w:val="left" w:pos="1021"/>
              </w:tabs>
              <w:spacing w:line="480" w:lineRule="exact"/>
              <w:rPr>
                <w:b/>
                <w:sz w:val="24"/>
                <w:szCs w:val="20"/>
              </w:rPr>
            </w:pPr>
            <w:r>
              <w:rPr>
                <w:b/>
                <w:sz w:val="24"/>
                <w:szCs w:val="20"/>
              </w:rPr>
              <w:t>主要环境保护目标（列出名单及保护级别）</w:t>
            </w:r>
          </w:p>
          <w:p>
            <w:pPr>
              <w:pStyle w:val="59"/>
              <w:ind w:right="2452"/>
              <w:jc w:val="right"/>
              <w:rPr>
                <w:rFonts w:ascii="Times New Roman" w:hAnsi="Times New Roman" w:cs="Times New Roman"/>
                <w:sz w:val="24"/>
              </w:rPr>
            </w:pPr>
            <w:r>
              <w:rPr>
                <w:rFonts w:ascii="Times New Roman" w:hAnsi="Times New Roman" w:cs="Times New Roman"/>
                <w:sz w:val="24"/>
              </w:rPr>
              <w:t>根据现场勘查，项目环境保护目标如表3-6示：</w:t>
            </w:r>
          </w:p>
          <w:p>
            <w:pPr>
              <w:pStyle w:val="52"/>
              <w:snapToGrid w:val="0"/>
              <w:spacing w:beforeLines="0" w:afterLines="0" w:line="240" w:lineRule="auto"/>
              <w:rPr>
                <w:rFonts w:eastAsia="宋体"/>
                <w:b/>
                <w:sz w:val="21"/>
                <w:szCs w:val="21"/>
              </w:rPr>
            </w:pPr>
            <w:r>
              <w:rPr>
                <w:rFonts w:eastAsia="宋体"/>
                <w:b/>
                <w:sz w:val="21"/>
                <w:szCs w:val="21"/>
              </w:rPr>
              <w:t>表3-6  主要环境保护目标一览表</w:t>
            </w:r>
          </w:p>
          <w:tbl>
            <w:tblPr>
              <w:tblStyle w:val="21"/>
              <w:tblW w:w="77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7"/>
              <w:gridCol w:w="548"/>
              <w:gridCol w:w="1440"/>
              <w:gridCol w:w="1515"/>
              <w:gridCol w:w="1155"/>
              <w:gridCol w:w="765"/>
              <w:gridCol w:w="465"/>
              <w:gridCol w:w="1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627" w:type="dxa"/>
                  <w:vMerge w:val="restart"/>
                  <w:tcBorders>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项目</w:t>
                  </w:r>
                </w:p>
              </w:tc>
              <w:tc>
                <w:tcPr>
                  <w:tcW w:w="548" w:type="dxa"/>
                  <w:vMerge w:val="restart"/>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名称</w:t>
                  </w:r>
                </w:p>
              </w:tc>
              <w:tc>
                <w:tcPr>
                  <w:tcW w:w="2955" w:type="dxa"/>
                  <w:gridSpan w:val="2"/>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坐标</w:t>
                  </w:r>
                </w:p>
              </w:tc>
              <w:tc>
                <w:tcPr>
                  <w:tcW w:w="1155" w:type="dxa"/>
                  <w:vMerge w:val="restart"/>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保护对象</w:t>
                  </w:r>
                </w:p>
              </w:tc>
              <w:tc>
                <w:tcPr>
                  <w:tcW w:w="765" w:type="dxa"/>
                  <w:vMerge w:val="restart"/>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保护内容</w:t>
                  </w:r>
                </w:p>
              </w:tc>
              <w:tc>
                <w:tcPr>
                  <w:tcW w:w="465" w:type="dxa"/>
                  <w:vMerge w:val="restart"/>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环境功能</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区</w:t>
                  </w:r>
                </w:p>
              </w:tc>
              <w:tc>
                <w:tcPr>
                  <w:tcW w:w="1239" w:type="dxa"/>
                  <w:vMerge w:val="restart"/>
                  <w:tcBorders>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相对厂址方位及距离/m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jc w:val="center"/>
              </w:trPr>
              <w:tc>
                <w:tcPr>
                  <w:tcW w:w="627" w:type="dxa"/>
                  <w:vMerge w:val="continue"/>
                  <w:tcBorders>
                    <w:top w:val="nil"/>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p>
              </w:tc>
              <w:tc>
                <w:tcPr>
                  <w:tcW w:w="548" w:type="dxa"/>
                  <w:vMerge w:val="continue"/>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p>
              </w:tc>
              <w:tc>
                <w:tcPr>
                  <w:tcW w:w="1440"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北纬</w:t>
                  </w:r>
                </w:p>
              </w:tc>
              <w:tc>
                <w:tcPr>
                  <w:tcW w:w="151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东经</w:t>
                  </w:r>
                </w:p>
              </w:tc>
              <w:tc>
                <w:tcPr>
                  <w:tcW w:w="1155" w:type="dxa"/>
                  <w:vMerge w:val="continue"/>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p>
              </w:tc>
              <w:tc>
                <w:tcPr>
                  <w:tcW w:w="765" w:type="dxa"/>
                  <w:vMerge w:val="continue"/>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p>
              </w:tc>
              <w:tc>
                <w:tcPr>
                  <w:tcW w:w="465" w:type="dxa"/>
                  <w:vMerge w:val="continue"/>
                  <w:tcBorders>
                    <w:top w:val="nil"/>
                    <w:left w:val="single" w:color="000000" w:sz="6" w:space="0"/>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p>
              </w:tc>
              <w:tc>
                <w:tcPr>
                  <w:tcW w:w="1239" w:type="dxa"/>
                  <w:vMerge w:val="continue"/>
                  <w:tcBorders>
                    <w:top w:val="nil"/>
                    <w:left w:val="single" w:color="000000" w:sz="6" w:space="0"/>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627" w:type="dxa"/>
                  <w:vMerge w:val="restart"/>
                  <w:tcBorders>
                    <w:top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环境空气</w:t>
                  </w:r>
                </w:p>
              </w:tc>
              <w:tc>
                <w:tcPr>
                  <w:tcW w:w="548"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帅家</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冲社</w:t>
                  </w:r>
                </w:p>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ascii="Times New Roman" w:hAnsi="Times New Roman" w:cs="Times New Roman"/>
                      <w:sz w:val="21"/>
                      <w:szCs w:val="21"/>
                    </w:rPr>
                  </w:pPr>
                  <w:r>
                    <w:rPr>
                      <w:rFonts w:hint="eastAsia" w:ascii="Times New Roman" w:hAnsi="Times New Roman" w:cs="Times New Roman"/>
                      <w:sz w:val="21"/>
                      <w:szCs w:val="21"/>
                      <w:lang w:val="en-US"/>
                    </w:rPr>
                    <w:t>区</w:t>
                  </w:r>
                </w:p>
              </w:tc>
              <w:tc>
                <w:tcPr>
                  <w:tcW w:w="1440"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28.547989160</w:t>
                  </w:r>
                </w:p>
              </w:tc>
              <w:tc>
                <w:tcPr>
                  <w:tcW w:w="151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112.390610199</w:t>
                  </w:r>
                </w:p>
              </w:tc>
              <w:tc>
                <w:tcPr>
                  <w:tcW w:w="115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pacing w:val="-12"/>
                      <w:sz w:val="21"/>
                      <w:szCs w:val="21"/>
                    </w:rPr>
                    <w:t>居住区，约</w:t>
                  </w:r>
                </w:p>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100户，约300人</w:t>
                  </w: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环境空气质量</w:t>
                  </w:r>
                </w:p>
              </w:tc>
              <w:tc>
                <w:tcPr>
                  <w:tcW w:w="46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rPr>
                  </w:pPr>
                  <w:r>
                    <w:rPr>
                      <w:rFonts w:ascii="Times New Roman" w:hAnsi="Times New Roman" w:cs="Times New Roman"/>
                      <w:sz w:val="21"/>
                      <w:szCs w:val="21"/>
                    </w:rPr>
                    <w:t>二级</w:t>
                  </w:r>
                </w:p>
              </w:tc>
              <w:tc>
                <w:tcPr>
                  <w:tcW w:w="1239" w:type="dxa"/>
                  <w:tcBorders>
                    <w:top w:val="single" w:color="000000" w:sz="6" w:space="0"/>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W76-427m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627" w:type="dxa"/>
                  <w:vMerge w:val="continue"/>
                  <w:tcBorders>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tc>
              <w:tc>
                <w:tcPr>
                  <w:tcW w:w="548"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康城</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上品</w:t>
                  </w:r>
                </w:p>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社区</w:t>
                  </w:r>
                </w:p>
              </w:tc>
              <w:tc>
                <w:tcPr>
                  <w:tcW w:w="1440"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28.545618088</w:t>
                  </w:r>
                </w:p>
              </w:tc>
              <w:tc>
                <w:tcPr>
                  <w:tcW w:w="151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112.388158660</w:t>
                  </w:r>
                </w:p>
              </w:tc>
              <w:tc>
                <w:tcPr>
                  <w:tcW w:w="115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pacing w:val="-12"/>
                      <w:sz w:val="21"/>
                      <w:szCs w:val="21"/>
                    </w:rPr>
                    <w:t>居住区，约</w:t>
                  </w:r>
                </w:p>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300户，9约00人</w:t>
                  </w: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cs="Times New Roman"/>
                      <w:sz w:val="21"/>
                      <w:szCs w:val="21"/>
                    </w:rPr>
                  </w:pPr>
                  <w:r>
                    <w:rPr>
                      <w:rFonts w:ascii="Times New Roman" w:hAnsi="Times New Roman" w:cs="Times New Roman"/>
                      <w:sz w:val="21"/>
                      <w:szCs w:val="21"/>
                    </w:rPr>
                    <w:t>环境空气质量</w:t>
                  </w:r>
                </w:p>
              </w:tc>
              <w:tc>
                <w:tcPr>
                  <w:tcW w:w="46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rPr>
                  </w:pPr>
                  <w:r>
                    <w:rPr>
                      <w:rFonts w:ascii="Times New Roman" w:hAnsi="Times New Roman" w:cs="Times New Roman"/>
                      <w:sz w:val="21"/>
                      <w:szCs w:val="21"/>
                    </w:rPr>
                    <w:t>二级</w:t>
                  </w:r>
                </w:p>
              </w:tc>
              <w:tc>
                <w:tcPr>
                  <w:tcW w:w="1239" w:type="dxa"/>
                  <w:tcBorders>
                    <w:top w:val="single" w:color="000000" w:sz="6" w:space="0"/>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WS324-608m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627" w:type="dxa"/>
                  <w:vMerge w:val="continue"/>
                  <w:tcBorders>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tc>
              <w:tc>
                <w:tcPr>
                  <w:tcW w:w="548"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龙山</w:t>
                  </w:r>
                </w:p>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社区</w:t>
                  </w:r>
                </w:p>
              </w:tc>
              <w:tc>
                <w:tcPr>
                  <w:tcW w:w="1440"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283553192646</w:t>
                  </w:r>
                </w:p>
              </w:tc>
              <w:tc>
                <w:tcPr>
                  <w:tcW w:w="151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112.393093925</w:t>
                  </w:r>
                </w:p>
              </w:tc>
              <w:tc>
                <w:tcPr>
                  <w:tcW w:w="115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pacing w:val="-12"/>
                      <w:sz w:val="21"/>
                      <w:szCs w:val="21"/>
                    </w:rPr>
                    <w:t>居住区，约</w:t>
                  </w:r>
                </w:p>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200户，约600人</w:t>
                  </w:r>
                </w:p>
              </w:tc>
              <w:tc>
                <w:tcPr>
                  <w:tcW w:w="76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Times New Roman" w:hAnsi="Times New Roman" w:cs="Times New Roman"/>
                      <w:sz w:val="21"/>
                      <w:szCs w:val="21"/>
                      <w:lang w:val="en-US"/>
                    </w:rPr>
                  </w:pPr>
                  <w:r>
                    <w:rPr>
                      <w:rFonts w:ascii="Times New Roman" w:hAnsi="Times New Roman" w:cs="Times New Roman"/>
                      <w:sz w:val="21"/>
                      <w:szCs w:val="21"/>
                    </w:rPr>
                    <w:t>环境空气质量</w:t>
                  </w:r>
                </w:p>
              </w:tc>
              <w:tc>
                <w:tcPr>
                  <w:tcW w:w="465"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p>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rPr>
                  </w:pPr>
                  <w:r>
                    <w:rPr>
                      <w:rFonts w:ascii="Times New Roman" w:hAnsi="Times New Roman" w:cs="Times New Roman"/>
                      <w:sz w:val="21"/>
                      <w:szCs w:val="21"/>
                    </w:rPr>
                    <w:t>二级</w:t>
                  </w:r>
                </w:p>
              </w:tc>
              <w:tc>
                <w:tcPr>
                  <w:tcW w:w="1239" w:type="dxa"/>
                  <w:tcBorders>
                    <w:top w:val="single" w:color="000000" w:sz="6" w:space="0"/>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jc w:val="center"/>
                    <w:textAlignment w:val="auto"/>
                    <w:rPr>
                      <w:rFonts w:ascii="Times New Roman" w:hAnsi="Times New Roman" w:cs="Times New Roman"/>
                      <w:sz w:val="21"/>
                      <w:szCs w:val="21"/>
                      <w:lang w:val="en-US"/>
                    </w:rPr>
                  </w:pPr>
                  <w:r>
                    <w:rPr>
                      <w:rFonts w:hint="eastAsia" w:ascii="Times New Roman" w:hAnsi="Times New Roman" w:cs="Times New Roman"/>
                      <w:sz w:val="21"/>
                      <w:szCs w:val="21"/>
                      <w:lang w:val="en-US"/>
                    </w:rPr>
                    <w:t>E343-733m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627" w:type="dxa"/>
                  <w:tcBorders>
                    <w:top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声环</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境</w:t>
                  </w:r>
                </w:p>
              </w:tc>
              <w:tc>
                <w:tcPr>
                  <w:tcW w:w="7127" w:type="dxa"/>
                  <w:gridSpan w:val="7"/>
                  <w:tcBorders>
                    <w:top w:val="single" w:color="000000" w:sz="6" w:space="0"/>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厂界外50 米范围内无噪声敏感点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627" w:type="dxa"/>
                  <w:tcBorders>
                    <w:top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地下</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水环境</w:t>
                  </w:r>
                </w:p>
              </w:tc>
              <w:tc>
                <w:tcPr>
                  <w:tcW w:w="7127" w:type="dxa"/>
                  <w:gridSpan w:val="7"/>
                  <w:tcBorders>
                    <w:top w:val="single" w:color="000000" w:sz="6" w:space="0"/>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pacing w:val="-9"/>
                      <w:sz w:val="21"/>
                      <w:szCs w:val="21"/>
                    </w:rPr>
                    <w:t>项目周边</w:t>
                  </w:r>
                  <w:r>
                    <w:rPr>
                      <w:rFonts w:ascii="Times New Roman" w:hAnsi="Times New Roman" w:cs="Times New Roman"/>
                      <w:sz w:val="21"/>
                      <w:szCs w:val="21"/>
                    </w:rPr>
                    <w:t xml:space="preserve">500m </w:t>
                  </w:r>
                  <w:r>
                    <w:rPr>
                      <w:rFonts w:ascii="Times New Roman" w:hAnsi="Times New Roman" w:cs="Times New Roman"/>
                      <w:spacing w:val="-8"/>
                      <w:sz w:val="21"/>
                      <w:szCs w:val="21"/>
                    </w:rPr>
                    <w:t>范围内无地下水集中式饮用水水源和热水、矿泉水、温泉等特殊</w:t>
                  </w:r>
                  <w:r>
                    <w:rPr>
                      <w:rFonts w:ascii="Times New Roman" w:hAnsi="Times New Roman" w:cs="Times New Roman"/>
                      <w:spacing w:val="-5"/>
                      <w:sz w:val="21"/>
                      <w:szCs w:val="21"/>
                    </w:rPr>
                    <w:t>地下水资源，因此，本项目不涉及地下水环境保护目标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627" w:type="dxa"/>
                  <w:tcBorders>
                    <w:top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生态</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环境</w:t>
                  </w:r>
                </w:p>
              </w:tc>
              <w:tc>
                <w:tcPr>
                  <w:tcW w:w="7127" w:type="dxa"/>
                  <w:gridSpan w:val="7"/>
                  <w:tcBorders>
                    <w:top w:val="single" w:color="000000" w:sz="6" w:space="0"/>
                    <w:lef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1"/>
                      <w:szCs w:val="21"/>
                    </w:rPr>
                  </w:pPr>
                  <w:r>
                    <w:rPr>
                      <w:rFonts w:ascii="Times New Roman" w:hAnsi="Times New Roman" w:cs="Times New Roman"/>
                      <w:sz w:val="21"/>
                      <w:szCs w:val="21"/>
                    </w:rPr>
                    <w:t>本项目位于工业园区内，用地性质属于工业用地，用地范围内不涉及生态环境保护目标</w:t>
                  </w:r>
                </w:p>
              </w:tc>
            </w:tr>
          </w:tbl>
          <w:p>
            <w:pPr>
              <w:adjustRightInd w:val="0"/>
              <w:snapToGrid w:val="0"/>
              <w:ind w:firstLine="480" w:firstLineChars="200"/>
              <w:rPr>
                <w:sz w:val="24"/>
              </w:rPr>
            </w:pPr>
          </w:p>
          <w:p>
            <w:pPr>
              <w:pStyle w:val="19"/>
              <w:ind w:firstLine="0" w:firstLineChars="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tcMar>
              <w:left w:w="28" w:type="dxa"/>
              <w:right w:w="28" w:type="dxa"/>
            </w:tcMar>
            <w:vAlign w:val="center"/>
          </w:tcPr>
          <w:p>
            <w:pPr>
              <w:adjustRightInd w:val="0"/>
              <w:snapToGrid w:val="0"/>
              <w:jc w:val="center"/>
              <w:rPr>
                <w:rFonts w:cs="宋体"/>
                <w:kern w:val="21"/>
                <w:sz w:val="24"/>
                <w:szCs w:val="21"/>
              </w:rPr>
            </w:pPr>
            <w:r>
              <w:rPr>
                <w:rFonts w:hint="eastAsia" w:cs="宋体"/>
                <w:kern w:val="21"/>
                <w:sz w:val="24"/>
                <w:szCs w:val="21"/>
              </w:rPr>
              <w:t>污染</w:t>
            </w:r>
          </w:p>
          <w:p>
            <w:pPr>
              <w:adjustRightInd w:val="0"/>
              <w:snapToGrid w:val="0"/>
              <w:jc w:val="center"/>
              <w:rPr>
                <w:rFonts w:cs="宋体"/>
                <w:kern w:val="21"/>
                <w:sz w:val="24"/>
                <w:szCs w:val="21"/>
              </w:rPr>
            </w:pPr>
            <w:r>
              <w:rPr>
                <w:rFonts w:hint="eastAsia" w:cs="宋体"/>
                <w:kern w:val="21"/>
                <w:sz w:val="24"/>
                <w:szCs w:val="21"/>
              </w:rPr>
              <w:t>物排</w:t>
            </w:r>
          </w:p>
          <w:p>
            <w:pPr>
              <w:adjustRightInd w:val="0"/>
              <w:snapToGrid w:val="0"/>
              <w:jc w:val="center"/>
              <w:rPr>
                <w:rFonts w:cs="宋体"/>
                <w:kern w:val="21"/>
                <w:sz w:val="24"/>
                <w:szCs w:val="21"/>
              </w:rPr>
            </w:pPr>
            <w:r>
              <w:rPr>
                <w:rFonts w:hint="eastAsia" w:cs="宋体"/>
                <w:kern w:val="21"/>
                <w:sz w:val="24"/>
                <w:szCs w:val="21"/>
              </w:rPr>
              <w:t>放控</w:t>
            </w:r>
          </w:p>
          <w:p>
            <w:pPr>
              <w:adjustRightInd w:val="0"/>
              <w:snapToGrid w:val="0"/>
              <w:jc w:val="center"/>
              <w:rPr>
                <w:rFonts w:cs="宋体"/>
                <w:kern w:val="21"/>
                <w:sz w:val="24"/>
                <w:szCs w:val="21"/>
              </w:rPr>
            </w:pPr>
            <w:r>
              <w:rPr>
                <w:rFonts w:hint="eastAsia" w:cs="宋体"/>
                <w:kern w:val="21"/>
                <w:sz w:val="24"/>
                <w:szCs w:val="21"/>
              </w:rPr>
              <w:t>制标</w:t>
            </w:r>
          </w:p>
          <w:p>
            <w:pPr>
              <w:adjustRightInd w:val="0"/>
              <w:snapToGrid w:val="0"/>
              <w:jc w:val="center"/>
              <w:rPr>
                <w:rFonts w:cs="宋体"/>
                <w:kern w:val="21"/>
                <w:sz w:val="24"/>
                <w:szCs w:val="21"/>
              </w:rPr>
            </w:pPr>
            <w:r>
              <w:rPr>
                <w:rFonts w:hint="eastAsia" w:cs="宋体"/>
                <w:kern w:val="21"/>
                <w:sz w:val="24"/>
                <w:szCs w:val="21"/>
              </w:rPr>
              <w:t>准</w:t>
            </w:r>
          </w:p>
        </w:tc>
        <w:tc>
          <w:tcPr>
            <w:tcW w:w="7985" w:type="dxa"/>
            <w:vAlign w:val="center"/>
          </w:tcPr>
          <w:p>
            <w:pPr>
              <w:snapToGrid w:val="0"/>
              <w:spacing w:line="480" w:lineRule="exact"/>
              <w:jc w:val="left"/>
              <w:rPr>
                <w:b/>
                <w:sz w:val="24"/>
              </w:rPr>
            </w:pPr>
            <w:r>
              <w:rPr>
                <w:b/>
                <w:sz w:val="24"/>
              </w:rPr>
              <w:t>1、大气污染物排放标准</w:t>
            </w:r>
          </w:p>
          <w:p>
            <w:pPr>
              <w:adjustRightInd w:val="0"/>
              <w:snapToGrid w:val="0"/>
              <w:spacing w:line="480" w:lineRule="exact"/>
              <w:ind w:firstLine="480" w:firstLineChars="200"/>
              <w:rPr>
                <w:sz w:val="24"/>
              </w:rPr>
            </w:pPr>
            <w:r>
              <w:rPr>
                <w:sz w:val="24"/>
              </w:rPr>
              <w:t>项目营运期产生的</w:t>
            </w:r>
            <w:r>
              <w:rPr>
                <w:rFonts w:hint="eastAsia"/>
                <w:sz w:val="24"/>
                <w:lang w:val="en-US" w:eastAsia="zh-CN"/>
              </w:rPr>
              <w:t>废气</w:t>
            </w:r>
            <w:r>
              <w:rPr>
                <w:sz w:val="24"/>
              </w:rPr>
              <w:t>执行《合成树脂工业污染物排</w:t>
            </w:r>
            <w:r>
              <w:rPr>
                <w:rFonts w:hint="eastAsia"/>
                <w:sz w:val="24"/>
                <w:lang w:eastAsia="zh-CN"/>
              </w:rPr>
              <w:t>》</w:t>
            </w:r>
            <w:r>
              <w:rPr>
                <w:sz w:val="24"/>
              </w:rPr>
              <w:t>（GB31572-2015）中表</w:t>
            </w:r>
            <w:r>
              <w:rPr>
                <w:rFonts w:hint="eastAsia"/>
                <w:sz w:val="24"/>
                <w:lang w:val="en-US" w:eastAsia="zh-CN"/>
              </w:rPr>
              <w:t>4</w:t>
            </w:r>
            <w:r>
              <w:rPr>
                <w:sz w:val="24"/>
              </w:rPr>
              <w:t>、表9企业边界大气污染物浓度限值；挥发性有机废气厂区内无组织排放监控点浓度执行《挥发性有机物无组织排放控制标</w:t>
            </w:r>
            <w:r>
              <w:rPr>
                <w:rFonts w:hint="eastAsia"/>
                <w:sz w:val="24"/>
                <w:lang w:eastAsia="zh-CN"/>
              </w:rPr>
              <w:t>》</w:t>
            </w:r>
            <w:r>
              <w:rPr>
                <w:sz w:val="24"/>
              </w:rPr>
              <w:t>（GB37822-2019）无组织排放监控浓度特别限值；臭气浓度执行《恶臭污染物排放标准（GB14554-1993）中的限值要求。具体标准限值详见下表。</w:t>
            </w:r>
          </w:p>
          <w:p>
            <w:pPr>
              <w:jc w:val="center"/>
              <w:rPr>
                <w:szCs w:val="21"/>
              </w:rPr>
            </w:pPr>
            <w:r>
              <w:rPr>
                <w:b/>
                <w:bCs/>
                <w:szCs w:val="21"/>
              </w:rPr>
              <w:t>表 3-7 《合成树脂工业污染物排放标准》（GB31572-2015）</w:t>
            </w:r>
          </w:p>
          <w:tbl>
            <w:tblPr>
              <w:tblStyle w:val="21"/>
              <w:tblW w:w="77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9"/>
              <w:gridCol w:w="1221"/>
              <w:gridCol w:w="1562"/>
              <w:gridCol w:w="948"/>
              <w:gridCol w:w="1315"/>
              <w:gridCol w:w="1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69"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7"/>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污染物</w:t>
                  </w:r>
                </w:p>
              </w:tc>
              <w:tc>
                <w:tcPr>
                  <w:tcW w:w="1221"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15"/>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最高允许排放浓度</w:t>
                  </w:r>
                </w:p>
              </w:tc>
              <w:tc>
                <w:tcPr>
                  <w:tcW w:w="1562"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15"/>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单位产品排放量</w:t>
                  </w:r>
                </w:p>
              </w:tc>
              <w:tc>
                <w:tcPr>
                  <w:tcW w:w="2263" w:type="dxa"/>
                  <w:gridSpan w:val="2"/>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无组织排放监控浓度值</w:t>
                  </w:r>
                </w:p>
              </w:tc>
              <w:tc>
                <w:tcPr>
                  <w:tcW w:w="1939"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27"/>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c>
                <w:tcPr>
                  <w:tcW w:w="122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c>
                <w:tcPr>
                  <w:tcW w:w="156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c>
                <w:tcPr>
                  <w:tcW w:w="948"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监控点</w:t>
                  </w:r>
                </w:p>
              </w:tc>
              <w:tc>
                <w:tcPr>
                  <w:tcW w:w="1315"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浓度</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(mg/m³)</w:t>
                  </w:r>
                </w:p>
              </w:tc>
              <w:tc>
                <w:tcPr>
                  <w:tcW w:w="193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769"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颗粒物</w:t>
                  </w:r>
                </w:p>
              </w:tc>
              <w:tc>
                <w:tcPr>
                  <w:tcW w:w="1221"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hint="eastAsia" w:ascii="Times New Roman" w:hAnsi="Times New Roman" w:cs="Times New Roman"/>
                      <w:lang w:val="en-US" w:eastAsia="zh-CN"/>
                    </w:rPr>
                    <w:t>3</w:t>
                  </w:r>
                  <w:r>
                    <w:rPr>
                      <w:rFonts w:ascii="Times New Roman" w:hAnsi="Times New Roman" w:cs="Times New Roman"/>
                    </w:rPr>
                    <w:t>0mg/m</w:t>
                  </w:r>
                  <w:r>
                    <w:rPr>
                      <w:rFonts w:ascii="Times New Roman" w:hAnsi="Times New Roman" w:cs="Times New Roman"/>
                      <w:vertAlign w:val="superscript"/>
                    </w:rPr>
                    <w:t>3</w:t>
                  </w:r>
                </w:p>
              </w:tc>
              <w:tc>
                <w:tcPr>
                  <w:tcW w:w="1562"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w:t>
                  </w:r>
                </w:p>
              </w:tc>
              <w:tc>
                <w:tcPr>
                  <w:tcW w:w="948"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sz w:val="17"/>
                    </w:rPr>
                  </w:pP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周界外浓度最高点</w:t>
                  </w:r>
                </w:p>
              </w:tc>
              <w:tc>
                <w:tcPr>
                  <w:tcW w:w="1315"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1.0</w:t>
                  </w:r>
                </w:p>
              </w:tc>
              <w:tc>
                <w:tcPr>
                  <w:tcW w:w="1939"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《合成树脂工业污染物排放标准》</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（GB31572-2015）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69"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非甲烷</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总烃</w:t>
                  </w:r>
                </w:p>
              </w:tc>
              <w:tc>
                <w:tcPr>
                  <w:tcW w:w="1221"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hint="eastAsia" w:ascii="Times New Roman" w:hAnsi="Times New Roman" w:cs="Times New Roman"/>
                      <w:lang w:val="en-US" w:eastAsia="zh-CN"/>
                    </w:rPr>
                    <w:t>10</w:t>
                  </w:r>
                  <w:r>
                    <w:rPr>
                      <w:rFonts w:ascii="Times New Roman" w:hAnsi="Times New Roman" w:cs="Times New Roman"/>
                    </w:rPr>
                    <w:t>0mg/m</w:t>
                  </w:r>
                  <w:r>
                    <w:rPr>
                      <w:rFonts w:ascii="Times New Roman" w:hAnsi="Times New Roman" w:cs="Times New Roman"/>
                      <w:vertAlign w:val="superscript"/>
                    </w:rPr>
                    <w:t>3</w:t>
                  </w:r>
                </w:p>
              </w:tc>
              <w:tc>
                <w:tcPr>
                  <w:tcW w:w="1562"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0.3（kg/t 产品）</w:t>
                  </w:r>
                </w:p>
              </w:tc>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c>
                <w:tcPr>
                  <w:tcW w:w="1315"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4.0</w:t>
                  </w:r>
                </w:p>
              </w:tc>
              <w:tc>
                <w:tcPr>
                  <w:tcW w:w="19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69"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hint="eastAsia" w:ascii="Times New Roman" w:hAnsi="Times New Roman" w:cs="Times New Roman"/>
                    </w:rPr>
                    <w:t>苯乙烯</w:t>
                  </w:r>
                </w:p>
              </w:tc>
              <w:tc>
                <w:tcPr>
                  <w:tcW w:w="1221"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50</w:t>
                  </w:r>
                  <w:r>
                    <w:rPr>
                      <w:rFonts w:ascii="Times New Roman" w:hAnsi="Times New Roman" w:cs="Times New Roman"/>
                    </w:rPr>
                    <w:t>mg/m</w:t>
                  </w:r>
                  <w:r>
                    <w:rPr>
                      <w:rFonts w:ascii="Times New Roman" w:hAnsi="Times New Roman" w:cs="Times New Roman"/>
                      <w:vertAlign w:val="superscript"/>
                    </w:rPr>
                    <w:t>3</w:t>
                  </w:r>
                </w:p>
              </w:tc>
              <w:tc>
                <w:tcPr>
                  <w:tcW w:w="1562"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c>
                <w:tcPr>
                  <w:tcW w:w="1315"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19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769"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lang w:val="en-US" w:eastAsia="zh-CN"/>
                    </w:rPr>
                  </w:pPr>
                  <w:r>
                    <w:rPr>
                      <w:rFonts w:hint="eastAsia" w:ascii="Times New Roman" w:hAnsi="Times New Roman" w:cs="Times New Roman"/>
                      <w:lang w:val="en-US" w:eastAsia="zh-CN"/>
                    </w:rPr>
                    <w:t>甲苯</w:t>
                  </w:r>
                </w:p>
              </w:tc>
              <w:tc>
                <w:tcPr>
                  <w:tcW w:w="1221"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15</w:t>
                  </w:r>
                  <w:r>
                    <w:rPr>
                      <w:rFonts w:ascii="Times New Roman" w:hAnsi="Times New Roman" w:cs="Times New Roman"/>
                    </w:rPr>
                    <w:t>mg/m</w:t>
                  </w:r>
                  <w:r>
                    <w:rPr>
                      <w:rFonts w:ascii="Times New Roman" w:hAnsi="Times New Roman" w:cs="Times New Roman"/>
                      <w:vertAlign w:val="superscript"/>
                    </w:rPr>
                    <w:t>3</w:t>
                  </w:r>
                </w:p>
              </w:tc>
              <w:tc>
                <w:tcPr>
                  <w:tcW w:w="1562"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94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c>
                <w:tcPr>
                  <w:tcW w:w="1315"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19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r>
          </w:tbl>
          <w:p>
            <w:pPr>
              <w:adjustRightInd w:val="0"/>
              <w:snapToGrid w:val="0"/>
              <w:spacing w:line="480" w:lineRule="exact"/>
              <w:ind w:firstLine="422" w:firstLineChars="200"/>
              <w:jc w:val="center"/>
              <w:rPr>
                <w:b/>
                <w:bCs/>
                <w:szCs w:val="21"/>
              </w:rPr>
            </w:pPr>
            <w:r>
              <w:rPr>
                <w:b/>
                <w:bCs/>
                <w:szCs w:val="21"/>
              </w:rPr>
              <w:t>表 3-8 《恶臭污染物排放标准》（GB14554-1993）</w:t>
            </w:r>
          </w:p>
          <w:tbl>
            <w:tblPr>
              <w:tblStyle w:val="21"/>
              <w:tblW w:w="7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6"/>
              <w:gridCol w:w="1344"/>
              <w:gridCol w:w="1884"/>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1876"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ascii="Times New Roman" w:hAnsi="Times New Roman" w:cs="Times New Roman"/>
                    </w:rPr>
                    <w:t>污染物名称</w:t>
                  </w:r>
                </w:p>
              </w:tc>
              <w:tc>
                <w:tcPr>
                  <w:tcW w:w="1344"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ascii="Times New Roman" w:hAnsi="Times New Roman" w:cs="Times New Roman"/>
                    </w:rPr>
                    <w:t>单位</w:t>
                  </w:r>
                </w:p>
              </w:tc>
              <w:tc>
                <w:tcPr>
                  <w:tcW w:w="1884"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ascii="Times New Roman" w:hAnsi="Times New Roman" w:cs="Times New Roman"/>
                    </w:rPr>
                    <w:t>厂界标准值</w:t>
                  </w:r>
                </w:p>
              </w:tc>
              <w:tc>
                <w:tcPr>
                  <w:tcW w:w="2655"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ascii="Times New Roman" w:hAnsi="Times New Roman" w:cs="Times New Roman"/>
                    </w:rPr>
                    <w:t>标准来源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876"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ascii="Times New Roman" w:hAnsi="Times New Roman" w:cs="Times New Roman"/>
                    </w:rPr>
                    <w:t>臭气浓度</w:t>
                  </w:r>
                </w:p>
              </w:tc>
              <w:tc>
                <w:tcPr>
                  <w:tcW w:w="1344"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ascii="Times New Roman" w:hAnsi="Times New Roman" w:cs="Times New Roman"/>
                    </w:rPr>
                    <w:t>无量纲</w:t>
                  </w:r>
                </w:p>
              </w:tc>
              <w:tc>
                <w:tcPr>
                  <w:tcW w:w="1884"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ascii="Times New Roman" w:hAnsi="Times New Roman" w:cs="Times New Roman"/>
                    </w:rPr>
                    <w:t>20</w:t>
                  </w:r>
                </w:p>
              </w:tc>
              <w:tc>
                <w:tcPr>
                  <w:tcW w:w="2655" w:type="dxa"/>
                  <w:vMerge w:val="restart"/>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ascii="Times New Roman" w:hAnsi="Times New Roman" w:cs="Times New Roman"/>
                    </w:rPr>
                    <w:t>《恶臭污染物排放标准》</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ascii="Times New Roman" w:hAnsi="Times New Roman" w:cs="Times New Roman"/>
                    </w:rPr>
                    <w:t>（GB14554-1993）表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876"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r>
                    <w:rPr>
                      <w:rFonts w:hint="eastAsia" w:ascii="Times New Roman" w:hAnsi="Times New Roman" w:cs="Times New Roman"/>
                    </w:rPr>
                    <w:t>苯乙烯</w:t>
                  </w:r>
                </w:p>
              </w:tc>
              <w:tc>
                <w:tcPr>
                  <w:tcW w:w="1344"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imes New Roman" w:hAnsi="Times New Roman" w:eastAsia="宋体" w:cs="Times New Roman"/>
                      <w:lang w:val="en-US" w:eastAsia="zh-CN"/>
                    </w:rPr>
                  </w:pPr>
                  <w:r>
                    <w:rPr>
                      <w:rFonts w:hint="eastAsia" w:ascii="Times New Roman" w:hAnsi="Times New Roman" w:cs="Times New Roman"/>
                      <w:lang w:val="en-US" w:eastAsia="zh-CN"/>
                    </w:rPr>
                    <w:t>/</w:t>
                  </w:r>
                </w:p>
              </w:tc>
              <w:tc>
                <w:tcPr>
                  <w:tcW w:w="1884" w:type="dxa"/>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lang w:val="en-US" w:eastAsia="zh-CN"/>
                    </w:rPr>
                  </w:pPr>
                  <w:r>
                    <w:rPr>
                      <w:rFonts w:hint="eastAsia" w:ascii="Times New Roman" w:hAnsi="Times New Roman" w:cs="Times New Roman"/>
                      <w:lang w:val="en-US" w:eastAsia="zh-CN"/>
                    </w:rPr>
                    <w:t>5.0</w:t>
                  </w:r>
                </w:p>
              </w:tc>
              <w:tc>
                <w:tcPr>
                  <w:tcW w:w="2655" w:type="dxa"/>
                  <w:vMerge w:val="continue"/>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ascii="Times New Roman" w:hAnsi="Times New Roman" w:cs="Times New Roman"/>
                    </w:rPr>
                  </w:pPr>
                </w:p>
              </w:tc>
            </w:tr>
          </w:tbl>
          <w:p>
            <w:pPr>
              <w:tabs>
                <w:tab w:val="left" w:pos="1630"/>
                <w:tab w:val="left" w:pos="5002"/>
              </w:tabs>
              <w:spacing w:before="1"/>
              <w:jc w:val="center"/>
              <w:rPr>
                <w:b/>
                <w:szCs w:val="21"/>
              </w:rPr>
            </w:pPr>
            <w:r>
              <w:rPr>
                <w:szCs w:val="21"/>
              </w:rPr>
              <w:t>表</w:t>
            </w:r>
            <w:r>
              <w:rPr>
                <w:spacing w:val="-58"/>
                <w:szCs w:val="21"/>
              </w:rPr>
              <w:t xml:space="preserve"> </w:t>
            </w:r>
            <w:r>
              <w:rPr>
                <w:b/>
                <w:szCs w:val="21"/>
              </w:rPr>
              <w:t>3-9</w:t>
            </w:r>
            <w:r>
              <w:rPr>
                <w:rFonts w:hint="eastAsia"/>
                <w:b/>
                <w:szCs w:val="21"/>
                <w:lang w:val="en-US" w:eastAsia="zh-CN"/>
              </w:rPr>
              <w:t xml:space="preserve"> </w:t>
            </w:r>
            <w:r>
              <w:rPr>
                <w:b/>
                <w:szCs w:val="21"/>
              </w:rPr>
              <w:t>《挥发性有机物无组织排放控制标</w:t>
            </w:r>
            <w:r>
              <w:rPr>
                <w:rFonts w:hint="eastAsia"/>
                <w:b/>
                <w:szCs w:val="21"/>
                <w:lang w:eastAsia="zh-CN"/>
              </w:rPr>
              <w:t>》</w:t>
            </w:r>
            <w:r>
              <w:rPr>
                <w:b/>
                <w:szCs w:val="21"/>
              </w:rPr>
              <w:t>（GB37822-2019）</w:t>
            </w:r>
            <w:r>
              <w:rPr>
                <w:rFonts w:hint="eastAsia"/>
                <w:b/>
                <w:szCs w:val="21"/>
                <w:lang w:val="en-US" w:eastAsia="zh-CN"/>
              </w:rPr>
              <w:t xml:space="preserve"> </w:t>
            </w:r>
            <w:r>
              <w:rPr>
                <w:szCs w:val="21"/>
              </w:rPr>
              <w:t>单位：</w:t>
            </w:r>
            <w:r>
              <w:rPr>
                <w:b/>
                <w:szCs w:val="21"/>
              </w:rPr>
              <w:t>mg/m</w:t>
            </w:r>
            <w:r>
              <w:rPr>
                <w:b/>
                <w:szCs w:val="21"/>
                <w:vertAlign w:val="superscript"/>
              </w:rPr>
              <w:t>3</w:t>
            </w:r>
          </w:p>
          <w:tbl>
            <w:tblPr>
              <w:tblStyle w:val="21"/>
              <w:tblW w:w="7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5"/>
              <w:gridCol w:w="992"/>
              <w:gridCol w:w="1378"/>
              <w:gridCol w:w="2752"/>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295" w:type="dxa"/>
                  <w:tcBorders>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污染物项目</w:t>
                  </w:r>
                </w:p>
              </w:tc>
              <w:tc>
                <w:tcPr>
                  <w:tcW w:w="992" w:type="dxa"/>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排放</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限值</w:t>
                  </w:r>
                </w:p>
              </w:tc>
              <w:tc>
                <w:tcPr>
                  <w:tcW w:w="1378" w:type="dxa"/>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特别排</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放限值</w:t>
                  </w:r>
                </w:p>
              </w:tc>
              <w:tc>
                <w:tcPr>
                  <w:tcW w:w="2752" w:type="dxa"/>
                  <w:tcBorders>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限值含义</w:t>
                  </w:r>
                </w:p>
              </w:tc>
              <w:tc>
                <w:tcPr>
                  <w:tcW w:w="1342" w:type="dxa"/>
                  <w:tcBorders>
                    <w:left w:val="single" w:color="000000" w:sz="6" w:space="0"/>
                    <w:bottom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无组织排放</w:t>
                  </w:r>
                </w:p>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监控位置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295" w:type="dxa"/>
                  <w:vMerge w:val="restart"/>
                  <w:tcBorders>
                    <w:top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NMHC</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10</w:t>
                  </w:r>
                </w:p>
              </w:tc>
              <w:tc>
                <w:tcPr>
                  <w:tcW w:w="1378"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6</w:t>
                  </w:r>
                </w:p>
              </w:tc>
              <w:tc>
                <w:tcPr>
                  <w:tcW w:w="2752" w:type="dxa"/>
                  <w:tcBorders>
                    <w:top w:val="single" w:color="000000" w:sz="6" w:space="0"/>
                    <w:left w:val="single" w:color="000000" w:sz="6" w:space="0"/>
                    <w:bottom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监控点处 1h 平均浓度值</w:t>
                  </w:r>
                </w:p>
              </w:tc>
              <w:tc>
                <w:tcPr>
                  <w:tcW w:w="1342" w:type="dxa"/>
                  <w:vMerge w:val="restart"/>
                  <w:tcBorders>
                    <w:top w:val="single" w:color="000000" w:sz="6" w:space="0"/>
                    <w:lef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在厂房外设置监控点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95" w:type="dxa"/>
                  <w:vMerge w:val="continue"/>
                  <w:tcBorders>
                    <w:top w:val="nil"/>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c>
                <w:tcPr>
                  <w:tcW w:w="992" w:type="dxa"/>
                  <w:tcBorders>
                    <w:top w:val="single" w:color="000000" w:sz="6" w:space="0"/>
                    <w:left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30</w:t>
                  </w:r>
                </w:p>
              </w:tc>
              <w:tc>
                <w:tcPr>
                  <w:tcW w:w="1378" w:type="dxa"/>
                  <w:tcBorders>
                    <w:top w:val="single" w:color="000000" w:sz="6" w:space="0"/>
                    <w:left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20</w:t>
                  </w:r>
                </w:p>
              </w:tc>
              <w:tc>
                <w:tcPr>
                  <w:tcW w:w="2752" w:type="dxa"/>
                  <w:tcBorders>
                    <w:top w:val="single" w:color="000000" w:sz="6" w:space="0"/>
                    <w:left w:val="single" w:color="000000" w:sz="6" w:space="0"/>
                    <w:right w:val="single" w:color="000000" w:sz="6" w:space="0"/>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Times New Roman" w:hAnsi="Times New Roman" w:cs="Times New Roman"/>
                    </w:rPr>
                  </w:pPr>
                  <w:r>
                    <w:rPr>
                      <w:rFonts w:ascii="Times New Roman" w:hAnsi="Times New Roman" w:cs="Times New Roman"/>
                    </w:rPr>
                    <w:t>监控点处任意一此浓度值</w:t>
                  </w:r>
                </w:p>
              </w:tc>
              <w:tc>
                <w:tcPr>
                  <w:tcW w:w="1342" w:type="dxa"/>
                  <w:vMerge w:val="continue"/>
                  <w:tcBorders>
                    <w:top w:val="nil"/>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sz w:val="2"/>
                      <w:szCs w:val="2"/>
                    </w:rPr>
                  </w:pPr>
                </w:p>
              </w:tc>
            </w:tr>
          </w:tbl>
          <w:p>
            <w:pPr>
              <w:snapToGrid w:val="0"/>
              <w:spacing w:line="480" w:lineRule="exact"/>
              <w:jc w:val="left"/>
              <w:rPr>
                <w:b/>
                <w:sz w:val="24"/>
              </w:rPr>
            </w:pPr>
            <w:r>
              <w:rPr>
                <w:b/>
                <w:sz w:val="24"/>
              </w:rPr>
              <w:t>2、</w:t>
            </w:r>
            <w:bookmarkStart w:id="20" w:name="OLE_LINK27"/>
            <w:r>
              <w:rPr>
                <w:b/>
                <w:sz w:val="24"/>
              </w:rPr>
              <w:t>水污染物排放标准</w:t>
            </w:r>
            <w:bookmarkEnd w:id="20"/>
          </w:p>
          <w:p>
            <w:pPr>
              <w:adjustRightInd w:val="0"/>
              <w:snapToGrid w:val="0"/>
              <w:spacing w:line="480" w:lineRule="exact"/>
              <w:ind w:firstLine="480" w:firstLineChars="200"/>
              <w:rPr>
                <w:sz w:val="24"/>
              </w:rPr>
            </w:pPr>
            <w:r>
              <w:rPr>
                <w:sz w:val="24"/>
              </w:rPr>
              <w:t>本项目生活污水经预处理达到《污水综合排放标准》（GB8978-1996）表4中的三级标准后通过园区市政污水管网排入益阳</w:t>
            </w:r>
            <w:r>
              <w:rPr>
                <w:rFonts w:hint="eastAsia"/>
                <w:sz w:val="24"/>
                <w:u w:val="single"/>
                <w:lang w:val="en-US" w:eastAsia="zh-CN"/>
              </w:rPr>
              <w:t>城东</w:t>
            </w:r>
            <w:r>
              <w:rPr>
                <w:sz w:val="24"/>
              </w:rPr>
              <w:t>污水处理厂处理达《城镇污水处理厂污染物排放标准》（GB18918-2002）一级A标准后排入碾子河，最终汇入撇洪新河。</w:t>
            </w:r>
          </w:p>
          <w:p>
            <w:pPr>
              <w:adjustRightInd w:val="0"/>
              <w:snapToGrid w:val="0"/>
              <w:spacing w:line="480" w:lineRule="exact"/>
              <w:ind w:firstLine="480" w:firstLineChars="200"/>
              <w:rPr>
                <w:sz w:val="24"/>
              </w:rPr>
            </w:pPr>
            <w:r>
              <w:rPr>
                <w:sz w:val="24"/>
              </w:rPr>
              <w:t>具体标准限值见下表。</w:t>
            </w:r>
          </w:p>
          <w:p>
            <w:pPr>
              <w:adjustRightInd w:val="0"/>
              <w:snapToGrid w:val="0"/>
              <w:spacing w:line="480" w:lineRule="exact"/>
              <w:ind w:firstLine="422" w:firstLineChars="200"/>
              <w:jc w:val="center"/>
              <w:rPr>
                <w:b/>
                <w:bCs/>
                <w:szCs w:val="21"/>
              </w:rPr>
            </w:pPr>
            <w:r>
              <w:rPr>
                <w:b/>
                <w:bCs/>
                <w:szCs w:val="21"/>
              </w:rPr>
              <w:t>表 3-10</w:t>
            </w:r>
            <w:r>
              <w:rPr>
                <w:b/>
                <w:bCs/>
                <w:szCs w:val="21"/>
              </w:rPr>
              <w:tab/>
            </w:r>
            <w:r>
              <w:rPr>
                <w:b/>
                <w:bCs/>
                <w:szCs w:val="21"/>
              </w:rPr>
              <w:t>污水排放标准</w:t>
            </w:r>
            <w:r>
              <w:rPr>
                <w:b/>
                <w:bCs/>
                <w:szCs w:val="21"/>
              </w:rPr>
              <w:tab/>
            </w:r>
            <w:r>
              <w:rPr>
                <w:b/>
                <w:bCs/>
                <w:szCs w:val="21"/>
              </w:rPr>
              <w:t>单位：mg/L（pH 为无量纲）</w:t>
            </w:r>
          </w:p>
          <w:tbl>
            <w:tblPr>
              <w:tblStyle w:val="21"/>
              <w:tblW w:w="7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6"/>
              <w:gridCol w:w="1770"/>
              <w:gridCol w:w="3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2096"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pPr>
                  <w:r>
                    <w:t>项目</w:t>
                  </w:r>
                </w:p>
              </w:tc>
              <w:tc>
                <w:tcPr>
                  <w:tcW w:w="1770"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pPr>
                  <w:r>
                    <w:t>单位</w:t>
                  </w:r>
                </w:p>
              </w:tc>
              <w:tc>
                <w:tcPr>
                  <w:tcW w:w="3893"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pPr>
                  <w:r>
                    <w:rPr>
                      <w:rFonts w:hint="eastAsia" w:ascii="Times New Roman"/>
                      <w:spacing w:val="-5"/>
                      <w:lang w:eastAsia="zh-CN"/>
                    </w:rPr>
                    <w:t>（</w:t>
                  </w:r>
                  <w:r>
                    <w:rPr>
                      <w:rFonts w:ascii="Times New Roman" w:eastAsia="Times New Roman"/>
                      <w:spacing w:val="-5"/>
                    </w:rPr>
                    <w:t>GB8978-1996</w:t>
                  </w:r>
                  <w:r>
                    <w:rPr>
                      <w:spacing w:val="-5"/>
                    </w:rPr>
                    <w:t>）</w:t>
                  </w:r>
                  <w:r>
                    <w:rPr>
                      <w:spacing w:val="-2"/>
                    </w:rPr>
                    <w:t>三级</w:t>
                  </w:r>
                  <w: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jc w:val="center"/>
              </w:trPr>
              <w:tc>
                <w:tcPr>
                  <w:tcW w:w="2096"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pH</w:t>
                  </w:r>
                </w:p>
              </w:tc>
              <w:tc>
                <w:tcPr>
                  <w:tcW w:w="1770"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lang w:val="en-US"/>
                    </w:rPr>
                  </w:pPr>
                  <w:r>
                    <w:t>无量纲</w:t>
                  </w:r>
                </w:p>
              </w:tc>
              <w:tc>
                <w:tcPr>
                  <w:tcW w:w="3893"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eastAsia="Times New Roman"/>
                      <w:lang w:val="en-US"/>
                    </w:rPr>
                  </w:pPr>
                  <w:r>
                    <w:rPr>
                      <w:rFonts w:ascii="Times New Roman" w:eastAsia="Times New Roman"/>
                      <w:lang w:val="en-US"/>
                    </w:rPr>
                    <w:t>6</w:t>
                  </w:r>
                  <w:r>
                    <w:t>～</w:t>
                  </w:r>
                  <w:r>
                    <w:rPr>
                      <w:rFonts w:ascii="Times New Roman" w:eastAsia="Times New Roman"/>
                      <w:lang w:val="en-US"/>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096"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COD</w:t>
                  </w:r>
                </w:p>
              </w:tc>
              <w:tc>
                <w:tcPr>
                  <w:tcW w:w="1770"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mg/L</w:t>
                  </w:r>
                </w:p>
              </w:tc>
              <w:tc>
                <w:tcPr>
                  <w:tcW w:w="3893"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jc w:val="center"/>
              </w:trPr>
              <w:tc>
                <w:tcPr>
                  <w:tcW w:w="2096"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SS</w:t>
                  </w:r>
                </w:p>
              </w:tc>
              <w:tc>
                <w:tcPr>
                  <w:tcW w:w="1770"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mg/L</w:t>
                  </w:r>
                </w:p>
              </w:tc>
              <w:tc>
                <w:tcPr>
                  <w:tcW w:w="3893"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2096"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NH</w:t>
                  </w:r>
                  <w:r>
                    <w:rPr>
                      <w:rFonts w:ascii="Times New Roman"/>
                      <w:vertAlign w:val="subscript"/>
                      <w:lang w:val="en-US"/>
                    </w:rPr>
                    <w:t>3</w:t>
                  </w:r>
                  <w:r>
                    <w:rPr>
                      <w:rFonts w:ascii="Times New Roman"/>
                      <w:lang w:val="en-US"/>
                    </w:rPr>
                    <w:t>-N</w:t>
                  </w:r>
                </w:p>
              </w:tc>
              <w:tc>
                <w:tcPr>
                  <w:tcW w:w="1770"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mg/L</w:t>
                  </w:r>
                </w:p>
              </w:tc>
              <w:tc>
                <w:tcPr>
                  <w:tcW w:w="3893"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096"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lang w:val="en-US"/>
                    </w:rPr>
                  </w:pPr>
                  <w:r>
                    <w:t>石油类</w:t>
                  </w:r>
                </w:p>
              </w:tc>
              <w:tc>
                <w:tcPr>
                  <w:tcW w:w="1770"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mg/L</w:t>
                  </w:r>
                </w:p>
              </w:tc>
              <w:tc>
                <w:tcPr>
                  <w:tcW w:w="3893" w:type="dxa"/>
                  <w:vAlign w:val="center"/>
                </w:tcPr>
                <w:p>
                  <w:pPr>
                    <w:pStyle w:val="59"/>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lang w:val="en-US"/>
                    </w:rPr>
                  </w:pPr>
                  <w:r>
                    <w:rPr>
                      <w:rFonts w:ascii="Times New Roman"/>
                      <w:lang w:val="en-US"/>
                    </w:rPr>
                    <w:t>20</w:t>
                  </w:r>
                </w:p>
              </w:tc>
            </w:tr>
          </w:tbl>
          <w:p>
            <w:pPr>
              <w:snapToGrid w:val="0"/>
              <w:spacing w:line="480" w:lineRule="exact"/>
              <w:jc w:val="left"/>
              <w:rPr>
                <w:b/>
                <w:sz w:val="24"/>
              </w:rPr>
            </w:pPr>
            <w:r>
              <w:rPr>
                <w:b/>
                <w:sz w:val="24"/>
              </w:rPr>
              <w:t>3、噪声排放标准</w:t>
            </w:r>
          </w:p>
          <w:p>
            <w:pPr>
              <w:adjustRightInd w:val="0"/>
              <w:snapToGrid w:val="0"/>
              <w:spacing w:line="480" w:lineRule="exact"/>
              <w:ind w:firstLine="480" w:firstLineChars="200"/>
              <w:rPr>
                <w:sz w:val="24"/>
              </w:rPr>
            </w:pPr>
            <w:r>
              <w:rPr>
                <w:sz w:val="24"/>
              </w:rPr>
              <w:t>本项目营运期厂界噪声执行《</w:t>
            </w:r>
            <w:bookmarkStart w:id="21" w:name="OLE_LINK25"/>
            <w:r>
              <w:rPr>
                <w:sz w:val="24"/>
              </w:rPr>
              <w:t>工业企业厂界环境噪声排放标准</w:t>
            </w:r>
            <w:bookmarkEnd w:id="21"/>
            <w:r>
              <w:rPr>
                <w:sz w:val="24"/>
              </w:rPr>
              <w:t>》（GB 12348-2008）</w:t>
            </w:r>
            <w:r>
              <w:rPr>
                <w:rFonts w:hint="eastAsia"/>
                <w:sz w:val="24"/>
              </w:rPr>
              <w:t>3</w:t>
            </w:r>
            <w:r>
              <w:rPr>
                <w:sz w:val="24"/>
              </w:rPr>
              <w:t>类标准，具体如表3-7所示。</w:t>
            </w:r>
          </w:p>
          <w:p>
            <w:pPr>
              <w:adjustRightInd w:val="0"/>
              <w:snapToGrid w:val="0"/>
              <w:jc w:val="center"/>
              <w:rPr>
                <w:b/>
                <w:bCs/>
              </w:rPr>
            </w:pPr>
            <w:r>
              <w:rPr>
                <w:b/>
                <w:bCs/>
              </w:rPr>
              <w:t>表 3-</w:t>
            </w:r>
            <w:r>
              <w:rPr>
                <w:rFonts w:hint="eastAsia"/>
                <w:b/>
                <w:bCs/>
              </w:rPr>
              <w:t>11</w:t>
            </w:r>
            <w:r>
              <w:rPr>
                <w:b/>
                <w:bCs/>
              </w:rPr>
              <w:t xml:space="preserve"> 项目噪声污染物排放标准一览表</w:t>
            </w:r>
          </w:p>
          <w:tbl>
            <w:tblPr>
              <w:tblStyle w:val="21"/>
              <w:tblW w:w="775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3900"/>
              <w:gridCol w:w="1237"/>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417" w:type="dxa"/>
                  <w:vMerge w:val="restart"/>
                </w:tcPr>
                <w:p>
                  <w:pPr>
                    <w:pStyle w:val="59"/>
                    <w:spacing w:before="9"/>
                    <w:rPr>
                      <w:rFonts w:ascii="Times New Roman"/>
                      <w:sz w:val="22"/>
                    </w:rPr>
                  </w:pPr>
                </w:p>
                <w:p>
                  <w:pPr>
                    <w:pStyle w:val="59"/>
                    <w:ind w:left="489" w:right="480"/>
                    <w:jc w:val="center"/>
                  </w:pPr>
                  <w:r>
                    <w:t>时期</w:t>
                  </w:r>
                </w:p>
              </w:tc>
              <w:tc>
                <w:tcPr>
                  <w:tcW w:w="3900" w:type="dxa"/>
                  <w:vMerge w:val="restart"/>
                </w:tcPr>
                <w:p>
                  <w:pPr>
                    <w:pStyle w:val="59"/>
                    <w:ind w:left="1538" w:right="1531"/>
                    <w:jc w:val="center"/>
                  </w:pPr>
                  <w:r>
                    <w:t>执行标准</w:t>
                  </w:r>
                </w:p>
              </w:tc>
              <w:tc>
                <w:tcPr>
                  <w:tcW w:w="2437" w:type="dxa"/>
                  <w:gridSpan w:val="2"/>
                </w:tcPr>
                <w:p>
                  <w:pPr>
                    <w:pStyle w:val="59"/>
                    <w:spacing w:before="63"/>
                    <w:ind w:left="614"/>
                    <w:rPr>
                      <w:rFonts w:ascii="Times New Roman" w:eastAsia="Times New Roman"/>
                    </w:rPr>
                  </w:pPr>
                  <w:r>
                    <w:t>标准值</w:t>
                  </w:r>
                  <w:r>
                    <w:rPr>
                      <w:rFonts w:ascii="Times New Roman" w:eastAsia="Times New Roman"/>
                    </w:rPr>
                    <w:t>(dB(A))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417" w:type="dxa"/>
                  <w:vMerge w:val="continue"/>
                  <w:tcBorders>
                    <w:top w:val="nil"/>
                  </w:tcBorders>
                </w:tcPr>
                <w:p>
                  <w:pPr>
                    <w:rPr>
                      <w:sz w:val="2"/>
                      <w:szCs w:val="2"/>
                    </w:rPr>
                  </w:pPr>
                </w:p>
              </w:tc>
              <w:tc>
                <w:tcPr>
                  <w:tcW w:w="3900" w:type="dxa"/>
                  <w:vMerge w:val="continue"/>
                  <w:tcBorders>
                    <w:top w:val="nil"/>
                  </w:tcBorders>
                </w:tcPr>
                <w:p>
                  <w:pPr>
                    <w:rPr>
                      <w:sz w:val="2"/>
                      <w:szCs w:val="2"/>
                    </w:rPr>
                  </w:pPr>
                </w:p>
              </w:tc>
              <w:tc>
                <w:tcPr>
                  <w:tcW w:w="1237" w:type="dxa"/>
                </w:tcPr>
                <w:p>
                  <w:pPr>
                    <w:pStyle w:val="59"/>
                    <w:spacing w:before="63"/>
                    <w:ind w:left="398" w:right="391"/>
                    <w:jc w:val="center"/>
                  </w:pPr>
                  <w:r>
                    <w:t>昼间</w:t>
                  </w:r>
                </w:p>
              </w:tc>
              <w:tc>
                <w:tcPr>
                  <w:tcW w:w="1200" w:type="dxa"/>
                </w:tcPr>
                <w:p>
                  <w:pPr>
                    <w:pStyle w:val="59"/>
                    <w:spacing w:before="63"/>
                    <w:ind w:left="92" w:right="85"/>
                    <w:jc w:val="center"/>
                  </w:pPr>
                  <w: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417" w:type="dxa"/>
                </w:tcPr>
                <w:p>
                  <w:pPr>
                    <w:pStyle w:val="59"/>
                    <w:spacing w:before="138"/>
                    <w:ind w:left="402"/>
                  </w:pPr>
                  <w:r>
                    <w:t>营运期</w:t>
                  </w:r>
                </w:p>
              </w:tc>
              <w:tc>
                <w:tcPr>
                  <w:tcW w:w="3900" w:type="dxa"/>
                </w:tcPr>
                <w:p>
                  <w:pPr>
                    <w:pStyle w:val="59"/>
                    <w:spacing w:before="1"/>
                    <w:ind w:left="350"/>
                  </w:pPr>
                  <w:r>
                    <w:t>《工业企业厂界环境噪声排放标准》</w:t>
                  </w:r>
                </w:p>
                <w:p>
                  <w:pPr>
                    <w:pStyle w:val="59"/>
                    <w:spacing w:before="4" w:line="252" w:lineRule="exact"/>
                    <w:ind w:left="930"/>
                  </w:pPr>
                  <w:r>
                    <w:t>（</w:t>
                  </w:r>
                  <w:r>
                    <w:rPr>
                      <w:rFonts w:ascii="Times New Roman" w:eastAsia="Times New Roman"/>
                    </w:rPr>
                    <w:t>GB12348-2008</w:t>
                  </w:r>
                  <w:r>
                    <w:t>）</w:t>
                  </w:r>
                  <w:r>
                    <w:rPr>
                      <w:rFonts w:ascii="Times New Roman" w:eastAsia="Times New Roman"/>
                    </w:rPr>
                    <w:t>3</w:t>
                  </w:r>
                  <w:r>
                    <w:t>类</w:t>
                  </w:r>
                </w:p>
              </w:tc>
              <w:tc>
                <w:tcPr>
                  <w:tcW w:w="1237" w:type="dxa"/>
                </w:tcPr>
                <w:p>
                  <w:pPr>
                    <w:pStyle w:val="59"/>
                    <w:spacing w:before="144"/>
                    <w:ind w:left="398" w:right="391"/>
                    <w:jc w:val="center"/>
                    <w:rPr>
                      <w:rFonts w:ascii="Times New Roman"/>
                    </w:rPr>
                  </w:pPr>
                  <w:r>
                    <w:rPr>
                      <w:rFonts w:ascii="Times New Roman"/>
                    </w:rPr>
                    <w:t>65</w:t>
                  </w:r>
                </w:p>
              </w:tc>
              <w:tc>
                <w:tcPr>
                  <w:tcW w:w="1200" w:type="dxa"/>
                </w:tcPr>
                <w:p>
                  <w:pPr>
                    <w:pStyle w:val="59"/>
                    <w:spacing w:before="144"/>
                    <w:ind w:left="91" w:right="85"/>
                    <w:jc w:val="center"/>
                    <w:rPr>
                      <w:rFonts w:ascii="Times New Roman"/>
                    </w:rPr>
                  </w:pPr>
                  <w:r>
                    <w:rPr>
                      <w:rFonts w:ascii="Times New Roman"/>
                    </w:rPr>
                    <w:t>55</w:t>
                  </w:r>
                </w:p>
              </w:tc>
            </w:tr>
          </w:tbl>
          <w:p>
            <w:pPr>
              <w:snapToGrid w:val="0"/>
              <w:spacing w:line="480" w:lineRule="exact"/>
              <w:jc w:val="left"/>
              <w:rPr>
                <w:b/>
                <w:sz w:val="24"/>
              </w:rPr>
            </w:pPr>
            <w:r>
              <w:rPr>
                <w:b/>
                <w:sz w:val="24"/>
              </w:rPr>
              <w:t>3.3.4、固体废物控制标准</w:t>
            </w:r>
          </w:p>
          <w:p>
            <w:pPr>
              <w:pStyle w:val="19"/>
              <w:spacing w:after="0" w:line="480" w:lineRule="exact"/>
              <w:ind w:firstLine="480" w:firstLineChars="200"/>
              <w:rPr>
                <w:sz w:val="24"/>
              </w:rPr>
            </w:pPr>
            <w:r>
              <w:rPr>
                <w:sz w:val="24"/>
              </w:rPr>
              <w:t>一般固体废物执行《一般工业固体废物贮存和填埋污染控制标准》（GB 18599-2020）；生活垃圾执行《生活垃圾焚烧污染控制标准》（GB18485-2014）；危险废物执行《危险废物贮存污染控制标准》（GB18597-2001）及2013年修改单的要求。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 w:type="dxa"/>
            <w:vAlign w:val="center"/>
          </w:tcPr>
          <w:p>
            <w:pPr>
              <w:adjustRightInd w:val="0"/>
              <w:snapToGrid w:val="0"/>
              <w:jc w:val="center"/>
              <w:rPr>
                <w:rFonts w:cs="宋体"/>
                <w:kern w:val="21"/>
                <w:sz w:val="24"/>
                <w:szCs w:val="21"/>
              </w:rPr>
            </w:pPr>
            <w:r>
              <w:rPr>
                <w:rFonts w:hint="eastAsia" w:cs="宋体"/>
                <w:kern w:val="21"/>
                <w:sz w:val="24"/>
                <w:szCs w:val="21"/>
              </w:rPr>
              <w:t>总量</w:t>
            </w:r>
          </w:p>
          <w:p>
            <w:pPr>
              <w:adjustRightInd w:val="0"/>
              <w:snapToGrid w:val="0"/>
              <w:jc w:val="center"/>
              <w:rPr>
                <w:rFonts w:cs="宋体"/>
                <w:kern w:val="21"/>
                <w:sz w:val="24"/>
                <w:szCs w:val="21"/>
              </w:rPr>
            </w:pPr>
            <w:r>
              <w:rPr>
                <w:rFonts w:hint="eastAsia" w:cs="宋体"/>
                <w:kern w:val="21"/>
                <w:sz w:val="24"/>
                <w:szCs w:val="21"/>
              </w:rPr>
              <w:t>控制</w:t>
            </w:r>
          </w:p>
          <w:p>
            <w:pPr>
              <w:adjustRightInd w:val="0"/>
              <w:snapToGrid w:val="0"/>
              <w:jc w:val="center"/>
              <w:rPr>
                <w:rFonts w:cs="宋体"/>
                <w:kern w:val="21"/>
                <w:sz w:val="24"/>
                <w:szCs w:val="21"/>
              </w:rPr>
            </w:pPr>
            <w:r>
              <w:rPr>
                <w:rFonts w:hint="eastAsia" w:cs="宋体"/>
                <w:kern w:val="21"/>
                <w:sz w:val="24"/>
                <w:szCs w:val="21"/>
              </w:rPr>
              <w:t>指标</w:t>
            </w:r>
          </w:p>
        </w:tc>
        <w:tc>
          <w:tcPr>
            <w:tcW w:w="7985" w:type="dxa"/>
            <w:vAlign w:val="center"/>
          </w:tcPr>
          <w:p>
            <w:pPr>
              <w:adjustRightInd w:val="0"/>
              <w:snapToGrid w:val="0"/>
              <w:spacing w:line="480" w:lineRule="exact"/>
              <w:ind w:firstLine="480" w:firstLineChars="200"/>
              <w:rPr>
                <w:sz w:val="24"/>
              </w:rPr>
            </w:pPr>
            <w:r>
              <w:rPr>
                <w:sz w:val="24"/>
              </w:rPr>
              <w:t>根据国家对实施污染物排放总量控制的要求</w:t>
            </w:r>
            <w:r>
              <w:rPr>
                <w:rFonts w:hint="eastAsia"/>
                <w:sz w:val="24"/>
              </w:rPr>
              <w:t>，</w:t>
            </w:r>
            <w:r>
              <w:rPr>
                <w:sz w:val="24"/>
              </w:rPr>
              <w:t>本项目营运期外排废水主要为生活污水，经预处理达到《污水综合排放标准》（GB8978-1996）表4中的三级标准后通过园区市政污水管网排入益阳</w:t>
            </w:r>
            <w:r>
              <w:rPr>
                <w:rFonts w:hint="eastAsia"/>
                <w:sz w:val="24"/>
                <w:lang w:val="en-US" w:eastAsia="zh-CN"/>
              </w:rPr>
              <w:t>城东</w:t>
            </w:r>
            <w:r>
              <w:rPr>
                <w:sz w:val="24"/>
              </w:rPr>
              <w:t>污水处理厂处理达《城镇污水处理厂污染物排放标准》（GB18918-2002）一级A标准后排入碾子河，最终汇入撇洪新河。</w:t>
            </w:r>
          </w:p>
          <w:p>
            <w:pPr>
              <w:adjustRightInd w:val="0"/>
              <w:snapToGrid w:val="0"/>
              <w:spacing w:line="480" w:lineRule="exact"/>
              <w:ind w:firstLine="480" w:firstLineChars="200"/>
              <w:rPr>
                <w:sz w:val="24"/>
              </w:rPr>
            </w:pPr>
            <w:r>
              <w:rPr>
                <w:sz w:val="24"/>
              </w:rPr>
              <w:t>废水中COD、NH</w:t>
            </w:r>
            <w:r>
              <w:rPr>
                <w:sz w:val="24"/>
                <w:vertAlign w:val="subscript"/>
              </w:rPr>
              <w:t>3</w:t>
            </w:r>
            <w:r>
              <w:rPr>
                <w:sz w:val="24"/>
              </w:rPr>
              <w:t>-N总量纳入益阳</w:t>
            </w:r>
            <w:r>
              <w:rPr>
                <w:rFonts w:hint="eastAsia"/>
                <w:sz w:val="24"/>
                <w:lang w:val="en-US" w:eastAsia="zh-CN"/>
              </w:rPr>
              <w:t>城东</w:t>
            </w:r>
            <w:r>
              <w:rPr>
                <w:sz w:val="24"/>
              </w:rPr>
              <w:t>污水处理厂的总量控制指标中，本环评不建议另设COD、NH</w:t>
            </w:r>
            <w:r>
              <w:rPr>
                <w:sz w:val="24"/>
                <w:vertAlign w:val="subscript"/>
              </w:rPr>
              <w:t>3</w:t>
            </w:r>
            <w:r>
              <w:rPr>
                <w:sz w:val="24"/>
              </w:rPr>
              <w:t>-N总量控制指标。</w:t>
            </w:r>
          </w:p>
          <w:p>
            <w:pPr>
              <w:adjustRightInd w:val="0"/>
              <w:snapToGrid w:val="0"/>
              <w:spacing w:line="480" w:lineRule="exact"/>
              <w:ind w:firstLine="480" w:firstLineChars="200"/>
              <w:rPr>
                <w:sz w:val="24"/>
              </w:rPr>
            </w:pPr>
            <w:r>
              <w:rPr>
                <w:sz w:val="24"/>
              </w:rPr>
              <w:t>本项目营运期挥发性有机物VOCs（以非甲烷总烃表征）排放量为 0.498t/a，总量控制指标建议0.5</w:t>
            </w:r>
            <w:r>
              <w:rPr>
                <w:rFonts w:hint="eastAsia"/>
                <w:lang w:val="en-US" w:eastAsia="zh-CN"/>
              </w:rPr>
              <w:t>6</w:t>
            </w:r>
            <w:r>
              <w:rPr>
                <w:sz w:val="24"/>
              </w:rPr>
              <w:t>t/a。</w:t>
            </w:r>
          </w:p>
          <w:p>
            <w:pPr>
              <w:adjustRightInd w:val="0"/>
              <w:snapToGrid w:val="0"/>
              <w:spacing w:line="480" w:lineRule="exact"/>
              <w:ind w:firstLine="480" w:firstLineChars="200"/>
              <w:rPr>
                <w:rFonts w:cs="宋体"/>
                <w:kern w:val="21"/>
                <w:sz w:val="24"/>
                <w:szCs w:val="21"/>
              </w:rPr>
            </w:pPr>
            <w:r>
              <w:rPr>
                <w:sz w:val="24"/>
              </w:rPr>
              <w:t>VOCs总量指标实行倍量削减替代，近年来，益阳市在VOCs治理方面成绩显著，关闭了20多家废旧塑料造生产编制袋的企业，对加油加气站均安装了一次回收和二次回收的油气回收装置，对全市的汽车4S店、汽车维修厂的喷漆房安装了有机废气处理装置，VOCs的排放量大大减少，此次 VOCs总量可通过消减替代。</w:t>
            </w:r>
          </w:p>
        </w:tc>
      </w:tr>
    </w:tbl>
    <w:p>
      <w:pPr>
        <w:pStyle w:val="17"/>
        <w:adjustRightInd w:val="0"/>
        <w:snapToGrid w:val="0"/>
        <w:jc w:val="center"/>
        <w:outlineLvl w:val="0"/>
        <w:rPr>
          <w:rFonts w:ascii="黑体" w:hAnsi="黑体" w:eastAsia="黑体"/>
          <w:snapToGrid w:val="0"/>
          <w:kern w:val="21"/>
          <w:sz w:val="30"/>
          <w:szCs w:val="30"/>
        </w:rPr>
      </w:pPr>
      <w:r>
        <w:rPr>
          <w:rFonts w:ascii="黑体" w:hAnsi="黑体" w:eastAsia="黑体"/>
          <w:snapToGrid w:val="0"/>
          <w:color w:val="0000FF"/>
          <w:kern w:val="21"/>
          <w:sz w:val="36"/>
          <w:szCs w:val="36"/>
        </w:rPr>
        <w:br w:type="page"/>
      </w:r>
      <w:bookmarkStart w:id="22" w:name="_Toc23645"/>
      <w:r>
        <w:rPr>
          <w:rFonts w:hint="eastAsia" w:ascii="黑体" w:hAnsi="黑体" w:eastAsia="黑体"/>
          <w:snapToGrid w:val="0"/>
          <w:kern w:val="21"/>
          <w:sz w:val="30"/>
          <w:szCs w:val="30"/>
        </w:rPr>
        <w:t>四、主要环境影响和保护措施</w:t>
      </w:r>
      <w:bookmarkEnd w:id="22"/>
    </w:p>
    <w:tbl>
      <w:tblPr>
        <w:tblStyle w:val="21"/>
        <w:tblW w:w="87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6"/>
        <w:gridCol w:w="84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14" w:hRule="atLeast"/>
          <w:jc w:val="center"/>
        </w:trPr>
        <w:tc>
          <w:tcPr>
            <w:tcW w:w="296" w:type="dxa"/>
            <w:tcMar>
              <w:left w:w="28" w:type="dxa"/>
              <w:right w:w="28" w:type="dxa"/>
            </w:tcMar>
            <w:vAlign w:val="center"/>
          </w:tcPr>
          <w:p>
            <w:pPr>
              <w:pStyle w:val="17"/>
              <w:adjustRightInd w:val="0"/>
              <w:snapToGrid w:val="0"/>
              <w:spacing w:before="0" w:beforeAutospacing="0" w:after="0" w:afterAutospacing="0"/>
              <w:jc w:val="center"/>
              <w:rPr>
                <w:rFonts w:ascii="Times New Roman" w:hAnsi="Times New Roman" w:cs="宋体"/>
                <w:kern w:val="21"/>
                <w:szCs w:val="21"/>
              </w:rPr>
            </w:pPr>
            <w:r>
              <w:rPr>
                <w:rFonts w:hint="eastAsia" w:ascii="Times New Roman" w:hAnsi="Times New Roman" w:cs="宋体"/>
                <w:kern w:val="21"/>
                <w:szCs w:val="21"/>
              </w:rPr>
              <w:t>施工</w:t>
            </w:r>
          </w:p>
          <w:p>
            <w:pPr>
              <w:pStyle w:val="17"/>
              <w:adjustRightInd w:val="0"/>
              <w:snapToGrid w:val="0"/>
              <w:spacing w:before="0" w:beforeAutospacing="0" w:after="0" w:afterAutospacing="0"/>
              <w:jc w:val="center"/>
              <w:rPr>
                <w:rFonts w:ascii="Times New Roman" w:hAnsi="Times New Roman" w:cs="宋体"/>
                <w:kern w:val="21"/>
                <w:szCs w:val="21"/>
              </w:rPr>
            </w:pPr>
            <w:r>
              <w:rPr>
                <w:rFonts w:hint="eastAsia" w:ascii="Times New Roman" w:hAnsi="Times New Roman" w:cs="宋体"/>
                <w:kern w:val="21"/>
                <w:szCs w:val="21"/>
              </w:rPr>
              <w:t>期环</w:t>
            </w:r>
          </w:p>
          <w:p>
            <w:pPr>
              <w:pStyle w:val="17"/>
              <w:adjustRightInd w:val="0"/>
              <w:snapToGrid w:val="0"/>
              <w:spacing w:before="0" w:beforeAutospacing="0" w:after="0" w:afterAutospacing="0"/>
              <w:jc w:val="center"/>
              <w:rPr>
                <w:rFonts w:ascii="Times New Roman" w:hAnsi="Times New Roman" w:cs="宋体"/>
                <w:kern w:val="21"/>
                <w:szCs w:val="21"/>
              </w:rPr>
            </w:pPr>
            <w:r>
              <w:rPr>
                <w:rFonts w:hint="eastAsia" w:ascii="Times New Roman" w:hAnsi="Times New Roman" w:cs="宋体"/>
                <w:kern w:val="21"/>
                <w:szCs w:val="21"/>
              </w:rPr>
              <w:t>境保</w:t>
            </w:r>
          </w:p>
          <w:p>
            <w:pPr>
              <w:pStyle w:val="17"/>
              <w:adjustRightInd w:val="0"/>
              <w:snapToGrid w:val="0"/>
              <w:spacing w:before="0" w:beforeAutospacing="0" w:after="0" w:afterAutospacing="0"/>
              <w:jc w:val="center"/>
              <w:rPr>
                <w:rFonts w:ascii="Times New Roman" w:hAnsi="Times New Roman" w:cs="宋体"/>
                <w:kern w:val="21"/>
                <w:szCs w:val="21"/>
              </w:rPr>
            </w:pPr>
            <w:r>
              <w:rPr>
                <w:rFonts w:hint="eastAsia" w:ascii="Times New Roman" w:hAnsi="Times New Roman" w:cs="宋体"/>
                <w:kern w:val="21"/>
                <w:szCs w:val="21"/>
              </w:rPr>
              <w:t>护措</w:t>
            </w:r>
          </w:p>
          <w:p>
            <w:pPr>
              <w:pStyle w:val="17"/>
              <w:adjustRightInd w:val="0"/>
              <w:snapToGrid w:val="0"/>
              <w:spacing w:before="0" w:beforeAutospacing="0" w:after="0" w:afterAutospacing="0"/>
              <w:jc w:val="center"/>
              <w:rPr>
                <w:rFonts w:ascii="Times New Roman" w:hAnsi="Times New Roman" w:cs="宋体"/>
                <w:bCs/>
                <w:kern w:val="21"/>
                <w:szCs w:val="21"/>
              </w:rPr>
            </w:pPr>
            <w:r>
              <w:rPr>
                <w:rFonts w:hint="eastAsia" w:ascii="Times New Roman" w:hAnsi="Times New Roman" w:cs="宋体"/>
                <w:kern w:val="21"/>
                <w:szCs w:val="21"/>
              </w:rPr>
              <w:t>施</w:t>
            </w:r>
          </w:p>
        </w:tc>
        <w:tc>
          <w:tcPr>
            <w:tcW w:w="8496" w:type="dxa"/>
            <w:vAlign w:val="center"/>
          </w:tcPr>
          <w:p>
            <w:pPr>
              <w:adjustRightInd w:val="0"/>
              <w:snapToGrid w:val="0"/>
              <w:spacing w:line="480" w:lineRule="exact"/>
              <w:ind w:firstLine="480" w:firstLineChars="200"/>
              <w:rPr>
                <w:sz w:val="24"/>
              </w:rPr>
            </w:pPr>
            <w:r>
              <w:rPr>
                <w:rFonts w:hint="eastAsia" w:cs="宋体"/>
                <w:sz w:val="24"/>
              </w:rPr>
              <w:t>本项目租赁益阳市龙舟农机制造有限公司现有闲置厂房进行生产，只需对设备进行安装和调试，安装设备会产生一定的噪声。因施工期短，这些环境影响随着施工期的结束而结束，不会对周边环境造成明显的环境影响，因此，本次环评不对施工期环境保护措施进行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6" w:type="dxa"/>
            <w:tcMar>
              <w:left w:w="28" w:type="dxa"/>
              <w:right w:w="28" w:type="dxa"/>
            </w:tcMar>
            <w:vAlign w:val="center"/>
          </w:tcPr>
          <w:p>
            <w:pPr>
              <w:adjustRightInd w:val="0"/>
              <w:snapToGrid w:val="0"/>
              <w:jc w:val="center"/>
              <w:rPr>
                <w:rFonts w:cs="宋体"/>
                <w:bCs/>
                <w:kern w:val="21"/>
                <w:sz w:val="24"/>
                <w:szCs w:val="21"/>
              </w:rPr>
            </w:pPr>
            <w:r>
              <w:rPr>
                <w:rFonts w:hint="eastAsia" w:cs="宋体"/>
                <w:bCs/>
                <w:kern w:val="21"/>
                <w:sz w:val="24"/>
                <w:szCs w:val="21"/>
              </w:rPr>
              <w:t>运营</w:t>
            </w:r>
          </w:p>
          <w:p>
            <w:pPr>
              <w:adjustRightInd w:val="0"/>
              <w:snapToGrid w:val="0"/>
              <w:jc w:val="center"/>
              <w:rPr>
                <w:rFonts w:cs="宋体"/>
                <w:bCs/>
                <w:kern w:val="21"/>
                <w:sz w:val="24"/>
                <w:szCs w:val="21"/>
              </w:rPr>
            </w:pPr>
            <w:r>
              <w:rPr>
                <w:rFonts w:hint="eastAsia" w:cs="宋体"/>
                <w:bCs/>
                <w:kern w:val="21"/>
                <w:sz w:val="24"/>
                <w:szCs w:val="21"/>
              </w:rPr>
              <w:t>期环</w:t>
            </w:r>
          </w:p>
          <w:p>
            <w:pPr>
              <w:adjustRightInd w:val="0"/>
              <w:snapToGrid w:val="0"/>
              <w:jc w:val="center"/>
              <w:rPr>
                <w:rFonts w:cs="宋体"/>
                <w:bCs/>
                <w:kern w:val="21"/>
                <w:sz w:val="24"/>
                <w:szCs w:val="21"/>
              </w:rPr>
            </w:pPr>
            <w:r>
              <w:rPr>
                <w:rFonts w:hint="eastAsia" w:cs="宋体"/>
                <w:bCs/>
                <w:kern w:val="21"/>
                <w:sz w:val="24"/>
                <w:szCs w:val="21"/>
              </w:rPr>
              <w:t>境影</w:t>
            </w:r>
          </w:p>
          <w:p>
            <w:pPr>
              <w:adjustRightInd w:val="0"/>
              <w:snapToGrid w:val="0"/>
              <w:jc w:val="center"/>
              <w:rPr>
                <w:rFonts w:cs="宋体"/>
                <w:bCs/>
                <w:kern w:val="21"/>
                <w:sz w:val="24"/>
                <w:szCs w:val="21"/>
              </w:rPr>
            </w:pPr>
            <w:r>
              <w:rPr>
                <w:rFonts w:hint="eastAsia" w:cs="宋体"/>
                <w:bCs/>
                <w:kern w:val="21"/>
                <w:sz w:val="24"/>
                <w:szCs w:val="21"/>
              </w:rPr>
              <w:t>响和</w:t>
            </w:r>
          </w:p>
          <w:p>
            <w:pPr>
              <w:adjustRightInd w:val="0"/>
              <w:snapToGrid w:val="0"/>
              <w:jc w:val="center"/>
              <w:rPr>
                <w:rFonts w:cs="宋体"/>
                <w:bCs/>
                <w:kern w:val="21"/>
                <w:sz w:val="24"/>
                <w:szCs w:val="21"/>
              </w:rPr>
            </w:pPr>
            <w:r>
              <w:rPr>
                <w:rFonts w:hint="eastAsia" w:cs="宋体"/>
                <w:bCs/>
                <w:kern w:val="21"/>
                <w:sz w:val="24"/>
                <w:szCs w:val="21"/>
              </w:rPr>
              <w:t>保护</w:t>
            </w:r>
          </w:p>
          <w:p>
            <w:pPr>
              <w:adjustRightInd w:val="0"/>
              <w:snapToGrid w:val="0"/>
              <w:jc w:val="center"/>
              <w:rPr>
                <w:rFonts w:cs="宋体"/>
                <w:bCs/>
                <w:color w:val="0000FF"/>
                <w:kern w:val="21"/>
                <w:sz w:val="24"/>
                <w:szCs w:val="21"/>
              </w:rPr>
            </w:pPr>
            <w:r>
              <w:rPr>
                <w:rFonts w:hint="eastAsia" w:cs="宋体"/>
                <w:bCs/>
                <w:kern w:val="21"/>
                <w:sz w:val="24"/>
                <w:szCs w:val="21"/>
              </w:rPr>
              <w:t>措施</w:t>
            </w:r>
          </w:p>
        </w:tc>
        <w:tc>
          <w:tcPr>
            <w:tcW w:w="8496" w:type="dxa"/>
            <w:vAlign w:val="center"/>
          </w:tcPr>
          <w:p>
            <w:pPr>
              <w:snapToGrid w:val="0"/>
              <w:spacing w:line="360" w:lineRule="auto"/>
              <w:jc w:val="left"/>
              <w:rPr>
                <w:b/>
                <w:sz w:val="24"/>
              </w:rPr>
            </w:pPr>
            <w:r>
              <w:rPr>
                <w:rFonts w:hint="eastAsia"/>
                <w:b/>
                <w:sz w:val="24"/>
              </w:rPr>
              <w:t>4.1、废气</w:t>
            </w:r>
          </w:p>
          <w:p>
            <w:pPr>
              <w:pStyle w:val="27"/>
              <w:spacing w:line="360" w:lineRule="auto"/>
              <w:rPr>
                <w:rFonts w:ascii="Times New Roman" w:hAnsi="Times New Roman" w:cs="Times New Roman"/>
                <w:color w:val="auto"/>
                <w:kern w:val="2"/>
              </w:rPr>
            </w:pPr>
            <w:r>
              <w:rPr>
                <w:rFonts w:hint="eastAsia" w:ascii="Times New Roman" w:hAnsi="Times New Roman" w:cs="Times New Roman"/>
                <w:color w:val="auto"/>
                <w:kern w:val="2"/>
              </w:rPr>
              <w:t xml:space="preserve">   本项目营运过程中产生的废气主要包括破碎过程产生的少量粉尘和加热熔融挤出工序产生的有机废气和臭气。</w:t>
            </w:r>
          </w:p>
          <w:p>
            <w:pPr>
              <w:pStyle w:val="53"/>
              <w:spacing w:line="360" w:lineRule="auto"/>
              <w:rPr>
                <w:rFonts w:ascii="Times New Roman" w:hAnsi="Times New Roman"/>
                <w:b/>
                <w:color w:val="auto"/>
              </w:rPr>
            </w:pPr>
            <w:r>
              <w:rPr>
                <w:rFonts w:hint="eastAsia" w:ascii="Times New Roman" w:hAnsi="Times New Roman"/>
                <w:b/>
                <w:color w:val="auto"/>
              </w:rPr>
              <w:t>4.1.1、废气污染物源强</w:t>
            </w:r>
          </w:p>
          <w:p>
            <w:pPr>
              <w:spacing w:line="360" w:lineRule="auto"/>
              <w:ind w:firstLine="482" w:firstLineChars="200"/>
              <w:rPr>
                <w:b/>
                <w:kern w:val="0"/>
                <w:sz w:val="24"/>
              </w:rPr>
            </w:pPr>
            <w:r>
              <w:rPr>
                <w:b/>
                <w:kern w:val="0"/>
                <w:sz w:val="24"/>
              </w:rPr>
              <w:t>（1）破碎粉尘</w:t>
            </w:r>
          </w:p>
          <w:p>
            <w:pPr>
              <w:pStyle w:val="53"/>
              <w:spacing w:line="480" w:lineRule="exact"/>
              <w:ind w:firstLine="480" w:firstLineChars="200"/>
              <w:rPr>
                <w:rFonts w:ascii="Times New Roman" w:hAnsi="Times New Roman" w:cs="Times New Roman"/>
                <w:color w:val="auto"/>
                <w:kern w:val="2"/>
              </w:rPr>
            </w:pPr>
            <w:r>
              <w:rPr>
                <w:rFonts w:ascii="Times New Roman" w:hAnsi="Times New Roman" w:cs="Times New Roman"/>
                <w:color w:val="auto"/>
                <w:kern w:val="2"/>
              </w:rPr>
              <w:t>本项目破碎工序是在密闭的破碎机内进行，出料时会有少部分粉尘溢出，</w:t>
            </w:r>
            <w:r>
              <w:rPr>
                <w:rFonts w:hint="eastAsia" w:ascii="Times New Roman" w:hAnsi="Times New Roman" w:cs="Times New Roman"/>
                <w:color w:val="auto"/>
                <w:kern w:val="2"/>
                <w:lang w:val="en-US" w:eastAsia="zh-CN"/>
              </w:rPr>
              <w:t>参照</w:t>
            </w:r>
            <w:r>
              <w:rPr>
                <w:rFonts w:hint="eastAsia"/>
              </w:rPr>
              <w:t>《排放源统计调查产排污核算方法和系数手册》(42废弃资源综合利用行业系数手册)，颗粒物排放系数为425g/t-原料</w:t>
            </w:r>
            <w:r>
              <w:rPr>
                <w:rFonts w:ascii="Times New Roman" w:hAnsi="Times New Roman" w:cs="Times New Roman"/>
                <w:color w:val="auto"/>
                <w:kern w:val="2"/>
              </w:rPr>
              <w:t>，项目原料使用量为</w:t>
            </w:r>
            <w:r>
              <w:rPr>
                <w:rFonts w:hint="eastAsia" w:ascii="Times New Roman" w:hAnsi="Times New Roman" w:cs="Times New Roman"/>
                <w:color w:val="auto"/>
                <w:kern w:val="2"/>
                <w:lang w:val="en-US" w:eastAsia="zh-CN"/>
              </w:rPr>
              <w:t>500</w:t>
            </w:r>
            <w:r>
              <w:rPr>
                <w:rFonts w:hint="eastAsia" w:ascii="Times New Roman" w:hAnsi="Times New Roman" w:cs="Times New Roman"/>
                <w:color w:val="auto"/>
                <w:kern w:val="2"/>
              </w:rPr>
              <w:t>0</w:t>
            </w:r>
            <w:r>
              <w:rPr>
                <w:rFonts w:ascii="Times New Roman" w:hAnsi="Times New Roman" w:cs="Times New Roman"/>
                <w:color w:val="auto"/>
                <w:kern w:val="2"/>
              </w:rPr>
              <w:t>吨，则粉尘产生量为</w:t>
            </w:r>
            <w:r>
              <w:rPr>
                <w:rFonts w:hint="eastAsia" w:ascii="Times New Roman" w:hAnsi="Times New Roman" w:cs="Times New Roman"/>
                <w:color w:val="auto"/>
                <w:kern w:val="2"/>
                <w:lang w:val="en-US" w:eastAsia="zh-CN"/>
              </w:rPr>
              <w:t>2.125</w:t>
            </w:r>
            <w:r>
              <w:rPr>
                <w:rFonts w:ascii="Times New Roman" w:hAnsi="Times New Roman" w:cs="Times New Roman"/>
                <w:color w:val="auto"/>
                <w:kern w:val="2"/>
              </w:rPr>
              <w:t>t/a，</w:t>
            </w:r>
            <w:r>
              <w:rPr>
                <w:rFonts w:hint="eastAsia" w:ascii="Times New Roman" w:hAnsi="Times New Roman" w:cs="Times New Roman"/>
                <w:color w:val="auto"/>
                <w:kern w:val="2"/>
                <w:lang w:val="en-US" w:eastAsia="zh-CN"/>
              </w:rPr>
              <w:t>通过集气罩收集后进入布袋除尘器处理，处理达标后通过15米排气筒排放，集气罩收集效率为80%，布袋除尘器处理效率为99%，则项目粉尘有组织排放量为0.017t/a，排放效率为0.008kg/h；无组织排放量为0.425</w:t>
            </w:r>
            <w:r>
              <w:rPr>
                <w:rFonts w:hint="eastAsia" w:ascii="Times New Roman" w:hAnsi="Times New Roman" w:cs="Times New Roman"/>
                <w:color w:val="auto"/>
                <w:kern w:val="2"/>
              </w:rPr>
              <w:t>t/a</w:t>
            </w:r>
            <w:r>
              <w:rPr>
                <w:rFonts w:ascii="Times New Roman" w:hAnsi="Times New Roman" w:cs="Times New Roman"/>
                <w:color w:val="auto"/>
                <w:kern w:val="2"/>
              </w:rPr>
              <w:t>。</w:t>
            </w:r>
          </w:p>
          <w:p>
            <w:pPr>
              <w:pStyle w:val="53"/>
              <w:spacing w:line="480" w:lineRule="exact"/>
              <w:ind w:firstLine="482" w:firstLineChars="200"/>
              <w:rPr>
                <w:rFonts w:ascii="Times New Roman" w:hAnsi="Times New Roman" w:cs="Times New Roman"/>
                <w:b/>
                <w:bCs/>
                <w:color w:val="auto"/>
              </w:rPr>
            </w:pPr>
            <w:r>
              <w:rPr>
                <w:rFonts w:ascii="Times New Roman" w:hAnsi="Times New Roman" w:cs="Times New Roman"/>
                <w:b/>
                <w:bCs/>
                <w:color w:val="auto"/>
              </w:rPr>
              <w:t>（2）熔融废气</w:t>
            </w:r>
          </w:p>
          <w:p>
            <w:pPr>
              <w:pStyle w:val="53"/>
              <w:spacing w:line="480" w:lineRule="exact"/>
              <w:ind w:firstLine="480" w:firstLineChars="200"/>
              <w:rPr>
                <w:rFonts w:ascii="Times New Roman" w:hAnsi="Times New Roman" w:cs="Times New Roman"/>
                <w:color w:val="auto"/>
              </w:rPr>
            </w:pPr>
            <w:r>
              <w:rPr>
                <w:rFonts w:ascii="Times New Roman" w:hAnsi="Times New Roman" w:cs="Times New Roman"/>
                <w:color w:val="auto"/>
                <w:u w:val="single"/>
              </w:rPr>
              <w:t>项目通过热熔的方法进行加工，生产再生塑料颗粒。根据建设单位提供资料，造粒过程中不添加任何助剂或塑料改性剂，因此不存在由于新添加的有机助剂造成的污染物产生。项目再生塑料颗粒使用的原料为</w:t>
            </w:r>
            <w:r>
              <w:rPr>
                <w:rFonts w:hint="eastAsia" w:ascii="Times New Roman" w:hAnsi="Times New Roman" w:cs="Times New Roman"/>
                <w:color w:val="auto"/>
                <w:u w:val="single"/>
              </w:rPr>
              <w:t>EPS，EPS</w:t>
            </w:r>
            <w:r>
              <w:rPr>
                <w:rFonts w:ascii="Times New Roman" w:hAnsi="Times New Roman" w:cs="Times New Roman"/>
                <w:color w:val="auto"/>
                <w:u w:val="single"/>
              </w:rPr>
              <w:t>的熔点为132℃~135℃，分解温度为300℃左右。本项目热熔工序采用电能加热至</w:t>
            </w:r>
            <w:r>
              <w:rPr>
                <w:rFonts w:hint="eastAsia" w:ascii="Times New Roman" w:hAnsi="Times New Roman" w:cs="Times New Roman"/>
                <w:color w:val="auto"/>
                <w:u w:val="single"/>
              </w:rPr>
              <w:t>20</w:t>
            </w:r>
            <w:r>
              <w:rPr>
                <w:rFonts w:ascii="Times New Roman" w:hAnsi="Times New Roman" w:cs="Times New Roman"/>
                <w:color w:val="auto"/>
                <w:u w:val="single"/>
              </w:rPr>
              <w:t>0℃，温度控制在此范围内塑料不会发生裂解，仅为单纯物理变化，故无裂解废气产生；二噁英一般在250℃~800℃温度条件下产生，故本项目热熔挤出工序无二噁英产生；项目所用</w:t>
            </w:r>
            <w:r>
              <w:rPr>
                <w:rFonts w:hint="eastAsia" w:ascii="Times New Roman" w:hAnsi="Times New Roman" w:cs="Times New Roman"/>
                <w:color w:val="auto"/>
                <w:u w:val="single"/>
              </w:rPr>
              <w:t>原材料</w:t>
            </w:r>
            <w:r>
              <w:rPr>
                <w:rFonts w:ascii="Times New Roman" w:hAnsi="Times New Roman" w:cs="Times New Roman"/>
                <w:color w:val="auto"/>
                <w:u w:val="single"/>
              </w:rPr>
              <w:t>均不含卤素，故无HCl等废气产生。因此，本项目热熔成型工序产生的废气主要是</w:t>
            </w:r>
            <w:r>
              <w:rPr>
                <w:rFonts w:hint="eastAsia" w:ascii="Times New Roman" w:hAnsi="Times New Roman" w:cs="Times New Roman"/>
                <w:color w:val="auto"/>
                <w:u w:val="single"/>
                <w:lang w:val="en-US" w:eastAsia="zh-CN"/>
              </w:rPr>
              <w:t>VOCs（非甲烷总烃</w:t>
            </w:r>
            <w:r>
              <w:rPr>
                <w:rFonts w:ascii="Times New Roman" w:hAnsi="Times New Roman" w:cs="Times New Roman"/>
                <w:color w:val="auto"/>
                <w:u w:val="single"/>
              </w:rPr>
              <w:t>计</w:t>
            </w:r>
            <w:r>
              <w:rPr>
                <w:rFonts w:hint="eastAsia" w:ascii="Times New Roman" w:hAnsi="Times New Roman" w:cs="Times New Roman"/>
                <w:color w:val="auto"/>
                <w:u w:val="single"/>
                <w:lang w:val="en-US" w:eastAsia="zh-CN"/>
              </w:rPr>
              <w:t>）与苯乙烯</w:t>
            </w:r>
            <w:r>
              <w:rPr>
                <w:rFonts w:ascii="Times New Roman" w:hAnsi="Times New Roman" w:cs="Times New Roman"/>
                <w:color w:val="auto"/>
                <w:u w:val="single"/>
              </w:rPr>
              <w:t>。</w:t>
            </w:r>
          </w:p>
          <w:p>
            <w:pPr>
              <w:pStyle w:val="53"/>
              <w:spacing w:line="480" w:lineRule="exact"/>
              <w:ind w:firstLine="480" w:firstLineChars="200"/>
              <w:rPr>
                <w:rFonts w:ascii="Times New Roman" w:hAnsi="Times New Roman" w:cs="Times New Roman"/>
                <w:color w:val="auto"/>
                <w:u w:val="single"/>
              </w:rPr>
            </w:pPr>
            <w:r>
              <w:rPr>
                <w:rFonts w:ascii="Times New Roman" w:hAnsi="Times New Roman" w:cs="Times New Roman"/>
                <w:color w:val="auto"/>
                <w:u w:val="single"/>
              </w:rPr>
              <w:t>本次评价非甲烷总烃源强数值参考《第二次全国污染源普查产排污核算系数手册》中4220非金属废料和碎屑加工处理行业中废</w:t>
            </w:r>
            <w:r>
              <w:rPr>
                <w:rFonts w:hint="eastAsia" w:ascii="Times New Roman" w:hAnsi="Times New Roman" w:cs="Times New Roman"/>
                <w:color w:val="auto"/>
                <w:u w:val="single"/>
              </w:rPr>
              <w:t>塑料</w:t>
            </w:r>
            <w:r>
              <w:rPr>
                <w:rFonts w:ascii="Times New Roman" w:hAnsi="Times New Roman" w:cs="Times New Roman"/>
                <w:color w:val="auto"/>
                <w:u w:val="single"/>
              </w:rPr>
              <w:t>造粒挥发性有机废气产污系数350g/吨原料计算，本项目原料总量为</w:t>
            </w:r>
            <w:r>
              <w:rPr>
                <w:rFonts w:hint="eastAsia" w:ascii="Times New Roman" w:hAnsi="Times New Roman" w:cs="Times New Roman"/>
                <w:color w:val="auto"/>
                <w:u w:val="single"/>
                <w:lang w:val="en-US" w:eastAsia="zh-CN"/>
              </w:rPr>
              <w:t>500</w:t>
            </w:r>
            <w:r>
              <w:rPr>
                <w:rFonts w:hint="eastAsia" w:ascii="Times New Roman" w:hAnsi="Times New Roman" w:cs="Times New Roman"/>
                <w:color w:val="auto"/>
                <w:u w:val="single"/>
              </w:rPr>
              <w:t>0</w:t>
            </w:r>
            <w:r>
              <w:rPr>
                <w:rFonts w:ascii="Times New Roman" w:hAnsi="Times New Roman" w:cs="Times New Roman"/>
                <w:color w:val="auto"/>
                <w:u w:val="single"/>
              </w:rPr>
              <w:t>t，则有机废气产生量为</w:t>
            </w:r>
            <w:r>
              <w:rPr>
                <w:rFonts w:hint="eastAsia" w:ascii="Times New Roman" w:hAnsi="Times New Roman" w:cs="Times New Roman"/>
                <w:color w:val="auto"/>
                <w:u w:val="single"/>
                <w:lang w:val="en-US" w:eastAsia="zh-CN"/>
              </w:rPr>
              <w:t>1.75</w:t>
            </w:r>
            <w:r>
              <w:rPr>
                <w:rFonts w:ascii="Times New Roman" w:hAnsi="Times New Roman" w:cs="Times New Roman"/>
                <w:color w:val="auto"/>
                <w:u w:val="single"/>
              </w:rPr>
              <w:t>t/a。</w:t>
            </w:r>
          </w:p>
          <w:p>
            <w:pPr>
              <w:pStyle w:val="53"/>
              <w:spacing w:line="480" w:lineRule="exact"/>
              <w:ind w:firstLine="480" w:firstLineChars="200"/>
              <w:rPr>
                <w:rFonts w:hint="default" w:ascii="Times New Roman" w:hAnsi="Times New Roman" w:eastAsia="宋体" w:cs="Times New Roman"/>
                <w:color w:val="auto"/>
                <w:u w:val="single"/>
                <w:lang w:val="en-US" w:eastAsia="zh-CN"/>
              </w:rPr>
            </w:pPr>
            <w:r>
              <w:rPr>
                <w:rFonts w:hint="eastAsia" w:ascii="Times New Roman" w:hAnsi="Times New Roman" w:cs="Times New Roman"/>
                <w:color w:val="auto"/>
                <w:u w:val="single"/>
              </w:rPr>
              <w:t>EPS 熔融除了产生非甲烷总烃之外，还会产生苯乙烯。苯乙烯产生系数参照《可发性聚苯乙烯（EPS）树脂》（QB/T4009-2010）表 2 中的技术指标，可发性聚苯乙烯（EPS）树脂中苯乙烯含量不高于 0.6%，本次取 0.6%，在 135～200℃左右，由于本项目加工时间短，绝大部分单体仍包裹在聚合链中，没有挥发，未聚合的单体挥发量按单体总量的1%估算，单体中苯乙烯按30%计，即苯乙烯产污系数取为0.018kg/t（原料）</w:t>
            </w:r>
            <w:r>
              <w:rPr>
                <w:rFonts w:hint="eastAsia" w:ascii="Times New Roman" w:hAnsi="Times New Roman" w:cs="Times New Roman"/>
                <w:color w:val="auto"/>
                <w:u w:val="single"/>
                <w:lang w:eastAsia="zh-CN"/>
              </w:rPr>
              <w:t>，</w:t>
            </w:r>
            <w:r>
              <w:rPr>
                <w:rFonts w:hint="eastAsia" w:ascii="Times New Roman" w:hAnsi="Times New Roman" w:cs="Times New Roman"/>
                <w:color w:val="auto"/>
                <w:u w:val="single"/>
                <w:lang w:val="en-US" w:eastAsia="zh-CN"/>
              </w:rPr>
              <w:t>则本项目苯乙烯产生量为0.09t/a。</w:t>
            </w:r>
          </w:p>
          <w:p>
            <w:pPr>
              <w:pStyle w:val="53"/>
              <w:spacing w:line="480" w:lineRule="exact"/>
              <w:ind w:firstLine="480" w:firstLineChars="200"/>
              <w:rPr>
                <w:rFonts w:hint="eastAsia" w:ascii="Times New Roman" w:hAnsi="Times New Roman" w:cs="Times New Roman"/>
                <w:color w:val="auto"/>
                <w:u w:val="single"/>
                <w:lang w:eastAsia="zh-CN"/>
              </w:rPr>
            </w:pPr>
            <w:r>
              <w:rPr>
                <w:rFonts w:ascii="Times New Roman" w:hAnsi="Times New Roman" w:cs="Times New Roman"/>
                <w:color w:val="auto"/>
                <w:u w:val="single"/>
              </w:rPr>
              <w:t>本项目在造粒机组上方排气口设有集气罩，单个集气罩设计风量为</w:t>
            </w:r>
            <w:r>
              <w:rPr>
                <w:rFonts w:hint="eastAsia" w:ascii="Times New Roman" w:hAnsi="Times New Roman" w:cs="Times New Roman"/>
                <w:color w:val="auto"/>
                <w:u w:val="single"/>
                <w:lang w:val="en-US" w:eastAsia="zh-CN"/>
              </w:rPr>
              <w:t>10</w:t>
            </w:r>
            <w:r>
              <w:rPr>
                <w:rFonts w:ascii="Times New Roman" w:hAnsi="Times New Roman" w:cs="Times New Roman"/>
                <w:color w:val="auto"/>
                <w:u w:val="single"/>
              </w:rPr>
              <w:t>000m</w:t>
            </w:r>
            <w:r>
              <w:rPr>
                <w:rFonts w:ascii="Times New Roman" w:hAnsi="Times New Roman" w:cs="Times New Roman"/>
                <w:color w:val="auto"/>
                <w:u w:val="single"/>
                <w:vertAlign w:val="superscript"/>
              </w:rPr>
              <w:t>3</w:t>
            </w:r>
            <w:r>
              <w:rPr>
                <w:rFonts w:ascii="Times New Roman" w:hAnsi="Times New Roman" w:cs="Times New Roman"/>
                <w:color w:val="auto"/>
                <w:u w:val="single"/>
              </w:rPr>
              <w:t>/h，通过风机经废气接至废气处理措施，废气处理工艺为“</w:t>
            </w:r>
            <w:r>
              <w:rPr>
                <w:rFonts w:hint="eastAsia" w:ascii="Times New Roman" w:hAnsi="Times New Roman" w:cs="Times New Roman"/>
                <w:color w:val="auto"/>
                <w:u w:val="single"/>
                <w:lang w:val="en-US" w:eastAsia="zh-CN"/>
              </w:rPr>
              <w:t>喷淋+</w:t>
            </w:r>
            <w:r>
              <w:rPr>
                <w:rFonts w:hint="eastAsia" w:ascii="Times New Roman" w:hAnsi="Times New Roman" w:cs="Times New Roman"/>
                <w:color w:val="auto"/>
                <w:u w:val="single"/>
              </w:rPr>
              <w:t>UV</w:t>
            </w:r>
            <w:r>
              <w:rPr>
                <w:rFonts w:ascii="Times New Roman" w:hAnsi="Times New Roman" w:cs="Times New Roman"/>
                <w:color w:val="auto"/>
                <w:u w:val="single"/>
              </w:rPr>
              <w:t>光</w:t>
            </w:r>
            <w:r>
              <w:rPr>
                <w:rFonts w:hint="eastAsia" w:ascii="Times New Roman" w:hAnsi="Times New Roman" w:cs="Times New Roman"/>
                <w:color w:val="auto"/>
                <w:u w:val="single"/>
              </w:rPr>
              <w:t>解</w:t>
            </w:r>
            <w:r>
              <w:rPr>
                <w:rFonts w:ascii="Times New Roman" w:hAnsi="Times New Roman" w:cs="Times New Roman"/>
                <w:color w:val="auto"/>
                <w:u w:val="single"/>
              </w:rPr>
              <w:t xml:space="preserve">+活性炭吸附设备”，经处理后的废气经1根15m高排气筒排放。废气收集效率按 </w:t>
            </w:r>
            <w:r>
              <w:rPr>
                <w:rFonts w:hint="eastAsia" w:ascii="Times New Roman" w:hAnsi="Times New Roman" w:cs="Times New Roman"/>
                <w:color w:val="auto"/>
                <w:u w:val="single"/>
                <w:lang w:val="en-US" w:eastAsia="zh-CN"/>
              </w:rPr>
              <w:t>80</w:t>
            </w:r>
            <w:r>
              <w:rPr>
                <w:rFonts w:ascii="Times New Roman" w:hAnsi="Times New Roman" w:cs="Times New Roman"/>
                <w:color w:val="auto"/>
                <w:u w:val="single"/>
              </w:rPr>
              <w:t>%计，废气处理设施处理效率按</w:t>
            </w:r>
            <w:r>
              <w:rPr>
                <w:rFonts w:hint="eastAsia" w:ascii="Times New Roman" w:hAnsi="Times New Roman" w:cs="Times New Roman"/>
                <w:color w:val="auto"/>
                <w:u w:val="single"/>
                <w:lang w:val="en-US" w:eastAsia="zh-CN"/>
              </w:rPr>
              <w:t>60</w:t>
            </w:r>
            <w:r>
              <w:rPr>
                <w:rFonts w:ascii="Times New Roman" w:hAnsi="Times New Roman" w:cs="Times New Roman"/>
                <w:color w:val="auto"/>
                <w:u w:val="single"/>
              </w:rPr>
              <w:t>%计，则无组织挥发性有机废气VOCs（以非甲烷总烃计）排放量为</w:t>
            </w:r>
            <w:r>
              <w:rPr>
                <w:rFonts w:hint="eastAsia" w:ascii="Times New Roman" w:hAnsi="Times New Roman" w:cs="Times New Roman"/>
                <w:color w:val="auto"/>
                <w:u w:val="single"/>
                <w:lang w:val="en-US" w:eastAsia="zh-CN"/>
              </w:rPr>
              <w:t>0.35</w:t>
            </w:r>
            <w:r>
              <w:rPr>
                <w:rFonts w:ascii="Times New Roman" w:hAnsi="Times New Roman" w:cs="Times New Roman"/>
                <w:color w:val="auto"/>
                <w:u w:val="single"/>
              </w:rPr>
              <w:t>t/a；有组织挥发性有机废气 VOCs（以非甲烷总烃计）排放量为0.</w:t>
            </w:r>
            <w:r>
              <w:rPr>
                <w:rFonts w:hint="eastAsia" w:ascii="Times New Roman" w:hAnsi="Times New Roman" w:cs="Times New Roman"/>
                <w:color w:val="auto"/>
                <w:u w:val="single"/>
                <w:lang w:val="en-US" w:eastAsia="zh-CN"/>
              </w:rPr>
              <w:t>56</w:t>
            </w:r>
            <w:r>
              <w:rPr>
                <w:rFonts w:ascii="Times New Roman" w:hAnsi="Times New Roman" w:cs="Times New Roman"/>
                <w:color w:val="auto"/>
                <w:u w:val="single"/>
              </w:rPr>
              <w:t>t/a，</w:t>
            </w:r>
            <w:r>
              <w:rPr>
                <w:rFonts w:hint="eastAsia" w:ascii="Times New Roman" w:hAnsi="Times New Roman" w:cs="Times New Roman"/>
                <w:color w:val="auto"/>
                <w:u w:val="single"/>
                <w:lang w:val="en-US" w:eastAsia="zh-CN"/>
              </w:rPr>
              <w:t>排放速率为0.265kg/h，</w:t>
            </w:r>
            <w:r>
              <w:rPr>
                <w:rFonts w:ascii="Times New Roman" w:hAnsi="Times New Roman" w:cs="Times New Roman"/>
                <w:color w:val="auto"/>
                <w:u w:val="single"/>
              </w:rPr>
              <w:t>排放浓度为</w:t>
            </w:r>
            <w:r>
              <w:rPr>
                <w:rFonts w:hint="eastAsia" w:ascii="Times New Roman" w:hAnsi="Times New Roman" w:cs="Times New Roman"/>
                <w:color w:val="auto"/>
                <w:u w:val="single"/>
                <w:lang w:val="en-US" w:eastAsia="zh-CN"/>
              </w:rPr>
              <w:t>26.5</w:t>
            </w:r>
            <w:r>
              <w:rPr>
                <w:rFonts w:ascii="Times New Roman" w:hAnsi="Times New Roman" w:cs="Times New Roman"/>
                <w:color w:val="auto"/>
                <w:u w:val="single"/>
              </w:rPr>
              <w:t>mg/m</w:t>
            </w:r>
            <w:r>
              <w:rPr>
                <w:rFonts w:ascii="Times New Roman" w:hAnsi="Times New Roman" w:cs="Times New Roman"/>
                <w:color w:val="auto"/>
                <w:u w:val="single"/>
                <w:vertAlign w:val="superscript"/>
              </w:rPr>
              <w:t>3</w:t>
            </w:r>
            <w:r>
              <w:rPr>
                <w:rFonts w:hint="eastAsia" w:ascii="Times New Roman" w:hAnsi="Times New Roman" w:cs="Times New Roman"/>
                <w:color w:val="auto"/>
                <w:u w:val="single"/>
                <w:vertAlign w:val="baseline"/>
                <w:lang w:eastAsia="zh-CN"/>
              </w:rPr>
              <w:t>；</w:t>
            </w:r>
            <w:r>
              <w:rPr>
                <w:rFonts w:hint="eastAsia" w:ascii="Times New Roman" w:hAnsi="Times New Roman" w:cs="Times New Roman"/>
                <w:color w:val="auto"/>
                <w:u w:val="single"/>
                <w:lang w:val="en-US" w:eastAsia="zh-CN"/>
              </w:rPr>
              <w:t>苯乙烯无组织</w:t>
            </w:r>
            <w:r>
              <w:rPr>
                <w:rFonts w:ascii="Times New Roman" w:hAnsi="Times New Roman" w:cs="Times New Roman"/>
                <w:color w:val="auto"/>
                <w:u w:val="single"/>
              </w:rPr>
              <w:t>排放量为</w:t>
            </w:r>
            <w:r>
              <w:rPr>
                <w:rFonts w:hint="eastAsia" w:ascii="Times New Roman" w:hAnsi="Times New Roman" w:cs="Times New Roman"/>
                <w:color w:val="auto"/>
                <w:u w:val="single"/>
                <w:lang w:val="en-US" w:eastAsia="zh-CN"/>
              </w:rPr>
              <w:t>0.018t</w:t>
            </w:r>
            <w:r>
              <w:rPr>
                <w:rFonts w:ascii="Times New Roman" w:hAnsi="Times New Roman" w:cs="Times New Roman"/>
                <w:color w:val="auto"/>
                <w:u w:val="single"/>
              </w:rPr>
              <w:t>/a；</w:t>
            </w:r>
            <w:r>
              <w:rPr>
                <w:rFonts w:hint="eastAsia" w:ascii="Times New Roman" w:hAnsi="Times New Roman" w:cs="Times New Roman"/>
                <w:color w:val="auto"/>
                <w:u w:val="single"/>
                <w:lang w:val="en-US" w:eastAsia="zh-CN"/>
              </w:rPr>
              <w:t>苯乙烯</w:t>
            </w:r>
            <w:r>
              <w:rPr>
                <w:rFonts w:ascii="Times New Roman" w:hAnsi="Times New Roman" w:cs="Times New Roman"/>
                <w:color w:val="auto"/>
                <w:u w:val="single"/>
              </w:rPr>
              <w:t>有组织排放量为0.</w:t>
            </w:r>
            <w:r>
              <w:rPr>
                <w:rFonts w:hint="eastAsia" w:ascii="Times New Roman" w:hAnsi="Times New Roman" w:cs="Times New Roman"/>
                <w:color w:val="auto"/>
                <w:u w:val="single"/>
                <w:lang w:val="en-US" w:eastAsia="zh-CN"/>
              </w:rPr>
              <w:t>0288</w:t>
            </w:r>
            <w:r>
              <w:rPr>
                <w:rFonts w:ascii="Times New Roman" w:hAnsi="Times New Roman" w:cs="Times New Roman"/>
                <w:color w:val="auto"/>
                <w:u w:val="single"/>
              </w:rPr>
              <w:t>t/a，</w:t>
            </w:r>
            <w:r>
              <w:rPr>
                <w:rFonts w:hint="eastAsia" w:ascii="Times New Roman" w:hAnsi="Times New Roman" w:cs="Times New Roman"/>
                <w:color w:val="auto"/>
                <w:u w:val="single"/>
                <w:lang w:val="en-US" w:eastAsia="zh-CN"/>
              </w:rPr>
              <w:t>排放速率为0.0136kg/h，</w:t>
            </w:r>
            <w:r>
              <w:rPr>
                <w:rFonts w:ascii="Times New Roman" w:hAnsi="Times New Roman" w:cs="Times New Roman"/>
                <w:color w:val="auto"/>
                <w:u w:val="single"/>
              </w:rPr>
              <w:t>排放浓度为</w:t>
            </w:r>
            <w:r>
              <w:rPr>
                <w:rFonts w:hint="eastAsia" w:ascii="Times New Roman" w:hAnsi="Times New Roman" w:cs="Times New Roman"/>
                <w:color w:val="auto"/>
                <w:u w:val="single"/>
                <w:lang w:val="en-US" w:eastAsia="zh-CN"/>
              </w:rPr>
              <w:t>1.36</w:t>
            </w:r>
            <w:r>
              <w:rPr>
                <w:rFonts w:ascii="Times New Roman" w:hAnsi="Times New Roman" w:cs="Times New Roman"/>
                <w:color w:val="auto"/>
                <w:u w:val="single"/>
              </w:rPr>
              <w:t>mg/m</w:t>
            </w:r>
            <w:r>
              <w:rPr>
                <w:rFonts w:ascii="Times New Roman" w:hAnsi="Times New Roman" w:cs="Times New Roman"/>
                <w:color w:val="auto"/>
                <w:u w:val="single"/>
                <w:vertAlign w:val="superscript"/>
              </w:rPr>
              <w:t>3</w:t>
            </w:r>
            <w:r>
              <w:rPr>
                <w:rFonts w:hint="eastAsia" w:ascii="Times New Roman" w:hAnsi="Times New Roman" w:cs="Times New Roman"/>
                <w:color w:val="auto"/>
                <w:u w:val="single"/>
                <w:vertAlign w:val="baseline"/>
                <w:lang w:eastAsia="zh-CN"/>
              </w:rPr>
              <w:t>；</w:t>
            </w:r>
            <w:r>
              <w:rPr>
                <w:rFonts w:hint="eastAsia" w:ascii="Times New Roman" w:hAnsi="Times New Roman" w:cs="Times New Roman"/>
                <w:color w:val="auto"/>
                <w:u w:val="single"/>
                <w:lang w:val="en-US" w:eastAsia="zh-CN"/>
              </w:rPr>
              <w:t>VOCs（非甲烷总烃</w:t>
            </w:r>
            <w:r>
              <w:rPr>
                <w:rFonts w:ascii="Times New Roman" w:hAnsi="Times New Roman" w:cs="Times New Roman"/>
                <w:color w:val="auto"/>
                <w:u w:val="single"/>
              </w:rPr>
              <w:t>计</w:t>
            </w:r>
            <w:r>
              <w:rPr>
                <w:rFonts w:hint="eastAsia" w:ascii="Times New Roman" w:hAnsi="Times New Roman" w:cs="Times New Roman"/>
                <w:color w:val="auto"/>
                <w:u w:val="single"/>
                <w:lang w:val="en-US" w:eastAsia="zh-CN"/>
              </w:rPr>
              <w:t>）与苯乙烯均</w:t>
            </w:r>
            <w:r>
              <w:rPr>
                <w:rFonts w:ascii="Times New Roman" w:hAnsi="Times New Roman" w:cs="Times New Roman"/>
                <w:color w:val="auto"/>
                <w:u w:val="single"/>
              </w:rPr>
              <w:t>满足《合成树脂工业污染物排放标准》（GB31572-2015）中规定的表</w:t>
            </w:r>
            <w:r>
              <w:rPr>
                <w:rFonts w:hint="eastAsia" w:ascii="Times New Roman" w:hAnsi="Times New Roman" w:cs="Times New Roman"/>
                <w:color w:val="auto"/>
                <w:u w:val="single"/>
                <w:lang w:val="en-US" w:eastAsia="zh-CN"/>
              </w:rPr>
              <w:t>4中</w:t>
            </w:r>
            <w:r>
              <w:rPr>
                <w:rFonts w:ascii="Times New Roman" w:hAnsi="Times New Roman" w:cs="Times New Roman"/>
                <w:color w:val="auto"/>
                <w:u w:val="single"/>
              </w:rPr>
              <w:t>大气污染物排放限值</w:t>
            </w:r>
            <w:r>
              <w:rPr>
                <w:rFonts w:hint="eastAsia" w:ascii="Times New Roman" w:hAnsi="Times New Roman" w:cs="Times New Roman"/>
                <w:color w:val="auto"/>
                <w:u w:val="single"/>
                <w:lang w:eastAsia="zh-CN"/>
              </w:rPr>
              <w:t>；</w:t>
            </w:r>
            <w:r>
              <w:rPr>
                <w:rFonts w:hint="eastAsia" w:ascii="Times New Roman" w:hAnsi="Times New Roman" w:cs="Times New Roman"/>
                <w:color w:val="auto"/>
                <w:u w:val="single"/>
                <w:lang w:val="en-US" w:eastAsia="zh-CN"/>
              </w:rPr>
              <w:t>无组织废气</w:t>
            </w:r>
            <w:r>
              <w:rPr>
                <w:rFonts w:hint="eastAsia" w:ascii="Times New Roman" w:hAnsi="Times New Roman" w:cs="Times New Roman"/>
                <w:color w:val="auto"/>
                <w:u w:val="single"/>
                <w:lang w:eastAsia="zh-CN"/>
              </w:rPr>
              <w:t>通过在车间安装排气扇，加强车间通风的方式，可减少有机废气对车间及周围大气环境的影响，满足《挥发性有机物无组织排放控制标准》（GB37822-20</w:t>
            </w:r>
          </w:p>
          <w:p>
            <w:pPr>
              <w:pStyle w:val="53"/>
              <w:spacing w:line="480" w:lineRule="exact"/>
              <w:rPr>
                <w:rFonts w:ascii="Times New Roman" w:hAnsi="Times New Roman" w:cs="Times New Roman"/>
                <w:color w:val="auto"/>
              </w:rPr>
            </w:pPr>
            <w:r>
              <w:rPr>
                <w:rFonts w:hint="eastAsia" w:ascii="Times New Roman" w:hAnsi="Times New Roman" w:cs="Times New Roman"/>
                <w:color w:val="auto"/>
                <w:u w:val="single"/>
                <w:lang w:eastAsia="zh-CN"/>
              </w:rPr>
              <w:t>19）附录A表A.1中无组织排放限值</w:t>
            </w:r>
            <w:r>
              <w:rPr>
                <w:rFonts w:ascii="Times New Roman" w:hAnsi="Times New Roman" w:cs="Times New Roman"/>
                <w:color w:val="auto"/>
                <w:u w:val="single"/>
              </w:rPr>
              <w:t>。</w:t>
            </w:r>
          </w:p>
          <w:p>
            <w:pPr>
              <w:pStyle w:val="53"/>
              <w:spacing w:line="480" w:lineRule="exact"/>
              <w:ind w:firstLine="482" w:firstLineChars="200"/>
              <w:rPr>
                <w:rFonts w:ascii="Times New Roman" w:hAnsi="Times New Roman"/>
                <w:b/>
                <w:color w:val="auto"/>
              </w:rPr>
            </w:pPr>
            <w:r>
              <w:rPr>
                <w:rFonts w:hint="eastAsia" w:ascii="Times New Roman" w:hAnsi="Times New Roman"/>
                <w:b/>
                <w:color w:val="auto"/>
              </w:rPr>
              <w:t>（3）臭气浓度</w:t>
            </w:r>
          </w:p>
          <w:p>
            <w:pPr>
              <w:pStyle w:val="53"/>
              <w:spacing w:line="480" w:lineRule="exact"/>
              <w:ind w:firstLine="480" w:firstLineChars="200"/>
              <w:rPr>
                <w:rFonts w:ascii="Times New Roman" w:hAnsi="Times New Roman"/>
                <w:color w:val="auto"/>
                <w:kern w:val="2"/>
                <w:u w:val="single"/>
              </w:rPr>
            </w:pPr>
            <w:r>
              <w:rPr>
                <w:rFonts w:hint="eastAsia" w:ascii="Times New Roman" w:hAnsi="Times New Roman"/>
                <w:color w:val="auto"/>
                <w:kern w:val="2"/>
              </w:rPr>
              <w:t>废塑料在熔融过程中伴随有恶臭气体产生，恶臭气体主要为</w:t>
            </w:r>
            <w:r>
              <w:rPr>
                <w:rFonts w:hint="eastAsia" w:ascii="Times New Roman" w:hAnsi="Times New Roman"/>
                <w:color w:val="auto"/>
                <w:kern w:val="2"/>
                <w:lang w:val="en-US" w:eastAsia="zh-CN"/>
              </w:rPr>
              <w:t>苯乙烯以及</w:t>
            </w:r>
            <w:r>
              <w:rPr>
                <w:rFonts w:hint="eastAsia" w:ascii="Times New Roman" w:hAnsi="Times New Roman"/>
                <w:color w:val="auto"/>
                <w:kern w:val="2"/>
              </w:rPr>
              <w:t>低级有机烃类物质等。根据同类废塑料再生造粒企业《上海舒氏塑业有限公司塑料再生造粒建设项目竣工验收监测报告》（本项目的生产设备和造粒工艺与其基本相同，具有类比性，其监测值为吸附装置处理前的产生浓度与处理后的排放浓度），臭气产生浓度最大值为1170（无量纲），排气筒监测臭气排放最大值为234（无</w:t>
            </w:r>
            <w:r>
              <w:rPr>
                <w:rFonts w:hint="eastAsia" w:ascii="Times New Roman" w:hAnsi="Times New Roman"/>
                <w:color w:val="auto"/>
                <w:kern w:val="2"/>
                <w:u w:val="single"/>
              </w:rPr>
              <w:t>量纲），厂界处监测臭气浓度10（无量纲），上海舒氏塑业有限公司的规模为年回收废塑料4万吨，</w:t>
            </w:r>
            <w:r>
              <w:rPr>
                <w:rFonts w:hint="eastAsia" w:ascii="Times New Roman" w:hAnsi="Times New Roman"/>
                <w:color w:val="auto"/>
                <w:kern w:val="2"/>
                <w:u w:val="single"/>
                <w:lang w:val="en-US" w:eastAsia="zh-CN"/>
              </w:rPr>
              <w:t>本项目年回收废塑料为5000吨，规模远小于此公司，因此本项目产生的臭气影响也远小于此公司，对周边环境影响较小。</w:t>
            </w:r>
          </w:p>
          <w:p>
            <w:pPr>
              <w:jc w:val="center"/>
              <w:rPr>
                <w:b/>
                <w:bCs/>
                <w:szCs w:val="21"/>
                <w:u w:val="single"/>
              </w:rPr>
            </w:pPr>
            <w:r>
              <w:rPr>
                <w:rFonts w:hint="eastAsia"/>
                <w:b/>
                <w:bCs/>
                <w:szCs w:val="21"/>
                <w:u w:val="single"/>
              </w:rPr>
              <w:t>表4-1  项目营运期废气污染物产排情况一览表</w:t>
            </w:r>
          </w:p>
          <w:tbl>
            <w:tblPr>
              <w:tblStyle w:val="21"/>
              <w:tblW w:w="8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672"/>
              <w:gridCol w:w="861"/>
              <w:gridCol w:w="998"/>
              <w:gridCol w:w="1429"/>
              <w:gridCol w:w="1038"/>
              <w:gridCol w:w="1058"/>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466" w:type="dxa"/>
                  <w:gridSpan w:val="2"/>
                  <w:vMerge w:val="restart"/>
                  <w:tcBorders>
                    <w:bottom w:val="single" w:color="000000" w:sz="6" w:space="0"/>
                    <w:right w:val="single" w:color="000000" w:sz="6" w:space="0"/>
                  </w:tcBorders>
                  <w:vAlign w:val="center"/>
                </w:tcPr>
                <w:p>
                  <w:pPr>
                    <w:pStyle w:val="59"/>
                    <w:jc w:val="center"/>
                    <w:rPr>
                      <w:rFonts w:ascii="Times New Roman"/>
                      <w:szCs w:val="21"/>
                      <w:u w:val="single"/>
                    </w:rPr>
                  </w:pPr>
                </w:p>
                <w:p>
                  <w:pPr>
                    <w:pStyle w:val="59"/>
                    <w:jc w:val="center"/>
                    <w:rPr>
                      <w:szCs w:val="21"/>
                      <w:u w:val="single"/>
                    </w:rPr>
                  </w:pPr>
                  <w:r>
                    <w:rPr>
                      <w:szCs w:val="21"/>
                      <w:u w:val="single"/>
                    </w:rPr>
                    <w:t>污染源</w:t>
                  </w:r>
                </w:p>
              </w:tc>
              <w:tc>
                <w:tcPr>
                  <w:tcW w:w="1859" w:type="dxa"/>
                  <w:gridSpan w:val="2"/>
                  <w:vMerge w:val="restart"/>
                  <w:tcBorders>
                    <w:left w:val="single" w:color="000000" w:sz="6" w:space="0"/>
                    <w:bottom w:val="single" w:color="000000" w:sz="6" w:space="0"/>
                    <w:right w:val="single" w:color="000000" w:sz="6" w:space="0"/>
                  </w:tcBorders>
                  <w:vAlign w:val="center"/>
                </w:tcPr>
                <w:p>
                  <w:pPr>
                    <w:pStyle w:val="59"/>
                    <w:jc w:val="center"/>
                    <w:rPr>
                      <w:rFonts w:ascii="Times New Roman"/>
                      <w:szCs w:val="21"/>
                      <w:u w:val="single"/>
                    </w:rPr>
                  </w:pPr>
                </w:p>
                <w:p>
                  <w:pPr>
                    <w:pStyle w:val="59"/>
                    <w:jc w:val="center"/>
                    <w:rPr>
                      <w:szCs w:val="21"/>
                      <w:u w:val="single"/>
                    </w:rPr>
                  </w:pPr>
                  <w:r>
                    <w:rPr>
                      <w:szCs w:val="21"/>
                      <w:u w:val="single"/>
                    </w:rPr>
                    <w:t>污染因子</w:t>
                  </w:r>
                </w:p>
              </w:tc>
              <w:tc>
                <w:tcPr>
                  <w:tcW w:w="1429" w:type="dxa"/>
                  <w:tcBorders>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产生情况</w:t>
                  </w:r>
                </w:p>
              </w:tc>
              <w:tc>
                <w:tcPr>
                  <w:tcW w:w="3516" w:type="dxa"/>
                  <w:gridSpan w:val="3"/>
                  <w:tcBorders>
                    <w:left w:val="single" w:color="000000" w:sz="6" w:space="0"/>
                    <w:bottom w:val="single" w:color="000000" w:sz="6" w:space="0"/>
                  </w:tcBorders>
                  <w:vAlign w:val="center"/>
                </w:tcPr>
                <w:p>
                  <w:pPr>
                    <w:pStyle w:val="59"/>
                    <w:jc w:val="center"/>
                    <w:rPr>
                      <w:szCs w:val="21"/>
                      <w:u w:val="single"/>
                    </w:rPr>
                  </w:pPr>
                  <w:r>
                    <w:rPr>
                      <w:szCs w:val="21"/>
                      <w:u w:val="single"/>
                    </w:rPr>
                    <w:t>排放情况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466" w:type="dxa"/>
                  <w:gridSpan w:val="2"/>
                  <w:vMerge w:val="continue"/>
                  <w:tcBorders>
                    <w:top w:val="nil"/>
                    <w:bottom w:val="single" w:color="000000" w:sz="6" w:space="0"/>
                    <w:right w:val="single" w:color="000000" w:sz="6" w:space="0"/>
                  </w:tcBorders>
                  <w:vAlign w:val="center"/>
                </w:tcPr>
                <w:p>
                  <w:pPr>
                    <w:jc w:val="center"/>
                    <w:rPr>
                      <w:szCs w:val="21"/>
                      <w:u w:val="single"/>
                    </w:rPr>
                  </w:pPr>
                </w:p>
              </w:tc>
              <w:tc>
                <w:tcPr>
                  <w:tcW w:w="1859" w:type="dxa"/>
                  <w:gridSpan w:val="2"/>
                  <w:vMerge w:val="continue"/>
                  <w:tcBorders>
                    <w:top w:val="nil"/>
                    <w:left w:val="single" w:color="000000" w:sz="6" w:space="0"/>
                    <w:bottom w:val="single" w:color="000000" w:sz="6" w:space="0"/>
                    <w:right w:val="single" w:color="000000" w:sz="6" w:space="0"/>
                  </w:tcBorders>
                  <w:vAlign w:val="center"/>
                </w:tcPr>
                <w:p>
                  <w:pPr>
                    <w:jc w:val="center"/>
                    <w:rPr>
                      <w:szCs w:val="21"/>
                      <w:u w:val="single"/>
                    </w:rPr>
                  </w:pPr>
                </w:p>
              </w:tc>
              <w:tc>
                <w:tcPr>
                  <w:tcW w:w="1429"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产生量</w:t>
                  </w:r>
                </w:p>
                <w:p>
                  <w:pPr>
                    <w:pStyle w:val="59"/>
                    <w:jc w:val="center"/>
                    <w:rPr>
                      <w:szCs w:val="21"/>
                      <w:u w:val="single"/>
                    </w:rPr>
                  </w:pPr>
                  <w:r>
                    <w:rPr>
                      <w:szCs w:val="21"/>
                      <w:u w:val="single"/>
                    </w:rPr>
                    <w:t>（</w:t>
                  </w:r>
                  <w:r>
                    <w:rPr>
                      <w:rFonts w:ascii="Times New Roman" w:eastAsia="Times New Roman"/>
                      <w:szCs w:val="21"/>
                      <w:u w:val="single"/>
                    </w:rPr>
                    <w:t>t/a</w:t>
                  </w:r>
                  <w:r>
                    <w:rPr>
                      <w:szCs w:val="21"/>
                      <w:u w:val="single"/>
                    </w:rPr>
                    <w:t>）</w:t>
                  </w:r>
                </w:p>
              </w:tc>
              <w:tc>
                <w:tcPr>
                  <w:tcW w:w="1038"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rFonts w:hint="eastAsia"/>
                      <w:szCs w:val="21"/>
                      <w:u w:val="single"/>
                      <w:lang w:val="en-US"/>
                    </w:rPr>
                    <w:t>排放</w:t>
                  </w:r>
                  <w:r>
                    <w:rPr>
                      <w:szCs w:val="21"/>
                      <w:u w:val="single"/>
                    </w:rPr>
                    <w:t>量</w:t>
                  </w:r>
                </w:p>
                <w:p>
                  <w:pPr>
                    <w:pStyle w:val="59"/>
                    <w:jc w:val="center"/>
                    <w:rPr>
                      <w:szCs w:val="21"/>
                      <w:u w:val="single"/>
                    </w:rPr>
                  </w:pPr>
                  <w:r>
                    <w:rPr>
                      <w:szCs w:val="21"/>
                      <w:u w:val="single"/>
                    </w:rPr>
                    <w:t>（</w:t>
                  </w:r>
                  <w:r>
                    <w:rPr>
                      <w:rFonts w:ascii="Times New Roman" w:eastAsia="Times New Roman"/>
                      <w:szCs w:val="21"/>
                      <w:u w:val="single"/>
                    </w:rPr>
                    <w:t>t/a</w:t>
                  </w:r>
                  <w:r>
                    <w:rPr>
                      <w:szCs w:val="21"/>
                      <w:u w:val="single"/>
                    </w:rPr>
                    <w:t>）</w:t>
                  </w:r>
                </w:p>
              </w:tc>
              <w:tc>
                <w:tcPr>
                  <w:tcW w:w="1058"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速率</w:t>
                  </w:r>
                </w:p>
                <w:p>
                  <w:pPr>
                    <w:pStyle w:val="59"/>
                    <w:jc w:val="center"/>
                    <w:rPr>
                      <w:szCs w:val="21"/>
                      <w:u w:val="single"/>
                    </w:rPr>
                  </w:pPr>
                  <w:r>
                    <w:rPr>
                      <w:szCs w:val="21"/>
                      <w:u w:val="single"/>
                    </w:rPr>
                    <w:t>（</w:t>
                  </w:r>
                  <w:r>
                    <w:rPr>
                      <w:rFonts w:ascii="Times New Roman" w:eastAsia="Times New Roman"/>
                      <w:szCs w:val="21"/>
                      <w:u w:val="single"/>
                    </w:rPr>
                    <w:t>kg/h</w:t>
                  </w:r>
                  <w:r>
                    <w:rPr>
                      <w:szCs w:val="21"/>
                      <w:u w:val="single"/>
                    </w:rPr>
                    <w:t>）</w:t>
                  </w:r>
                </w:p>
              </w:tc>
              <w:tc>
                <w:tcPr>
                  <w:tcW w:w="1420" w:type="dxa"/>
                  <w:tcBorders>
                    <w:top w:val="single" w:color="000000" w:sz="6" w:space="0"/>
                    <w:left w:val="single" w:color="000000" w:sz="6" w:space="0"/>
                    <w:bottom w:val="single" w:color="000000" w:sz="6" w:space="0"/>
                  </w:tcBorders>
                  <w:vAlign w:val="center"/>
                </w:tcPr>
                <w:p>
                  <w:pPr>
                    <w:pStyle w:val="59"/>
                    <w:jc w:val="center"/>
                    <w:rPr>
                      <w:szCs w:val="21"/>
                      <w:u w:val="single"/>
                    </w:rPr>
                  </w:pPr>
                  <w:r>
                    <w:rPr>
                      <w:szCs w:val="21"/>
                      <w:u w:val="single"/>
                    </w:rPr>
                    <w:t>浓度</w:t>
                  </w:r>
                </w:p>
                <w:p>
                  <w:pPr>
                    <w:pStyle w:val="59"/>
                    <w:jc w:val="center"/>
                    <w:rPr>
                      <w:szCs w:val="21"/>
                      <w:u w:val="single"/>
                    </w:rPr>
                  </w:pPr>
                  <w:r>
                    <w:rPr>
                      <w:szCs w:val="21"/>
                      <w:u w:val="single"/>
                    </w:rPr>
                    <w:t>（</w:t>
                  </w:r>
                  <w:r>
                    <w:rPr>
                      <w:rFonts w:ascii="Times New Roman" w:eastAsia="Times New Roman"/>
                      <w:szCs w:val="21"/>
                      <w:u w:val="single"/>
                    </w:rPr>
                    <w:t>mg/m</w:t>
                  </w:r>
                  <w:r>
                    <w:rPr>
                      <w:rFonts w:ascii="Times New Roman" w:eastAsia="Times New Roman"/>
                      <w:szCs w:val="21"/>
                      <w:u w:val="single"/>
                      <w:vertAlign w:val="superscript"/>
                    </w:rPr>
                    <w:t>3</w:t>
                  </w:r>
                  <w:r>
                    <w:rPr>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94" w:type="dxa"/>
                  <w:vMerge w:val="restart"/>
                  <w:tcBorders>
                    <w:top w:val="single" w:color="000000" w:sz="6" w:space="0"/>
                    <w:right w:val="single" w:color="auto" w:sz="4" w:space="0"/>
                  </w:tcBorders>
                  <w:vAlign w:val="center"/>
                </w:tcPr>
                <w:p>
                  <w:pPr>
                    <w:pStyle w:val="59"/>
                    <w:jc w:val="center"/>
                    <w:rPr>
                      <w:rFonts w:ascii="Times New Roman" w:eastAsia="Times New Roman"/>
                      <w:szCs w:val="21"/>
                      <w:u w:val="single"/>
                    </w:rPr>
                  </w:pPr>
                  <w:r>
                    <w:rPr>
                      <w:szCs w:val="21"/>
                      <w:u w:val="single"/>
                    </w:rPr>
                    <w:t xml:space="preserve"> </w:t>
                  </w:r>
                  <w:r>
                    <w:rPr>
                      <w:rFonts w:hint="eastAsia"/>
                      <w:szCs w:val="21"/>
                      <w:u w:val="single"/>
                      <w:lang w:val="en-US" w:eastAsia="zh-CN"/>
                    </w:rPr>
                    <w:t>排气筒</w:t>
                  </w:r>
                  <w:r>
                    <w:rPr>
                      <w:rFonts w:ascii="Times New Roman" w:eastAsia="Times New Roman"/>
                      <w:szCs w:val="21"/>
                      <w:u w:val="single"/>
                    </w:rPr>
                    <w:t>DA001</w:t>
                  </w:r>
                </w:p>
              </w:tc>
              <w:tc>
                <w:tcPr>
                  <w:tcW w:w="672" w:type="dxa"/>
                  <w:vMerge w:val="restart"/>
                  <w:tcBorders>
                    <w:top w:val="single" w:color="000000" w:sz="6" w:space="0"/>
                    <w:left w:val="single" w:color="auto" w:sz="4" w:space="0"/>
                    <w:right w:val="single" w:color="000000" w:sz="6" w:space="0"/>
                  </w:tcBorders>
                  <w:vAlign w:val="center"/>
                </w:tcPr>
                <w:p>
                  <w:pPr>
                    <w:pStyle w:val="59"/>
                    <w:jc w:val="center"/>
                    <w:rPr>
                      <w:szCs w:val="21"/>
                      <w:u w:val="single"/>
                    </w:rPr>
                  </w:pPr>
                  <w:r>
                    <w:rPr>
                      <w:szCs w:val="21"/>
                      <w:u w:val="single"/>
                    </w:rPr>
                    <w:t>破碎</w:t>
                  </w:r>
                </w:p>
              </w:tc>
              <w:tc>
                <w:tcPr>
                  <w:tcW w:w="861" w:type="dxa"/>
                  <w:vMerge w:val="restart"/>
                  <w:tcBorders>
                    <w:top w:val="single" w:color="000000" w:sz="6" w:space="0"/>
                    <w:left w:val="single" w:color="000000" w:sz="6" w:space="0"/>
                    <w:right w:val="single" w:color="000000" w:sz="6" w:space="0"/>
                  </w:tcBorders>
                  <w:vAlign w:val="center"/>
                </w:tcPr>
                <w:p>
                  <w:pPr>
                    <w:pStyle w:val="59"/>
                    <w:jc w:val="center"/>
                    <w:rPr>
                      <w:szCs w:val="21"/>
                      <w:u w:val="single"/>
                    </w:rPr>
                  </w:pPr>
                  <w:r>
                    <w:rPr>
                      <w:szCs w:val="21"/>
                      <w:u w:val="single"/>
                    </w:rPr>
                    <w:t>颗粒物</w:t>
                  </w:r>
                </w:p>
              </w:tc>
              <w:tc>
                <w:tcPr>
                  <w:tcW w:w="998"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有组织</w:t>
                  </w:r>
                </w:p>
              </w:tc>
              <w:tc>
                <w:tcPr>
                  <w:tcW w:w="1429" w:type="dxa"/>
                  <w:vMerge w:val="restart"/>
                  <w:tcBorders>
                    <w:top w:val="single" w:color="000000" w:sz="6" w:space="0"/>
                    <w:left w:val="single" w:color="000000" w:sz="6" w:space="0"/>
                    <w:right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hAnsi="Times New Roman" w:cs="Times New Roman"/>
                      <w:color w:val="auto"/>
                      <w:kern w:val="2"/>
                      <w:u w:val="single"/>
                      <w:lang w:val="en-US" w:eastAsia="zh-CN"/>
                    </w:rPr>
                    <w:t>2.125</w:t>
                  </w:r>
                </w:p>
              </w:tc>
              <w:tc>
                <w:tcPr>
                  <w:tcW w:w="103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hint="default" w:ascii="Times New Roman"/>
                      <w:szCs w:val="21"/>
                      <w:u w:val="single"/>
                      <w:lang w:val="en-US"/>
                    </w:rPr>
                  </w:pPr>
                  <w:r>
                    <w:rPr>
                      <w:rFonts w:hint="eastAsia" w:ascii="Times New Roman" w:hAnsi="Times New Roman" w:cs="Times New Roman"/>
                      <w:color w:val="auto"/>
                      <w:kern w:val="2"/>
                      <w:u w:val="single"/>
                      <w:lang w:val="en-US" w:eastAsia="zh-CN"/>
                    </w:rPr>
                    <w:t>0.017</w:t>
                  </w:r>
                </w:p>
              </w:tc>
              <w:tc>
                <w:tcPr>
                  <w:tcW w:w="105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ascii="Times New Roman"/>
                      <w:szCs w:val="21"/>
                      <w:u w:val="single"/>
                      <w:lang w:val="en-US"/>
                    </w:rPr>
                  </w:pPr>
                  <w:r>
                    <w:rPr>
                      <w:rFonts w:hint="eastAsia" w:ascii="Times New Roman" w:hAnsi="Times New Roman" w:cs="Times New Roman"/>
                      <w:color w:val="auto"/>
                      <w:kern w:val="2"/>
                      <w:u w:val="single"/>
                      <w:lang w:val="en-US" w:eastAsia="zh-CN"/>
                    </w:rPr>
                    <w:t>0.008</w:t>
                  </w:r>
                </w:p>
              </w:tc>
              <w:tc>
                <w:tcPr>
                  <w:tcW w:w="1420" w:type="dxa"/>
                  <w:tcBorders>
                    <w:top w:val="single" w:color="000000" w:sz="6" w:space="0"/>
                    <w:left w:val="single" w:color="000000" w:sz="6" w:space="0"/>
                    <w:bottom w:val="single" w:color="000000" w:sz="6" w:space="0"/>
                  </w:tcBorders>
                  <w:vAlign w:val="center"/>
                </w:tcPr>
                <w:p>
                  <w:pPr>
                    <w:pStyle w:val="59"/>
                    <w:jc w:val="center"/>
                    <w:rPr>
                      <w:rFonts w:ascii="Times New Roman"/>
                      <w:szCs w:val="21"/>
                      <w:u w:val="single"/>
                    </w:rPr>
                  </w:pPr>
                  <w:r>
                    <w:rPr>
                      <w:rFonts w:ascii="Times New Roman"/>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94" w:type="dxa"/>
                  <w:vMerge w:val="continue"/>
                  <w:tcBorders>
                    <w:right w:val="single" w:color="auto" w:sz="4" w:space="0"/>
                  </w:tcBorders>
                  <w:vAlign w:val="center"/>
                </w:tcPr>
                <w:p>
                  <w:pPr>
                    <w:pStyle w:val="59"/>
                    <w:jc w:val="center"/>
                    <w:rPr>
                      <w:szCs w:val="21"/>
                      <w:u w:val="single"/>
                    </w:rPr>
                  </w:pPr>
                </w:p>
              </w:tc>
              <w:tc>
                <w:tcPr>
                  <w:tcW w:w="672" w:type="dxa"/>
                  <w:vMerge w:val="continue"/>
                  <w:tcBorders>
                    <w:left w:val="single" w:color="auto" w:sz="4" w:space="0"/>
                    <w:bottom w:val="single" w:color="000000" w:sz="6" w:space="0"/>
                    <w:right w:val="single" w:color="000000" w:sz="6" w:space="0"/>
                  </w:tcBorders>
                  <w:vAlign w:val="center"/>
                </w:tcPr>
                <w:p>
                  <w:pPr>
                    <w:pStyle w:val="59"/>
                    <w:jc w:val="center"/>
                    <w:rPr>
                      <w:szCs w:val="21"/>
                      <w:u w:val="single"/>
                    </w:rPr>
                  </w:pPr>
                </w:p>
              </w:tc>
              <w:tc>
                <w:tcPr>
                  <w:tcW w:w="861" w:type="dxa"/>
                  <w:vMerge w:val="continue"/>
                  <w:tcBorders>
                    <w:left w:val="single" w:color="000000" w:sz="6" w:space="0"/>
                    <w:bottom w:val="single" w:color="000000" w:sz="6" w:space="0"/>
                    <w:right w:val="single" w:color="000000" w:sz="6" w:space="0"/>
                  </w:tcBorders>
                  <w:vAlign w:val="center"/>
                </w:tcPr>
                <w:p>
                  <w:pPr>
                    <w:pStyle w:val="59"/>
                    <w:jc w:val="center"/>
                    <w:rPr>
                      <w:szCs w:val="21"/>
                      <w:u w:val="single"/>
                    </w:rPr>
                  </w:pPr>
                </w:p>
              </w:tc>
              <w:tc>
                <w:tcPr>
                  <w:tcW w:w="998"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无组织</w:t>
                  </w:r>
                </w:p>
              </w:tc>
              <w:tc>
                <w:tcPr>
                  <w:tcW w:w="1429" w:type="dxa"/>
                  <w:vMerge w:val="continue"/>
                  <w:tcBorders>
                    <w:left w:val="single" w:color="000000" w:sz="6" w:space="0"/>
                    <w:bottom w:val="single" w:color="000000" w:sz="6" w:space="0"/>
                    <w:right w:val="single" w:color="000000" w:sz="6" w:space="0"/>
                  </w:tcBorders>
                  <w:vAlign w:val="center"/>
                </w:tcPr>
                <w:p>
                  <w:pPr>
                    <w:pStyle w:val="59"/>
                    <w:jc w:val="center"/>
                    <w:rPr>
                      <w:rFonts w:ascii="Times New Roman"/>
                      <w:szCs w:val="21"/>
                      <w:u w:val="single"/>
                    </w:rPr>
                  </w:pPr>
                </w:p>
              </w:tc>
              <w:tc>
                <w:tcPr>
                  <w:tcW w:w="103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szCs w:val="21"/>
                      <w:u w:val="single"/>
                      <w:lang w:val="en-US" w:eastAsia="zh-CN"/>
                    </w:rPr>
                    <w:t>0.425</w:t>
                  </w:r>
                </w:p>
              </w:tc>
              <w:tc>
                <w:tcPr>
                  <w:tcW w:w="105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hint="eastAsia" w:ascii="Times New Roman" w:eastAsia="宋体"/>
                      <w:szCs w:val="21"/>
                      <w:u w:val="single"/>
                      <w:lang w:val="en-US" w:eastAsia="zh-CN"/>
                    </w:rPr>
                  </w:pPr>
                  <w:r>
                    <w:rPr>
                      <w:rFonts w:hint="eastAsia" w:ascii="Times New Roman"/>
                      <w:szCs w:val="21"/>
                      <w:u w:val="single"/>
                      <w:lang w:val="en-US" w:eastAsia="zh-CN"/>
                    </w:rPr>
                    <w:t>/</w:t>
                  </w:r>
                </w:p>
              </w:tc>
              <w:tc>
                <w:tcPr>
                  <w:tcW w:w="1420" w:type="dxa"/>
                  <w:tcBorders>
                    <w:top w:val="single" w:color="000000" w:sz="6" w:space="0"/>
                    <w:left w:val="single" w:color="000000" w:sz="6" w:space="0"/>
                    <w:bottom w:val="single" w:color="000000" w:sz="6" w:space="0"/>
                  </w:tcBorders>
                  <w:vAlign w:val="center"/>
                </w:tcPr>
                <w:p>
                  <w:pPr>
                    <w:pStyle w:val="59"/>
                    <w:jc w:val="center"/>
                    <w:rPr>
                      <w:rFonts w:hint="eastAsia" w:ascii="Times New Roman" w:eastAsia="宋体"/>
                      <w:szCs w:val="21"/>
                      <w:u w:val="single"/>
                      <w:lang w:val="en-US" w:eastAsia="zh-CN"/>
                    </w:rPr>
                  </w:pPr>
                  <w:r>
                    <w:rPr>
                      <w:rFonts w:hint="eastAsia" w:ascii="Times New Roman"/>
                      <w:szCs w:val="21"/>
                      <w:u w:val="singl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4" w:type="dxa"/>
                  <w:vMerge w:val="continue"/>
                  <w:tcBorders>
                    <w:right w:val="single" w:color="auto" w:sz="4" w:space="0"/>
                  </w:tcBorders>
                  <w:vAlign w:val="center"/>
                </w:tcPr>
                <w:p>
                  <w:pPr>
                    <w:pStyle w:val="59"/>
                    <w:jc w:val="center"/>
                    <w:rPr>
                      <w:rFonts w:ascii="Times New Roman" w:eastAsia="Times New Roman"/>
                      <w:szCs w:val="21"/>
                      <w:u w:val="single"/>
                    </w:rPr>
                  </w:pPr>
                </w:p>
              </w:tc>
              <w:tc>
                <w:tcPr>
                  <w:tcW w:w="672" w:type="dxa"/>
                  <w:vMerge w:val="restart"/>
                  <w:tcBorders>
                    <w:top w:val="single" w:color="000000" w:sz="6" w:space="0"/>
                    <w:left w:val="single" w:color="auto" w:sz="4" w:space="0"/>
                    <w:right w:val="single" w:color="000000" w:sz="6" w:space="0"/>
                  </w:tcBorders>
                  <w:vAlign w:val="center"/>
                </w:tcPr>
                <w:p>
                  <w:pPr>
                    <w:pStyle w:val="59"/>
                    <w:jc w:val="center"/>
                    <w:rPr>
                      <w:szCs w:val="21"/>
                      <w:u w:val="single"/>
                    </w:rPr>
                  </w:pPr>
                  <w:r>
                    <w:rPr>
                      <w:szCs w:val="21"/>
                      <w:u w:val="single"/>
                    </w:rPr>
                    <w:t>造粒（熔融）</w:t>
                  </w:r>
                </w:p>
              </w:tc>
              <w:tc>
                <w:tcPr>
                  <w:tcW w:w="861" w:type="dxa"/>
                  <w:vMerge w:val="restart"/>
                  <w:tcBorders>
                    <w:top w:val="single" w:color="000000" w:sz="6" w:space="0"/>
                    <w:left w:val="single" w:color="000000" w:sz="6" w:space="0"/>
                    <w:bottom w:val="single" w:color="000000" w:sz="6" w:space="0"/>
                    <w:right w:val="single" w:color="000000" w:sz="6" w:space="0"/>
                  </w:tcBorders>
                  <w:vAlign w:val="center"/>
                </w:tcPr>
                <w:p>
                  <w:pPr>
                    <w:pStyle w:val="59"/>
                    <w:jc w:val="center"/>
                    <w:rPr>
                      <w:rFonts w:ascii="Times New Roman"/>
                      <w:szCs w:val="21"/>
                      <w:u w:val="single"/>
                    </w:rPr>
                  </w:pPr>
                  <w:r>
                    <w:rPr>
                      <w:rFonts w:hint="eastAsia" w:ascii="Times New Roman"/>
                      <w:szCs w:val="21"/>
                      <w:u w:val="single"/>
                      <w:lang w:val="en-US" w:eastAsia="zh-CN"/>
                    </w:rPr>
                    <w:t>非甲烷总烃</w:t>
                  </w:r>
                </w:p>
              </w:tc>
              <w:tc>
                <w:tcPr>
                  <w:tcW w:w="998"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有组织</w:t>
                  </w:r>
                </w:p>
              </w:tc>
              <w:tc>
                <w:tcPr>
                  <w:tcW w:w="1429" w:type="dxa"/>
                  <w:vMerge w:val="restart"/>
                  <w:tcBorders>
                    <w:top w:val="single" w:color="000000" w:sz="6" w:space="0"/>
                    <w:left w:val="single" w:color="000000" w:sz="6" w:space="0"/>
                    <w:right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hAnsi="Times New Roman" w:cs="Times New Roman"/>
                      <w:color w:val="auto"/>
                      <w:u w:val="single"/>
                      <w:lang w:val="en-US" w:eastAsia="zh-CN"/>
                    </w:rPr>
                    <w:t>1.75</w:t>
                  </w:r>
                </w:p>
              </w:tc>
              <w:tc>
                <w:tcPr>
                  <w:tcW w:w="103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szCs w:val="21"/>
                      <w:u w:val="single"/>
                      <w:lang w:val="en-US" w:eastAsia="zh-CN"/>
                    </w:rPr>
                    <w:t>0.56</w:t>
                  </w:r>
                </w:p>
              </w:tc>
              <w:tc>
                <w:tcPr>
                  <w:tcW w:w="105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ascii="Times New Roman"/>
                      <w:szCs w:val="21"/>
                      <w:u w:val="single"/>
                      <w:lang w:val="en-US"/>
                    </w:rPr>
                  </w:pPr>
                  <w:r>
                    <w:rPr>
                      <w:rFonts w:hint="eastAsia" w:ascii="Times New Roman" w:hAnsi="Times New Roman" w:cs="Times New Roman"/>
                      <w:color w:val="auto"/>
                      <w:u w:val="single"/>
                      <w:lang w:val="en-US" w:eastAsia="zh-CN"/>
                    </w:rPr>
                    <w:t>0.265</w:t>
                  </w:r>
                </w:p>
              </w:tc>
              <w:tc>
                <w:tcPr>
                  <w:tcW w:w="1420" w:type="dxa"/>
                  <w:tcBorders>
                    <w:top w:val="single" w:color="000000" w:sz="6" w:space="0"/>
                    <w:left w:val="single" w:color="000000" w:sz="6" w:space="0"/>
                    <w:bottom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szCs w:val="21"/>
                      <w:u w:val="single"/>
                      <w:lang w:val="en-US" w:eastAsia="zh-CN"/>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4" w:type="dxa"/>
                  <w:vMerge w:val="continue"/>
                  <w:tcBorders>
                    <w:right w:val="single" w:color="auto" w:sz="4" w:space="0"/>
                  </w:tcBorders>
                  <w:vAlign w:val="center"/>
                </w:tcPr>
                <w:p>
                  <w:pPr>
                    <w:pStyle w:val="59"/>
                    <w:jc w:val="center"/>
                    <w:rPr>
                      <w:rFonts w:ascii="Times New Roman"/>
                      <w:szCs w:val="21"/>
                      <w:u w:val="single"/>
                    </w:rPr>
                  </w:pPr>
                </w:p>
              </w:tc>
              <w:tc>
                <w:tcPr>
                  <w:tcW w:w="672" w:type="dxa"/>
                  <w:vMerge w:val="continue"/>
                  <w:tcBorders>
                    <w:left w:val="single" w:color="auto" w:sz="4" w:space="0"/>
                    <w:right w:val="single" w:color="000000" w:sz="6" w:space="0"/>
                  </w:tcBorders>
                  <w:vAlign w:val="center"/>
                </w:tcPr>
                <w:p>
                  <w:pPr>
                    <w:jc w:val="center"/>
                    <w:rPr>
                      <w:szCs w:val="21"/>
                      <w:u w:val="single"/>
                    </w:rPr>
                  </w:pPr>
                </w:p>
              </w:tc>
              <w:tc>
                <w:tcPr>
                  <w:tcW w:w="86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szCs w:val="21"/>
                      <w:u w:val="single"/>
                    </w:rPr>
                  </w:pPr>
                </w:p>
              </w:tc>
              <w:tc>
                <w:tcPr>
                  <w:tcW w:w="998"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无组织</w:t>
                  </w:r>
                </w:p>
              </w:tc>
              <w:tc>
                <w:tcPr>
                  <w:tcW w:w="1429" w:type="dxa"/>
                  <w:vMerge w:val="continue"/>
                  <w:tcBorders>
                    <w:left w:val="single" w:color="000000" w:sz="6" w:space="0"/>
                    <w:bottom w:val="single" w:color="000000" w:sz="6" w:space="0"/>
                    <w:right w:val="single" w:color="000000" w:sz="6" w:space="0"/>
                  </w:tcBorders>
                  <w:vAlign w:val="center"/>
                </w:tcPr>
                <w:p>
                  <w:pPr>
                    <w:pStyle w:val="59"/>
                    <w:jc w:val="center"/>
                    <w:rPr>
                      <w:rFonts w:ascii="Times New Roman"/>
                      <w:szCs w:val="21"/>
                      <w:u w:val="single"/>
                      <w:lang w:val="en-US"/>
                    </w:rPr>
                  </w:pPr>
                </w:p>
              </w:tc>
              <w:tc>
                <w:tcPr>
                  <w:tcW w:w="103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ascii="Times New Roman"/>
                      <w:szCs w:val="21"/>
                      <w:u w:val="single"/>
                    </w:rPr>
                  </w:pPr>
                  <w:r>
                    <w:rPr>
                      <w:rFonts w:hint="eastAsia" w:ascii="Times New Roman" w:hAnsi="Times New Roman" w:cs="Times New Roman"/>
                      <w:color w:val="auto"/>
                      <w:u w:val="single"/>
                      <w:lang w:val="en-US" w:eastAsia="zh-CN"/>
                    </w:rPr>
                    <w:t>0.35</w:t>
                  </w:r>
                </w:p>
              </w:tc>
              <w:tc>
                <w:tcPr>
                  <w:tcW w:w="105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ascii="Times New Roman"/>
                      <w:szCs w:val="21"/>
                      <w:u w:val="single"/>
                      <w:lang w:val="en-US"/>
                    </w:rPr>
                  </w:pPr>
                  <w:r>
                    <w:rPr>
                      <w:rFonts w:hint="eastAsia" w:ascii="Times New Roman"/>
                      <w:szCs w:val="21"/>
                      <w:u w:val="single"/>
                      <w:lang w:val="en-US"/>
                    </w:rPr>
                    <w:t>/</w:t>
                  </w:r>
                </w:p>
              </w:tc>
              <w:tc>
                <w:tcPr>
                  <w:tcW w:w="1420" w:type="dxa"/>
                  <w:tcBorders>
                    <w:top w:val="single" w:color="000000" w:sz="6" w:space="0"/>
                    <w:left w:val="single" w:color="000000" w:sz="6" w:space="0"/>
                    <w:bottom w:val="single" w:color="000000" w:sz="6" w:space="0"/>
                  </w:tcBorders>
                  <w:vAlign w:val="center"/>
                </w:tcPr>
                <w:p>
                  <w:pPr>
                    <w:pStyle w:val="59"/>
                    <w:jc w:val="center"/>
                    <w:rPr>
                      <w:rFonts w:ascii="Times New Roman"/>
                      <w:szCs w:val="21"/>
                      <w:u w:val="single"/>
                    </w:rPr>
                  </w:pPr>
                  <w:r>
                    <w:rPr>
                      <w:rFonts w:ascii="Times New Roman"/>
                      <w:szCs w:val="21"/>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4" w:type="dxa"/>
                  <w:vMerge w:val="continue"/>
                  <w:tcBorders>
                    <w:right w:val="single" w:color="auto" w:sz="4" w:space="0"/>
                  </w:tcBorders>
                  <w:vAlign w:val="center"/>
                </w:tcPr>
                <w:p>
                  <w:pPr>
                    <w:pStyle w:val="59"/>
                    <w:jc w:val="center"/>
                    <w:rPr>
                      <w:rFonts w:ascii="Times New Roman"/>
                      <w:szCs w:val="21"/>
                      <w:u w:val="single"/>
                    </w:rPr>
                  </w:pPr>
                </w:p>
              </w:tc>
              <w:tc>
                <w:tcPr>
                  <w:tcW w:w="672" w:type="dxa"/>
                  <w:vMerge w:val="continue"/>
                  <w:tcBorders>
                    <w:left w:val="single" w:color="auto" w:sz="4" w:space="0"/>
                    <w:right w:val="single" w:color="000000" w:sz="6" w:space="0"/>
                  </w:tcBorders>
                  <w:vAlign w:val="center"/>
                </w:tcPr>
                <w:p>
                  <w:pPr>
                    <w:jc w:val="center"/>
                    <w:rPr>
                      <w:szCs w:val="21"/>
                      <w:u w:val="single"/>
                    </w:rPr>
                  </w:pPr>
                </w:p>
              </w:tc>
              <w:tc>
                <w:tcPr>
                  <w:tcW w:w="86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hint="eastAsia" w:eastAsia="宋体"/>
                      <w:szCs w:val="21"/>
                      <w:u w:val="single"/>
                      <w:lang w:val="en-US" w:eastAsia="zh-CN"/>
                    </w:rPr>
                  </w:pPr>
                  <w:r>
                    <w:rPr>
                      <w:rFonts w:hint="eastAsia"/>
                      <w:szCs w:val="21"/>
                      <w:u w:val="single"/>
                      <w:lang w:val="en-US" w:eastAsia="zh-CN"/>
                    </w:rPr>
                    <w:t>苯乙烯</w:t>
                  </w:r>
                </w:p>
              </w:tc>
              <w:tc>
                <w:tcPr>
                  <w:tcW w:w="998"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有组织</w:t>
                  </w:r>
                </w:p>
              </w:tc>
              <w:tc>
                <w:tcPr>
                  <w:tcW w:w="1429" w:type="dxa"/>
                  <w:vMerge w:val="restart"/>
                  <w:tcBorders>
                    <w:top w:val="single" w:color="000000" w:sz="6" w:space="0"/>
                    <w:left w:val="single" w:color="000000" w:sz="6" w:space="0"/>
                    <w:right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szCs w:val="21"/>
                      <w:u w:val="single"/>
                      <w:lang w:val="en-US" w:eastAsia="zh-CN"/>
                    </w:rPr>
                    <w:t>0.09</w:t>
                  </w:r>
                </w:p>
              </w:tc>
              <w:tc>
                <w:tcPr>
                  <w:tcW w:w="103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hint="default" w:ascii="Times New Roman"/>
                      <w:szCs w:val="21"/>
                      <w:u w:val="single"/>
                      <w:lang w:val="en-US"/>
                    </w:rPr>
                  </w:pPr>
                  <w:r>
                    <w:rPr>
                      <w:rFonts w:ascii="Times New Roman" w:hAnsi="Times New Roman" w:cs="Times New Roman"/>
                      <w:color w:val="auto"/>
                      <w:u w:val="single"/>
                    </w:rPr>
                    <w:t>0.</w:t>
                  </w:r>
                  <w:r>
                    <w:rPr>
                      <w:rFonts w:hint="eastAsia" w:ascii="Times New Roman" w:hAnsi="Times New Roman" w:cs="Times New Roman"/>
                      <w:color w:val="auto"/>
                      <w:u w:val="single"/>
                      <w:lang w:val="en-US" w:eastAsia="zh-CN"/>
                    </w:rPr>
                    <w:t>0288</w:t>
                  </w:r>
                </w:p>
              </w:tc>
              <w:tc>
                <w:tcPr>
                  <w:tcW w:w="1058" w:type="dxa"/>
                  <w:tcBorders>
                    <w:top w:val="single" w:color="000000" w:sz="6" w:space="0"/>
                    <w:left w:val="single" w:color="000000" w:sz="6" w:space="0"/>
                    <w:bottom w:val="single" w:color="000000" w:sz="6" w:space="0"/>
                    <w:right w:val="single" w:color="000000" w:sz="6" w:space="0"/>
                  </w:tcBorders>
                  <w:vAlign w:val="center"/>
                </w:tcPr>
                <w:p>
                  <w:pPr>
                    <w:pStyle w:val="59"/>
                    <w:jc w:val="center"/>
                    <w:rPr>
                      <w:rFonts w:hint="eastAsia" w:ascii="Times New Roman"/>
                      <w:szCs w:val="21"/>
                      <w:u w:val="single"/>
                      <w:lang w:val="en-US"/>
                    </w:rPr>
                  </w:pPr>
                  <w:r>
                    <w:rPr>
                      <w:rFonts w:hint="eastAsia" w:ascii="Times New Roman" w:hAnsi="Times New Roman" w:cs="Times New Roman"/>
                      <w:color w:val="auto"/>
                      <w:u w:val="single"/>
                      <w:lang w:val="en-US" w:eastAsia="zh-CN"/>
                    </w:rPr>
                    <w:t>0.0136</w:t>
                  </w:r>
                </w:p>
              </w:tc>
              <w:tc>
                <w:tcPr>
                  <w:tcW w:w="1420" w:type="dxa"/>
                  <w:tcBorders>
                    <w:top w:val="single" w:color="000000" w:sz="6" w:space="0"/>
                    <w:left w:val="single" w:color="000000" w:sz="6" w:space="0"/>
                    <w:bottom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szCs w:val="21"/>
                      <w:u w:val="single"/>
                      <w:lang w:val="en-US" w:eastAsia="zh-CN"/>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94" w:type="dxa"/>
                  <w:vMerge w:val="continue"/>
                  <w:tcBorders>
                    <w:right w:val="single" w:color="auto" w:sz="4" w:space="0"/>
                  </w:tcBorders>
                  <w:vAlign w:val="center"/>
                </w:tcPr>
                <w:p>
                  <w:pPr>
                    <w:pStyle w:val="59"/>
                    <w:jc w:val="center"/>
                    <w:rPr>
                      <w:rFonts w:ascii="Times New Roman"/>
                      <w:szCs w:val="21"/>
                      <w:u w:val="single"/>
                    </w:rPr>
                  </w:pPr>
                </w:p>
              </w:tc>
              <w:tc>
                <w:tcPr>
                  <w:tcW w:w="672" w:type="dxa"/>
                  <w:vMerge w:val="continue"/>
                  <w:tcBorders>
                    <w:left w:val="single" w:color="auto" w:sz="4" w:space="0"/>
                    <w:right w:val="single" w:color="000000" w:sz="6" w:space="0"/>
                  </w:tcBorders>
                  <w:vAlign w:val="center"/>
                </w:tcPr>
                <w:p>
                  <w:pPr>
                    <w:jc w:val="center"/>
                    <w:rPr>
                      <w:szCs w:val="21"/>
                      <w:u w:val="single"/>
                    </w:rPr>
                  </w:pPr>
                </w:p>
              </w:tc>
              <w:tc>
                <w:tcPr>
                  <w:tcW w:w="86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szCs w:val="21"/>
                      <w:u w:val="single"/>
                    </w:rPr>
                  </w:pPr>
                </w:p>
              </w:tc>
              <w:tc>
                <w:tcPr>
                  <w:tcW w:w="998" w:type="dxa"/>
                  <w:tcBorders>
                    <w:top w:val="single" w:color="000000" w:sz="6" w:space="0"/>
                    <w:left w:val="single" w:color="000000" w:sz="6" w:space="0"/>
                    <w:right w:val="single" w:color="000000" w:sz="6" w:space="0"/>
                  </w:tcBorders>
                  <w:vAlign w:val="center"/>
                </w:tcPr>
                <w:p>
                  <w:pPr>
                    <w:pStyle w:val="59"/>
                    <w:jc w:val="center"/>
                    <w:rPr>
                      <w:szCs w:val="21"/>
                      <w:u w:val="single"/>
                    </w:rPr>
                  </w:pPr>
                  <w:r>
                    <w:rPr>
                      <w:szCs w:val="21"/>
                      <w:u w:val="single"/>
                    </w:rPr>
                    <w:t>无组织</w:t>
                  </w:r>
                </w:p>
              </w:tc>
              <w:tc>
                <w:tcPr>
                  <w:tcW w:w="1429" w:type="dxa"/>
                  <w:vMerge w:val="continue"/>
                  <w:tcBorders>
                    <w:left w:val="single" w:color="000000" w:sz="6" w:space="0"/>
                    <w:right w:val="single" w:color="000000" w:sz="6" w:space="0"/>
                  </w:tcBorders>
                  <w:vAlign w:val="center"/>
                </w:tcPr>
                <w:p>
                  <w:pPr>
                    <w:pStyle w:val="59"/>
                    <w:jc w:val="center"/>
                    <w:rPr>
                      <w:rFonts w:ascii="Times New Roman"/>
                      <w:szCs w:val="21"/>
                      <w:u w:val="single"/>
                    </w:rPr>
                  </w:pPr>
                </w:p>
              </w:tc>
              <w:tc>
                <w:tcPr>
                  <w:tcW w:w="1038" w:type="dxa"/>
                  <w:tcBorders>
                    <w:top w:val="single" w:color="000000" w:sz="6" w:space="0"/>
                    <w:left w:val="single" w:color="000000" w:sz="6" w:space="0"/>
                    <w:right w:val="single" w:color="000000" w:sz="6" w:space="0"/>
                  </w:tcBorders>
                  <w:vAlign w:val="center"/>
                </w:tcPr>
                <w:p>
                  <w:pPr>
                    <w:pStyle w:val="59"/>
                    <w:jc w:val="center"/>
                    <w:rPr>
                      <w:rFonts w:ascii="Times New Roman"/>
                      <w:szCs w:val="21"/>
                      <w:u w:val="single"/>
                    </w:rPr>
                  </w:pPr>
                  <w:r>
                    <w:rPr>
                      <w:rFonts w:hint="eastAsia" w:ascii="Times New Roman" w:hAnsi="Times New Roman" w:cs="Times New Roman"/>
                      <w:color w:val="auto"/>
                      <w:u w:val="single"/>
                      <w:lang w:val="en-US" w:eastAsia="zh-CN"/>
                    </w:rPr>
                    <w:t>0.018</w:t>
                  </w:r>
                </w:p>
              </w:tc>
              <w:tc>
                <w:tcPr>
                  <w:tcW w:w="1058" w:type="dxa"/>
                  <w:tcBorders>
                    <w:top w:val="single" w:color="000000" w:sz="6" w:space="0"/>
                    <w:left w:val="single" w:color="000000" w:sz="6" w:space="0"/>
                    <w:right w:val="single" w:color="000000" w:sz="6" w:space="0"/>
                  </w:tcBorders>
                  <w:vAlign w:val="center"/>
                </w:tcPr>
                <w:p>
                  <w:pPr>
                    <w:pStyle w:val="59"/>
                    <w:jc w:val="center"/>
                    <w:rPr>
                      <w:rFonts w:hint="eastAsia" w:ascii="Times New Roman" w:eastAsia="宋体"/>
                      <w:szCs w:val="21"/>
                      <w:u w:val="single"/>
                      <w:lang w:val="en-US" w:eastAsia="zh-CN"/>
                    </w:rPr>
                  </w:pPr>
                  <w:r>
                    <w:rPr>
                      <w:rFonts w:hint="eastAsia" w:ascii="Times New Roman"/>
                      <w:szCs w:val="21"/>
                      <w:u w:val="single"/>
                      <w:lang w:val="en-US" w:eastAsia="zh-CN"/>
                    </w:rPr>
                    <w:t>/</w:t>
                  </w:r>
                </w:p>
              </w:tc>
              <w:tc>
                <w:tcPr>
                  <w:tcW w:w="1420" w:type="dxa"/>
                  <w:tcBorders>
                    <w:top w:val="single" w:color="000000" w:sz="6" w:space="0"/>
                    <w:left w:val="single" w:color="000000" w:sz="6" w:space="0"/>
                  </w:tcBorders>
                  <w:vAlign w:val="center"/>
                </w:tcPr>
                <w:p>
                  <w:pPr>
                    <w:pStyle w:val="59"/>
                    <w:jc w:val="center"/>
                    <w:rPr>
                      <w:rFonts w:hint="eastAsia" w:ascii="Times New Roman" w:eastAsia="宋体"/>
                      <w:szCs w:val="21"/>
                      <w:u w:val="single"/>
                      <w:lang w:val="en-US" w:eastAsia="zh-CN"/>
                    </w:rPr>
                  </w:pPr>
                  <w:r>
                    <w:rPr>
                      <w:rFonts w:hint="eastAsia" w:ascii="Times New Roman"/>
                      <w:szCs w:val="21"/>
                      <w:u w:val="single"/>
                      <w:lang w:val="en-US" w:eastAsia="zh-CN"/>
                    </w:rPr>
                    <w:t>/</w:t>
                  </w:r>
                </w:p>
              </w:tc>
            </w:tr>
          </w:tbl>
          <w:p>
            <w:pPr>
              <w:pStyle w:val="53"/>
              <w:spacing w:line="480" w:lineRule="exact"/>
              <w:jc w:val="center"/>
              <w:rPr>
                <w:rFonts w:hint="eastAsia" w:ascii="Times New Roman" w:hAnsi="Times New Roman"/>
                <w:b/>
                <w:bCs/>
                <w:color w:val="auto"/>
                <w:kern w:val="2"/>
                <w:sz w:val="21"/>
                <w:szCs w:val="21"/>
                <w:u w:val="single"/>
              </w:rPr>
            </w:pPr>
            <w:r>
              <w:rPr>
                <w:rFonts w:hint="eastAsia" w:ascii="Times New Roman" w:hAnsi="Times New Roman"/>
                <w:b/>
                <w:bCs/>
                <w:color w:val="auto"/>
                <w:kern w:val="2"/>
                <w:sz w:val="21"/>
                <w:szCs w:val="21"/>
                <w:u w:val="single"/>
              </w:rPr>
              <w:t>表4-</w:t>
            </w:r>
            <w:r>
              <w:rPr>
                <w:rFonts w:hint="eastAsia" w:ascii="Times New Roman" w:hAnsi="Times New Roman"/>
                <w:b/>
                <w:bCs/>
                <w:color w:val="auto"/>
                <w:kern w:val="2"/>
                <w:sz w:val="21"/>
                <w:szCs w:val="21"/>
                <w:u w:val="single"/>
                <w:lang w:val="en-US" w:eastAsia="zh-CN"/>
              </w:rPr>
              <w:t>2</w:t>
            </w:r>
            <w:r>
              <w:rPr>
                <w:rFonts w:hint="eastAsia" w:ascii="Times New Roman" w:hAnsi="Times New Roman"/>
                <w:b/>
                <w:bCs/>
                <w:color w:val="auto"/>
                <w:kern w:val="2"/>
                <w:sz w:val="21"/>
                <w:szCs w:val="21"/>
                <w:u w:val="single"/>
              </w:rPr>
              <w:t xml:space="preserve">  </w:t>
            </w:r>
            <w:r>
              <w:rPr>
                <w:rFonts w:hint="eastAsia" w:ascii="Times New Roman" w:hAnsi="Times New Roman"/>
                <w:b/>
                <w:bCs/>
                <w:color w:val="auto"/>
                <w:kern w:val="2"/>
                <w:sz w:val="21"/>
                <w:szCs w:val="21"/>
                <w:u w:val="single"/>
                <w:lang w:val="en-US" w:eastAsia="zh-CN"/>
              </w:rPr>
              <w:t>废气排</w:t>
            </w:r>
            <w:r>
              <w:rPr>
                <w:rFonts w:hint="eastAsia" w:ascii="Times New Roman" w:hAnsi="Times New Roman"/>
                <w:b/>
                <w:bCs/>
                <w:color w:val="auto"/>
                <w:kern w:val="2"/>
                <w:sz w:val="21"/>
                <w:szCs w:val="21"/>
                <w:u w:val="single"/>
              </w:rPr>
              <w:t>放口基本情况</w:t>
            </w:r>
          </w:p>
          <w:tbl>
            <w:tblPr>
              <w:tblStyle w:val="22"/>
              <w:tblW w:w="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990"/>
              <w:gridCol w:w="1125"/>
              <w:gridCol w:w="1125"/>
              <w:gridCol w:w="990"/>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4"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排放口编号及名称</w:t>
                  </w:r>
                </w:p>
              </w:tc>
              <w:tc>
                <w:tcPr>
                  <w:tcW w:w="990"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高度m</w:t>
                  </w:r>
                </w:p>
              </w:tc>
              <w:tc>
                <w:tcPr>
                  <w:tcW w:w="1125"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内径m</w:t>
                  </w:r>
                </w:p>
              </w:tc>
              <w:tc>
                <w:tcPr>
                  <w:tcW w:w="1125"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温度℃</w:t>
                  </w:r>
                </w:p>
              </w:tc>
              <w:tc>
                <w:tcPr>
                  <w:tcW w:w="990"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类型</w:t>
                  </w:r>
                </w:p>
              </w:tc>
              <w:tc>
                <w:tcPr>
                  <w:tcW w:w="2496" w:type="dxa"/>
                  <w:vAlign w:val="center"/>
                </w:tcPr>
                <w:p>
                  <w:pPr>
                    <w:jc w:val="center"/>
                    <w:rPr>
                      <w:rFonts w:hint="eastAsia" w:eastAsiaTheme="minorEastAsia"/>
                      <w:u w:val="single"/>
                      <w:vertAlign w:val="baseline"/>
                      <w:lang w:val="en-US" w:eastAsia="zh-CN"/>
                    </w:rPr>
                  </w:pPr>
                  <w:r>
                    <w:rPr>
                      <w:rFonts w:hint="eastAsia"/>
                      <w:u w:val="single"/>
                      <w:vertAlign w:val="baseline"/>
                      <w:lang w:val="en-US" w:eastAsia="zh-CN"/>
                    </w:rPr>
                    <w:t>地理坐标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4"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15m排气筒（DA001）</w:t>
                  </w:r>
                </w:p>
              </w:tc>
              <w:tc>
                <w:tcPr>
                  <w:tcW w:w="990"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15</w:t>
                  </w:r>
                </w:p>
              </w:tc>
              <w:tc>
                <w:tcPr>
                  <w:tcW w:w="1125"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0.6</w:t>
                  </w:r>
                </w:p>
              </w:tc>
              <w:tc>
                <w:tcPr>
                  <w:tcW w:w="1125"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30</w:t>
                  </w:r>
                </w:p>
              </w:tc>
              <w:tc>
                <w:tcPr>
                  <w:tcW w:w="990" w:type="dxa"/>
                  <w:vAlign w:val="center"/>
                </w:tcPr>
                <w:p>
                  <w:pPr>
                    <w:jc w:val="center"/>
                    <w:rPr>
                      <w:rFonts w:hint="default" w:eastAsiaTheme="minorEastAsia"/>
                      <w:u w:val="single"/>
                      <w:vertAlign w:val="baseline"/>
                      <w:lang w:val="en-US" w:eastAsia="zh-CN"/>
                    </w:rPr>
                  </w:pPr>
                  <w:r>
                    <w:rPr>
                      <w:rFonts w:hint="eastAsia"/>
                      <w:u w:val="single"/>
                      <w:vertAlign w:val="baseline"/>
                      <w:lang w:val="en-US" w:eastAsia="zh-CN"/>
                    </w:rPr>
                    <w:t>废气</w:t>
                  </w:r>
                </w:p>
              </w:tc>
              <w:tc>
                <w:tcPr>
                  <w:tcW w:w="2496" w:type="dxa"/>
                  <w:vAlign w:val="center"/>
                </w:tcPr>
                <w:p>
                  <w:pPr>
                    <w:jc w:val="both"/>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经度</w:t>
                  </w:r>
                  <w:r>
                    <w:rPr>
                      <w:rFonts w:hint="default" w:ascii="Times New Roman" w:hAnsi="Times New Roman" w:cs="Times New Roman"/>
                      <w:sz w:val="21"/>
                      <w:szCs w:val="21"/>
                      <w:lang w:val="en-US" w:eastAsia="zh-CN"/>
                    </w:rPr>
                    <w:t>112°23′35.82088″</w:t>
                  </w:r>
                </w:p>
                <w:p>
                  <w:pPr>
                    <w:pStyle w:val="2"/>
                    <w:rPr>
                      <w:rFonts w:hint="default"/>
                      <w:lang w:val="en-US" w:eastAsia="zh-CN"/>
                    </w:rPr>
                  </w:pPr>
                  <w:r>
                    <w:rPr>
                      <w:rFonts w:hint="eastAsia" w:ascii="Times New Roman" w:hAnsi="Times New Roman" w:cs="Times New Roman" w:eastAsiaTheme="minorEastAsia"/>
                      <w:sz w:val="21"/>
                      <w:szCs w:val="21"/>
                      <w:u w:val="single"/>
                      <w:vertAlign w:val="baseline"/>
                      <w:lang w:val="en-US" w:eastAsia="zh-CN"/>
                    </w:rPr>
                    <w:t>纬度</w:t>
                  </w:r>
                  <w:r>
                    <w:rPr>
                      <w:rFonts w:hint="default" w:ascii="Times New Roman" w:hAnsi="Times New Roman" w:cs="Times New Roman" w:eastAsiaTheme="minorEastAsia"/>
                      <w:sz w:val="21"/>
                      <w:szCs w:val="21"/>
                      <w:u w:val="single"/>
                      <w:vertAlign w:val="baseline"/>
                      <w:lang w:val="en-US" w:eastAsia="zh-CN"/>
                    </w:rPr>
                    <w:t>28°32′55.42090″</w:t>
                  </w:r>
                </w:p>
              </w:tc>
            </w:tr>
          </w:tbl>
          <w:p>
            <w:pPr>
              <w:pStyle w:val="53"/>
              <w:spacing w:line="480" w:lineRule="exact"/>
              <w:rPr>
                <w:rFonts w:ascii="Times New Roman" w:hAnsi="Times New Roman"/>
                <w:b/>
                <w:color w:val="auto"/>
                <w:u w:val="single"/>
              </w:rPr>
            </w:pPr>
            <w:r>
              <w:rPr>
                <w:rFonts w:hint="eastAsia" w:ascii="Times New Roman" w:hAnsi="Times New Roman"/>
                <w:b/>
                <w:color w:val="auto"/>
                <w:u w:val="single"/>
              </w:rPr>
              <w:t>4.1.2、废气处理措施可行性分析</w:t>
            </w:r>
          </w:p>
          <w:p>
            <w:pPr>
              <w:pStyle w:val="53"/>
              <w:spacing w:line="480" w:lineRule="exact"/>
              <w:ind w:firstLine="480" w:firstLineChars="200"/>
              <w:rPr>
                <w:rFonts w:ascii="Times New Roman" w:hAnsi="Times New Roman"/>
                <w:bCs/>
                <w:color w:val="auto"/>
                <w:szCs w:val="21"/>
                <w:u w:val="single"/>
              </w:rPr>
            </w:pPr>
            <w:r>
              <w:rPr>
                <w:rFonts w:hint="eastAsia" w:ascii="Times New Roman" w:hAnsi="Times New Roman"/>
                <w:bCs/>
                <w:color w:val="auto"/>
                <w:szCs w:val="21"/>
                <w:u w:val="single"/>
              </w:rPr>
              <w:t>根据《排污许可证申请与核发技术规范废弃资源加工工业》（HJ1034-2019），本项目造粒（熔融）产生的挥发性有机废气采取集气罩+UV光解+活性炭吸附+15m排气筒处理属于可行措施，处理措施可行性分析详见下表。</w:t>
            </w:r>
          </w:p>
          <w:p>
            <w:pPr>
              <w:pStyle w:val="53"/>
              <w:spacing w:line="480" w:lineRule="exact"/>
              <w:jc w:val="center"/>
              <w:rPr>
                <w:rFonts w:ascii="Times New Roman" w:hAnsi="Times New Roman"/>
                <w:b/>
                <w:bCs/>
                <w:color w:val="auto"/>
                <w:kern w:val="2"/>
                <w:sz w:val="21"/>
                <w:szCs w:val="21"/>
                <w:u w:val="single"/>
              </w:rPr>
            </w:pPr>
            <w:r>
              <w:rPr>
                <w:rFonts w:hint="eastAsia" w:ascii="Times New Roman" w:hAnsi="Times New Roman"/>
                <w:b/>
                <w:bCs/>
                <w:color w:val="auto"/>
                <w:kern w:val="2"/>
                <w:sz w:val="21"/>
                <w:szCs w:val="21"/>
                <w:u w:val="single"/>
              </w:rPr>
              <w:t>表 4-</w:t>
            </w:r>
            <w:r>
              <w:rPr>
                <w:rFonts w:hint="eastAsia" w:ascii="Times New Roman" w:hAnsi="Times New Roman"/>
                <w:b/>
                <w:bCs/>
                <w:color w:val="auto"/>
                <w:kern w:val="2"/>
                <w:sz w:val="21"/>
                <w:szCs w:val="21"/>
                <w:u w:val="single"/>
                <w:lang w:val="en-US" w:eastAsia="zh-CN"/>
              </w:rPr>
              <w:t>3</w:t>
            </w:r>
            <w:r>
              <w:rPr>
                <w:rFonts w:hint="eastAsia" w:ascii="Times New Roman" w:hAnsi="Times New Roman"/>
                <w:b/>
                <w:bCs/>
                <w:color w:val="auto"/>
                <w:kern w:val="2"/>
                <w:sz w:val="21"/>
                <w:szCs w:val="21"/>
                <w:u w:val="single"/>
              </w:rPr>
              <w:tab/>
            </w:r>
            <w:r>
              <w:rPr>
                <w:rFonts w:hint="eastAsia" w:ascii="Times New Roman" w:hAnsi="Times New Roman"/>
                <w:b/>
                <w:bCs/>
                <w:color w:val="auto"/>
                <w:kern w:val="2"/>
                <w:sz w:val="21"/>
                <w:szCs w:val="21"/>
                <w:u w:val="single"/>
              </w:rPr>
              <w:t>废气处理措施可行性分析一览表</w:t>
            </w:r>
          </w:p>
          <w:tbl>
            <w:tblPr>
              <w:tblStyle w:val="21"/>
              <w:tblW w:w="8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4"/>
              <w:gridCol w:w="993"/>
              <w:gridCol w:w="1315"/>
              <w:gridCol w:w="2030"/>
              <w:gridCol w:w="1680"/>
              <w:gridCol w:w="1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34"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rFonts w:hint="eastAsia" w:eastAsia="宋体"/>
                      <w:u w:val="single"/>
                      <w:lang w:eastAsia="zh-CN"/>
                    </w:rPr>
                  </w:pPr>
                  <w:r>
                    <w:rPr>
                      <w:rFonts w:hint="eastAsia"/>
                      <w:u w:val="single"/>
                      <w:lang w:eastAsia="zh-CN"/>
                    </w:rPr>
                    <w:t>生产单元</w:t>
                  </w:r>
                </w:p>
              </w:tc>
              <w:tc>
                <w:tcPr>
                  <w:tcW w:w="993"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rFonts w:hint="eastAsia" w:eastAsia="宋体"/>
                      <w:u w:val="single"/>
                      <w:lang w:eastAsia="zh-CN"/>
                    </w:rPr>
                  </w:pPr>
                  <w:r>
                    <w:rPr>
                      <w:rFonts w:hint="eastAsia"/>
                      <w:u w:val="single"/>
                      <w:lang w:eastAsia="zh-CN"/>
                    </w:rPr>
                    <w:t>排放方式</w:t>
                  </w:r>
                </w:p>
              </w:tc>
              <w:tc>
                <w:tcPr>
                  <w:tcW w:w="1315"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u w:val="single"/>
                    </w:rPr>
                  </w:pPr>
                  <w:r>
                    <w:rPr>
                      <w:u w:val="single"/>
                    </w:rPr>
                    <w:t>污染物种类</w:t>
                  </w:r>
                </w:p>
              </w:tc>
              <w:tc>
                <w:tcPr>
                  <w:tcW w:w="2030"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u w:val="single"/>
                    </w:rPr>
                  </w:pPr>
                  <w:r>
                    <w:rPr>
                      <w:u w:val="single"/>
                    </w:rPr>
                    <w:t>可行技术</w:t>
                  </w:r>
                </w:p>
              </w:tc>
              <w:tc>
                <w:tcPr>
                  <w:tcW w:w="1680"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u w:val="single"/>
                    </w:rPr>
                  </w:pPr>
                  <w:r>
                    <w:rPr>
                      <w:u w:val="single"/>
                    </w:rPr>
                    <w:t>本项目采取的</w:t>
                  </w:r>
                </w:p>
                <w:p>
                  <w:pPr>
                    <w:pStyle w:val="59"/>
                    <w:keepNext w:val="0"/>
                    <w:keepLines w:val="0"/>
                    <w:pageBreakBefore w:val="0"/>
                    <w:widowControl w:val="0"/>
                    <w:kinsoku/>
                    <w:wordWrap/>
                    <w:overflowPunct/>
                    <w:topLinePunct w:val="0"/>
                    <w:autoSpaceDE/>
                    <w:autoSpaceDN/>
                    <w:bidi w:val="0"/>
                    <w:adjustRightInd/>
                    <w:snapToGrid/>
                    <w:ind w:left="0"/>
                    <w:jc w:val="center"/>
                    <w:textAlignment w:val="auto"/>
                    <w:rPr>
                      <w:u w:val="single"/>
                    </w:rPr>
                  </w:pPr>
                  <w:r>
                    <w:rPr>
                      <w:u w:val="single"/>
                    </w:rPr>
                    <w:t>措施</w:t>
                  </w:r>
                </w:p>
              </w:tc>
              <w:tc>
                <w:tcPr>
                  <w:tcW w:w="1006"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u w:val="single"/>
                    </w:rPr>
                  </w:pPr>
                  <w:r>
                    <w:rPr>
                      <w:u w:val="single"/>
                    </w:rPr>
                    <w:t>是否</w:t>
                  </w:r>
                </w:p>
                <w:p>
                  <w:pPr>
                    <w:pStyle w:val="59"/>
                    <w:keepNext w:val="0"/>
                    <w:keepLines w:val="0"/>
                    <w:pageBreakBefore w:val="0"/>
                    <w:widowControl w:val="0"/>
                    <w:kinsoku/>
                    <w:wordWrap/>
                    <w:overflowPunct/>
                    <w:topLinePunct w:val="0"/>
                    <w:autoSpaceDE/>
                    <w:autoSpaceDN/>
                    <w:bidi w:val="0"/>
                    <w:adjustRightInd/>
                    <w:snapToGrid/>
                    <w:ind w:left="0"/>
                    <w:jc w:val="center"/>
                    <w:textAlignment w:val="auto"/>
                    <w:rPr>
                      <w:u w:val="single"/>
                    </w:rPr>
                  </w:pPr>
                  <w:r>
                    <w:rPr>
                      <w:u w:val="single"/>
                    </w:rPr>
                    <w:t>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8" w:hRule="atLeast"/>
                <w:jc w:val="center"/>
              </w:trPr>
              <w:tc>
                <w:tcPr>
                  <w:tcW w:w="1034"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u w:val="single"/>
                    </w:rPr>
                  </w:pPr>
                  <w:r>
                    <w:rPr>
                      <w:rFonts w:hint="eastAsia"/>
                      <w:u w:val="single"/>
                      <w:lang w:eastAsia="zh-CN"/>
                    </w:rPr>
                    <w:t>破碎、</w:t>
                  </w:r>
                  <w:r>
                    <w:rPr>
                      <w:u w:val="single"/>
                    </w:rPr>
                    <w:t>熔融</w:t>
                  </w:r>
                </w:p>
                <w:p>
                  <w:pPr>
                    <w:pStyle w:val="59"/>
                    <w:keepNext w:val="0"/>
                    <w:keepLines w:val="0"/>
                    <w:pageBreakBefore w:val="0"/>
                    <w:widowControl w:val="0"/>
                    <w:kinsoku/>
                    <w:wordWrap/>
                    <w:overflowPunct/>
                    <w:topLinePunct w:val="0"/>
                    <w:autoSpaceDE/>
                    <w:autoSpaceDN/>
                    <w:bidi w:val="0"/>
                    <w:adjustRightInd/>
                    <w:snapToGrid/>
                    <w:ind w:left="0"/>
                    <w:jc w:val="center"/>
                    <w:textAlignment w:val="auto"/>
                    <w:rPr>
                      <w:u w:val="single"/>
                    </w:rPr>
                  </w:pPr>
                  <w:r>
                    <w:rPr>
                      <w:u w:val="single"/>
                    </w:rPr>
                    <w:t>（造粒）</w:t>
                  </w:r>
                </w:p>
              </w:tc>
              <w:tc>
                <w:tcPr>
                  <w:tcW w:w="993"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rFonts w:hint="eastAsia"/>
                      <w:u w:val="single"/>
                      <w:lang w:eastAsia="zh-CN"/>
                    </w:rPr>
                  </w:pPr>
                  <w:r>
                    <w:rPr>
                      <w:rFonts w:hint="eastAsia"/>
                      <w:u w:val="single"/>
                      <w:lang w:eastAsia="zh-CN"/>
                    </w:rPr>
                    <w:t>有组织、</w:t>
                  </w:r>
                </w:p>
                <w:p>
                  <w:pPr>
                    <w:pStyle w:val="59"/>
                    <w:keepNext w:val="0"/>
                    <w:keepLines w:val="0"/>
                    <w:pageBreakBefore w:val="0"/>
                    <w:widowControl w:val="0"/>
                    <w:kinsoku/>
                    <w:wordWrap/>
                    <w:overflowPunct/>
                    <w:topLinePunct w:val="0"/>
                    <w:autoSpaceDE/>
                    <w:autoSpaceDN/>
                    <w:bidi w:val="0"/>
                    <w:adjustRightInd/>
                    <w:snapToGrid/>
                    <w:ind w:left="0"/>
                    <w:jc w:val="center"/>
                    <w:textAlignment w:val="auto"/>
                    <w:rPr>
                      <w:rFonts w:hint="eastAsia" w:eastAsia="宋体"/>
                      <w:u w:val="single"/>
                      <w:lang w:eastAsia="zh-CN"/>
                    </w:rPr>
                  </w:pPr>
                  <w:r>
                    <w:rPr>
                      <w:rFonts w:hint="eastAsia"/>
                      <w:u w:val="single"/>
                      <w:lang w:eastAsia="zh-CN"/>
                    </w:rPr>
                    <w:t>无组织</w:t>
                  </w:r>
                </w:p>
              </w:tc>
              <w:tc>
                <w:tcPr>
                  <w:tcW w:w="1315"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rFonts w:hint="default" w:eastAsia="宋体"/>
                      <w:u w:val="single"/>
                      <w:lang w:val="en-US" w:eastAsia="zh-CN"/>
                    </w:rPr>
                  </w:pPr>
                  <w:r>
                    <w:rPr>
                      <w:rFonts w:hint="eastAsia"/>
                      <w:u w:val="single"/>
                      <w:lang w:eastAsia="zh-CN"/>
                    </w:rPr>
                    <w:t>颗粒物、</w:t>
                  </w:r>
                  <w:r>
                    <w:rPr>
                      <w:u w:val="single"/>
                    </w:rPr>
                    <w:t>非甲烷总烃</w:t>
                  </w:r>
                  <w:r>
                    <w:rPr>
                      <w:rFonts w:hint="eastAsia"/>
                      <w:u w:val="single"/>
                      <w:lang w:eastAsia="zh-CN"/>
                    </w:rPr>
                    <w:t>、</w:t>
                  </w:r>
                  <w:r>
                    <w:rPr>
                      <w:rFonts w:hint="eastAsia"/>
                      <w:u w:val="single"/>
                      <w:lang w:val="en-US" w:eastAsia="zh-CN"/>
                    </w:rPr>
                    <w:t>苯乙烯</w:t>
                  </w:r>
                </w:p>
              </w:tc>
              <w:tc>
                <w:tcPr>
                  <w:tcW w:w="2030" w:type="dxa"/>
                  <w:vAlign w:val="center"/>
                </w:tcPr>
                <w:p>
                  <w:pPr>
                    <w:pStyle w:val="59"/>
                    <w:keepNext w:val="0"/>
                    <w:keepLines w:val="0"/>
                    <w:pageBreakBefore w:val="0"/>
                    <w:widowControl w:val="0"/>
                    <w:kinsoku/>
                    <w:wordWrap/>
                    <w:overflowPunct/>
                    <w:topLinePunct w:val="0"/>
                    <w:autoSpaceDE/>
                    <w:autoSpaceDN/>
                    <w:bidi w:val="0"/>
                    <w:adjustRightInd/>
                    <w:snapToGrid/>
                    <w:ind w:left="0" w:leftChars="0"/>
                    <w:jc w:val="center"/>
                    <w:textAlignment w:val="auto"/>
                    <w:rPr>
                      <w:u w:val="single"/>
                    </w:rPr>
                  </w:pPr>
                  <w:r>
                    <w:rPr>
                      <w:rFonts w:hint="eastAsia"/>
                      <w:u w:val="single"/>
                      <w:lang w:eastAsia="zh-CN"/>
                    </w:rPr>
                    <w:t>布袋除尘、</w:t>
                  </w:r>
                  <w:r>
                    <w:rPr>
                      <w:u w:val="single"/>
                    </w:rPr>
                    <w:t>喷淋降尘、高温焚烧、催化燃烧、活性炭吸附</w:t>
                  </w:r>
                </w:p>
              </w:tc>
              <w:tc>
                <w:tcPr>
                  <w:tcW w:w="1680" w:type="dxa"/>
                  <w:vAlign w:val="center"/>
                </w:tcPr>
                <w:p>
                  <w:pPr>
                    <w:pStyle w:val="59"/>
                    <w:keepNext w:val="0"/>
                    <w:keepLines w:val="0"/>
                    <w:pageBreakBefore w:val="0"/>
                    <w:widowControl w:val="0"/>
                    <w:kinsoku/>
                    <w:wordWrap/>
                    <w:overflowPunct/>
                    <w:topLinePunct w:val="0"/>
                    <w:autoSpaceDE/>
                    <w:autoSpaceDN/>
                    <w:bidi w:val="0"/>
                    <w:adjustRightInd/>
                    <w:snapToGrid/>
                    <w:ind w:left="0" w:leftChars="0"/>
                    <w:jc w:val="center"/>
                    <w:textAlignment w:val="auto"/>
                    <w:rPr>
                      <w:u w:val="single"/>
                    </w:rPr>
                  </w:pPr>
                  <w:r>
                    <w:rPr>
                      <w:rFonts w:hint="eastAsia"/>
                      <w:u w:val="single"/>
                      <w:lang w:eastAsia="zh-CN"/>
                    </w:rPr>
                    <w:t>颗粒物采用布袋除尘、有机废气采用</w:t>
                  </w:r>
                  <w:r>
                    <w:rPr>
                      <w:u w:val="single"/>
                    </w:rPr>
                    <w:t>喷淋塔+UV光</w:t>
                  </w:r>
                  <w:r>
                    <w:rPr>
                      <w:rFonts w:hint="eastAsia"/>
                      <w:u w:val="single"/>
                      <w:lang w:val="en-US"/>
                    </w:rPr>
                    <w:t>解</w:t>
                  </w:r>
                  <w:r>
                    <w:rPr>
                      <w:u w:val="single"/>
                    </w:rPr>
                    <w:t>+活性炭吸附</w:t>
                  </w:r>
                </w:p>
              </w:tc>
              <w:tc>
                <w:tcPr>
                  <w:tcW w:w="1006" w:type="dxa"/>
                  <w:vAlign w:val="center"/>
                </w:tcPr>
                <w:p>
                  <w:pPr>
                    <w:pStyle w:val="59"/>
                    <w:keepNext w:val="0"/>
                    <w:keepLines w:val="0"/>
                    <w:pageBreakBefore w:val="0"/>
                    <w:widowControl w:val="0"/>
                    <w:kinsoku/>
                    <w:wordWrap/>
                    <w:overflowPunct/>
                    <w:topLinePunct w:val="0"/>
                    <w:autoSpaceDE/>
                    <w:autoSpaceDN/>
                    <w:bidi w:val="0"/>
                    <w:adjustRightInd/>
                    <w:snapToGrid/>
                    <w:ind w:left="0"/>
                    <w:jc w:val="center"/>
                    <w:textAlignment w:val="auto"/>
                    <w:rPr>
                      <w:u w:val="single"/>
                    </w:rPr>
                  </w:pPr>
                  <w:r>
                    <w:rPr>
                      <w:u w:val="single"/>
                    </w:rPr>
                    <w:t>可行</w:t>
                  </w:r>
                </w:p>
              </w:tc>
            </w:tr>
          </w:tbl>
          <w:p>
            <w:pPr>
              <w:pStyle w:val="53"/>
              <w:spacing w:line="480" w:lineRule="exact"/>
              <w:rPr>
                <w:rFonts w:hint="default" w:ascii="Times New Roman" w:hAnsi="Times New Roman" w:eastAsia="宋体"/>
                <w:bCs/>
                <w:color w:val="auto"/>
                <w:szCs w:val="21"/>
                <w:u w:val="single"/>
                <w:lang w:val="en-US" w:eastAsia="zh-CN"/>
              </w:rPr>
            </w:pPr>
            <w:r>
              <w:rPr>
                <w:rFonts w:hint="eastAsia" w:ascii="Times New Roman" w:hAnsi="Times New Roman"/>
                <w:b/>
                <w:color w:val="auto"/>
                <w:u w:val="single"/>
              </w:rPr>
              <w:t>4.1.</w:t>
            </w:r>
            <w:r>
              <w:rPr>
                <w:rFonts w:hint="eastAsia" w:ascii="Times New Roman" w:hAnsi="Times New Roman"/>
                <w:b/>
                <w:color w:val="auto"/>
                <w:u w:val="single"/>
                <w:lang w:val="en-US" w:eastAsia="zh-CN"/>
              </w:rPr>
              <w:t>3</w:t>
            </w:r>
            <w:r>
              <w:rPr>
                <w:rFonts w:hint="eastAsia" w:ascii="Times New Roman" w:hAnsi="Times New Roman"/>
                <w:b/>
                <w:color w:val="auto"/>
                <w:u w:val="single"/>
              </w:rPr>
              <w:t>、废气</w:t>
            </w:r>
            <w:r>
              <w:rPr>
                <w:rFonts w:hint="eastAsia" w:ascii="Times New Roman" w:hAnsi="Times New Roman"/>
                <w:b/>
                <w:color w:val="auto"/>
                <w:u w:val="single"/>
                <w:lang w:val="en-US" w:eastAsia="zh-CN"/>
              </w:rPr>
              <w:t>非正常排放</w:t>
            </w:r>
          </w:p>
          <w:p>
            <w:pPr>
              <w:pStyle w:val="53"/>
              <w:spacing w:line="480" w:lineRule="exact"/>
              <w:ind w:firstLine="480" w:firstLineChars="200"/>
              <w:rPr>
                <w:rFonts w:hint="eastAsia" w:ascii="Times New Roman" w:hAnsi="Times New Roman"/>
                <w:bCs/>
                <w:color w:val="auto"/>
                <w:szCs w:val="21"/>
                <w:u w:val="single"/>
                <w:lang w:val="en-US" w:eastAsia="zh-CN"/>
              </w:rPr>
            </w:pPr>
            <w:r>
              <w:rPr>
                <w:rFonts w:hint="eastAsia" w:ascii="Times New Roman" w:hAnsi="Times New Roman"/>
                <w:bCs/>
                <w:color w:val="auto"/>
                <w:szCs w:val="21"/>
                <w:u w:val="single"/>
                <w:lang w:val="en-US" w:eastAsia="zh-CN"/>
              </w:rPr>
              <w:t>非正常工况是指生产运行阶段的开、停车、检修、操作不正常或设备故障等，不包括事故排放。本项目非正常工况是指环保设施发生故障而无法运行时的极端工况。该工况发生频率很低，预防措施是加强对环保设施的巡查和管理，一旦发现环保设施出现异常，应迅速排查故障，确保废气处理设施正常运转，短时间无法排除故障的，该环保设施的对应生产工序应停止生产，直到故障排除后方可继续生产。本项目针对定型废气处理装置在非正常工况下污染物排放进行分析，非正常工况下，取上述废气处理设备去除效率为0，则非正常工况污染物排放源强见下表：</w:t>
            </w:r>
          </w:p>
          <w:p>
            <w:pPr>
              <w:jc w:val="center"/>
              <w:rPr>
                <w:b/>
                <w:bCs/>
                <w:szCs w:val="21"/>
                <w:u w:val="single"/>
              </w:rPr>
            </w:pPr>
            <w:r>
              <w:rPr>
                <w:rFonts w:hint="eastAsia"/>
                <w:b/>
                <w:bCs/>
                <w:szCs w:val="21"/>
                <w:u w:val="single"/>
              </w:rPr>
              <w:t>表4-</w:t>
            </w:r>
            <w:r>
              <w:rPr>
                <w:rFonts w:hint="eastAsia"/>
                <w:b/>
                <w:bCs/>
                <w:szCs w:val="21"/>
                <w:u w:val="single"/>
                <w:lang w:val="en-US" w:eastAsia="zh-CN"/>
              </w:rPr>
              <w:t>4</w:t>
            </w:r>
            <w:r>
              <w:rPr>
                <w:rFonts w:hint="eastAsia"/>
                <w:b/>
                <w:bCs/>
                <w:szCs w:val="21"/>
                <w:u w:val="single"/>
              </w:rPr>
              <w:t xml:space="preserve">  </w:t>
            </w:r>
            <w:r>
              <w:rPr>
                <w:rFonts w:hint="eastAsia"/>
                <w:b/>
                <w:bCs/>
                <w:szCs w:val="21"/>
                <w:u w:val="single"/>
                <w:lang w:val="en-US" w:eastAsia="zh-CN"/>
              </w:rPr>
              <w:t>污染源非正常排放量核算</w:t>
            </w:r>
            <w:r>
              <w:rPr>
                <w:rFonts w:hint="eastAsia"/>
                <w:b/>
                <w:bCs/>
                <w:szCs w:val="21"/>
                <w:u w:val="single"/>
              </w:rPr>
              <w:t>表</w:t>
            </w:r>
          </w:p>
          <w:tbl>
            <w:tblPr>
              <w:tblStyle w:val="21"/>
              <w:tblW w:w="82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541"/>
              <w:gridCol w:w="1246"/>
              <w:gridCol w:w="809"/>
              <w:gridCol w:w="991"/>
              <w:gridCol w:w="821"/>
              <w:gridCol w:w="933"/>
              <w:gridCol w:w="723"/>
              <w:gridCol w:w="810"/>
              <w:gridCol w:w="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1181" w:type="dxa"/>
                  <w:gridSpan w:val="2"/>
                  <w:vMerge w:val="restart"/>
                  <w:tcBorders>
                    <w:bottom w:val="single" w:color="000000" w:sz="6" w:space="0"/>
                    <w:right w:val="single" w:color="000000" w:sz="6" w:space="0"/>
                  </w:tcBorders>
                  <w:vAlign w:val="center"/>
                </w:tcPr>
                <w:p>
                  <w:pPr>
                    <w:pStyle w:val="59"/>
                    <w:jc w:val="center"/>
                    <w:rPr>
                      <w:szCs w:val="21"/>
                      <w:u w:val="single"/>
                    </w:rPr>
                  </w:pPr>
                  <w:r>
                    <w:rPr>
                      <w:szCs w:val="21"/>
                      <w:u w:val="single"/>
                    </w:rPr>
                    <w:t>污染源</w:t>
                  </w:r>
                </w:p>
              </w:tc>
              <w:tc>
                <w:tcPr>
                  <w:tcW w:w="1246" w:type="dxa"/>
                  <w:vMerge w:val="restart"/>
                  <w:tcBorders>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污染因子</w:t>
                  </w:r>
                </w:p>
              </w:tc>
              <w:tc>
                <w:tcPr>
                  <w:tcW w:w="809" w:type="dxa"/>
                  <w:vMerge w:val="restart"/>
                  <w:tcBorders>
                    <w:left w:val="single" w:color="000000" w:sz="6" w:space="0"/>
                    <w:right w:val="single" w:color="000000" w:sz="6" w:space="0"/>
                  </w:tcBorders>
                  <w:vAlign w:val="center"/>
                </w:tcPr>
                <w:p>
                  <w:pPr>
                    <w:pStyle w:val="59"/>
                    <w:jc w:val="center"/>
                    <w:rPr>
                      <w:szCs w:val="21"/>
                      <w:u w:val="single"/>
                    </w:rPr>
                  </w:pPr>
                  <w:r>
                    <w:rPr>
                      <w:rFonts w:hint="eastAsia"/>
                      <w:szCs w:val="21"/>
                      <w:u w:val="single"/>
                      <w:lang w:val="en-US" w:eastAsia="zh-CN"/>
                    </w:rPr>
                    <w:t>非正常排放原因</w:t>
                  </w:r>
                </w:p>
              </w:tc>
              <w:tc>
                <w:tcPr>
                  <w:tcW w:w="2745" w:type="dxa"/>
                  <w:gridSpan w:val="3"/>
                  <w:tcBorders>
                    <w:left w:val="single" w:color="000000" w:sz="6" w:space="0"/>
                    <w:bottom w:val="single" w:color="000000" w:sz="6" w:space="0"/>
                  </w:tcBorders>
                  <w:vAlign w:val="center"/>
                </w:tcPr>
                <w:p>
                  <w:pPr>
                    <w:pStyle w:val="59"/>
                    <w:jc w:val="center"/>
                    <w:rPr>
                      <w:szCs w:val="21"/>
                      <w:u w:val="single"/>
                    </w:rPr>
                  </w:pPr>
                  <w:r>
                    <w:rPr>
                      <w:rFonts w:hint="eastAsia"/>
                      <w:szCs w:val="21"/>
                      <w:u w:val="single"/>
                      <w:lang w:val="en-US" w:eastAsia="zh-CN"/>
                    </w:rPr>
                    <w:t>产生</w:t>
                  </w:r>
                  <w:r>
                    <w:rPr>
                      <w:szCs w:val="21"/>
                      <w:u w:val="single"/>
                    </w:rPr>
                    <w:t>情况</w:t>
                  </w:r>
                </w:p>
              </w:tc>
              <w:tc>
                <w:tcPr>
                  <w:tcW w:w="723" w:type="dxa"/>
                  <w:vMerge w:val="restart"/>
                  <w:tcBorders>
                    <w:left w:val="single" w:color="000000" w:sz="6" w:space="0"/>
                    <w:right w:val="single" w:color="auto" w:sz="4" w:space="0"/>
                  </w:tcBorders>
                  <w:vAlign w:val="center"/>
                </w:tcPr>
                <w:p>
                  <w:pPr>
                    <w:pStyle w:val="59"/>
                    <w:jc w:val="center"/>
                    <w:rPr>
                      <w:rFonts w:hint="eastAsia"/>
                      <w:szCs w:val="21"/>
                      <w:u w:val="single"/>
                      <w:lang w:val="en-US" w:eastAsia="zh-CN"/>
                    </w:rPr>
                  </w:pPr>
                  <w:r>
                    <w:rPr>
                      <w:rFonts w:hint="eastAsia"/>
                      <w:szCs w:val="21"/>
                      <w:u w:val="single"/>
                      <w:lang w:val="en-US" w:eastAsia="zh-CN"/>
                    </w:rPr>
                    <w:t>单次持续时间</w:t>
                  </w:r>
                </w:p>
              </w:tc>
              <w:tc>
                <w:tcPr>
                  <w:tcW w:w="810" w:type="dxa"/>
                  <w:vMerge w:val="restart"/>
                  <w:tcBorders>
                    <w:left w:val="single" w:color="auto" w:sz="4" w:space="0"/>
                    <w:right w:val="single" w:color="auto" w:sz="4" w:space="0"/>
                  </w:tcBorders>
                  <w:vAlign w:val="center"/>
                </w:tcPr>
                <w:p>
                  <w:pPr>
                    <w:pStyle w:val="59"/>
                    <w:jc w:val="center"/>
                    <w:rPr>
                      <w:rFonts w:hint="eastAsia"/>
                      <w:szCs w:val="21"/>
                      <w:u w:val="single"/>
                      <w:lang w:val="en-US" w:eastAsia="zh-CN"/>
                    </w:rPr>
                  </w:pPr>
                  <w:r>
                    <w:rPr>
                      <w:rFonts w:hint="eastAsia"/>
                      <w:szCs w:val="21"/>
                      <w:u w:val="single"/>
                      <w:lang w:val="en-US" w:eastAsia="zh-CN"/>
                    </w:rPr>
                    <w:t>年发生频次/次</w:t>
                  </w:r>
                </w:p>
              </w:tc>
              <w:tc>
                <w:tcPr>
                  <w:tcW w:w="756" w:type="dxa"/>
                  <w:vMerge w:val="restart"/>
                  <w:tcBorders>
                    <w:left w:val="single" w:color="auto" w:sz="4" w:space="0"/>
                  </w:tcBorders>
                  <w:vAlign w:val="center"/>
                </w:tcPr>
                <w:p>
                  <w:pPr>
                    <w:pStyle w:val="59"/>
                    <w:jc w:val="center"/>
                    <w:rPr>
                      <w:rFonts w:hint="eastAsia"/>
                      <w:szCs w:val="21"/>
                      <w:u w:val="single"/>
                      <w:lang w:val="en-US" w:eastAsia="zh-CN"/>
                    </w:rPr>
                  </w:pPr>
                  <w:r>
                    <w:rPr>
                      <w:rFonts w:hint="eastAsia"/>
                      <w:szCs w:val="21"/>
                      <w:u w:val="single"/>
                      <w:lang w:val="en-US" w:eastAsia="zh-CN"/>
                    </w:rPr>
                    <w:t>应对措施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jc w:val="center"/>
              </w:trPr>
              <w:tc>
                <w:tcPr>
                  <w:tcW w:w="1181" w:type="dxa"/>
                  <w:gridSpan w:val="2"/>
                  <w:vMerge w:val="continue"/>
                  <w:tcBorders>
                    <w:top w:val="nil"/>
                    <w:bottom w:val="single" w:color="000000" w:sz="6" w:space="0"/>
                    <w:right w:val="single" w:color="000000" w:sz="6" w:space="0"/>
                  </w:tcBorders>
                  <w:vAlign w:val="center"/>
                </w:tcPr>
                <w:p>
                  <w:pPr>
                    <w:jc w:val="center"/>
                    <w:rPr>
                      <w:szCs w:val="21"/>
                      <w:u w:val="single"/>
                    </w:rPr>
                  </w:pPr>
                </w:p>
              </w:tc>
              <w:tc>
                <w:tcPr>
                  <w:tcW w:w="1246" w:type="dxa"/>
                  <w:vMerge w:val="continue"/>
                  <w:tcBorders>
                    <w:top w:val="nil"/>
                    <w:left w:val="single" w:color="000000" w:sz="6" w:space="0"/>
                    <w:bottom w:val="single" w:color="000000" w:sz="6" w:space="0"/>
                    <w:right w:val="single" w:color="000000" w:sz="6" w:space="0"/>
                  </w:tcBorders>
                  <w:vAlign w:val="center"/>
                </w:tcPr>
                <w:p>
                  <w:pPr>
                    <w:jc w:val="center"/>
                    <w:rPr>
                      <w:szCs w:val="21"/>
                      <w:u w:val="single"/>
                    </w:rPr>
                  </w:pPr>
                </w:p>
              </w:tc>
              <w:tc>
                <w:tcPr>
                  <w:tcW w:w="809" w:type="dxa"/>
                  <w:vMerge w:val="continue"/>
                  <w:tcBorders>
                    <w:left w:val="single" w:color="000000" w:sz="6" w:space="0"/>
                    <w:bottom w:val="single" w:color="000000" w:sz="6" w:space="0"/>
                    <w:right w:val="single" w:color="000000" w:sz="6" w:space="0"/>
                  </w:tcBorders>
                  <w:vAlign w:val="center"/>
                </w:tcPr>
                <w:p>
                  <w:pPr>
                    <w:pStyle w:val="59"/>
                    <w:jc w:val="center"/>
                    <w:rPr>
                      <w:szCs w:val="21"/>
                      <w:u w:val="single"/>
                    </w:rPr>
                  </w:pPr>
                </w:p>
              </w:tc>
              <w:tc>
                <w:tcPr>
                  <w:tcW w:w="991"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rFonts w:hint="eastAsia"/>
                      <w:szCs w:val="21"/>
                      <w:u w:val="single"/>
                      <w:lang w:val="en-US" w:eastAsia="zh-CN"/>
                    </w:rPr>
                    <w:t>产生</w:t>
                  </w:r>
                  <w:r>
                    <w:rPr>
                      <w:szCs w:val="21"/>
                      <w:u w:val="single"/>
                    </w:rPr>
                    <w:t>量</w:t>
                  </w:r>
                </w:p>
                <w:p>
                  <w:pPr>
                    <w:pStyle w:val="59"/>
                    <w:jc w:val="center"/>
                    <w:rPr>
                      <w:szCs w:val="21"/>
                      <w:u w:val="single"/>
                    </w:rPr>
                  </w:pPr>
                  <w:r>
                    <w:rPr>
                      <w:szCs w:val="21"/>
                      <w:u w:val="single"/>
                    </w:rPr>
                    <w:t>（</w:t>
                  </w:r>
                  <w:r>
                    <w:rPr>
                      <w:rFonts w:ascii="Times New Roman" w:eastAsia="Times New Roman"/>
                      <w:szCs w:val="21"/>
                      <w:u w:val="single"/>
                    </w:rPr>
                    <w:t>t/a</w:t>
                  </w:r>
                  <w:r>
                    <w:rPr>
                      <w:szCs w:val="21"/>
                      <w:u w:val="single"/>
                    </w:rPr>
                    <w:t>）</w:t>
                  </w:r>
                </w:p>
              </w:tc>
              <w:tc>
                <w:tcPr>
                  <w:tcW w:w="821" w:type="dxa"/>
                  <w:tcBorders>
                    <w:top w:val="single" w:color="000000" w:sz="6" w:space="0"/>
                    <w:left w:val="single" w:color="000000" w:sz="6" w:space="0"/>
                    <w:bottom w:val="single" w:color="000000" w:sz="6" w:space="0"/>
                    <w:right w:val="single" w:color="000000" w:sz="6" w:space="0"/>
                  </w:tcBorders>
                  <w:vAlign w:val="center"/>
                </w:tcPr>
                <w:p>
                  <w:pPr>
                    <w:pStyle w:val="59"/>
                    <w:jc w:val="center"/>
                    <w:rPr>
                      <w:szCs w:val="21"/>
                      <w:u w:val="single"/>
                    </w:rPr>
                  </w:pPr>
                  <w:r>
                    <w:rPr>
                      <w:szCs w:val="21"/>
                      <w:u w:val="single"/>
                    </w:rPr>
                    <w:t>速率</w:t>
                  </w:r>
                </w:p>
                <w:p>
                  <w:pPr>
                    <w:pStyle w:val="59"/>
                    <w:jc w:val="center"/>
                    <w:rPr>
                      <w:szCs w:val="21"/>
                      <w:u w:val="single"/>
                    </w:rPr>
                  </w:pPr>
                  <w:r>
                    <w:rPr>
                      <w:szCs w:val="21"/>
                      <w:u w:val="single"/>
                    </w:rPr>
                    <w:t>（</w:t>
                  </w:r>
                  <w:r>
                    <w:rPr>
                      <w:rFonts w:ascii="Times New Roman" w:eastAsia="Times New Roman"/>
                      <w:szCs w:val="21"/>
                      <w:u w:val="single"/>
                    </w:rPr>
                    <w:t>kg/h</w:t>
                  </w:r>
                  <w:r>
                    <w:rPr>
                      <w:szCs w:val="21"/>
                      <w:u w:val="single"/>
                    </w:rPr>
                    <w:t>）</w:t>
                  </w:r>
                </w:p>
              </w:tc>
              <w:tc>
                <w:tcPr>
                  <w:tcW w:w="933" w:type="dxa"/>
                  <w:tcBorders>
                    <w:top w:val="single" w:color="000000" w:sz="6" w:space="0"/>
                    <w:left w:val="single" w:color="000000" w:sz="6" w:space="0"/>
                    <w:bottom w:val="single" w:color="000000" w:sz="6" w:space="0"/>
                  </w:tcBorders>
                  <w:vAlign w:val="center"/>
                </w:tcPr>
                <w:p>
                  <w:pPr>
                    <w:pStyle w:val="59"/>
                    <w:jc w:val="center"/>
                    <w:rPr>
                      <w:szCs w:val="21"/>
                      <w:u w:val="single"/>
                    </w:rPr>
                  </w:pPr>
                  <w:r>
                    <w:rPr>
                      <w:szCs w:val="21"/>
                      <w:u w:val="single"/>
                    </w:rPr>
                    <w:t>浓度</w:t>
                  </w:r>
                </w:p>
                <w:p>
                  <w:pPr>
                    <w:pStyle w:val="59"/>
                    <w:jc w:val="center"/>
                    <w:rPr>
                      <w:szCs w:val="21"/>
                      <w:u w:val="single"/>
                    </w:rPr>
                  </w:pPr>
                  <w:r>
                    <w:rPr>
                      <w:szCs w:val="21"/>
                      <w:u w:val="single"/>
                    </w:rPr>
                    <w:t>（</w:t>
                  </w:r>
                  <w:r>
                    <w:rPr>
                      <w:rFonts w:ascii="Times New Roman" w:eastAsia="Times New Roman"/>
                      <w:szCs w:val="21"/>
                      <w:u w:val="single"/>
                    </w:rPr>
                    <w:t>mg/m</w:t>
                  </w:r>
                  <w:r>
                    <w:rPr>
                      <w:rFonts w:ascii="Times New Roman" w:eastAsia="Times New Roman"/>
                      <w:szCs w:val="21"/>
                      <w:u w:val="single"/>
                      <w:vertAlign w:val="superscript"/>
                    </w:rPr>
                    <w:t>3</w:t>
                  </w:r>
                  <w:r>
                    <w:rPr>
                      <w:szCs w:val="21"/>
                      <w:u w:val="single"/>
                    </w:rPr>
                    <w:t>）</w:t>
                  </w:r>
                </w:p>
              </w:tc>
              <w:tc>
                <w:tcPr>
                  <w:tcW w:w="723" w:type="dxa"/>
                  <w:vMerge w:val="continue"/>
                  <w:tcBorders>
                    <w:left w:val="single" w:color="000000" w:sz="6" w:space="0"/>
                    <w:bottom w:val="single" w:color="000000" w:sz="6" w:space="0"/>
                    <w:right w:val="single" w:color="auto" w:sz="4" w:space="0"/>
                  </w:tcBorders>
                  <w:vAlign w:val="center"/>
                </w:tcPr>
                <w:p>
                  <w:pPr>
                    <w:pStyle w:val="59"/>
                    <w:jc w:val="center"/>
                    <w:rPr>
                      <w:szCs w:val="21"/>
                      <w:u w:val="single"/>
                    </w:rPr>
                  </w:pPr>
                </w:p>
              </w:tc>
              <w:tc>
                <w:tcPr>
                  <w:tcW w:w="810" w:type="dxa"/>
                  <w:vMerge w:val="continue"/>
                  <w:tcBorders>
                    <w:left w:val="single" w:color="auto" w:sz="4" w:space="0"/>
                    <w:bottom w:val="single" w:color="000000" w:sz="6" w:space="0"/>
                    <w:right w:val="single" w:color="auto" w:sz="4" w:space="0"/>
                  </w:tcBorders>
                  <w:vAlign w:val="center"/>
                </w:tcPr>
                <w:p>
                  <w:pPr>
                    <w:pStyle w:val="59"/>
                    <w:jc w:val="center"/>
                    <w:rPr>
                      <w:szCs w:val="21"/>
                      <w:u w:val="single"/>
                    </w:rPr>
                  </w:pPr>
                </w:p>
              </w:tc>
              <w:tc>
                <w:tcPr>
                  <w:tcW w:w="756" w:type="dxa"/>
                  <w:vMerge w:val="continue"/>
                  <w:tcBorders>
                    <w:left w:val="single" w:color="auto" w:sz="4" w:space="0"/>
                    <w:bottom w:val="single" w:color="000000" w:sz="6" w:space="0"/>
                  </w:tcBorders>
                  <w:vAlign w:val="center"/>
                </w:tcPr>
                <w:p>
                  <w:pPr>
                    <w:pStyle w:val="59"/>
                    <w:jc w:val="center"/>
                    <w:rPr>
                      <w:szCs w:val="21"/>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jc w:val="center"/>
              </w:trPr>
              <w:tc>
                <w:tcPr>
                  <w:tcW w:w="640" w:type="dxa"/>
                  <w:vMerge w:val="restart"/>
                  <w:tcBorders>
                    <w:top w:val="single" w:color="000000" w:sz="6" w:space="0"/>
                    <w:right w:val="single" w:color="auto" w:sz="4" w:space="0"/>
                  </w:tcBorders>
                  <w:vAlign w:val="center"/>
                </w:tcPr>
                <w:p>
                  <w:pPr>
                    <w:pStyle w:val="59"/>
                    <w:jc w:val="center"/>
                    <w:rPr>
                      <w:rFonts w:ascii="Times New Roman" w:eastAsia="Times New Roman"/>
                      <w:szCs w:val="21"/>
                      <w:u w:val="single"/>
                    </w:rPr>
                  </w:pPr>
                  <w:r>
                    <w:rPr>
                      <w:szCs w:val="21"/>
                      <w:u w:val="single"/>
                    </w:rPr>
                    <w:t xml:space="preserve"> </w:t>
                  </w:r>
                  <w:r>
                    <w:rPr>
                      <w:rFonts w:hint="eastAsia"/>
                      <w:szCs w:val="21"/>
                      <w:u w:val="single"/>
                      <w:lang w:val="en-US" w:eastAsia="zh-CN"/>
                    </w:rPr>
                    <w:t>排气筒</w:t>
                  </w:r>
                  <w:r>
                    <w:rPr>
                      <w:rFonts w:ascii="Times New Roman" w:eastAsia="Times New Roman"/>
                      <w:szCs w:val="21"/>
                      <w:u w:val="single"/>
                    </w:rPr>
                    <w:t>DA001</w:t>
                  </w:r>
                </w:p>
              </w:tc>
              <w:tc>
                <w:tcPr>
                  <w:tcW w:w="541" w:type="dxa"/>
                  <w:tcBorders>
                    <w:top w:val="single" w:color="000000" w:sz="6" w:space="0"/>
                    <w:left w:val="single" w:color="auto" w:sz="4" w:space="0"/>
                    <w:right w:val="single" w:color="000000" w:sz="6" w:space="0"/>
                  </w:tcBorders>
                  <w:vAlign w:val="center"/>
                </w:tcPr>
                <w:p>
                  <w:pPr>
                    <w:pStyle w:val="59"/>
                    <w:jc w:val="center"/>
                    <w:rPr>
                      <w:szCs w:val="21"/>
                      <w:u w:val="single"/>
                    </w:rPr>
                  </w:pPr>
                  <w:r>
                    <w:rPr>
                      <w:szCs w:val="21"/>
                      <w:u w:val="single"/>
                    </w:rPr>
                    <w:t>破碎</w:t>
                  </w:r>
                </w:p>
              </w:tc>
              <w:tc>
                <w:tcPr>
                  <w:tcW w:w="1246" w:type="dxa"/>
                  <w:tcBorders>
                    <w:top w:val="single" w:color="000000" w:sz="6" w:space="0"/>
                    <w:left w:val="single" w:color="000000" w:sz="6" w:space="0"/>
                    <w:right w:val="single" w:color="000000" w:sz="6" w:space="0"/>
                  </w:tcBorders>
                  <w:vAlign w:val="center"/>
                </w:tcPr>
                <w:p>
                  <w:pPr>
                    <w:pStyle w:val="59"/>
                    <w:jc w:val="center"/>
                    <w:rPr>
                      <w:szCs w:val="21"/>
                      <w:u w:val="single"/>
                    </w:rPr>
                  </w:pPr>
                  <w:r>
                    <w:rPr>
                      <w:szCs w:val="21"/>
                      <w:u w:val="single"/>
                    </w:rPr>
                    <w:t>颗粒物</w:t>
                  </w:r>
                </w:p>
              </w:tc>
              <w:tc>
                <w:tcPr>
                  <w:tcW w:w="809" w:type="dxa"/>
                  <w:vMerge w:val="restart"/>
                  <w:tcBorders>
                    <w:top w:val="single" w:color="000000" w:sz="6" w:space="0"/>
                    <w:left w:val="single" w:color="000000" w:sz="6" w:space="0"/>
                    <w:right w:val="single" w:color="000000" w:sz="6" w:space="0"/>
                  </w:tcBorders>
                  <w:vAlign w:val="center"/>
                </w:tcPr>
                <w:p>
                  <w:pPr>
                    <w:pStyle w:val="59"/>
                    <w:jc w:val="center"/>
                    <w:rPr>
                      <w:rFonts w:hint="default" w:ascii="Times New Roman" w:eastAsia="宋体"/>
                      <w:szCs w:val="21"/>
                      <w:u w:val="single"/>
                      <w:lang w:val="en-US" w:eastAsia="zh-CN"/>
                    </w:rPr>
                  </w:pPr>
                  <w:r>
                    <w:rPr>
                      <w:rFonts w:hint="default" w:ascii="Times New Roman" w:eastAsia="宋体"/>
                      <w:szCs w:val="21"/>
                      <w:u w:val="single"/>
                      <w:lang w:val="en-US" w:eastAsia="zh-CN"/>
                    </w:rPr>
                    <w:t xml:space="preserve">废气处 </w:t>
                  </w:r>
                </w:p>
                <w:p>
                  <w:pPr>
                    <w:pStyle w:val="59"/>
                    <w:jc w:val="center"/>
                    <w:rPr>
                      <w:rFonts w:hint="default" w:ascii="Times New Roman" w:eastAsia="宋体"/>
                      <w:szCs w:val="21"/>
                      <w:u w:val="single"/>
                      <w:lang w:val="en-US" w:eastAsia="zh-CN"/>
                    </w:rPr>
                  </w:pPr>
                  <w:r>
                    <w:rPr>
                      <w:rFonts w:hint="default" w:ascii="Times New Roman" w:eastAsia="宋体"/>
                      <w:szCs w:val="21"/>
                      <w:u w:val="single"/>
                      <w:lang w:val="en-US" w:eastAsia="zh-CN"/>
                    </w:rPr>
                    <w:t xml:space="preserve">理设备 </w:t>
                  </w:r>
                </w:p>
                <w:p>
                  <w:pPr>
                    <w:pStyle w:val="59"/>
                    <w:jc w:val="center"/>
                    <w:rPr>
                      <w:rFonts w:hint="default" w:ascii="Times New Roman" w:eastAsia="宋体"/>
                      <w:szCs w:val="21"/>
                      <w:u w:val="single"/>
                      <w:lang w:val="en-US" w:eastAsia="zh-CN"/>
                    </w:rPr>
                  </w:pPr>
                  <w:r>
                    <w:rPr>
                      <w:rFonts w:hint="default" w:ascii="Times New Roman" w:eastAsia="宋体"/>
                      <w:szCs w:val="21"/>
                      <w:u w:val="single"/>
                      <w:lang w:val="en-US" w:eastAsia="zh-CN"/>
                    </w:rPr>
                    <w:t xml:space="preserve">去除效 </w:t>
                  </w:r>
                </w:p>
                <w:p>
                  <w:pPr>
                    <w:pStyle w:val="59"/>
                    <w:jc w:val="center"/>
                    <w:rPr>
                      <w:rFonts w:hint="default" w:ascii="Times New Roman" w:eastAsia="宋体"/>
                      <w:szCs w:val="21"/>
                      <w:u w:val="single"/>
                      <w:lang w:val="en-US" w:eastAsia="zh-CN"/>
                    </w:rPr>
                  </w:pPr>
                  <w:r>
                    <w:rPr>
                      <w:rFonts w:hint="default" w:ascii="Times New Roman" w:eastAsia="宋体"/>
                      <w:szCs w:val="21"/>
                      <w:u w:val="single"/>
                      <w:lang w:val="en-US" w:eastAsia="zh-CN"/>
                    </w:rPr>
                    <w:t>率为 0</w:t>
                  </w:r>
                </w:p>
                <w:p>
                  <w:pPr>
                    <w:pStyle w:val="59"/>
                    <w:jc w:val="center"/>
                    <w:rPr>
                      <w:rFonts w:hint="default" w:ascii="Times New Roman" w:eastAsia="宋体"/>
                      <w:szCs w:val="21"/>
                      <w:u w:val="single"/>
                      <w:lang w:val="en-US" w:eastAsia="zh-CN"/>
                    </w:rPr>
                  </w:pPr>
                </w:p>
              </w:tc>
              <w:tc>
                <w:tcPr>
                  <w:tcW w:w="991" w:type="dxa"/>
                  <w:tcBorders>
                    <w:top w:val="single" w:color="000000" w:sz="6" w:space="0"/>
                    <w:left w:val="single" w:color="000000" w:sz="6" w:space="0"/>
                    <w:right w:val="single" w:color="000000" w:sz="6" w:space="0"/>
                  </w:tcBorders>
                  <w:vAlign w:val="center"/>
                </w:tcPr>
                <w:p>
                  <w:pPr>
                    <w:pStyle w:val="59"/>
                    <w:jc w:val="center"/>
                    <w:rPr>
                      <w:rFonts w:hint="default" w:ascii="Times New Roman"/>
                      <w:szCs w:val="21"/>
                      <w:u w:val="single"/>
                      <w:lang w:val="en-US"/>
                    </w:rPr>
                  </w:pPr>
                  <w:r>
                    <w:rPr>
                      <w:rFonts w:hint="eastAsia" w:ascii="Times New Roman" w:hAnsi="Times New Roman" w:cs="Times New Roman"/>
                      <w:color w:val="auto"/>
                      <w:kern w:val="2"/>
                      <w:u w:val="single"/>
                      <w:lang w:val="en-US" w:eastAsia="zh-CN"/>
                    </w:rPr>
                    <w:t>2.125</w:t>
                  </w:r>
                </w:p>
              </w:tc>
              <w:tc>
                <w:tcPr>
                  <w:tcW w:w="821" w:type="dxa"/>
                  <w:tcBorders>
                    <w:top w:val="single" w:color="000000" w:sz="6" w:space="0"/>
                    <w:left w:val="single" w:color="000000" w:sz="6" w:space="0"/>
                    <w:right w:val="single" w:color="000000" w:sz="6" w:space="0"/>
                  </w:tcBorders>
                  <w:vAlign w:val="center"/>
                </w:tcPr>
                <w:p>
                  <w:pPr>
                    <w:pStyle w:val="59"/>
                    <w:jc w:val="center"/>
                    <w:rPr>
                      <w:rFonts w:hint="default" w:ascii="Times New Roman"/>
                      <w:szCs w:val="21"/>
                      <w:u w:val="single"/>
                      <w:lang w:val="en-US"/>
                    </w:rPr>
                  </w:pPr>
                  <w:r>
                    <w:rPr>
                      <w:rFonts w:hint="eastAsia" w:ascii="Times New Roman" w:hAnsi="Times New Roman" w:cs="Times New Roman"/>
                      <w:color w:val="auto"/>
                      <w:kern w:val="2"/>
                      <w:u w:val="single"/>
                      <w:lang w:val="en-US" w:eastAsia="zh-CN"/>
                    </w:rPr>
                    <w:t>1.006</w:t>
                  </w:r>
                </w:p>
              </w:tc>
              <w:tc>
                <w:tcPr>
                  <w:tcW w:w="933" w:type="dxa"/>
                  <w:tcBorders>
                    <w:top w:val="single" w:color="000000" w:sz="6" w:space="0"/>
                    <w:left w:val="single" w:color="000000" w:sz="6" w:space="0"/>
                    <w:bottom w:val="single" w:color="000000" w:sz="6" w:space="0"/>
                  </w:tcBorders>
                  <w:vAlign w:val="center"/>
                </w:tcPr>
                <w:p>
                  <w:pPr>
                    <w:pStyle w:val="59"/>
                    <w:jc w:val="center"/>
                    <w:rPr>
                      <w:rFonts w:hint="default" w:ascii="Times New Roman" w:eastAsia="宋体"/>
                      <w:szCs w:val="21"/>
                      <w:u w:val="single"/>
                      <w:lang w:val="en-US" w:eastAsia="zh-CN"/>
                    </w:rPr>
                  </w:pPr>
                  <w:r>
                    <w:rPr>
                      <w:rFonts w:ascii="Times New Roman"/>
                      <w:szCs w:val="21"/>
                      <w:u w:val="single"/>
                    </w:rPr>
                    <w:t>/</w:t>
                  </w:r>
                  <w:r>
                    <w:rPr>
                      <w:rFonts w:hint="eastAsia" w:ascii="Times New Roman"/>
                      <w:szCs w:val="21"/>
                      <w:u w:val="single"/>
                      <w:lang w:val="en-US" w:eastAsia="zh-CN"/>
                    </w:rPr>
                    <w:t xml:space="preserve">                                                                                                   </w:t>
                  </w:r>
                </w:p>
              </w:tc>
              <w:tc>
                <w:tcPr>
                  <w:tcW w:w="723" w:type="dxa"/>
                  <w:vMerge w:val="restart"/>
                  <w:tcBorders>
                    <w:top w:val="single" w:color="000000" w:sz="6" w:space="0"/>
                    <w:left w:val="single" w:color="000000" w:sz="6" w:space="0"/>
                    <w:right w:val="single" w:color="auto" w:sz="4" w:space="0"/>
                  </w:tcBorders>
                  <w:vAlign w:val="center"/>
                </w:tcPr>
                <w:p>
                  <w:pPr>
                    <w:pStyle w:val="59"/>
                    <w:jc w:val="center"/>
                    <w:rPr>
                      <w:rFonts w:hint="default" w:ascii="Times New Roman" w:eastAsia="宋体"/>
                      <w:szCs w:val="21"/>
                      <w:u w:val="single"/>
                      <w:lang w:val="en-US" w:eastAsia="zh-CN"/>
                    </w:rPr>
                  </w:pPr>
                  <w:r>
                    <w:rPr>
                      <w:rFonts w:hint="eastAsia" w:ascii="Times New Roman"/>
                      <w:szCs w:val="21"/>
                      <w:u w:val="single"/>
                      <w:lang w:val="en-US" w:eastAsia="zh-CN"/>
                    </w:rPr>
                    <w:t>0.5h</w:t>
                  </w:r>
                </w:p>
              </w:tc>
              <w:tc>
                <w:tcPr>
                  <w:tcW w:w="810" w:type="dxa"/>
                  <w:vMerge w:val="restart"/>
                  <w:tcBorders>
                    <w:top w:val="single" w:color="000000" w:sz="6" w:space="0"/>
                    <w:left w:val="single" w:color="auto" w:sz="4" w:space="0"/>
                    <w:right w:val="single" w:color="auto" w:sz="4" w:space="0"/>
                  </w:tcBorders>
                  <w:vAlign w:val="center"/>
                </w:tcPr>
                <w:p>
                  <w:pPr>
                    <w:pStyle w:val="59"/>
                    <w:jc w:val="center"/>
                    <w:rPr>
                      <w:rFonts w:ascii="Times New Roman"/>
                      <w:szCs w:val="21"/>
                      <w:u w:val="single"/>
                    </w:rPr>
                  </w:pPr>
                  <w:r>
                    <w:rPr>
                      <w:rFonts w:ascii="Times New Roman"/>
                      <w:szCs w:val="21"/>
                      <w:u w:val="single"/>
                      <w:lang w:val="en-US" w:eastAsia="zh-CN"/>
                    </w:rPr>
                    <w:t>≤2</w:t>
                  </w:r>
                </w:p>
                <w:p>
                  <w:pPr>
                    <w:pStyle w:val="59"/>
                    <w:jc w:val="center"/>
                    <w:rPr>
                      <w:rFonts w:ascii="Times New Roman"/>
                      <w:szCs w:val="21"/>
                      <w:u w:val="single"/>
                    </w:rPr>
                  </w:pPr>
                </w:p>
              </w:tc>
              <w:tc>
                <w:tcPr>
                  <w:tcW w:w="756" w:type="dxa"/>
                  <w:vMerge w:val="restart"/>
                  <w:tcBorders>
                    <w:top w:val="single" w:color="000000" w:sz="6" w:space="0"/>
                    <w:left w:val="single" w:color="auto" w:sz="4" w:space="0"/>
                  </w:tcBorders>
                  <w:vAlign w:val="center"/>
                </w:tcPr>
                <w:p>
                  <w:pPr>
                    <w:pStyle w:val="59"/>
                    <w:jc w:val="center"/>
                    <w:rPr>
                      <w:rFonts w:ascii="Times New Roman"/>
                      <w:szCs w:val="21"/>
                      <w:u w:val="single"/>
                    </w:rPr>
                  </w:pPr>
                  <w:r>
                    <w:rPr>
                      <w:rFonts w:hint="eastAsia" w:ascii="Times New Roman"/>
                      <w:szCs w:val="21"/>
                      <w:u w:val="single"/>
                      <w:lang w:val="en-US" w:eastAsia="zh-CN"/>
                    </w:rPr>
                    <w:t>对应生产工序</w:t>
                  </w:r>
                </w:p>
                <w:p>
                  <w:pPr>
                    <w:pStyle w:val="59"/>
                    <w:jc w:val="center"/>
                    <w:rPr>
                      <w:rFonts w:ascii="Times New Roman"/>
                      <w:szCs w:val="21"/>
                      <w:u w:val="single"/>
                    </w:rPr>
                  </w:pPr>
                  <w:r>
                    <w:rPr>
                      <w:rFonts w:hint="eastAsia" w:ascii="Times New Roman"/>
                      <w:szCs w:val="21"/>
                      <w:u w:val="single"/>
                      <w:lang w:val="en-US" w:eastAsia="zh-CN"/>
                    </w:rPr>
                    <w:t>应停止生产，直到故障排除后方可继续生产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4" w:hRule="atLeast"/>
                <w:jc w:val="center"/>
              </w:trPr>
              <w:tc>
                <w:tcPr>
                  <w:tcW w:w="640" w:type="dxa"/>
                  <w:vMerge w:val="continue"/>
                  <w:tcBorders>
                    <w:right w:val="single" w:color="auto" w:sz="4" w:space="0"/>
                  </w:tcBorders>
                  <w:vAlign w:val="center"/>
                </w:tcPr>
                <w:p>
                  <w:pPr>
                    <w:pStyle w:val="59"/>
                    <w:jc w:val="center"/>
                    <w:rPr>
                      <w:rFonts w:ascii="Times New Roman" w:eastAsia="Times New Roman"/>
                      <w:szCs w:val="21"/>
                      <w:u w:val="single"/>
                    </w:rPr>
                  </w:pPr>
                </w:p>
              </w:tc>
              <w:tc>
                <w:tcPr>
                  <w:tcW w:w="541" w:type="dxa"/>
                  <w:vMerge w:val="restart"/>
                  <w:tcBorders>
                    <w:top w:val="single" w:color="000000" w:sz="6" w:space="0"/>
                    <w:left w:val="single" w:color="auto" w:sz="4" w:space="0"/>
                    <w:right w:val="single" w:color="000000" w:sz="6" w:space="0"/>
                  </w:tcBorders>
                  <w:vAlign w:val="center"/>
                </w:tcPr>
                <w:p>
                  <w:pPr>
                    <w:pStyle w:val="59"/>
                    <w:jc w:val="center"/>
                    <w:rPr>
                      <w:szCs w:val="21"/>
                      <w:u w:val="single"/>
                    </w:rPr>
                  </w:pPr>
                  <w:r>
                    <w:rPr>
                      <w:szCs w:val="21"/>
                      <w:u w:val="single"/>
                    </w:rPr>
                    <w:t>造粒（熔融）</w:t>
                  </w:r>
                </w:p>
              </w:tc>
              <w:tc>
                <w:tcPr>
                  <w:tcW w:w="1246" w:type="dxa"/>
                  <w:tcBorders>
                    <w:top w:val="single" w:color="000000" w:sz="6" w:space="0"/>
                    <w:left w:val="single" w:color="000000" w:sz="6" w:space="0"/>
                    <w:right w:val="single" w:color="000000" w:sz="6" w:space="0"/>
                  </w:tcBorders>
                  <w:vAlign w:val="center"/>
                </w:tcPr>
                <w:p>
                  <w:pPr>
                    <w:pStyle w:val="59"/>
                    <w:jc w:val="center"/>
                    <w:rPr>
                      <w:szCs w:val="21"/>
                      <w:u w:val="single"/>
                    </w:rPr>
                  </w:pPr>
                  <w:r>
                    <w:rPr>
                      <w:rFonts w:hint="eastAsia" w:ascii="Times New Roman"/>
                      <w:szCs w:val="21"/>
                      <w:u w:val="single"/>
                      <w:lang w:val="en-US" w:eastAsia="zh-CN"/>
                    </w:rPr>
                    <w:t>非甲烷总烃</w:t>
                  </w:r>
                </w:p>
              </w:tc>
              <w:tc>
                <w:tcPr>
                  <w:tcW w:w="809" w:type="dxa"/>
                  <w:vMerge w:val="continue"/>
                  <w:tcBorders>
                    <w:left w:val="single" w:color="000000" w:sz="6" w:space="0"/>
                    <w:right w:val="single" w:color="000000" w:sz="6" w:space="0"/>
                  </w:tcBorders>
                  <w:vAlign w:val="center"/>
                </w:tcPr>
                <w:p>
                  <w:pPr>
                    <w:pStyle w:val="59"/>
                    <w:jc w:val="center"/>
                    <w:rPr>
                      <w:rFonts w:hint="default" w:ascii="Times New Roman" w:eastAsia="宋体"/>
                      <w:szCs w:val="21"/>
                      <w:u w:val="single"/>
                      <w:lang w:val="en-US" w:eastAsia="zh-CN"/>
                    </w:rPr>
                  </w:pPr>
                </w:p>
              </w:tc>
              <w:tc>
                <w:tcPr>
                  <w:tcW w:w="991" w:type="dxa"/>
                  <w:tcBorders>
                    <w:top w:val="single" w:color="000000" w:sz="6" w:space="0"/>
                    <w:left w:val="single" w:color="000000" w:sz="6" w:space="0"/>
                    <w:right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hAnsi="Times New Roman" w:cs="Times New Roman"/>
                      <w:color w:val="auto"/>
                      <w:u w:val="single"/>
                      <w:lang w:val="en-US" w:eastAsia="zh-CN"/>
                    </w:rPr>
                    <w:t>1.75</w:t>
                  </w:r>
                </w:p>
              </w:tc>
              <w:tc>
                <w:tcPr>
                  <w:tcW w:w="821" w:type="dxa"/>
                  <w:tcBorders>
                    <w:top w:val="single" w:color="000000" w:sz="6" w:space="0"/>
                    <w:left w:val="single" w:color="000000" w:sz="6" w:space="0"/>
                    <w:right w:val="single" w:color="000000" w:sz="6" w:space="0"/>
                  </w:tcBorders>
                  <w:vAlign w:val="center"/>
                </w:tcPr>
                <w:p>
                  <w:pPr>
                    <w:pStyle w:val="59"/>
                    <w:jc w:val="center"/>
                    <w:rPr>
                      <w:rFonts w:hint="default" w:ascii="Times New Roman"/>
                      <w:szCs w:val="21"/>
                      <w:u w:val="single"/>
                      <w:lang w:val="en-US"/>
                    </w:rPr>
                  </w:pPr>
                  <w:r>
                    <w:rPr>
                      <w:rFonts w:hint="eastAsia" w:ascii="Times New Roman" w:hAnsi="Times New Roman" w:cs="Times New Roman"/>
                      <w:color w:val="auto"/>
                      <w:u w:val="single"/>
                      <w:lang w:val="en-US" w:eastAsia="zh-CN"/>
                    </w:rPr>
                    <w:t>0.829</w:t>
                  </w:r>
                </w:p>
              </w:tc>
              <w:tc>
                <w:tcPr>
                  <w:tcW w:w="933" w:type="dxa"/>
                  <w:tcBorders>
                    <w:top w:val="single" w:color="000000" w:sz="6" w:space="0"/>
                    <w:left w:val="single" w:color="000000" w:sz="6" w:space="0"/>
                    <w:bottom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szCs w:val="21"/>
                      <w:u w:val="single"/>
                      <w:lang w:val="en-US" w:eastAsia="zh-CN"/>
                    </w:rPr>
                    <w:t>82.9</w:t>
                  </w:r>
                </w:p>
              </w:tc>
              <w:tc>
                <w:tcPr>
                  <w:tcW w:w="723" w:type="dxa"/>
                  <w:vMerge w:val="continue"/>
                  <w:tcBorders>
                    <w:left w:val="single" w:color="000000" w:sz="6" w:space="0"/>
                    <w:right w:val="single" w:color="auto" w:sz="4" w:space="0"/>
                  </w:tcBorders>
                  <w:vAlign w:val="center"/>
                </w:tcPr>
                <w:p>
                  <w:pPr>
                    <w:pStyle w:val="59"/>
                    <w:jc w:val="center"/>
                    <w:rPr>
                      <w:rFonts w:hint="eastAsia" w:ascii="Times New Roman"/>
                      <w:szCs w:val="21"/>
                      <w:u w:val="single"/>
                      <w:lang w:val="en-US" w:eastAsia="zh-CN"/>
                    </w:rPr>
                  </w:pPr>
                </w:p>
              </w:tc>
              <w:tc>
                <w:tcPr>
                  <w:tcW w:w="810" w:type="dxa"/>
                  <w:vMerge w:val="continue"/>
                  <w:tcBorders>
                    <w:left w:val="single" w:color="auto" w:sz="4" w:space="0"/>
                    <w:right w:val="single" w:color="auto" w:sz="4" w:space="0"/>
                  </w:tcBorders>
                  <w:vAlign w:val="center"/>
                </w:tcPr>
                <w:p>
                  <w:pPr>
                    <w:pStyle w:val="59"/>
                    <w:jc w:val="center"/>
                    <w:rPr>
                      <w:rFonts w:hint="eastAsia" w:ascii="Times New Roman"/>
                      <w:szCs w:val="21"/>
                      <w:u w:val="single"/>
                      <w:lang w:val="en-US" w:eastAsia="zh-CN"/>
                    </w:rPr>
                  </w:pPr>
                </w:p>
              </w:tc>
              <w:tc>
                <w:tcPr>
                  <w:tcW w:w="756" w:type="dxa"/>
                  <w:vMerge w:val="continue"/>
                  <w:tcBorders>
                    <w:left w:val="single" w:color="auto" w:sz="4" w:space="0"/>
                  </w:tcBorders>
                  <w:vAlign w:val="center"/>
                </w:tcPr>
                <w:p>
                  <w:pPr>
                    <w:pStyle w:val="59"/>
                    <w:jc w:val="center"/>
                    <w:rPr>
                      <w:rFonts w:hint="eastAsia" w:ascii="Times New Roman"/>
                      <w:szCs w:val="21"/>
                      <w:u w:val="singl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9" w:hRule="atLeast"/>
                <w:jc w:val="center"/>
              </w:trPr>
              <w:tc>
                <w:tcPr>
                  <w:tcW w:w="640" w:type="dxa"/>
                  <w:vMerge w:val="continue"/>
                  <w:tcBorders>
                    <w:right w:val="single" w:color="auto" w:sz="4" w:space="0"/>
                  </w:tcBorders>
                  <w:vAlign w:val="center"/>
                </w:tcPr>
                <w:p>
                  <w:pPr>
                    <w:pStyle w:val="59"/>
                    <w:jc w:val="center"/>
                    <w:rPr>
                      <w:rFonts w:ascii="Times New Roman"/>
                      <w:szCs w:val="21"/>
                      <w:u w:val="single"/>
                    </w:rPr>
                  </w:pPr>
                </w:p>
              </w:tc>
              <w:tc>
                <w:tcPr>
                  <w:tcW w:w="541" w:type="dxa"/>
                  <w:vMerge w:val="continue"/>
                  <w:tcBorders>
                    <w:left w:val="single" w:color="auto" w:sz="4" w:space="0"/>
                    <w:right w:val="single" w:color="000000" w:sz="6" w:space="0"/>
                  </w:tcBorders>
                  <w:vAlign w:val="center"/>
                </w:tcPr>
                <w:p>
                  <w:pPr>
                    <w:jc w:val="center"/>
                    <w:rPr>
                      <w:szCs w:val="21"/>
                      <w:u w:val="single"/>
                    </w:rPr>
                  </w:pPr>
                </w:p>
              </w:tc>
              <w:tc>
                <w:tcPr>
                  <w:tcW w:w="1246" w:type="dxa"/>
                  <w:tcBorders>
                    <w:top w:val="single" w:color="000000" w:sz="6" w:space="0"/>
                    <w:left w:val="single" w:color="000000" w:sz="6" w:space="0"/>
                    <w:right w:val="single" w:color="000000" w:sz="6" w:space="0"/>
                  </w:tcBorders>
                  <w:vAlign w:val="center"/>
                </w:tcPr>
                <w:p>
                  <w:pPr>
                    <w:pStyle w:val="59"/>
                    <w:jc w:val="center"/>
                    <w:rPr>
                      <w:szCs w:val="21"/>
                      <w:u w:val="single"/>
                    </w:rPr>
                  </w:pPr>
                  <w:r>
                    <w:rPr>
                      <w:rFonts w:hint="eastAsia"/>
                      <w:szCs w:val="21"/>
                      <w:u w:val="single"/>
                      <w:lang w:val="en-US" w:eastAsia="zh-CN"/>
                    </w:rPr>
                    <w:t>苯乙烯</w:t>
                  </w:r>
                </w:p>
              </w:tc>
              <w:tc>
                <w:tcPr>
                  <w:tcW w:w="809" w:type="dxa"/>
                  <w:vMerge w:val="continue"/>
                  <w:tcBorders>
                    <w:left w:val="single" w:color="000000" w:sz="6" w:space="0"/>
                    <w:right w:val="single" w:color="000000" w:sz="6" w:space="0"/>
                  </w:tcBorders>
                  <w:vAlign w:val="center"/>
                </w:tcPr>
                <w:p>
                  <w:pPr>
                    <w:pStyle w:val="59"/>
                    <w:jc w:val="center"/>
                    <w:rPr>
                      <w:rFonts w:hint="default" w:ascii="Times New Roman" w:eastAsia="宋体"/>
                      <w:szCs w:val="21"/>
                      <w:u w:val="single"/>
                      <w:lang w:val="en-US" w:eastAsia="zh-CN"/>
                    </w:rPr>
                  </w:pPr>
                </w:p>
              </w:tc>
              <w:tc>
                <w:tcPr>
                  <w:tcW w:w="991" w:type="dxa"/>
                  <w:tcBorders>
                    <w:top w:val="single" w:color="000000" w:sz="6" w:space="0"/>
                    <w:left w:val="single" w:color="000000" w:sz="6" w:space="0"/>
                    <w:right w:val="single" w:color="000000" w:sz="6" w:space="0"/>
                  </w:tcBorders>
                  <w:vAlign w:val="center"/>
                </w:tcPr>
                <w:p>
                  <w:pPr>
                    <w:pStyle w:val="59"/>
                    <w:jc w:val="center"/>
                    <w:rPr>
                      <w:rFonts w:hint="default" w:ascii="Times New Roman"/>
                      <w:szCs w:val="21"/>
                      <w:u w:val="single"/>
                      <w:lang w:val="en-US"/>
                    </w:rPr>
                  </w:pPr>
                  <w:r>
                    <w:rPr>
                      <w:rFonts w:hint="eastAsia" w:ascii="Times New Roman"/>
                      <w:szCs w:val="21"/>
                      <w:u w:val="single"/>
                      <w:lang w:val="en-US" w:eastAsia="zh-CN"/>
                    </w:rPr>
                    <w:t>0.09</w:t>
                  </w:r>
                </w:p>
              </w:tc>
              <w:tc>
                <w:tcPr>
                  <w:tcW w:w="821" w:type="dxa"/>
                  <w:tcBorders>
                    <w:top w:val="single" w:color="000000" w:sz="6" w:space="0"/>
                    <w:left w:val="single" w:color="000000" w:sz="6" w:space="0"/>
                    <w:right w:val="single" w:color="000000" w:sz="6" w:space="0"/>
                  </w:tcBorders>
                  <w:vAlign w:val="center"/>
                </w:tcPr>
                <w:p>
                  <w:pPr>
                    <w:pStyle w:val="59"/>
                    <w:jc w:val="center"/>
                    <w:rPr>
                      <w:rFonts w:hint="default" w:ascii="Times New Roman"/>
                      <w:szCs w:val="21"/>
                      <w:u w:val="single"/>
                      <w:lang w:val="en-US"/>
                    </w:rPr>
                  </w:pPr>
                  <w:r>
                    <w:rPr>
                      <w:rFonts w:hint="eastAsia" w:ascii="Times New Roman" w:hAnsi="Times New Roman" w:cs="Times New Roman"/>
                      <w:color w:val="auto"/>
                      <w:u w:val="single"/>
                      <w:lang w:val="en-US" w:eastAsia="zh-CN"/>
                    </w:rPr>
                    <w:t>0.043</w:t>
                  </w:r>
                </w:p>
              </w:tc>
              <w:tc>
                <w:tcPr>
                  <w:tcW w:w="933" w:type="dxa"/>
                  <w:tcBorders>
                    <w:top w:val="single" w:color="000000" w:sz="6" w:space="0"/>
                    <w:left w:val="single" w:color="000000" w:sz="6" w:space="0"/>
                  </w:tcBorders>
                  <w:vAlign w:val="center"/>
                </w:tcPr>
                <w:p>
                  <w:pPr>
                    <w:pStyle w:val="59"/>
                    <w:jc w:val="center"/>
                    <w:rPr>
                      <w:rFonts w:hint="default" w:ascii="Times New Roman" w:eastAsia="宋体"/>
                      <w:szCs w:val="21"/>
                      <w:u w:val="single"/>
                      <w:lang w:val="en-US" w:eastAsia="zh-CN"/>
                    </w:rPr>
                  </w:pPr>
                  <w:r>
                    <w:rPr>
                      <w:rFonts w:hint="eastAsia" w:ascii="Times New Roman"/>
                      <w:szCs w:val="21"/>
                      <w:u w:val="single"/>
                      <w:lang w:val="en-US" w:eastAsia="zh-CN"/>
                    </w:rPr>
                    <w:t>4.3</w:t>
                  </w:r>
                </w:p>
              </w:tc>
              <w:tc>
                <w:tcPr>
                  <w:tcW w:w="723" w:type="dxa"/>
                  <w:vMerge w:val="continue"/>
                  <w:tcBorders>
                    <w:left w:val="single" w:color="000000" w:sz="6" w:space="0"/>
                    <w:right w:val="single" w:color="auto" w:sz="4" w:space="0"/>
                  </w:tcBorders>
                  <w:vAlign w:val="center"/>
                </w:tcPr>
                <w:p>
                  <w:pPr>
                    <w:pStyle w:val="59"/>
                    <w:jc w:val="center"/>
                    <w:rPr>
                      <w:rFonts w:hint="eastAsia" w:ascii="Times New Roman"/>
                      <w:szCs w:val="21"/>
                      <w:u w:val="single"/>
                      <w:lang w:val="en-US" w:eastAsia="zh-CN"/>
                    </w:rPr>
                  </w:pPr>
                </w:p>
              </w:tc>
              <w:tc>
                <w:tcPr>
                  <w:tcW w:w="810" w:type="dxa"/>
                  <w:vMerge w:val="continue"/>
                  <w:tcBorders>
                    <w:left w:val="single" w:color="auto" w:sz="4" w:space="0"/>
                    <w:right w:val="single" w:color="auto" w:sz="4" w:space="0"/>
                  </w:tcBorders>
                  <w:vAlign w:val="center"/>
                </w:tcPr>
                <w:p>
                  <w:pPr>
                    <w:pStyle w:val="59"/>
                    <w:jc w:val="center"/>
                    <w:rPr>
                      <w:rFonts w:hint="eastAsia" w:ascii="Times New Roman"/>
                      <w:szCs w:val="21"/>
                      <w:u w:val="single"/>
                      <w:lang w:val="en-US" w:eastAsia="zh-CN"/>
                    </w:rPr>
                  </w:pPr>
                </w:p>
              </w:tc>
              <w:tc>
                <w:tcPr>
                  <w:tcW w:w="756" w:type="dxa"/>
                  <w:vMerge w:val="continue"/>
                  <w:tcBorders>
                    <w:left w:val="single" w:color="auto" w:sz="4" w:space="0"/>
                  </w:tcBorders>
                  <w:vAlign w:val="center"/>
                </w:tcPr>
                <w:p>
                  <w:pPr>
                    <w:pStyle w:val="59"/>
                    <w:jc w:val="center"/>
                    <w:rPr>
                      <w:rFonts w:hint="eastAsia" w:ascii="Times New Roman"/>
                      <w:szCs w:val="21"/>
                      <w:u w:val="single"/>
                      <w:lang w:val="en-US" w:eastAsia="zh-CN"/>
                    </w:rPr>
                  </w:pPr>
                </w:p>
              </w:tc>
            </w:tr>
          </w:tbl>
          <w:p>
            <w:pPr>
              <w:pStyle w:val="53"/>
              <w:spacing w:line="480" w:lineRule="exact"/>
              <w:rPr>
                <w:rFonts w:ascii="Times New Roman" w:hAnsi="Times New Roman"/>
                <w:b/>
                <w:color w:val="auto"/>
                <w:u w:val="single"/>
              </w:rPr>
            </w:pPr>
            <w:r>
              <w:rPr>
                <w:rFonts w:hint="eastAsia" w:ascii="Times New Roman" w:hAnsi="Times New Roman"/>
                <w:b/>
                <w:color w:val="auto"/>
                <w:u w:val="single"/>
              </w:rPr>
              <w:t>4.1.</w:t>
            </w:r>
            <w:r>
              <w:rPr>
                <w:rFonts w:hint="eastAsia" w:ascii="Times New Roman" w:hAnsi="Times New Roman"/>
                <w:b/>
                <w:color w:val="auto"/>
                <w:u w:val="single"/>
                <w:lang w:val="en-US" w:eastAsia="zh-CN"/>
              </w:rPr>
              <w:t>4</w:t>
            </w:r>
            <w:r>
              <w:rPr>
                <w:rFonts w:hint="eastAsia" w:ascii="Times New Roman" w:hAnsi="Times New Roman"/>
                <w:b/>
                <w:color w:val="auto"/>
                <w:u w:val="single"/>
              </w:rPr>
              <w:t>、废气监测计划</w:t>
            </w:r>
          </w:p>
          <w:p>
            <w:pPr>
              <w:pStyle w:val="53"/>
              <w:spacing w:line="480" w:lineRule="exact"/>
              <w:ind w:firstLine="480" w:firstLineChars="200"/>
              <w:rPr>
                <w:rFonts w:hint="eastAsia" w:ascii="Times New Roman" w:hAnsi="Times New Roman"/>
                <w:bCs/>
                <w:color w:val="auto"/>
                <w:szCs w:val="21"/>
                <w:u w:val="single"/>
              </w:rPr>
            </w:pPr>
            <w:r>
              <w:rPr>
                <w:rFonts w:hint="eastAsia" w:ascii="Times New Roman" w:hAnsi="Times New Roman"/>
                <w:bCs/>
                <w:color w:val="auto"/>
                <w:szCs w:val="21"/>
                <w:u w:val="single"/>
              </w:rPr>
              <w:t>根据《排污单位自行监测技术指南总则》（HJ819-2017）、《排污许可证申请与核发技术规范废弃资源加工工业》（HJ1034-2019）中相关规定，大气监测计划详见表 4-</w:t>
            </w:r>
            <w:r>
              <w:rPr>
                <w:rFonts w:hint="eastAsia" w:ascii="Times New Roman" w:hAnsi="Times New Roman"/>
                <w:bCs/>
                <w:color w:val="auto"/>
                <w:szCs w:val="21"/>
                <w:u w:val="single"/>
                <w:lang w:val="en-US" w:eastAsia="zh-CN"/>
              </w:rPr>
              <w:t>5</w:t>
            </w:r>
            <w:r>
              <w:rPr>
                <w:rFonts w:hint="eastAsia" w:ascii="Times New Roman" w:hAnsi="Times New Roman"/>
                <w:bCs/>
                <w:color w:val="auto"/>
                <w:szCs w:val="21"/>
                <w:u w:val="single"/>
              </w:rPr>
              <w:t>。</w:t>
            </w:r>
          </w:p>
          <w:p>
            <w:pPr>
              <w:pStyle w:val="53"/>
              <w:jc w:val="center"/>
              <w:rPr>
                <w:rFonts w:ascii="Times New Roman" w:hAnsi="Times New Roman"/>
                <w:b/>
                <w:color w:val="auto"/>
                <w:sz w:val="21"/>
                <w:szCs w:val="21"/>
                <w:u w:val="single"/>
              </w:rPr>
            </w:pPr>
          </w:p>
          <w:p>
            <w:pPr>
              <w:pStyle w:val="53"/>
              <w:jc w:val="center"/>
              <w:rPr>
                <w:rFonts w:ascii="Times New Roman" w:hAnsi="Times New Roman"/>
                <w:b/>
                <w:color w:val="auto"/>
                <w:sz w:val="21"/>
                <w:szCs w:val="21"/>
                <w:u w:val="single"/>
              </w:rPr>
            </w:pPr>
            <w:r>
              <w:rPr>
                <w:rFonts w:hint="eastAsia" w:ascii="Times New Roman" w:hAnsi="Times New Roman"/>
                <w:b/>
                <w:color w:val="auto"/>
                <w:sz w:val="21"/>
                <w:szCs w:val="21"/>
                <w:u w:val="single"/>
              </w:rPr>
              <w:t>表 4-</w:t>
            </w:r>
            <w:r>
              <w:rPr>
                <w:rFonts w:hint="eastAsia" w:ascii="Times New Roman" w:hAnsi="Times New Roman"/>
                <w:b/>
                <w:color w:val="auto"/>
                <w:sz w:val="21"/>
                <w:szCs w:val="21"/>
                <w:u w:val="single"/>
                <w:lang w:val="en-US" w:eastAsia="zh-CN"/>
              </w:rPr>
              <w:t>5</w:t>
            </w:r>
            <w:r>
              <w:rPr>
                <w:rFonts w:hint="eastAsia" w:ascii="Times New Roman" w:hAnsi="Times New Roman"/>
                <w:b/>
                <w:color w:val="auto"/>
                <w:sz w:val="21"/>
                <w:szCs w:val="21"/>
                <w:u w:val="single"/>
              </w:rPr>
              <w:t xml:space="preserve"> </w:t>
            </w:r>
            <w:r>
              <w:rPr>
                <w:rFonts w:ascii="Times New Roman" w:hAnsi="Times New Roman"/>
                <w:b/>
                <w:color w:val="auto"/>
                <w:sz w:val="21"/>
                <w:szCs w:val="21"/>
                <w:u w:val="single"/>
              </w:rPr>
              <w:t>项目</w:t>
            </w:r>
            <w:r>
              <w:rPr>
                <w:rFonts w:hint="eastAsia" w:ascii="Times New Roman" w:hAnsi="Times New Roman"/>
                <w:b/>
                <w:color w:val="auto"/>
                <w:sz w:val="21"/>
                <w:szCs w:val="21"/>
                <w:u w:val="single"/>
              </w:rPr>
              <w:t>废气排放标准及监测要求</w:t>
            </w:r>
            <w:r>
              <w:rPr>
                <w:rFonts w:ascii="Times New Roman" w:hAnsi="Times New Roman"/>
                <w:b/>
                <w:color w:val="auto"/>
                <w:sz w:val="21"/>
                <w:szCs w:val="21"/>
                <w:u w:val="single"/>
              </w:rPr>
              <w:t>一览表</w:t>
            </w:r>
          </w:p>
          <w:tbl>
            <w:tblPr>
              <w:tblStyle w:val="21"/>
              <w:tblW w:w="82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
              <w:gridCol w:w="825"/>
              <w:gridCol w:w="1410"/>
              <w:gridCol w:w="1395"/>
              <w:gridCol w:w="1155"/>
              <w:gridCol w:w="3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9"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bCs/>
                      <w:szCs w:val="21"/>
                      <w:u w:val="single"/>
                    </w:rPr>
                  </w:pPr>
                  <w:r>
                    <w:rPr>
                      <w:b/>
                      <w:bCs/>
                      <w:kern w:val="0"/>
                      <w:szCs w:val="21"/>
                      <w:u w:val="single"/>
                    </w:rPr>
                    <w:t>要素</w:t>
                  </w:r>
                </w:p>
              </w:tc>
              <w:tc>
                <w:tcPr>
                  <w:tcW w:w="825"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b/>
                      <w:bCs/>
                      <w:kern w:val="0"/>
                      <w:szCs w:val="21"/>
                      <w:u w:val="single"/>
                    </w:rPr>
                  </w:pPr>
                  <w:r>
                    <w:rPr>
                      <w:b/>
                      <w:bCs/>
                      <w:kern w:val="0"/>
                      <w:szCs w:val="21"/>
                      <w:u w:val="single"/>
                    </w:rPr>
                    <w:t>监测</w:t>
                  </w:r>
                </w:p>
                <w:p>
                  <w:pPr>
                    <w:keepNext w:val="0"/>
                    <w:keepLines w:val="0"/>
                    <w:pageBreakBefore w:val="0"/>
                    <w:widowControl w:val="0"/>
                    <w:kinsoku/>
                    <w:wordWrap/>
                    <w:overflowPunct/>
                    <w:topLinePunct w:val="0"/>
                    <w:bidi w:val="0"/>
                    <w:snapToGrid w:val="0"/>
                    <w:spacing w:line="240" w:lineRule="auto"/>
                    <w:ind w:left="0" w:right="0"/>
                    <w:jc w:val="center"/>
                    <w:textAlignment w:val="auto"/>
                    <w:rPr>
                      <w:bCs/>
                      <w:szCs w:val="21"/>
                      <w:u w:val="single"/>
                    </w:rPr>
                  </w:pPr>
                  <w:r>
                    <w:rPr>
                      <w:b/>
                      <w:bCs/>
                      <w:kern w:val="0"/>
                      <w:szCs w:val="21"/>
                      <w:u w:val="single"/>
                    </w:rPr>
                    <w:t>点位</w:t>
                  </w:r>
                </w:p>
              </w:tc>
              <w:tc>
                <w:tcPr>
                  <w:tcW w:w="1410"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b/>
                      <w:szCs w:val="21"/>
                      <w:u w:val="single"/>
                    </w:rPr>
                  </w:pPr>
                  <w:r>
                    <w:rPr>
                      <w:rFonts w:hint="eastAsia"/>
                      <w:b/>
                      <w:szCs w:val="21"/>
                      <w:u w:val="single"/>
                    </w:rPr>
                    <w:t>检测位置</w:t>
                  </w:r>
                </w:p>
              </w:tc>
              <w:tc>
                <w:tcPr>
                  <w:tcW w:w="1395"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b/>
                      <w:szCs w:val="21"/>
                      <w:u w:val="single"/>
                    </w:rPr>
                  </w:pPr>
                  <w:r>
                    <w:rPr>
                      <w:rFonts w:hint="eastAsia"/>
                      <w:b/>
                      <w:szCs w:val="21"/>
                      <w:u w:val="single"/>
                    </w:rPr>
                    <w:t>监测因子</w:t>
                  </w:r>
                </w:p>
              </w:tc>
              <w:tc>
                <w:tcPr>
                  <w:tcW w:w="1155"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bCs/>
                      <w:szCs w:val="21"/>
                      <w:u w:val="single"/>
                    </w:rPr>
                  </w:pPr>
                  <w:r>
                    <w:rPr>
                      <w:b/>
                      <w:bCs/>
                      <w:kern w:val="0"/>
                      <w:szCs w:val="21"/>
                      <w:u w:val="single"/>
                    </w:rPr>
                    <w:t>监测频次</w:t>
                  </w:r>
                </w:p>
              </w:tc>
              <w:tc>
                <w:tcPr>
                  <w:tcW w:w="3156"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bCs/>
                      <w:szCs w:val="21"/>
                      <w:u w:val="single"/>
                    </w:rPr>
                  </w:pPr>
                  <w:r>
                    <w:rPr>
                      <w:b/>
                      <w:bCs/>
                      <w:kern w:val="0"/>
                      <w:szCs w:val="21"/>
                      <w:u w:val="single"/>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9" w:type="dxa"/>
                  <w:vMerge w:val="restart"/>
                  <w:tcBorders>
                    <w:tl2br w:val="nil"/>
                    <w:tr2bl w:val="nil"/>
                  </w:tcBorders>
                  <w:shd w:val="clear" w:color="auto" w:fill="auto"/>
                  <w:vAlign w:val="center"/>
                </w:tcPr>
                <w:p>
                  <w:pPr>
                    <w:pStyle w:val="53"/>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bCs/>
                      <w:color w:val="auto"/>
                      <w:sz w:val="21"/>
                      <w:szCs w:val="21"/>
                      <w:u w:val="single"/>
                    </w:rPr>
                  </w:pPr>
                  <w:r>
                    <w:rPr>
                      <w:rFonts w:hint="eastAsia" w:ascii="Times New Roman" w:hAnsi="Times New Roman"/>
                      <w:bCs/>
                      <w:color w:val="auto"/>
                      <w:sz w:val="21"/>
                      <w:szCs w:val="21"/>
                      <w:u w:val="single"/>
                    </w:rPr>
                    <w:t>大气</w:t>
                  </w:r>
                </w:p>
              </w:tc>
              <w:tc>
                <w:tcPr>
                  <w:tcW w:w="825" w:type="dxa"/>
                  <w:tcBorders>
                    <w:tl2br w:val="nil"/>
                    <w:tr2bl w:val="nil"/>
                  </w:tcBorders>
                  <w:shd w:val="clear" w:color="auto" w:fill="auto"/>
                  <w:vAlign w:val="center"/>
                </w:tcPr>
                <w:p>
                  <w:pPr>
                    <w:pStyle w:val="59"/>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cs="Times New Roman"/>
                      <w:kern w:val="0"/>
                      <w:szCs w:val="21"/>
                      <w:u w:val="single"/>
                      <w:lang w:val="en-US" w:bidi="ar-SA"/>
                    </w:rPr>
                  </w:pPr>
                  <w:r>
                    <w:rPr>
                      <w:rFonts w:hint="eastAsia" w:ascii="Times New Roman" w:hAnsi="Times New Roman" w:cs="Times New Roman"/>
                      <w:kern w:val="0"/>
                      <w:szCs w:val="21"/>
                      <w:u w:val="single"/>
                      <w:lang w:val="en-US" w:bidi="ar-SA"/>
                    </w:rPr>
                    <w:t>有组织废气</w:t>
                  </w:r>
                </w:p>
              </w:tc>
              <w:tc>
                <w:tcPr>
                  <w:tcW w:w="1410"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szCs w:val="21"/>
                      <w:u w:val="single"/>
                    </w:rPr>
                  </w:pPr>
                  <w:r>
                    <w:rPr>
                      <w:rFonts w:hint="eastAsia"/>
                      <w:szCs w:val="21"/>
                      <w:u w:val="single"/>
                    </w:rPr>
                    <w:t>（DA001）</w:t>
                  </w:r>
                </w:p>
              </w:tc>
              <w:tc>
                <w:tcPr>
                  <w:tcW w:w="1395"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bCs/>
                      <w:szCs w:val="21"/>
                      <w:u w:val="single"/>
                    </w:rPr>
                  </w:pPr>
                  <w:r>
                    <w:rPr>
                      <w:rFonts w:hint="eastAsia"/>
                      <w:bCs/>
                      <w:szCs w:val="21"/>
                      <w:u w:val="single"/>
                      <w:lang w:val="en-US" w:eastAsia="zh-CN"/>
                    </w:rPr>
                    <w:t>颗粒物、VOCs</w:t>
                  </w:r>
                  <w:r>
                    <w:rPr>
                      <w:rFonts w:hint="eastAsia"/>
                      <w:bCs/>
                      <w:szCs w:val="21"/>
                      <w:u w:val="single"/>
                    </w:rPr>
                    <w:t>、</w:t>
                  </w:r>
                  <w:r>
                    <w:rPr>
                      <w:rFonts w:hint="eastAsia"/>
                      <w:bCs/>
                      <w:szCs w:val="21"/>
                      <w:u w:val="single"/>
                      <w:lang w:val="en-US" w:eastAsia="zh-CN"/>
                    </w:rPr>
                    <w:t>苯乙烯、</w:t>
                  </w:r>
                  <w:r>
                    <w:rPr>
                      <w:rFonts w:hint="eastAsia"/>
                      <w:bCs/>
                      <w:szCs w:val="21"/>
                      <w:u w:val="single"/>
                    </w:rPr>
                    <w:t>臭气浓度</w:t>
                  </w:r>
                </w:p>
              </w:tc>
              <w:tc>
                <w:tcPr>
                  <w:tcW w:w="1155"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bCs/>
                      <w:szCs w:val="21"/>
                      <w:u w:val="single"/>
                    </w:rPr>
                  </w:pPr>
                  <w:r>
                    <w:rPr>
                      <w:rFonts w:hint="eastAsia"/>
                      <w:kern w:val="0"/>
                      <w:szCs w:val="21"/>
                      <w:u w:val="single"/>
                      <w:lang w:eastAsia="zh-CN"/>
                    </w:rPr>
                    <w:t>半</w:t>
                  </w:r>
                  <w:r>
                    <w:rPr>
                      <w:rFonts w:hint="eastAsia"/>
                      <w:kern w:val="0"/>
                      <w:szCs w:val="21"/>
                      <w:u w:val="single"/>
                    </w:rPr>
                    <w:t>年一次</w:t>
                  </w:r>
                </w:p>
              </w:tc>
              <w:tc>
                <w:tcPr>
                  <w:tcW w:w="3156" w:type="dxa"/>
                  <w:tcBorders>
                    <w:tl2br w:val="nil"/>
                    <w:tr2bl w:val="nil"/>
                  </w:tcBorders>
                  <w:shd w:val="clear" w:color="auto" w:fill="auto"/>
                  <w:vAlign w:val="center"/>
                </w:tcPr>
                <w:p>
                  <w:pPr>
                    <w:pStyle w:val="59"/>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cs="Times New Roman"/>
                      <w:kern w:val="0"/>
                      <w:szCs w:val="21"/>
                      <w:u w:val="single"/>
                      <w:lang w:val="en-US" w:bidi="ar-SA"/>
                    </w:rPr>
                  </w:pPr>
                  <w:r>
                    <w:rPr>
                      <w:rFonts w:hint="eastAsia" w:ascii="Times New Roman" w:hAnsi="Times New Roman" w:cs="Times New Roman"/>
                      <w:kern w:val="0"/>
                      <w:szCs w:val="21"/>
                      <w:u w:val="single"/>
                      <w:lang w:val="en-US" w:bidi="ar-SA"/>
                    </w:rPr>
                    <w:t>《合成树脂工业污染物排放标准》（GB31572-2015）表</w:t>
                  </w:r>
                  <w:r>
                    <w:rPr>
                      <w:rFonts w:hint="eastAsia" w:ascii="Times New Roman" w:hAnsi="Times New Roman" w:cs="Times New Roman"/>
                      <w:kern w:val="0"/>
                      <w:szCs w:val="21"/>
                      <w:u w:val="single"/>
                      <w:lang w:val="en-US" w:eastAsia="zh-CN" w:bidi="ar-SA"/>
                    </w:rPr>
                    <w:t>4</w:t>
                  </w:r>
                  <w:r>
                    <w:rPr>
                      <w:rFonts w:hint="eastAsia" w:ascii="Times New Roman" w:hAnsi="Times New Roman" w:cs="Times New Roman"/>
                      <w:kern w:val="0"/>
                      <w:szCs w:val="21"/>
                      <w:u w:val="single"/>
                      <w:lang w:val="en-US" w:bidi="ar-SA"/>
                    </w:rPr>
                    <w:t>中的浓度限值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9" w:type="dxa"/>
                  <w:vMerge w:val="continue"/>
                  <w:tcBorders>
                    <w:tl2br w:val="nil"/>
                    <w:tr2bl w:val="nil"/>
                  </w:tcBorders>
                  <w:shd w:val="clear" w:color="auto" w:fill="auto"/>
                  <w:vAlign w:val="center"/>
                </w:tcPr>
                <w:p>
                  <w:pPr>
                    <w:pStyle w:val="53"/>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bCs/>
                      <w:color w:val="auto"/>
                      <w:sz w:val="21"/>
                      <w:szCs w:val="21"/>
                      <w:u w:val="single"/>
                    </w:rPr>
                  </w:pPr>
                </w:p>
              </w:tc>
              <w:tc>
                <w:tcPr>
                  <w:tcW w:w="825" w:type="dxa"/>
                  <w:vMerge w:val="restart"/>
                  <w:tcBorders>
                    <w:tl2br w:val="nil"/>
                    <w:tr2bl w:val="nil"/>
                  </w:tcBorders>
                  <w:shd w:val="clear" w:color="auto" w:fill="auto"/>
                  <w:vAlign w:val="center"/>
                </w:tcPr>
                <w:p>
                  <w:pPr>
                    <w:pStyle w:val="59"/>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cs="Times New Roman"/>
                      <w:kern w:val="0"/>
                      <w:szCs w:val="21"/>
                      <w:u w:val="single"/>
                      <w:lang w:val="en-US" w:bidi="ar-SA"/>
                    </w:rPr>
                  </w:pPr>
                  <w:r>
                    <w:rPr>
                      <w:rFonts w:ascii="Times New Roman" w:hAnsi="Times New Roman" w:cs="Times New Roman"/>
                      <w:kern w:val="0"/>
                      <w:szCs w:val="21"/>
                      <w:u w:val="single"/>
                      <w:lang w:val="en-US" w:bidi="ar-SA"/>
                    </w:rPr>
                    <w:t>无组织废气</w:t>
                  </w:r>
                </w:p>
              </w:tc>
              <w:tc>
                <w:tcPr>
                  <w:tcW w:w="1410"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kern w:val="0"/>
                      <w:szCs w:val="21"/>
                      <w:u w:val="single"/>
                    </w:rPr>
                  </w:pPr>
                  <w:r>
                    <w:rPr>
                      <w:rFonts w:hint="eastAsia"/>
                      <w:kern w:val="0"/>
                      <w:szCs w:val="21"/>
                      <w:u w:val="single"/>
                    </w:rPr>
                    <w:t>厂界</w:t>
                  </w:r>
                </w:p>
              </w:tc>
              <w:tc>
                <w:tcPr>
                  <w:tcW w:w="1395"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kern w:val="0"/>
                      <w:szCs w:val="21"/>
                      <w:u w:val="single"/>
                    </w:rPr>
                  </w:pPr>
                  <w:r>
                    <w:rPr>
                      <w:kern w:val="0"/>
                      <w:szCs w:val="21"/>
                      <w:u w:val="single"/>
                    </w:rPr>
                    <w:t>颗粒物</w:t>
                  </w:r>
                  <w:r>
                    <w:rPr>
                      <w:rFonts w:hint="eastAsia"/>
                      <w:kern w:val="0"/>
                      <w:szCs w:val="21"/>
                      <w:u w:val="single"/>
                      <w:lang w:eastAsia="zh-CN"/>
                    </w:rPr>
                    <w:t>、非甲烷总烃</w:t>
                  </w:r>
                  <w:r>
                    <w:rPr>
                      <w:kern w:val="0"/>
                      <w:szCs w:val="21"/>
                      <w:u w:val="single"/>
                    </w:rPr>
                    <w:t>、</w:t>
                  </w:r>
                  <w:r>
                    <w:rPr>
                      <w:rFonts w:hint="eastAsia"/>
                      <w:kern w:val="0"/>
                      <w:szCs w:val="21"/>
                      <w:u w:val="single"/>
                      <w:lang w:val="en-US" w:eastAsia="zh-CN"/>
                    </w:rPr>
                    <w:t>苯乙烯、</w:t>
                  </w:r>
                  <w:r>
                    <w:rPr>
                      <w:kern w:val="0"/>
                      <w:szCs w:val="21"/>
                      <w:u w:val="single"/>
                    </w:rPr>
                    <w:t>臭气浓度</w:t>
                  </w:r>
                </w:p>
              </w:tc>
              <w:tc>
                <w:tcPr>
                  <w:tcW w:w="1155"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kern w:val="0"/>
                      <w:szCs w:val="21"/>
                      <w:u w:val="single"/>
                    </w:rPr>
                  </w:pPr>
                  <w:r>
                    <w:rPr>
                      <w:rFonts w:hint="eastAsia"/>
                      <w:kern w:val="0"/>
                      <w:szCs w:val="21"/>
                      <w:u w:val="single"/>
                      <w:lang w:eastAsia="zh-CN"/>
                    </w:rPr>
                    <w:t>一</w:t>
                  </w:r>
                  <w:r>
                    <w:rPr>
                      <w:rFonts w:hint="eastAsia"/>
                      <w:kern w:val="0"/>
                      <w:szCs w:val="21"/>
                      <w:u w:val="single"/>
                    </w:rPr>
                    <w:t>年一次</w:t>
                  </w:r>
                </w:p>
              </w:tc>
              <w:tc>
                <w:tcPr>
                  <w:tcW w:w="3156" w:type="dxa"/>
                  <w:tcBorders>
                    <w:tl2br w:val="nil"/>
                    <w:tr2bl w:val="nil"/>
                  </w:tcBorders>
                  <w:shd w:val="clear" w:color="auto" w:fill="auto"/>
                  <w:vAlign w:val="center"/>
                </w:tcPr>
                <w:p>
                  <w:pPr>
                    <w:pStyle w:val="59"/>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cs="Times New Roman"/>
                      <w:kern w:val="0"/>
                      <w:szCs w:val="21"/>
                      <w:u w:val="single"/>
                      <w:lang w:val="en-US" w:bidi="ar-SA"/>
                    </w:rPr>
                  </w:pPr>
                  <w:r>
                    <w:rPr>
                      <w:rFonts w:hint="eastAsia" w:ascii="Times New Roman" w:hAnsi="Times New Roman" w:cs="Times New Roman"/>
                      <w:kern w:val="0"/>
                      <w:szCs w:val="21"/>
                      <w:u w:val="single"/>
                      <w:lang w:val="en-US" w:bidi="ar-SA"/>
                    </w:rPr>
                    <w:t>VOCs（以非甲烷总烃计） 执行《合成树脂工业污染物排放标准》（GB31572-2 015）表9中的无组织排放监控浓度限值；颗粒物执行《大气污染物综合排放标准》（GB16297-1996）中表2无组排放监控浓度限值；臭气浓度执行《恶臭污染物排放标准》（GB14554-1993）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9" w:type="dxa"/>
                  <w:vMerge w:val="continue"/>
                  <w:tcBorders>
                    <w:tl2br w:val="nil"/>
                    <w:tr2bl w:val="nil"/>
                  </w:tcBorders>
                  <w:shd w:val="clear" w:color="auto" w:fill="auto"/>
                  <w:vAlign w:val="center"/>
                </w:tcPr>
                <w:p>
                  <w:pPr>
                    <w:pStyle w:val="53"/>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bCs/>
                      <w:color w:val="auto"/>
                      <w:sz w:val="21"/>
                      <w:szCs w:val="21"/>
                      <w:u w:val="single"/>
                    </w:rPr>
                  </w:pPr>
                </w:p>
              </w:tc>
              <w:tc>
                <w:tcPr>
                  <w:tcW w:w="825" w:type="dxa"/>
                  <w:vMerge w:val="continue"/>
                  <w:tcBorders>
                    <w:tl2br w:val="nil"/>
                    <w:tr2bl w:val="nil"/>
                  </w:tcBorders>
                  <w:shd w:val="clear" w:color="auto" w:fill="auto"/>
                  <w:vAlign w:val="center"/>
                </w:tcPr>
                <w:p>
                  <w:pPr>
                    <w:pStyle w:val="59"/>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cs="Times New Roman"/>
                      <w:kern w:val="0"/>
                      <w:szCs w:val="21"/>
                      <w:u w:val="single"/>
                      <w:lang w:val="en-US" w:bidi="ar-SA"/>
                    </w:rPr>
                  </w:pPr>
                </w:p>
              </w:tc>
              <w:tc>
                <w:tcPr>
                  <w:tcW w:w="1410"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kern w:val="0"/>
                      <w:szCs w:val="21"/>
                      <w:u w:val="single"/>
                    </w:rPr>
                  </w:pPr>
                  <w:r>
                    <w:rPr>
                      <w:kern w:val="0"/>
                      <w:szCs w:val="21"/>
                      <w:u w:val="single"/>
                    </w:rPr>
                    <w:t>企业生产车间厂房门窗口或通风口</w:t>
                  </w:r>
                </w:p>
              </w:tc>
              <w:tc>
                <w:tcPr>
                  <w:tcW w:w="1395" w:type="dxa"/>
                  <w:tcBorders>
                    <w:tl2br w:val="nil"/>
                    <w:tr2bl w:val="nil"/>
                  </w:tcBorders>
                  <w:shd w:val="clear" w:color="auto" w:fill="auto"/>
                  <w:vAlign w:val="center"/>
                </w:tcPr>
                <w:p>
                  <w:pPr>
                    <w:keepNext w:val="0"/>
                    <w:keepLines w:val="0"/>
                    <w:pageBreakBefore w:val="0"/>
                    <w:widowControl w:val="0"/>
                    <w:kinsoku/>
                    <w:wordWrap/>
                    <w:overflowPunct/>
                    <w:topLinePunct w:val="0"/>
                    <w:bidi w:val="0"/>
                    <w:snapToGrid w:val="0"/>
                    <w:spacing w:line="240" w:lineRule="auto"/>
                    <w:ind w:left="0" w:right="0"/>
                    <w:jc w:val="center"/>
                    <w:textAlignment w:val="auto"/>
                    <w:rPr>
                      <w:rFonts w:hint="eastAsia" w:eastAsia="宋体"/>
                      <w:kern w:val="0"/>
                      <w:szCs w:val="21"/>
                      <w:u w:val="single"/>
                      <w:lang w:val="en-US" w:eastAsia="zh-CN"/>
                    </w:rPr>
                  </w:pPr>
                  <w:r>
                    <w:rPr>
                      <w:rFonts w:hint="eastAsia"/>
                      <w:kern w:val="0"/>
                      <w:szCs w:val="21"/>
                      <w:u w:val="single"/>
                      <w:lang w:eastAsia="zh-CN"/>
                    </w:rPr>
                    <w:t>非甲烷总烃</w:t>
                  </w:r>
                </w:p>
              </w:tc>
              <w:tc>
                <w:tcPr>
                  <w:tcW w:w="1155" w:type="dxa"/>
                  <w:tcBorders>
                    <w:tl2br w:val="nil"/>
                    <w:tr2bl w:val="nil"/>
                  </w:tcBorders>
                  <w:shd w:val="clear" w:color="auto" w:fill="auto"/>
                  <w:vAlign w:val="center"/>
                </w:tcPr>
                <w:p>
                  <w:pPr>
                    <w:pStyle w:val="59"/>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cs="Times New Roman"/>
                      <w:kern w:val="0"/>
                      <w:szCs w:val="21"/>
                      <w:u w:val="single"/>
                      <w:lang w:val="en-US" w:bidi="ar-SA"/>
                    </w:rPr>
                  </w:pPr>
                  <w:r>
                    <w:rPr>
                      <w:rFonts w:hint="eastAsia"/>
                      <w:kern w:val="0"/>
                      <w:szCs w:val="21"/>
                      <w:u w:val="single"/>
                      <w:lang w:eastAsia="zh-CN"/>
                    </w:rPr>
                    <w:t>一</w:t>
                  </w:r>
                  <w:r>
                    <w:rPr>
                      <w:rFonts w:hint="eastAsia" w:ascii="Times New Roman" w:hAnsi="Times New Roman" w:cs="Times New Roman"/>
                      <w:kern w:val="0"/>
                      <w:szCs w:val="21"/>
                      <w:u w:val="single"/>
                      <w:lang w:val="en-US" w:bidi="ar-SA"/>
                    </w:rPr>
                    <w:t>年一次</w:t>
                  </w:r>
                </w:p>
              </w:tc>
              <w:tc>
                <w:tcPr>
                  <w:tcW w:w="3156" w:type="dxa"/>
                  <w:tcBorders>
                    <w:tl2br w:val="nil"/>
                    <w:tr2bl w:val="nil"/>
                  </w:tcBorders>
                  <w:shd w:val="clear" w:color="auto" w:fill="auto"/>
                  <w:vAlign w:val="center"/>
                </w:tcPr>
                <w:p>
                  <w:pPr>
                    <w:pStyle w:val="59"/>
                    <w:keepNext w:val="0"/>
                    <w:keepLines w:val="0"/>
                    <w:pageBreakBefore w:val="0"/>
                    <w:widowControl w:val="0"/>
                    <w:kinsoku/>
                    <w:wordWrap/>
                    <w:overflowPunct/>
                    <w:topLinePunct w:val="0"/>
                    <w:bidi w:val="0"/>
                    <w:spacing w:line="240" w:lineRule="auto"/>
                    <w:ind w:left="0" w:right="0"/>
                    <w:jc w:val="center"/>
                    <w:textAlignment w:val="auto"/>
                    <w:rPr>
                      <w:rFonts w:ascii="Times New Roman" w:hAnsi="Times New Roman" w:cs="Times New Roman"/>
                      <w:kern w:val="0"/>
                      <w:szCs w:val="21"/>
                      <w:u w:val="single"/>
                      <w:lang w:val="en-US" w:bidi="ar-SA"/>
                    </w:rPr>
                  </w:pPr>
                  <w:r>
                    <w:rPr>
                      <w:rFonts w:hint="eastAsia" w:ascii="Times New Roman" w:hAnsi="Times New Roman" w:cs="Times New Roman"/>
                      <w:kern w:val="0"/>
                      <w:szCs w:val="21"/>
                      <w:u w:val="single"/>
                      <w:lang w:val="en-US" w:bidi="ar-SA"/>
                    </w:rPr>
                    <w:t>《挥发性有机物无组织排放控制标准》（GB37822-2 019）无组织排放监控浓度限值</w:t>
                  </w:r>
                </w:p>
              </w:tc>
            </w:tr>
          </w:tbl>
          <w:p>
            <w:pPr>
              <w:pStyle w:val="53"/>
              <w:spacing w:line="480" w:lineRule="exact"/>
              <w:rPr>
                <w:rFonts w:ascii="Times New Roman" w:hAnsi="Times New Roman"/>
                <w:b/>
                <w:color w:val="auto"/>
                <w:u w:val="single"/>
              </w:rPr>
            </w:pPr>
            <w:r>
              <w:rPr>
                <w:rFonts w:hint="eastAsia" w:ascii="Times New Roman" w:hAnsi="Times New Roman"/>
                <w:b/>
                <w:color w:val="auto"/>
              </w:rPr>
              <w:t>4.2</w:t>
            </w:r>
            <w:r>
              <w:rPr>
                <w:rFonts w:hint="eastAsia" w:ascii="Times New Roman" w:hAnsi="Times New Roman"/>
                <w:b/>
                <w:color w:val="auto"/>
                <w:u w:val="single"/>
              </w:rPr>
              <w:t>、水环境影响分析</w:t>
            </w:r>
          </w:p>
          <w:p>
            <w:pPr>
              <w:pStyle w:val="27"/>
              <w:spacing w:line="480" w:lineRule="exact"/>
              <w:ind w:firstLine="480" w:firstLineChars="200"/>
              <w:rPr>
                <w:rFonts w:ascii="Times New Roman" w:hAnsi="Times New Roman"/>
                <w:color w:val="auto"/>
                <w:kern w:val="2"/>
                <w:u w:val="single"/>
              </w:rPr>
            </w:pPr>
            <w:r>
              <w:rPr>
                <w:rFonts w:ascii="Times New Roman" w:hAnsi="Times New Roman" w:cs="Times New Roman"/>
                <w:color w:val="auto"/>
                <w:kern w:val="24"/>
                <w:u w:val="single"/>
              </w:rPr>
              <w:t>本项目排水采用雨污分流制</w:t>
            </w:r>
            <w:r>
              <w:rPr>
                <w:rFonts w:hint="eastAsia" w:ascii="Times New Roman" w:hAnsi="Times New Roman" w:cs="Times New Roman"/>
                <w:color w:val="auto"/>
                <w:kern w:val="24"/>
                <w:u w:val="single"/>
              </w:rPr>
              <w:t>，本项目营运过程喷淋塔用水和冷却水循环使用，不外排。废水主要为员工生活污水</w:t>
            </w:r>
            <w:r>
              <w:rPr>
                <w:rFonts w:hint="eastAsia" w:ascii="Times New Roman" w:hAnsi="Times New Roman"/>
                <w:bCs/>
                <w:color w:val="auto"/>
                <w:szCs w:val="21"/>
                <w:u w:val="single"/>
              </w:rPr>
              <w:t>，</w:t>
            </w:r>
            <w:r>
              <w:rPr>
                <w:rFonts w:hint="eastAsia" w:ascii="Times New Roman" w:hAnsi="Times New Roman"/>
                <w:color w:val="auto"/>
                <w:kern w:val="2"/>
                <w:u w:val="single"/>
              </w:rPr>
              <w:t>生活废水经化粪池处理后经园区市政污水管网排入益阳</w:t>
            </w:r>
            <w:r>
              <w:rPr>
                <w:rFonts w:hint="eastAsia" w:ascii="Times New Roman" w:hAnsi="Times New Roman"/>
                <w:color w:val="auto"/>
                <w:kern w:val="2"/>
                <w:u w:val="single"/>
                <w:lang w:val="en-US" w:eastAsia="zh-CN"/>
              </w:rPr>
              <w:t>城东</w:t>
            </w:r>
            <w:r>
              <w:rPr>
                <w:rFonts w:hint="eastAsia" w:ascii="Times New Roman" w:hAnsi="Times New Roman"/>
                <w:color w:val="auto"/>
                <w:kern w:val="2"/>
                <w:u w:val="single"/>
              </w:rPr>
              <w:t>污水处理厂深度处理后达标排放，对周边地表水环境影响较小。</w:t>
            </w:r>
            <w:r>
              <w:rPr>
                <w:rFonts w:ascii="Times New Roman" w:hAnsi="Times New Roman" w:cs="Times New Roman"/>
                <w:color w:val="auto"/>
                <w:kern w:val="24"/>
                <w:u w:val="single"/>
              </w:rPr>
              <w:t>本项目排水采用雨污分流制</w:t>
            </w:r>
            <w:r>
              <w:rPr>
                <w:rFonts w:hint="eastAsia" w:ascii="Times New Roman" w:hAnsi="Times New Roman" w:cs="Times New Roman"/>
                <w:color w:val="auto"/>
                <w:kern w:val="24"/>
                <w:u w:val="single"/>
              </w:rPr>
              <w:t>，</w:t>
            </w:r>
            <w:r>
              <w:rPr>
                <w:rFonts w:hint="eastAsia" w:ascii="Times New Roman" w:hAnsi="Times New Roman"/>
                <w:color w:val="auto"/>
                <w:kern w:val="2"/>
                <w:u w:val="single"/>
              </w:rPr>
              <w:t>车间不进行清洗，只进行清扫，</w:t>
            </w:r>
            <w:r>
              <w:rPr>
                <w:rFonts w:hint="eastAsia" w:ascii="Times New Roman" w:hAnsi="Times New Roman"/>
                <w:bCs/>
                <w:szCs w:val="21"/>
                <w:u w:val="single"/>
              </w:rPr>
              <w:t>项目废水主要为员工生活污水。</w:t>
            </w:r>
          </w:p>
          <w:p>
            <w:pPr>
              <w:pStyle w:val="53"/>
              <w:spacing w:line="480" w:lineRule="exact"/>
              <w:rPr>
                <w:rFonts w:ascii="Times New Roman" w:hAnsi="Times New Roman"/>
                <w:b/>
                <w:color w:val="auto"/>
                <w:u w:val="single"/>
              </w:rPr>
            </w:pPr>
            <w:r>
              <w:rPr>
                <w:rFonts w:hint="eastAsia" w:ascii="Times New Roman" w:hAnsi="Times New Roman"/>
                <w:b/>
                <w:color w:val="auto"/>
                <w:u w:val="single"/>
              </w:rPr>
              <w:t>4.2.1、废水污染物源强</w:t>
            </w:r>
          </w:p>
          <w:p>
            <w:pPr>
              <w:pStyle w:val="53"/>
              <w:spacing w:line="480" w:lineRule="exact"/>
              <w:ind w:firstLine="480" w:firstLineChars="200"/>
              <w:rPr>
                <w:rFonts w:hint="eastAsia" w:ascii="Times New Roman" w:hAnsi="Times New Roman"/>
                <w:color w:val="auto"/>
                <w:kern w:val="2"/>
                <w:u w:val="single"/>
              </w:rPr>
            </w:pPr>
            <w:r>
              <w:rPr>
                <w:rFonts w:hint="eastAsia" w:ascii="Times New Roman" w:hAnsi="Times New Roman" w:cs="Times New Roman"/>
                <w:color w:val="auto"/>
                <w:kern w:val="24"/>
                <w:u w:val="single"/>
              </w:rPr>
              <w:t>根据建设单位提供的资料，项目劳动定员约为5人，不</w:t>
            </w:r>
            <w:r>
              <w:rPr>
                <w:rFonts w:hint="eastAsia" w:ascii="Times New Roman" w:hAnsi="Times New Roman" w:cs="Times New Roman"/>
                <w:color w:val="auto"/>
                <w:u w:val="single"/>
              </w:rPr>
              <w:t>在厂区内食宿，</w:t>
            </w:r>
            <w:r>
              <w:rPr>
                <w:rFonts w:hint="eastAsia" w:ascii="Times New Roman" w:hAnsi="Times New Roman" w:cs="Times New Roman"/>
                <w:color w:val="auto"/>
                <w:kern w:val="24"/>
                <w:u w:val="single"/>
              </w:rPr>
              <w:t>按照《湖南省地方标准用水定额》（DB 43/T 388-2020）中的指标计算，用水量以50 L/d·人计算，项目年工作264天，则本项目生活用水量为0.25 m</w:t>
            </w:r>
            <w:r>
              <w:rPr>
                <w:rFonts w:hint="eastAsia" w:ascii="Times New Roman" w:hAnsi="Times New Roman" w:cs="Times New Roman"/>
                <w:color w:val="auto"/>
                <w:kern w:val="24"/>
                <w:u w:val="single"/>
                <w:vertAlign w:val="superscript"/>
              </w:rPr>
              <w:t>3</w:t>
            </w:r>
            <w:r>
              <w:rPr>
                <w:rFonts w:hint="eastAsia" w:ascii="Times New Roman" w:hAnsi="Times New Roman" w:cs="Times New Roman"/>
                <w:color w:val="auto"/>
                <w:kern w:val="24"/>
                <w:u w:val="single"/>
              </w:rPr>
              <w:t>/d（66 m</w:t>
            </w:r>
            <w:r>
              <w:rPr>
                <w:rFonts w:hint="eastAsia" w:ascii="Times New Roman" w:hAnsi="Times New Roman" w:cs="Times New Roman"/>
                <w:color w:val="auto"/>
                <w:kern w:val="24"/>
                <w:u w:val="single"/>
                <w:vertAlign w:val="superscript"/>
              </w:rPr>
              <w:t>3</w:t>
            </w:r>
            <w:r>
              <w:rPr>
                <w:rFonts w:hint="eastAsia" w:ascii="Times New Roman" w:hAnsi="Times New Roman" w:cs="Times New Roman"/>
                <w:color w:val="auto"/>
                <w:kern w:val="24"/>
                <w:u w:val="single"/>
              </w:rPr>
              <w:t>/a）</w:t>
            </w:r>
            <w:r>
              <w:rPr>
                <w:rFonts w:hint="eastAsia" w:ascii="Times New Roman" w:hAnsi="Times New Roman" w:cs="Times New Roman"/>
                <w:color w:val="auto"/>
                <w:kern w:val="24"/>
                <w:u w:val="single"/>
                <w:lang w:eastAsia="zh-CN"/>
              </w:rPr>
              <w:t>，按照</w:t>
            </w:r>
            <w:r>
              <w:rPr>
                <w:rFonts w:hint="eastAsia" w:ascii="Times New Roman" w:hAnsi="Times New Roman" w:cs="Times New Roman"/>
                <w:color w:val="auto"/>
                <w:kern w:val="24"/>
                <w:u w:val="single"/>
                <w:lang w:val="en-US" w:eastAsia="zh-CN"/>
              </w:rPr>
              <w:t>80%计，因此项目生活污水排放量为52.8m</w:t>
            </w:r>
            <w:r>
              <w:rPr>
                <w:rFonts w:hint="eastAsia" w:ascii="Times New Roman" w:hAnsi="Times New Roman" w:cs="Times New Roman"/>
                <w:color w:val="auto"/>
                <w:kern w:val="24"/>
                <w:u w:val="single"/>
                <w:vertAlign w:val="superscript"/>
                <w:lang w:val="en-US" w:eastAsia="zh-CN"/>
              </w:rPr>
              <w:t>3</w:t>
            </w:r>
            <w:r>
              <w:rPr>
                <w:rFonts w:hint="eastAsia" w:ascii="Times New Roman" w:hAnsi="Times New Roman" w:cs="Times New Roman"/>
                <w:color w:val="auto"/>
                <w:kern w:val="24"/>
                <w:u w:val="single"/>
                <w:lang w:val="en-US" w:eastAsia="zh-CN"/>
              </w:rPr>
              <w:t>/a。</w:t>
            </w:r>
            <w:r>
              <w:rPr>
                <w:rFonts w:hint="eastAsia" w:ascii="Times New Roman" w:hAnsi="Times New Roman" w:cs="Times New Roman"/>
                <w:color w:val="auto"/>
                <w:kern w:val="24"/>
                <w:u w:val="single"/>
              </w:rPr>
              <w:t>生活污水依托已有的化粪池处理达到《污水综合排放标准》（GB8978-1996）表4中的三级标准后通过园区市政污水管网排入益阳</w:t>
            </w:r>
            <w:r>
              <w:rPr>
                <w:rFonts w:hint="eastAsia" w:ascii="Times New Roman" w:hAnsi="Times New Roman" w:cs="Times New Roman"/>
                <w:color w:val="auto"/>
                <w:kern w:val="24"/>
                <w:u w:val="single"/>
                <w:lang w:val="en-US" w:eastAsia="zh-CN"/>
              </w:rPr>
              <w:t>城东</w:t>
            </w:r>
            <w:r>
              <w:rPr>
                <w:rFonts w:hint="eastAsia" w:ascii="Times New Roman" w:hAnsi="Times New Roman" w:cs="Times New Roman"/>
                <w:color w:val="auto"/>
                <w:kern w:val="24"/>
                <w:u w:val="single"/>
              </w:rPr>
              <w:t>污水处理厂处理达 《城镇污水处理厂污染物排放标准》（GB18918-2002）一级A标准后排入撇洪新河</w:t>
            </w:r>
            <w:r>
              <w:rPr>
                <w:rFonts w:hint="eastAsia" w:ascii="Times New Roman" w:hAnsi="Times New Roman"/>
                <w:color w:val="auto"/>
                <w:kern w:val="2"/>
                <w:u w:val="single"/>
              </w:rPr>
              <w:t>。</w:t>
            </w:r>
          </w:p>
          <w:p>
            <w:pPr>
              <w:pStyle w:val="53"/>
              <w:jc w:val="center"/>
              <w:rPr>
                <w:rFonts w:ascii="Times New Roman" w:hAnsi="Times New Roman"/>
                <w:b/>
                <w:bCs/>
                <w:color w:val="auto"/>
                <w:kern w:val="2"/>
                <w:sz w:val="21"/>
                <w:szCs w:val="21"/>
                <w:u w:val="single"/>
              </w:rPr>
            </w:pPr>
            <w:r>
              <w:rPr>
                <w:rFonts w:hint="eastAsia" w:ascii="Times New Roman" w:hAnsi="Times New Roman"/>
                <w:b/>
                <w:bCs/>
                <w:color w:val="auto"/>
                <w:kern w:val="2"/>
                <w:sz w:val="21"/>
                <w:szCs w:val="21"/>
                <w:u w:val="single"/>
              </w:rPr>
              <w:t>表4-</w:t>
            </w:r>
            <w:r>
              <w:rPr>
                <w:rFonts w:hint="eastAsia" w:ascii="Times New Roman" w:hAnsi="Times New Roman"/>
                <w:b/>
                <w:bCs/>
                <w:color w:val="auto"/>
                <w:kern w:val="2"/>
                <w:sz w:val="21"/>
                <w:szCs w:val="21"/>
                <w:u w:val="single"/>
                <w:lang w:val="en-US" w:eastAsia="zh-CN"/>
              </w:rPr>
              <w:t>6</w:t>
            </w:r>
            <w:r>
              <w:rPr>
                <w:rFonts w:hint="eastAsia" w:ascii="Times New Roman" w:hAnsi="Times New Roman"/>
                <w:b/>
                <w:bCs/>
                <w:color w:val="auto"/>
                <w:kern w:val="2"/>
                <w:sz w:val="21"/>
                <w:szCs w:val="21"/>
                <w:u w:val="single"/>
              </w:rPr>
              <w:t xml:space="preserve">  项目生活废水污染源产排污情况一览表</w:t>
            </w:r>
          </w:p>
          <w:tbl>
            <w:tblPr>
              <w:tblStyle w:val="21"/>
              <w:tblW w:w="8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67"/>
              <w:gridCol w:w="1187"/>
              <w:gridCol w:w="1161"/>
              <w:gridCol w:w="1197"/>
              <w:gridCol w:w="1199"/>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2095" w:type="dxa"/>
                  <w:gridSpan w:val="2"/>
                </w:tcPr>
                <w:p>
                  <w:pPr>
                    <w:pStyle w:val="59"/>
                    <w:spacing w:before="63"/>
                    <w:ind w:left="816" w:right="809"/>
                    <w:jc w:val="center"/>
                    <w:rPr>
                      <w:u w:val="single"/>
                    </w:rPr>
                  </w:pPr>
                  <w:r>
                    <w:rPr>
                      <w:rFonts w:hint="eastAsia" w:ascii="Times New Roman" w:hAnsi="Times New Roman"/>
                      <w:szCs w:val="21"/>
                      <w:u w:val="single"/>
                      <w:lang w:val="en-US" w:bidi="ar-SA"/>
                    </w:rPr>
                    <w:t>项目</w:t>
                  </w:r>
                </w:p>
              </w:tc>
              <w:tc>
                <w:tcPr>
                  <w:tcW w:w="1187" w:type="dxa"/>
                </w:tcPr>
                <w:p>
                  <w:pPr>
                    <w:pStyle w:val="59"/>
                    <w:spacing w:before="63"/>
                    <w:ind w:left="78" w:right="71"/>
                    <w:jc w:val="center"/>
                    <w:rPr>
                      <w:rFonts w:ascii="Times New Roman" w:eastAsia="Times New Roman"/>
                      <w:u w:val="single"/>
                    </w:rPr>
                  </w:pPr>
                  <w:r>
                    <w:rPr>
                      <w:u w:val="single"/>
                    </w:rPr>
                    <w:t xml:space="preserve">废水 </w:t>
                  </w:r>
                  <w:r>
                    <w:rPr>
                      <w:rFonts w:ascii="Times New Roman" w:eastAsia="Times New Roman"/>
                      <w:u w:val="single"/>
                    </w:rPr>
                    <w:t>m</w:t>
                  </w:r>
                  <w:r>
                    <w:rPr>
                      <w:rFonts w:ascii="Times New Roman" w:eastAsia="Times New Roman"/>
                      <w:u w:val="single"/>
                      <w:vertAlign w:val="superscript"/>
                    </w:rPr>
                    <w:t>3</w:t>
                  </w:r>
                  <w:r>
                    <w:rPr>
                      <w:rFonts w:ascii="Times New Roman" w:eastAsia="Times New Roman"/>
                      <w:u w:val="single"/>
                    </w:rPr>
                    <w:t>/a</w:t>
                  </w:r>
                </w:p>
              </w:tc>
              <w:tc>
                <w:tcPr>
                  <w:tcW w:w="1161" w:type="dxa"/>
                </w:tcPr>
                <w:p>
                  <w:pPr>
                    <w:pStyle w:val="59"/>
                    <w:spacing w:before="70"/>
                    <w:ind w:left="288" w:right="279"/>
                    <w:jc w:val="center"/>
                    <w:rPr>
                      <w:rFonts w:ascii="Times New Roman"/>
                      <w:u w:val="single"/>
                    </w:rPr>
                  </w:pPr>
                  <w:r>
                    <w:rPr>
                      <w:rFonts w:ascii="Times New Roman"/>
                      <w:u w:val="single"/>
                    </w:rPr>
                    <w:t>COD</w:t>
                  </w:r>
                </w:p>
              </w:tc>
              <w:tc>
                <w:tcPr>
                  <w:tcW w:w="1197" w:type="dxa"/>
                </w:tcPr>
                <w:p>
                  <w:pPr>
                    <w:pStyle w:val="59"/>
                    <w:spacing w:before="70"/>
                    <w:ind w:left="289" w:right="276"/>
                    <w:jc w:val="center"/>
                    <w:rPr>
                      <w:rFonts w:ascii="Times New Roman"/>
                      <w:u w:val="single"/>
                    </w:rPr>
                  </w:pPr>
                  <w:r>
                    <w:rPr>
                      <w:rFonts w:ascii="Times New Roman"/>
                      <w:u w:val="single"/>
                    </w:rPr>
                    <w:t>BOD</w:t>
                  </w:r>
                  <w:r>
                    <w:rPr>
                      <w:rFonts w:ascii="Times New Roman"/>
                      <w:u w:val="single"/>
                      <w:vertAlign w:val="subscript"/>
                    </w:rPr>
                    <w:t>5</w:t>
                  </w:r>
                </w:p>
              </w:tc>
              <w:tc>
                <w:tcPr>
                  <w:tcW w:w="1199" w:type="dxa"/>
                </w:tcPr>
                <w:p>
                  <w:pPr>
                    <w:pStyle w:val="59"/>
                    <w:spacing w:before="70"/>
                    <w:ind w:left="290" w:right="280"/>
                    <w:jc w:val="center"/>
                    <w:rPr>
                      <w:rFonts w:ascii="Times New Roman"/>
                      <w:u w:val="single"/>
                    </w:rPr>
                  </w:pPr>
                  <w:r>
                    <w:rPr>
                      <w:rFonts w:ascii="Times New Roman"/>
                      <w:u w:val="single"/>
                    </w:rPr>
                    <w:t>SS</w:t>
                  </w:r>
                </w:p>
              </w:tc>
              <w:tc>
                <w:tcPr>
                  <w:tcW w:w="1216" w:type="dxa"/>
                </w:tcPr>
                <w:p>
                  <w:pPr>
                    <w:pStyle w:val="59"/>
                    <w:spacing w:before="70"/>
                    <w:ind w:left="315"/>
                    <w:rPr>
                      <w:rFonts w:ascii="Times New Roman"/>
                      <w:u w:val="single"/>
                    </w:rPr>
                  </w:pPr>
                  <w:r>
                    <w:rPr>
                      <w:rFonts w:ascii="Times New Roman"/>
                      <w:u w:val="single"/>
                    </w:rPr>
                    <w:t>NH</w:t>
                  </w:r>
                  <w:r>
                    <w:rPr>
                      <w:rFonts w:ascii="Times New Roman"/>
                      <w:u w:val="single"/>
                      <w:vertAlign w:val="subscript"/>
                    </w:rPr>
                    <w:t>3</w:t>
                  </w:r>
                  <w:r>
                    <w:rPr>
                      <w:rFonts w:ascii="Times New Roman"/>
                      <w:u w:val="single"/>
                    </w:rPr>
                    <w:t>-N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28" w:type="dxa"/>
                  <w:vMerge w:val="restart"/>
                </w:tcPr>
                <w:p>
                  <w:pPr>
                    <w:pStyle w:val="59"/>
                    <w:spacing w:before="125" w:line="242" w:lineRule="auto"/>
                    <w:ind w:left="306" w:right="189" w:hanging="104"/>
                    <w:rPr>
                      <w:u w:val="single"/>
                    </w:rPr>
                  </w:pPr>
                  <w:r>
                    <w:rPr>
                      <w:u w:val="single"/>
                    </w:rPr>
                    <w:t>处理前</w:t>
                  </w:r>
                </w:p>
              </w:tc>
              <w:tc>
                <w:tcPr>
                  <w:tcW w:w="1267" w:type="dxa"/>
                </w:tcPr>
                <w:p>
                  <w:pPr>
                    <w:pStyle w:val="59"/>
                    <w:spacing w:before="63"/>
                    <w:ind w:left="123" w:right="113"/>
                    <w:jc w:val="center"/>
                    <w:rPr>
                      <w:rFonts w:ascii="Times New Roman" w:eastAsia="Times New Roman"/>
                      <w:u w:val="single"/>
                    </w:rPr>
                  </w:pPr>
                  <w:r>
                    <w:rPr>
                      <w:u w:val="single"/>
                    </w:rPr>
                    <w:t xml:space="preserve">浓度 </w:t>
                  </w:r>
                  <w:r>
                    <w:rPr>
                      <w:rFonts w:ascii="Times New Roman" w:eastAsia="Times New Roman"/>
                      <w:u w:val="single"/>
                    </w:rPr>
                    <w:t>mg/L</w:t>
                  </w:r>
                </w:p>
              </w:tc>
              <w:tc>
                <w:tcPr>
                  <w:tcW w:w="1187" w:type="dxa"/>
                </w:tcPr>
                <w:p>
                  <w:pPr>
                    <w:pStyle w:val="59"/>
                    <w:spacing w:before="70"/>
                    <w:ind w:left="11"/>
                    <w:jc w:val="center"/>
                    <w:rPr>
                      <w:rFonts w:ascii="Times New Roman"/>
                      <w:u w:val="single"/>
                    </w:rPr>
                  </w:pPr>
                  <w:r>
                    <w:rPr>
                      <w:rFonts w:ascii="Times New Roman"/>
                      <w:u w:val="single"/>
                    </w:rPr>
                    <w:t>/</w:t>
                  </w:r>
                </w:p>
              </w:tc>
              <w:tc>
                <w:tcPr>
                  <w:tcW w:w="1161" w:type="dxa"/>
                </w:tcPr>
                <w:p>
                  <w:pPr>
                    <w:pStyle w:val="59"/>
                    <w:spacing w:before="70"/>
                    <w:ind w:left="287" w:right="279"/>
                    <w:jc w:val="center"/>
                    <w:rPr>
                      <w:rFonts w:ascii="Times New Roman"/>
                      <w:u w:val="single"/>
                    </w:rPr>
                  </w:pPr>
                  <w:r>
                    <w:rPr>
                      <w:rFonts w:ascii="Times New Roman"/>
                      <w:u w:val="single"/>
                    </w:rPr>
                    <w:t>300</w:t>
                  </w:r>
                </w:p>
              </w:tc>
              <w:tc>
                <w:tcPr>
                  <w:tcW w:w="1197" w:type="dxa"/>
                </w:tcPr>
                <w:p>
                  <w:pPr>
                    <w:pStyle w:val="59"/>
                    <w:spacing w:before="70"/>
                    <w:ind w:left="289" w:right="279"/>
                    <w:jc w:val="center"/>
                    <w:rPr>
                      <w:rFonts w:ascii="Times New Roman"/>
                      <w:u w:val="single"/>
                    </w:rPr>
                  </w:pPr>
                  <w:r>
                    <w:rPr>
                      <w:rFonts w:ascii="Times New Roman"/>
                      <w:u w:val="single"/>
                    </w:rPr>
                    <w:t>200</w:t>
                  </w:r>
                </w:p>
              </w:tc>
              <w:tc>
                <w:tcPr>
                  <w:tcW w:w="1199" w:type="dxa"/>
                </w:tcPr>
                <w:p>
                  <w:pPr>
                    <w:pStyle w:val="59"/>
                    <w:spacing w:before="70"/>
                    <w:ind w:left="290" w:right="281"/>
                    <w:jc w:val="center"/>
                    <w:rPr>
                      <w:rFonts w:ascii="Times New Roman"/>
                      <w:u w:val="single"/>
                    </w:rPr>
                  </w:pPr>
                  <w:r>
                    <w:rPr>
                      <w:rFonts w:ascii="Times New Roman"/>
                      <w:u w:val="single"/>
                    </w:rPr>
                    <w:t>300</w:t>
                  </w:r>
                </w:p>
              </w:tc>
              <w:tc>
                <w:tcPr>
                  <w:tcW w:w="1216" w:type="dxa"/>
                </w:tcPr>
                <w:p>
                  <w:pPr>
                    <w:pStyle w:val="59"/>
                    <w:spacing w:before="70"/>
                    <w:ind w:left="487" w:right="469"/>
                    <w:jc w:val="center"/>
                    <w:rPr>
                      <w:rFonts w:ascii="Times New Roman"/>
                      <w:u w:val="single"/>
                    </w:rPr>
                  </w:pPr>
                  <w:r>
                    <w:rPr>
                      <w:rFonts w:ascii="Times New Roman"/>
                      <w:u w:val="singl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28" w:type="dxa"/>
                  <w:vMerge w:val="continue"/>
                  <w:tcBorders>
                    <w:top w:val="nil"/>
                  </w:tcBorders>
                </w:tcPr>
                <w:p>
                  <w:pPr>
                    <w:rPr>
                      <w:sz w:val="2"/>
                      <w:szCs w:val="2"/>
                      <w:u w:val="single"/>
                    </w:rPr>
                  </w:pPr>
                </w:p>
              </w:tc>
              <w:tc>
                <w:tcPr>
                  <w:tcW w:w="1267" w:type="dxa"/>
                </w:tcPr>
                <w:p>
                  <w:pPr>
                    <w:pStyle w:val="59"/>
                    <w:spacing w:before="63"/>
                    <w:ind w:left="123" w:right="113"/>
                    <w:jc w:val="center"/>
                    <w:rPr>
                      <w:rFonts w:ascii="Times New Roman" w:eastAsia="Times New Roman"/>
                      <w:u w:val="single"/>
                    </w:rPr>
                  </w:pPr>
                  <w:r>
                    <w:rPr>
                      <w:u w:val="single"/>
                    </w:rPr>
                    <w:t>产生量</w:t>
                  </w:r>
                  <w:r>
                    <w:rPr>
                      <w:rFonts w:ascii="Times New Roman" w:eastAsia="Times New Roman"/>
                      <w:u w:val="single"/>
                    </w:rPr>
                    <w:t>t/a</w:t>
                  </w:r>
                </w:p>
              </w:tc>
              <w:tc>
                <w:tcPr>
                  <w:tcW w:w="1187" w:type="dxa"/>
                </w:tcPr>
                <w:p>
                  <w:pPr>
                    <w:pStyle w:val="59"/>
                    <w:spacing w:before="70"/>
                    <w:ind w:left="81" w:right="71"/>
                    <w:jc w:val="center"/>
                    <w:rPr>
                      <w:rFonts w:hint="default" w:ascii="Times New Roman" w:eastAsia="宋体"/>
                      <w:u w:val="single"/>
                      <w:lang w:val="en-US" w:eastAsia="zh-CN"/>
                    </w:rPr>
                  </w:pPr>
                  <w:r>
                    <w:rPr>
                      <w:rFonts w:hint="eastAsia" w:ascii="Times New Roman"/>
                      <w:u w:val="single"/>
                      <w:lang w:val="en-US" w:eastAsia="zh-CN"/>
                    </w:rPr>
                    <w:t>52.8</w:t>
                  </w:r>
                </w:p>
              </w:tc>
              <w:tc>
                <w:tcPr>
                  <w:tcW w:w="1161" w:type="dxa"/>
                  <w:vAlign w:val="center"/>
                </w:tcPr>
                <w:p>
                  <w:pPr>
                    <w:keepNext w:val="0"/>
                    <w:keepLines w:val="0"/>
                    <w:widowControl/>
                    <w:suppressLineNumbers w:val="0"/>
                    <w:jc w:val="center"/>
                    <w:textAlignment w:val="top"/>
                    <w:rPr>
                      <w:rFonts w:ascii="Times New Roman"/>
                      <w:sz w:val="21"/>
                      <w:szCs w:val="21"/>
                      <w:u w:val="single"/>
                      <w:lang w:val="en-US"/>
                    </w:rPr>
                  </w:pPr>
                  <w:r>
                    <w:rPr>
                      <w:rFonts w:hint="default" w:ascii="Times New Roman" w:hAnsi="Times New Roman" w:eastAsia="宋体" w:cs="Times New Roman"/>
                      <w:i w:val="0"/>
                      <w:iCs w:val="0"/>
                      <w:color w:val="000000"/>
                      <w:kern w:val="0"/>
                      <w:sz w:val="21"/>
                      <w:szCs w:val="21"/>
                      <w:u w:val="single"/>
                      <w:lang w:val="en-US" w:eastAsia="zh-CN" w:bidi="ar"/>
                    </w:rPr>
                    <w:t>0.0158</w:t>
                  </w:r>
                </w:p>
              </w:tc>
              <w:tc>
                <w:tcPr>
                  <w:tcW w:w="1197" w:type="dxa"/>
                  <w:vAlign w:val="center"/>
                </w:tcPr>
                <w:p>
                  <w:pPr>
                    <w:keepNext w:val="0"/>
                    <w:keepLines w:val="0"/>
                    <w:widowControl/>
                    <w:suppressLineNumbers w:val="0"/>
                    <w:jc w:val="center"/>
                    <w:textAlignment w:val="top"/>
                    <w:rPr>
                      <w:rFonts w:ascii="Times New Roman"/>
                      <w:sz w:val="21"/>
                      <w:szCs w:val="21"/>
                      <w:u w:val="single"/>
                      <w:lang w:val="en-US"/>
                    </w:rPr>
                  </w:pPr>
                  <w:r>
                    <w:rPr>
                      <w:rFonts w:hint="default" w:ascii="Times New Roman" w:hAnsi="Times New Roman" w:eastAsia="宋体" w:cs="Times New Roman"/>
                      <w:i w:val="0"/>
                      <w:iCs w:val="0"/>
                      <w:color w:val="000000"/>
                      <w:kern w:val="0"/>
                      <w:sz w:val="21"/>
                      <w:szCs w:val="21"/>
                      <w:u w:val="single"/>
                      <w:lang w:val="en-US" w:eastAsia="zh-CN" w:bidi="ar"/>
                    </w:rPr>
                    <w:t>0.0106</w:t>
                  </w:r>
                </w:p>
              </w:tc>
              <w:tc>
                <w:tcPr>
                  <w:tcW w:w="1199" w:type="dxa"/>
                  <w:vAlign w:val="center"/>
                </w:tcPr>
                <w:p>
                  <w:pPr>
                    <w:keepNext w:val="0"/>
                    <w:keepLines w:val="0"/>
                    <w:widowControl/>
                    <w:suppressLineNumbers w:val="0"/>
                    <w:jc w:val="center"/>
                    <w:textAlignment w:val="top"/>
                    <w:rPr>
                      <w:rFonts w:ascii="Times New Roman"/>
                      <w:sz w:val="21"/>
                      <w:szCs w:val="21"/>
                      <w:u w:val="single"/>
                      <w:lang w:val="en-US"/>
                    </w:rPr>
                  </w:pPr>
                  <w:r>
                    <w:rPr>
                      <w:rFonts w:hint="default" w:ascii="Times New Roman" w:hAnsi="Times New Roman" w:eastAsia="宋体" w:cs="Times New Roman"/>
                      <w:i w:val="0"/>
                      <w:iCs w:val="0"/>
                      <w:color w:val="000000"/>
                      <w:kern w:val="0"/>
                      <w:sz w:val="21"/>
                      <w:szCs w:val="21"/>
                      <w:u w:val="single"/>
                      <w:lang w:val="en-US" w:eastAsia="zh-CN" w:bidi="ar"/>
                    </w:rPr>
                    <w:t>0.0158</w:t>
                  </w:r>
                </w:p>
              </w:tc>
              <w:tc>
                <w:tcPr>
                  <w:tcW w:w="1216" w:type="dxa"/>
                  <w:vAlign w:val="center"/>
                </w:tcPr>
                <w:p>
                  <w:pPr>
                    <w:keepNext w:val="0"/>
                    <w:keepLines w:val="0"/>
                    <w:widowControl/>
                    <w:suppressLineNumbers w:val="0"/>
                    <w:jc w:val="center"/>
                    <w:textAlignment w:val="top"/>
                    <w:rPr>
                      <w:rFonts w:ascii="Times New Roman"/>
                      <w:sz w:val="21"/>
                      <w:szCs w:val="21"/>
                      <w:u w:val="single"/>
                      <w:lang w:val="en-US"/>
                    </w:rPr>
                  </w:pPr>
                  <w:r>
                    <w:rPr>
                      <w:rFonts w:hint="default" w:ascii="Times New Roman" w:hAnsi="Times New Roman" w:eastAsia="宋体" w:cs="Times New Roman"/>
                      <w:i w:val="0"/>
                      <w:iCs w:val="0"/>
                      <w:color w:val="000000"/>
                      <w:kern w:val="0"/>
                      <w:sz w:val="21"/>
                      <w:szCs w:val="21"/>
                      <w:u w:val="single"/>
                      <w:lang w:val="en-US" w:eastAsia="zh-CN" w:bidi="ar"/>
                    </w:rPr>
                    <w:t>0.0016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28" w:type="dxa"/>
                  <w:vMerge w:val="restart"/>
                </w:tcPr>
                <w:p>
                  <w:pPr>
                    <w:pStyle w:val="59"/>
                    <w:spacing w:before="125" w:line="244" w:lineRule="auto"/>
                    <w:ind w:left="306" w:right="189" w:hanging="104"/>
                    <w:rPr>
                      <w:u w:val="single"/>
                    </w:rPr>
                  </w:pPr>
                  <w:r>
                    <w:rPr>
                      <w:u w:val="single"/>
                    </w:rPr>
                    <w:t>处理后</w:t>
                  </w:r>
                </w:p>
              </w:tc>
              <w:tc>
                <w:tcPr>
                  <w:tcW w:w="1267" w:type="dxa"/>
                </w:tcPr>
                <w:p>
                  <w:pPr>
                    <w:pStyle w:val="59"/>
                    <w:spacing w:before="63"/>
                    <w:ind w:left="123" w:right="113"/>
                    <w:jc w:val="center"/>
                    <w:rPr>
                      <w:rFonts w:ascii="Times New Roman" w:eastAsia="Times New Roman"/>
                      <w:u w:val="single"/>
                    </w:rPr>
                  </w:pPr>
                  <w:r>
                    <w:rPr>
                      <w:u w:val="single"/>
                    </w:rPr>
                    <w:t xml:space="preserve">浓度 </w:t>
                  </w:r>
                  <w:r>
                    <w:rPr>
                      <w:rFonts w:ascii="Times New Roman" w:eastAsia="Times New Roman"/>
                      <w:u w:val="single"/>
                    </w:rPr>
                    <w:t>mg/L</w:t>
                  </w:r>
                </w:p>
              </w:tc>
              <w:tc>
                <w:tcPr>
                  <w:tcW w:w="1187" w:type="dxa"/>
                </w:tcPr>
                <w:p>
                  <w:pPr>
                    <w:pStyle w:val="59"/>
                    <w:spacing w:before="70"/>
                    <w:ind w:left="11"/>
                    <w:jc w:val="center"/>
                    <w:rPr>
                      <w:rFonts w:ascii="Times New Roman"/>
                      <w:u w:val="single"/>
                    </w:rPr>
                  </w:pPr>
                  <w:r>
                    <w:rPr>
                      <w:rFonts w:ascii="Times New Roman"/>
                      <w:u w:val="single"/>
                    </w:rPr>
                    <w:t>/</w:t>
                  </w:r>
                </w:p>
              </w:tc>
              <w:tc>
                <w:tcPr>
                  <w:tcW w:w="1161" w:type="dxa"/>
                  <w:vAlign w:val="center"/>
                </w:tcPr>
                <w:p>
                  <w:pPr>
                    <w:keepNext w:val="0"/>
                    <w:keepLines w:val="0"/>
                    <w:widowControl/>
                    <w:suppressLineNumbers w:val="0"/>
                    <w:jc w:val="center"/>
                    <w:textAlignment w:val="top"/>
                    <w:rPr>
                      <w:rFonts w:ascii="Times New Roman"/>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50</w:t>
                  </w:r>
                </w:p>
              </w:tc>
              <w:tc>
                <w:tcPr>
                  <w:tcW w:w="1197" w:type="dxa"/>
                  <w:vAlign w:val="center"/>
                </w:tcPr>
                <w:p>
                  <w:pPr>
                    <w:keepNext w:val="0"/>
                    <w:keepLines w:val="0"/>
                    <w:widowControl/>
                    <w:suppressLineNumbers w:val="0"/>
                    <w:jc w:val="center"/>
                    <w:textAlignment w:val="top"/>
                    <w:rPr>
                      <w:rFonts w:ascii="Times New Roman"/>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10</w:t>
                  </w:r>
                </w:p>
              </w:tc>
              <w:tc>
                <w:tcPr>
                  <w:tcW w:w="1199" w:type="dxa"/>
                  <w:vAlign w:val="center"/>
                </w:tcPr>
                <w:p>
                  <w:pPr>
                    <w:keepNext w:val="0"/>
                    <w:keepLines w:val="0"/>
                    <w:widowControl/>
                    <w:suppressLineNumbers w:val="0"/>
                    <w:jc w:val="center"/>
                    <w:textAlignment w:val="top"/>
                    <w:rPr>
                      <w:rFonts w:ascii="Times New Roman"/>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10</w:t>
                  </w:r>
                </w:p>
              </w:tc>
              <w:tc>
                <w:tcPr>
                  <w:tcW w:w="1216" w:type="dxa"/>
                  <w:vAlign w:val="center"/>
                </w:tcPr>
                <w:p>
                  <w:pPr>
                    <w:keepNext w:val="0"/>
                    <w:keepLines w:val="0"/>
                    <w:widowControl/>
                    <w:suppressLineNumbers w:val="0"/>
                    <w:jc w:val="center"/>
                    <w:textAlignment w:val="top"/>
                    <w:rPr>
                      <w:rFonts w:ascii="Times New Roman"/>
                      <w:sz w:val="21"/>
                      <w:szCs w:val="21"/>
                      <w:u w:val="single"/>
                    </w:rPr>
                  </w:pPr>
                  <w:r>
                    <w:rPr>
                      <w:rFonts w:hint="default" w:ascii="Times New Roman" w:hAnsi="Times New Roman" w:eastAsia="宋体" w:cs="Times New Roman"/>
                      <w:i w:val="0"/>
                      <w:iCs w:val="0"/>
                      <w:color w:val="000000"/>
                      <w:kern w:val="0"/>
                      <w:sz w:val="21"/>
                      <w:szCs w:val="21"/>
                      <w:u w:val="single"/>
                      <w:lang w:val="en-US" w:eastAsia="zh-CN"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828" w:type="dxa"/>
                  <w:vMerge w:val="continue"/>
                  <w:tcBorders>
                    <w:top w:val="nil"/>
                  </w:tcBorders>
                </w:tcPr>
                <w:p>
                  <w:pPr>
                    <w:rPr>
                      <w:sz w:val="2"/>
                      <w:szCs w:val="2"/>
                      <w:u w:val="single"/>
                    </w:rPr>
                  </w:pPr>
                </w:p>
              </w:tc>
              <w:tc>
                <w:tcPr>
                  <w:tcW w:w="1267" w:type="dxa"/>
                </w:tcPr>
                <w:p>
                  <w:pPr>
                    <w:pStyle w:val="59"/>
                    <w:spacing w:before="63"/>
                    <w:ind w:left="123" w:right="113"/>
                    <w:jc w:val="center"/>
                    <w:rPr>
                      <w:rFonts w:ascii="Times New Roman" w:eastAsia="Times New Roman"/>
                      <w:u w:val="single"/>
                    </w:rPr>
                  </w:pPr>
                  <w:r>
                    <w:rPr>
                      <w:rFonts w:hint="eastAsia"/>
                      <w:u w:val="single"/>
                      <w:lang w:eastAsia="zh-CN"/>
                    </w:rPr>
                    <w:t>排放</w:t>
                  </w:r>
                  <w:r>
                    <w:rPr>
                      <w:u w:val="single"/>
                    </w:rPr>
                    <w:t>量</w:t>
                  </w:r>
                  <w:r>
                    <w:rPr>
                      <w:rFonts w:ascii="Times New Roman" w:eastAsia="Times New Roman"/>
                      <w:u w:val="single"/>
                    </w:rPr>
                    <w:t>t/a</w:t>
                  </w:r>
                </w:p>
              </w:tc>
              <w:tc>
                <w:tcPr>
                  <w:tcW w:w="1187" w:type="dxa"/>
                </w:tcPr>
                <w:p>
                  <w:pPr>
                    <w:pStyle w:val="59"/>
                    <w:spacing w:before="70"/>
                    <w:ind w:left="81" w:right="71"/>
                    <w:jc w:val="center"/>
                    <w:rPr>
                      <w:rFonts w:hint="default" w:ascii="Times New Roman" w:eastAsia="宋体"/>
                      <w:u w:val="single"/>
                      <w:lang w:val="en-US" w:eastAsia="zh-CN"/>
                    </w:rPr>
                  </w:pPr>
                  <w:r>
                    <w:rPr>
                      <w:rFonts w:hint="eastAsia" w:ascii="Times New Roman"/>
                      <w:u w:val="single"/>
                      <w:lang w:val="en-US" w:eastAsia="zh-CN"/>
                    </w:rPr>
                    <w:t>52.8</w:t>
                  </w:r>
                </w:p>
              </w:tc>
              <w:tc>
                <w:tcPr>
                  <w:tcW w:w="1161" w:type="dxa"/>
                  <w:vAlign w:val="center"/>
                </w:tcPr>
                <w:p>
                  <w:pPr>
                    <w:keepNext w:val="0"/>
                    <w:keepLines w:val="0"/>
                    <w:widowControl/>
                    <w:suppressLineNumbers w:val="0"/>
                    <w:jc w:val="center"/>
                    <w:textAlignment w:val="top"/>
                    <w:rPr>
                      <w:rFonts w:ascii="Times New Roman"/>
                      <w:sz w:val="21"/>
                      <w:szCs w:val="21"/>
                      <w:u w:val="single"/>
                      <w:lang w:val="en-US"/>
                    </w:rPr>
                  </w:pPr>
                  <w:r>
                    <w:rPr>
                      <w:rFonts w:hint="default" w:ascii="Times New Roman" w:hAnsi="Times New Roman" w:eastAsia="宋体" w:cs="Times New Roman"/>
                      <w:i w:val="0"/>
                      <w:iCs w:val="0"/>
                      <w:color w:val="000000"/>
                      <w:kern w:val="0"/>
                      <w:sz w:val="21"/>
                      <w:szCs w:val="21"/>
                      <w:u w:val="single"/>
                      <w:lang w:val="en-US" w:eastAsia="zh-CN" w:bidi="ar"/>
                    </w:rPr>
                    <w:t>0.0026</w:t>
                  </w:r>
                </w:p>
              </w:tc>
              <w:tc>
                <w:tcPr>
                  <w:tcW w:w="1197" w:type="dxa"/>
                  <w:vAlign w:val="center"/>
                </w:tcPr>
                <w:p>
                  <w:pPr>
                    <w:keepNext w:val="0"/>
                    <w:keepLines w:val="0"/>
                    <w:widowControl/>
                    <w:suppressLineNumbers w:val="0"/>
                    <w:jc w:val="center"/>
                    <w:textAlignment w:val="top"/>
                    <w:rPr>
                      <w:rFonts w:ascii="Times New Roman"/>
                      <w:sz w:val="21"/>
                      <w:szCs w:val="21"/>
                      <w:u w:val="single"/>
                      <w:lang w:val="en-US"/>
                    </w:rPr>
                  </w:pPr>
                  <w:r>
                    <w:rPr>
                      <w:rFonts w:hint="default" w:ascii="Times New Roman" w:hAnsi="Times New Roman" w:eastAsia="宋体" w:cs="Times New Roman"/>
                      <w:i w:val="0"/>
                      <w:iCs w:val="0"/>
                      <w:color w:val="000000"/>
                      <w:kern w:val="0"/>
                      <w:sz w:val="21"/>
                      <w:szCs w:val="21"/>
                      <w:u w:val="single"/>
                      <w:lang w:val="en-US" w:eastAsia="zh-CN" w:bidi="ar"/>
                    </w:rPr>
                    <w:t>0.0005</w:t>
                  </w:r>
                </w:p>
              </w:tc>
              <w:tc>
                <w:tcPr>
                  <w:tcW w:w="1199" w:type="dxa"/>
                  <w:vAlign w:val="center"/>
                </w:tcPr>
                <w:p>
                  <w:pPr>
                    <w:keepNext w:val="0"/>
                    <w:keepLines w:val="0"/>
                    <w:widowControl/>
                    <w:suppressLineNumbers w:val="0"/>
                    <w:jc w:val="center"/>
                    <w:textAlignment w:val="top"/>
                    <w:rPr>
                      <w:rFonts w:ascii="Times New Roman"/>
                      <w:sz w:val="21"/>
                      <w:szCs w:val="21"/>
                      <w:u w:val="single"/>
                      <w:lang w:val="en-US"/>
                    </w:rPr>
                  </w:pPr>
                  <w:r>
                    <w:rPr>
                      <w:rFonts w:hint="default" w:ascii="Times New Roman" w:hAnsi="Times New Roman" w:eastAsia="宋体" w:cs="Times New Roman"/>
                      <w:i w:val="0"/>
                      <w:iCs w:val="0"/>
                      <w:color w:val="000000"/>
                      <w:kern w:val="0"/>
                      <w:sz w:val="21"/>
                      <w:szCs w:val="21"/>
                      <w:u w:val="single"/>
                      <w:lang w:val="en-US" w:eastAsia="zh-CN" w:bidi="ar"/>
                    </w:rPr>
                    <w:t>0.0005</w:t>
                  </w:r>
                </w:p>
              </w:tc>
              <w:tc>
                <w:tcPr>
                  <w:tcW w:w="1216" w:type="dxa"/>
                  <w:vAlign w:val="center"/>
                </w:tcPr>
                <w:p>
                  <w:pPr>
                    <w:keepNext w:val="0"/>
                    <w:keepLines w:val="0"/>
                    <w:widowControl/>
                    <w:suppressLineNumbers w:val="0"/>
                    <w:jc w:val="center"/>
                    <w:textAlignment w:val="top"/>
                    <w:rPr>
                      <w:rFonts w:ascii="Times New Roman"/>
                      <w:sz w:val="21"/>
                      <w:szCs w:val="21"/>
                      <w:u w:val="single"/>
                      <w:lang w:val="en-US"/>
                    </w:rPr>
                  </w:pPr>
                  <w:r>
                    <w:rPr>
                      <w:rFonts w:hint="default" w:ascii="Times New Roman" w:hAnsi="Times New Roman" w:eastAsia="宋体" w:cs="Times New Roman"/>
                      <w:i w:val="0"/>
                      <w:iCs w:val="0"/>
                      <w:color w:val="000000"/>
                      <w:kern w:val="0"/>
                      <w:sz w:val="21"/>
                      <w:szCs w:val="21"/>
                      <w:u w:val="single"/>
                      <w:lang w:val="en-US" w:eastAsia="zh-CN" w:bidi="ar"/>
                    </w:rPr>
                    <w:t>0.0003</w:t>
                  </w:r>
                </w:p>
              </w:tc>
            </w:tr>
          </w:tbl>
          <w:p>
            <w:pPr>
              <w:pStyle w:val="53"/>
              <w:spacing w:line="480" w:lineRule="exact"/>
              <w:jc w:val="center"/>
              <w:rPr>
                <w:rFonts w:hint="eastAsia" w:ascii="Times New Roman" w:hAnsi="Times New Roman"/>
                <w:b/>
                <w:bCs/>
                <w:color w:val="auto"/>
                <w:kern w:val="2"/>
                <w:sz w:val="21"/>
                <w:szCs w:val="21"/>
                <w:u w:val="single"/>
              </w:rPr>
            </w:pPr>
            <w:r>
              <w:rPr>
                <w:rFonts w:hint="eastAsia" w:ascii="Times New Roman" w:hAnsi="Times New Roman"/>
                <w:b/>
                <w:bCs/>
                <w:color w:val="auto"/>
                <w:kern w:val="2"/>
                <w:sz w:val="21"/>
                <w:szCs w:val="21"/>
                <w:u w:val="single"/>
              </w:rPr>
              <w:t>表4-</w:t>
            </w:r>
            <w:r>
              <w:rPr>
                <w:rFonts w:hint="eastAsia" w:ascii="Times New Roman" w:hAnsi="Times New Roman"/>
                <w:b/>
                <w:bCs/>
                <w:color w:val="auto"/>
                <w:kern w:val="2"/>
                <w:sz w:val="21"/>
                <w:szCs w:val="21"/>
                <w:u w:val="single"/>
                <w:lang w:val="en-US" w:eastAsia="zh-CN"/>
              </w:rPr>
              <w:t>7</w:t>
            </w:r>
            <w:r>
              <w:rPr>
                <w:rFonts w:hint="eastAsia" w:ascii="Times New Roman" w:hAnsi="Times New Roman"/>
                <w:b/>
                <w:bCs/>
                <w:color w:val="auto"/>
                <w:kern w:val="2"/>
                <w:sz w:val="21"/>
                <w:szCs w:val="21"/>
                <w:u w:val="single"/>
              </w:rPr>
              <w:t xml:space="preserve">  水污染治理设施信息表</w:t>
            </w:r>
          </w:p>
          <w:tbl>
            <w:tblPr>
              <w:tblStyle w:val="22"/>
              <w:tblW w:w="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058"/>
              <w:gridCol w:w="1231"/>
              <w:gridCol w:w="1398"/>
              <w:gridCol w:w="13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jc w:val="center"/>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序号</w:t>
                  </w:r>
                </w:p>
              </w:tc>
              <w:tc>
                <w:tcPr>
                  <w:tcW w:w="2058" w:type="dxa"/>
                  <w:vAlign w:val="center"/>
                </w:tcPr>
                <w:p>
                  <w:pPr>
                    <w:jc w:val="center"/>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污染治理措施名称</w:t>
                  </w:r>
                </w:p>
              </w:tc>
              <w:tc>
                <w:tcPr>
                  <w:tcW w:w="1231" w:type="dxa"/>
                  <w:vAlign w:val="center"/>
                </w:tcPr>
                <w:p>
                  <w:pPr>
                    <w:jc w:val="center"/>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治理工艺</w:t>
                  </w:r>
                </w:p>
              </w:tc>
              <w:tc>
                <w:tcPr>
                  <w:tcW w:w="1398" w:type="dxa"/>
                  <w:vAlign w:val="center"/>
                </w:tcPr>
                <w:p>
                  <w:pPr>
                    <w:jc w:val="center"/>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处理能力</w:t>
                  </w:r>
                </w:p>
              </w:tc>
              <w:tc>
                <w:tcPr>
                  <w:tcW w:w="1310" w:type="dxa"/>
                  <w:vAlign w:val="center"/>
                </w:tcPr>
                <w:p>
                  <w:pPr>
                    <w:jc w:val="center"/>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治理效率</w:t>
                  </w:r>
                </w:p>
              </w:tc>
              <w:tc>
                <w:tcPr>
                  <w:tcW w:w="1575" w:type="dxa"/>
                  <w:vAlign w:val="center"/>
                </w:tcPr>
                <w:p>
                  <w:pPr>
                    <w:jc w:val="center"/>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是否可行技术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vAlign w:val="center"/>
                </w:tcPr>
                <w:p>
                  <w:pPr>
                    <w:jc w:val="center"/>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1</w:t>
                  </w:r>
                </w:p>
              </w:tc>
              <w:tc>
                <w:tcPr>
                  <w:tcW w:w="2058" w:type="dxa"/>
                  <w:vAlign w:val="center"/>
                </w:tcPr>
                <w:p>
                  <w:pPr>
                    <w:jc w:val="center"/>
                    <w:rPr>
                      <w:rFonts w:hint="default" w:ascii="Times New Roman" w:hAnsi="Times New Roman" w:cs="Times New Roman"/>
                      <w:sz w:val="21"/>
                      <w:szCs w:val="21"/>
                      <w:u w:val="single"/>
                      <w:vertAlign w:val="baseline"/>
                    </w:rPr>
                  </w:pPr>
                  <w:r>
                    <w:rPr>
                      <w:rFonts w:hint="default" w:ascii="Times New Roman" w:hAnsi="Times New Roman" w:eastAsia="宋体" w:cs="Times New Roman"/>
                      <w:sz w:val="21"/>
                      <w:szCs w:val="21"/>
                      <w:u w:val="single"/>
                    </w:rPr>
                    <w:t>生活污水处理设施</w:t>
                  </w:r>
                </w:p>
              </w:tc>
              <w:tc>
                <w:tcPr>
                  <w:tcW w:w="1231" w:type="dxa"/>
                  <w:vAlign w:val="center"/>
                </w:tcPr>
                <w:p>
                  <w:pPr>
                    <w:jc w:val="center"/>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化粪池</w:t>
                  </w:r>
                </w:p>
              </w:tc>
              <w:tc>
                <w:tcPr>
                  <w:tcW w:w="1398" w:type="dxa"/>
                  <w:vAlign w:val="center"/>
                </w:tcPr>
                <w:p>
                  <w:pPr>
                    <w:jc w:val="center"/>
                    <w:rPr>
                      <w:rFonts w:hint="default" w:ascii="Times New Roman" w:hAnsi="Times New Roman" w:cs="Times New Roman"/>
                      <w:sz w:val="21"/>
                      <w:szCs w:val="21"/>
                      <w:u w:val="single"/>
                      <w:vertAlign w:val="baseline"/>
                    </w:rPr>
                  </w:pPr>
                  <w:r>
                    <w:rPr>
                      <w:rFonts w:hint="default" w:ascii="Times New Roman" w:hAnsi="Times New Roman" w:eastAsia="宋体" w:cs="Times New Roman"/>
                      <w:sz w:val="21"/>
                      <w:szCs w:val="21"/>
                      <w:u w:val="single"/>
                    </w:rPr>
                    <w:t>≥10.0m</w:t>
                  </w:r>
                  <w:r>
                    <w:rPr>
                      <w:rFonts w:hint="default" w:ascii="Times New Roman" w:hAnsi="Times New Roman" w:eastAsia="宋体" w:cs="Times New Roman"/>
                      <w:sz w:val="21"/>
                      <w:szCs w:val="21"/>
                      <w:u w:val="single"/>
                      <w:vertAlign w:val="superscript"/>
                    </w:rPr>
                    <w:t xml:space="preserve">3 </w:t>
                  </w:r>
                  <w:r>
                    <w:rPr>
                      <w:rFonts w:hint="default" w:ascii="Times New Roman" w:hAnsi="Times New Roman" w:eastAsia="宋体" w:cs="Times New Roman"/>
                      <w:sz w:val="21"/>
                      <w:szCs w:val="21"/>
                      <w:u w:val="single"/>
                    </w:rPr>
                    <w:t>/d</w:t>
                  </w:r>
                </w:p>
              </w:tc>
              <w:tc>
                <w:tcPr>
                  <w:tcW w:w="1310" w:type="dxa"/>
                  <w:vAlign w:val="center"/>
                </w:tcPr>
                <w:p>
                  <w:pPr>
                    <w:jc w:val="center"/>
                    <w:rPr>
                      <w:rFonts w:hint="default" w:ascii="Times New Roman" w:hAnsi="Times New Roman" w:cs="Times New Roman"/>
                      <w:sz w:val="21"/>
                      <w:szCs w:val="21"/>
                      <w:u w:val="single"/>
                      <w:vertAlign w:val="baseline"/>
                    </w:rPr>
                  </w:pPr>
                  <w:r>
                    <w:rPr>
                      <w:rFonts w:hint="default" w:ascii="Times New Roman" w:hAnsi="Times New Roman" w:eastAsia="宋体" w:cs="Times New Roman"/>
                      <w:sz w:val="21"/>
                      <w:szCs w:val="21"/>
                      <w:u w:val="single"/>
                    </w:rPr>
                    <w:t>10%~50%</w:t>
                  </w:r>
                </w:p>
              </w:tc>
              <w:tc>
                <w:tcPr>
                  <w:tcW w:w="1575" w:type="dxa"/>
                  <w:vAlign w:val="center"/>
                </w:tcPr>
                <w:p>
                  <w:pPr>
                    <w:jc w:val="center"/>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是</w:t>
                  </w:r>
                </w:p>
              </w:tc>
            </w:tr>
          </w:tbl>
          <w:p>
            <w:pPr>
              <w:pStyle w:val="53"/>
              <w:spacing w:line="480" w:lineRule="exact"/>
              <w:jc w:val="center"/>
              <w:rPr>
                <w:rFonts w:hint="eastAsia" w:ascii="Times New Roman" w:hAnsi="Times New Roman"/>
                <w:b/>
                <w:bCs/>
                <w:color w:val="auto"/>
                <w:kern w:val="2"/>
                <w:sz w:val="21"/>
                <w:szCs w:val="21"/>
                <w:u w:val="single"/>
              </w:rPr>
            </w:pPr>
          </w:p>
          <w:p>
            <w:pPr>
              <w:pStyle w:val="53"/>
              <w:spacing w:line="480" w:lineRule="exact"/>
              <w:jc w:val="center"/>
              <w:rPr>
                <w:rFonts w:hint="eastAsia" w:ascii="Times New Roman" w:hAnsi="Times New Roman"/>
                <w:b/>
                <w:bCs/>
                <w:color w:val="auto"/>
                <w:kern w:val="2"/>
                <w:sz w:val="21"/>
                <w:szCs w:val="21"/>
                <w:u w:val="single"/>
              </w:rPr>
            </w:pPr>
            <w:r>
              <w:rPr>
                <w:rFonts w:hint="eastAsia" w:ascii="Times New Roman" w:hAnsi="Times New Roman"/>
                <w:b/>
                <w:bCs/>
                <w:color w:val="auto"/>
                <w:kern w:val="2"/>
                <w:sz w:val="21"/>
                <w:szCs w:val="21"/>
                <w:u w:val="single"/>
              </w:rPr>
              <w:t>表4-</w:t>
            </w:r>
            <w:r>
              <w:rPr>
                <w:rFonts w:hint="eastAsia" w:ascii="Times New Roman" w:hAnsi="Times New Roman"/>
                <w:b/>
                <w:bCs/>
                <w:color w:val="auto"/>
                <w:kern w:val="2"/>
                <w:sz w:val="21"/>
                <w:szCs w:val="21"/>
                <w:u w:val="single"/>
                <w:lang w:val="en-US" w:eastAsia="zh-CN"/>
              </w:rPr>
              <w:t>8</w:t>
            </w:r>
            <w:r>
              <w:rPr>
                <w:rFonts w:hint="eastAsia" w:ascii="Times New Roman" w:hAnsi="Times New Roman"/>
                <w:b/>
                <w:bCs/>
                <w:color w:val="auto"/>
                <w:kern w:val="2"/>
                <w:sz w:val="21"/>
                <w:szCs w:val="21"/>
                <w:u w:val="single"/>
              </w:rPr>
              <w:t xml:space="preserve">  水排放口基本情况</w:t>
            </w:r>
          </w:p>
          <w:tbl>
            <w:tblPr>
              <w:tblStyle w:val="22"/>
              <w:tblW w:w="8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917"/>
              <w:gridCol w:w="961"/>
              <w:gridCol w:w="844"/>
              <w:gridCol w:w="1106"/>
              <w:gridCol w:w="1063"/>
              <w:gridCol w:w="947"/>
              <w:gridCol w:w="88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79"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序号</w:t>
                  </w:r>
                </w:p>
              </w:tc>
              <w:tc>
                <w:tcPr>
                  <w:tcW w:w="91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排放口编号</w:t>
                  </w:r>
                </w:p>
              </w:tc>
              <w:tc>
                <w:tcPr>
                  <w:tcW w:w="96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排放口名称</w:t>
                  </w:r>
                </w:p>
              </w:tc>
              <w:tc>
                <w:tcPr>
                  <w:tcW w:w="84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排口类型</w:t>
                  </w:r>
                </w:p>
              </w:tc>
              <w:tc>
                <w:tcPr>
                  <w:tcW w:w="2169"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r>
                    <w:rPr>
                      <w:rFonts w:hint="default" w:ascii="Times New Roman" w:hAnsi="Times New Roman" w:cs="Times New Roman"/>
                      <w:sz w:val="21"/>
                      <w:szCs w:val="21"/>
                      <w:u w:val="single"/>
                      <w:vertAlign w:val="baseline"/>
                      <w:lang w:val="en-US" w:eastAsia="zh-CN"/>
                    </w:rPr>
                    <w:t>排放口地理坐标</w:t>
                  </w:r>
                </w:p>
              </w:tc>
              <w:tc>
                <w:tcPr>
                  <w:tcW w:w="94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排放方式</w:t>
                  </w:r>
                </w:p>
              </w:tc>
              <w:tc>
                <w:tcPr>
                  <w:tcW w:w="887"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排放规律</w:t>
                  </w:r>
                </w:p>
              </w:tc>
              <w:tc>
                <w:tcPr>
                  <w:tcW w:w="106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val="en-US" w:eastAsia="zh-CN"/>
                    </w:rPr>
                  </w:pPr>
                  <w:r>
                    <w:rPr>
                      <w:rFonts w:hint="default" w:ascii="Times New Roman" w:hAnsi="Times New Roman" w:eastAsia="宋体" w:cs="Times New Roman"/>
                      <w:sz w:val="21"/>
                      <w:szCs w:val="21"/>
                      <w:u w:val="single"/>
                    </w:rPr>
                    <w:t>受纳污水处理厂</w:t>
                  </w:r>
                  <w:r>
                    <w:rPr>
                      <w:rFonts w:hint="default" w:ascii="Times New Roman" w:hAnsi="Times New Roman" w:eastAsia="宋体" w:cs="Times New Roman"/>
                      <w:sz w:val="21"/>
                      <w:szCs w:val="21"/>
                      <w:u w:val="single"/>
                      <w:lang w:val="en-US" w:eastAsia="zh-CN"/>
                    </w:rPr>
                    <w:t>/水体名称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79"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lang w:val="en-US" w:eastAsia="zh-CN"/>
                    </w:rPr>
                  </w:pPr>
                </w:p>
              </w:tc>
              <w:tc>
                <w:tcPr>
                  <w:tcW w:w="91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lang w:val="en-US" w:eastAsia="zh-CN"/>
                    </w:rPr>
                  </w:pPr>
                </w:p>
              </w:tc>
              <w:tc>
                <w:tcPr>
                  <w:tcW w:w="96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lang w:val="en-US" w:eastAsia="zh-CN"/>
                    </w:rPr>
                  </w:pPr>
                </w:p>
              </w:tc>
              <w:tc>
                <w:tcPr>
                  <w:tcW w:w="84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lang w:val="en-US" w:eastAsia="zh-CN"/>
                    </w:rPr>
                  </w:pPr>
                </w:p>
              </w:tc>
              <w:tc>
                <w:tcPr>
                  <w:tcW w:w="110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经度</w:t>
                  </w:r>
                </w:p>
              </w:tc>
              <w:tc>
                <w:tcPr>
                  <w:tcW w:w="10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纬度</w:t>
                  </w:r>
                </w:p>
              </w:tc>
              <w:tc>
                <w:tcPr>
                  <w:tcW w:w="94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p>
              </w:tc>
              <w:tc>
                <w:tcPr>
                  <w:tcW w:w="887"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p>
              </w:tc>
              <w:tc>
                <w:tcPr>
                  <w:tcW w:w="106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sz w:val="21"/>
                      <w:szCs w:val="21"/>
                      <w:u w:val="single"/>
                      <w:vertAlign w:val="baseline"/>
                      <w:lang w:val="en-US" w:eastAsia="zh-CN"/>
                    </w:rPr>
                  </w:pPr>
                  <w:r>
                    <w:rPr>
                      <w:rFonts w:hint="default" w:ascii="Times New Roman" w:hAnsi="Times New Roman" w:cs="Times New Roman"/>
                      <w:sz w:val="21"/>
                      <w:szCs w:val="21"/>
                      <w:u w:val="single"/>
                      <w:vertAlign w:val="baseline"/>
                      <w:lang w:val="en-US" w:eastAsia="zh-CN"/>
                    </w:rPr>
                    <w:t>1</w:t>
                  </w:r>
                </w:p>
              </w:tc>
              <w:tc>
                <w:tcPr>
                  <w:tcW w:w="91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u w:val="single"/>
                      <w:vertAlign w:val="baseline"/>
                      <w:lang w:eastAsia="zh-CN"/>
                    </w:rPr>
                  </w:pPr>
                  <w:r>
                    <w:rPr>
                      <w:rFonts w:hint="default" w:ascii="Times New Roman" w:hAnsi="Times New Roman" w:eastAsia="宋体" w:cs="Times New Roman"/>
                      <w:sz w:val="21"/>
                      <w:szCs w:val="21"/>
                      <w:u w:val="single"/>
                    </w:rPr>
                    <w:t>DW00</w:t>
                  </w:r>
                  <w:r>
                    <w:rPr>
                      <w:rFonts w:hint="eastAsia" w:ascii="Times New Roman" w:hAnsi="Times New Roman" w:cs="Times New Roman"/>
                      <w:sz w:val="21"/>
                      <w:szCs w:val="21"/>
                      <w:u w:val="single"/>
                      <w:lang w:val="en-US" w:eastAsia="zh-CN"/>
                    </w:rPr>
                    <w:t>1</w:t>
                  </w:r>
                </w:p>
              </w:tc>
              <w:tc>
                <w:tcPr>
                  <w:tcW w:w="9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r>
                    <w:rPr>
                      <w:rFonts w:hint="default" w:ascii="Times New Roman" w:hAnsi="Times New Roman" w:eastAsia="宋体" w:cs="Times New Roman"/>
                      <w:sz w:val="21"/>
                      <w:szCs w:val="21"/>
                      <w:u w:val="single"/>
                    </w:rPr>
                    <w:t>生活污水排放口</w:t>
                  </w:r>
                </w:p>
              </w:tc>
              <w:tc>
                <w:tcPr>
                  <w:tcW w:w="84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r>
                    <w:rPr>
                      <w:rFonts w:hint="default" w:ascii="Times New Roman" w:hAnsi="Times New Roman" w:eastAsia="宋体" w:cs="Times New Roman"/>
                      <w:sz w:val="21"/>
                      <w:szCs w:val="21"/>
                      <w:u w:val="single"/>
                    </w:rPr>
                    <w:t>废水</w:t>
                  </w:r>
                </w:p>
              </w:tc>
              <w:tc>
                <w:tcPr>
                  <w:tcW w:w="1106" w:type="dxa"/>
                  <w:vAlign w:val="center"/>
                </w:tcPr>
                <w:p>
                  <w:pPr>
                    <w:jc w:val="both"/>
                    <w:rPr>
                      <w:rFonts w:hint="default" w:ascii="Times New Roman" w:hAnsi="Times New Roman" w:cs="Times New Roman"/>
                      <w:sz w:val="21"/>
                      <w:szCs w:val="21"/>
                      <w:u w:val="single"/>
                      <w:vertAlign w:val="baseline"/>
                    </w:rPr>
                  </w:pPr>
                  <w:r>
                    <w:rPr>
                      <w:rFonts w:hint="default" w:ascii="Times New Roman" w:hAnsi="Times New Roman" w:cs="Times New Roman"/>
                      <w:sz w:val="21"/>
                      <w:szCs w:val="21"/>
                      <w:lang w:val="en-US" w:eastAsia="zh-CN"/>
                    </w:rPr>
                    <w:t>112°23′3</w:t>
                  </w:r>
                  <w:r>
                    <w:rPr>
                      <w:rFonts w:hint="eastAsia" w:cs="Times New Roman"/>
                      <w:sz w:val="21"/>
                      <w:szCs w:val="21"/>
                      <w:lang w:val="en-US" w:eastAsia="zh-CN"/>
                    </w:rPr>
                    <w:t>3</w:t>
                  </w:r>
                  <w:r>
                    <w:rPr>
                      <w:rFonts w:hint="default" w:ascii="Times New Roman" w:hAnsi="Times New Roman" w:cs="Times New Roman"/>
                      <w:sz w:val="21"/>
                      <w:szCs w:val="21"/>
                      <w:lang w:val="en-US" w:eastAsia="zh-CN"/>
                    </w:rPr>
                    <w:t>.</w:t>
                  </w:r>
                  <w:r>
                    <w:rPr>
                      <w:rFonts w:hint="eastAsia" w:cs="Times New Roman"/>
                      <w:sz w:val="21"/>
                      <w:szCs w:val="21"/>
                      <w:lang w:val="en-US" w:eastAsia="zh-CN"/>
                    </w:rPr>
                    <w:t>34</w:t>
                  </w:r>
                  <w:r>
                    <w:rPr>
                      <w:rFonts w:hint="default" w:ascii="Times New Roman" w:hAnsi="Times New Roman" w:cs="Times New Roman"/>
                      <w:sz w:val="21"/>
                      <w:szCs w:val="21"/>
                      <w:lang w:val="en-US" w:eastAsia="zh-CN"/>
                    </w:rPr>
                    <w:t>088″</w:t>
                  </w:r>
                </w:p>
              </w:tc>
              <w:tc>
                <w:tcPr>
                  <w:tcW w:w="106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r>
                    <w:rPr>
                      <w:rFonts w:hint="default" w:ascii="Times New Roman" w:hAnsi="Times New Roman" w:cs="Times New Roman" w:eastAsiaTheme="minorEastAsia"/>
                      <w:sz w:val="21"/>
                      <w:szCs w:val="21"/>
                      <w:u w:val="single"/>
                      <w:vertAlign w:val="baseline"/>
                      <w:lang w:val="en-US" w:eastAsia="zh-CN"/>
                    </w:rPr>
                    <w:t>28°32′5</w:t>
                  </w:r>
                  <w:r>
                    <w:rPr>
                      <w:rFonts w:hint="eastAsia" w:cs="Times New Roman" w:eastAsiaTheme="minorEastAsia"/>
                      <w:sz w:val="21"/>
                      <w:szCs w:val="21"/>
                      <w:u w:val="single"/>
                      <w:vertAlign w:val="baseline"/>
                      <w:lang w:val="en-US" w:eastAsia="zh-CN"/>
                    </w:rPr>
                    <w:t>4</w:t>
                  </w:r>
                  <w:r>
                    <w:rPr>
                      <w:rFonts w:hint="default" w:ascii="Times New Roman" w:hAnsi="Times New Roman" w:cs="Times New Roman" w:eastAsiaTheme="minorEastAsia"/>
                      <w:sz w:val="21"/>
                      <w:szCs w:val="21"/>
                      <w:u w:val="single"/>
                      <w:vertAlign w:val="baseline"/>
                      <w:lang w:val="en-US" w:eastAsia="zh-CN"/>
                    </w:rPr>
                    <w:t>.</w:t>
                  </w:r>
                  <w:r>
                    <w:rPr>
                      <w:rFonts w:hint="eastAsia" w:cs="Times New Roman" w:eastAsiaTheme="minorEastAsia"/>
                      <w:sz w:val="21"/>
                      <w:szCs w:val="21"/>
                      <w:u w:val="single"/>
                      <w:vertAlign w:val="baseline"/>
                      <w:lang w:val="en-US" w:eastAsia="zh-CN"/>
                    </w:rPr>
                    <w:t>119</w:t>
                  </w:r>
                  <w:r>
                    <w:rPr>
                      <w:rFonts w:hint="default" w:ascii="Times New Roman" w:hAnsi="Times New Roman" w:cs="Times New Roman" w:eastAsiaTheme="minorEastAsia"/>
                      <w:sz w:val="21"/>
                      <w:szCs w:val="21"/>
                      <w:u w:val="single"/>
                      <w:vertAlign w:val="baseline"/>
                      <w:lang w:val="en-US" w:eastAsia="zh-CN"/>
                    </w:rPr>
                    <w:t>90″</w:t>
                  </w:r>
                </w:p>
              </w:tc>
              <w:tc>
                <w:tcPr>
                  <w:tcW w:w="94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r>
                    <w:rPr>
                      <w:rFonts w:hint="default" w:ascii="Times New Roman" w:hAnsi="Times New Roman" w:eastAsia="宋体" w:cs="Times New Roman"/>
                      <w:sz w:val="21"/>
                      <w:szCs w:val="21"/>
                      <w:u w:val="single"/>
                    </w:rPr>
                    <w:t>间接 排放</w:t>
                  </w:r>
                </w:p>
              </w:tc>
              <w:tc>
                <w:tcPr>
                  <w:tcW w:w="88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r>
                    <w:rPr>
                      <w:rFonts w:hint="default" w:ascii="Times New Roman" w:hAnsi="Times New Roman" w:eastAsia="宋体" w:cs="Times New Roman"/>
                      <w:sz w:val="21"/>
                      <w:szCs w:val="21"/>
                      <w:u w:val="single"/>
                    </w:rPr>
                    <w:t>间歇</w:t>
                  </w:r>
                </w:p>
              </w:tc>
              <w:tc>
                <w:tcPr>
                  <w:tcW w:w="106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1"/>
                      <w:szCs w:val="21"/>
                      <w:u w:val="single"/>
                      <w:vertAlign w:val="baseline"/>
                    </w:rPr>
                  </w:pPr>
                  <w:r>
                    <w:rPr>
                      <w:rFonts w:hint="default" w:ascii="Times New Roman" w:hAnsi="Times New Roman" w:eastAsia="宋体" w:cs="Times New Roman"/>
                      <w:sz w:val="21"/>
                      <w:szCs w:val="21"/>
                      <w:u w:val="single"/>
                    </w:rPr>
                    <w:t>城东污水 处理厂</w:t>
                  </w:r>
                </w:p>
              </w:tc>
            </w:tr>
          </w:tbl>
          <w:p>
            <w:pPr>
              <w:pStyle w:val="53"/>
              <w:spacing w:line="480" w:lineRule="exact"/>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根据《排污许可证申请与核发技术规范-橡胶和塑料制品工业》（HJ1122-2</w:t>
            </w:r>
          </w:p>
          <w:p>
            <w:pPr>
              <w:pStyle w:val="53"/>
              <w:spacing w:line="480" w:lineRule="exact"/>
              <w:rPr>
                <w:rFonts w:hint="default" w:ascii="Times New Roman" w:hAnsi="Times New Roman" w:eastAsia="宋体" w:cs="Times New Roman"/>
                <w:color w:val="auto"/>
                <w:kern w:val="24"/>
                <w:u w:val="single"/>
                <w:lang w:eastAsia="zh-CN"/>
              </w:rPr>
            </w:pPr>
            <w:r>
              <w:rPr>
                <w:rFonts w:hint="default" w:ascii="Times New Roman" w:hAnsi="Times New Roman" w:eastAsia="宋体" w:cs="Times New Roman"/>
                <w:sz w:val="24"/>
                <w:szCs w:val="24"/>
                <w:u w:val="single"/>
              </w:rPr>
              <w:t>020），生活污水单独排放口，排放方式为间接排放的无需进行自行监测。根据本项目上述废水污染物产生及排放情况、水污染治理情况等内容，本项目运营期废水主要是员工办公生活产生的生活污水。生活污水经化粪池预处理后，经园区污水管网排入城东污水处理厂深度处理达标后排入撇洪新河，对撇洪新河水环境影响较小</w:t>
            </w:r>
            <w:r>
              <w:rPr>
                <w:rFonts w:hint="default" w:ascii="Times New Roman" w:hAnsi="Times New Roman" w:eastAsia="宋体" w:cs="Times New Roman"/>
                <w:sz w:val="24"/>
                <w:szCs w:val="24"/>
                <w:u w:val="single"/>
                <w:lang w:eastAsia="zh-CN"/>
              </w:rPr>
              <w:t>。</w:t>
            </w:r>
          </w:p>
          <w:p>
            <w:pPr>
              <w:pStyle w:val="53"/>
              <w:spacing w:line="480" w:lineRule="exact"/>
              <w:rPr>
                <w:rFonts w:ascii="Times New Roman" w:hAnsi="Times New Roman"/>
                <w:b/>
                <w:color w:val="auto"/>
                <w:u w:val="single"/>
              </w:rPr>
            </w:pPr>
            <w:r>
              <w:rPr>
                <w:rFonts w:hint="eastAsia" w:ascii="Times New Roman" w:hAnsi="Times New Roman"/>
                <w:b/>
                <w:color w:val="auto"/>
                <w:u w:val="single"/>
              </w:rPr>
              <w:t>4.2.2、项目废水依托益阳</w:t>
            </w:r>
            <w:r>
              <w:rPr>
                <w:rFonts w:hint="eastAsia" w:ascii="Times New Roman" w:hAnsi="Times New Roman"/>
                <w:b/>
                <w:color w:val="auto"/>
                <w:u w:val="single"/>
                <w:lang w:val="en-US" w:eastAsia="zh-CN"/>
              </w:rPr>
              <w:t>城东</w:t>
            </w:r>
            <w:r>
              <w:rPr>
                <w:rFonts w:hint="eastAsia" w:ascii="Times New Roman" w:hAnsi="Times New Roman"/>
                <w:b/>
                <w:color w:val="auto"/>
                <w:u w:val="single"/>
              </w:rPr>
              <w:t>污水处理厂处理可行性分析</w:t>
            </w:r>
          </w:p>
          <w:p>
            <w:pPr>
              <w:pStyle w:val="53"/>
              <w:spacing w:line="480" w:lineRule="exact"/>
              <w:ind w:firstLine="480" w:firstLineChars="200"/>
              <w:rPr>
                <w:rFonts w:ascii="Times New Roman" w:hAnsi="Times New Roman"/>
                <w:color w:val="auto"/>
                <w:kern w:val="2"/>
                <w:u w:val="single"/>
              </w:rPr>
            </w:pPr>
            <w:r>
              <w:rPr>
                <w:rFonts w:hint="eastAsia" w:ascii="Times New Roman" w:hAnsi="Times New Roman"/>
                <w:color w:val="auto"/>
                <w:kern w:val="2"/>
                <w:u w:val="single"/>
              </w:rPr>
              <w:t>本项目位于益阳龙岭工业园益阳市龙舟农机制造有限公司车间内，已有污水管网接入益阳</w:t>
            </w:r>
            <w:r>
              <w:rPr>
                <w:rFonts w:hint="eastAsia" w:ascii="Times New Roman" w:hAnsi="Times New Roman"/>
                <w:color w:val="auto"/>
                <w:kern w:val="2"/>
                <w:u w:val="single"/>
                <w:lang w:val="en-US" w:eastAsia="zh-CN"/>
              </w:rPr>
              <w:t>城东</w:t>
            </w:r>
            <w:r>
              <w:rPr>
                <w:rFonts w:hint="eastAsia" w:ascii="Times New Roman" w:hAnsi="Times New Roman"/>
                <w:color w:val="auto"/>
                <w:kern w:val="2"/>
                <w:u w:val="single"/>
              </w:rPr>
              <w:t>污水处理厂。</w:t>
            </w:r>
          </w:p>
          <w:p>
            <w:pPr>
              <w:pStyle w:val="53"/>
              <w:spacing w:line="480" w:lineRule="exact"/>
              <w:ind w:firstLine="480" w:firstLineChars="200"/>
              <w:rPr>
                <w:rFonts w:ascii="Times New Roman" w:hAnsi="Times New Roman"/>
                <w:color w:val="auto"/>
                <w:kern w:val="2"/>
                <w:u w:val="single"/>
              </w:rPr>
            </w:pPr>
            <w:r>
              <w:rPr>
                <w:rFonts w:hint="eastAsia" w:ascii="Times New Roman" w:hAnsi="Times New Roman"/>
                <w:color w:val="auto"/>
                <w:kern w:val="2"/>
                <w:u w:val="single"/>
              </w:rPr>
              <w:t>本项目生活污水排放量约为0.2m</w:t>
            </w:r>
            <w:r>
              <w:rPr>
                <w:rFonts w:hint="eastAsia" w:ascii="Times New Roman" w:hAnsi="Times New Roman"/>
                <w:color w:val="auto"/>
                <w:kern w:val="2"/>
                <w:u w:val="single"/>
                <w:vertAlign w:val="superscript"/>
              </w:rPr>
              <w:t>3</w:t>
            </w:r>
            <w:r>
              <w:rPr>
                <w:rFonts w:hint="eastAsia" w:ascii="Times New Roman" w:hAnsi="Times New Roman"/>
                <w:color w:val="auto"/>
                <w:kern w:val="2"/>
                <w:u w:val="single"/>
              </w:rPr>
              <w:t>/d，益阳</w:t>
            </w:r>
            <w:r>
              <w:rPr>
                <w:rFonts w:hint="eastAsia" w:ascii="Times New Roman" w:hAnsi="Times New Roman"/>
                <w:color w:val="auto"/>
                <w:kern w:val="2"/>
                <w:u w:val="single"/>
                <w:lang w:val="en-US" w:eastAsia="zh-CN"/>
              </w:rPr>
              <w:t>城东</w:t>
            </w:r>
            <w:r>
              <w:rPr>
                <w:rFonts w:hint="eastAsia" w:ascii="Times New Roman" w:hAnsi="Times New Roman"/>
                <w:color w:val="auto"/>
                <w:kern w:val="2"/>
                <w:u w:val="single"/>
              </w:rPr>
              <w:t>污水处理厂现有处理能力为</w:t>
            </w:r>
            <w:r>
              <w:rPr>
                <w:rFonts w:hint="eastAsia" w:ascii="Times New Roman" w:hAnsi="Times New Roman"/>
                <w:color w:val="auto"/>
                <w:kern w:val="2"/>
                <w:u w:val="single"/>
                <w:lang w:val="en-US" w:eastAsia="zh-CN"/>
              </w:rPr>
              <w:t>5</w:t>
            </w:r>
            <w:r>
              <w:rPr>
                <w:rFonts w:hint="eastAsia" w:ascii="Times New Roman" w:hAnsi="Times New Roman"/>
                <w:color w:val="auto"/>
                <w:kern w:val="2"/>
                <w:u w:val="single"/>
              </w:rPr>
              <w:t>万t/d，可容纳本项目产生的废水。项目废水经化粪池处理后，各指标满足《污水综合排放标准》（GB8978-1996）表4中三级标准，满足益阳</w:t>
            </w:r>
            <w:r>
              <w:rPr>
                <w:rFonts w:hint="eastAsia" w:ascii="Times New Roman" w:hAnsi="Times New Roman"/>
                <w:color w:val="auto"/>
                <w:kern w:val="2"/>
                <w:u w:val="single"/>
                <w:lang w:val="en-US" w:eastAsia="zh-CN"/>
              </w:rPr>
              <w:t>城东</w:t>
            </w:r>
            <w:r>
              <w:rPr>
                <w:rFonts w:hint="eastAsia" w:ascii="Times New Roman" w:hAnsi="Times New Roman"/>
                <w:color w:val="auto"/>
                <w:kern w:val="2"/>
                <w:u w:val="single"/>
              </w:rPr>
              <w:t>污水处理厂进水水质要求。</w:t>
            </w:r>
          </w:p>
          <w:p>
            <w:pPr>
              <w:pStyle w:val="53"/>
              <w:spacing w:line="480" w:lineRule="exact"/>
              <w:ind w:firstLine="480" w:firstLineChars="200"/>
              <w:rPr>
                <w:rFonts w:ascii="Times New Roman" w:hAnsi="Times New Roman"/>
                <w:color w:val="auto"/>
                <w:kern w:val="2"/>
                <w:u w:val="single"/>
              </w:rPr>
            </w:pPr>
            <w:r>
              <w:rPr>
                <w:rFonts w:hint="eastAsia" w:ascii="Times New Roman" w:hAnsi="Times New Roman"/>
                <w:color w:val="auto"/>
                <w:kern w:val="2"/>
                <w:u w:val="single"/>
              </w:rPr>
              <w:t>因此，本项目废水依托益阳</w:t>
            </w:r>
            <w:r>
              <w:rPr>
                <w:rFonts w:hint="eastAsia" w:ascii="Times New Roman" w:hAnsi="Times New Roman"/>
                <w:color w:val="auto"/>
                <w:kern w:val="2"/>
                <w:u w:val="single"/>
                <w:lang w:val="en-US" w:eastAsia="zh-CN"/>
              </w:rPr>
              <w:t>城东</w:t>
            </w:r>
            <w:r>
              <w:rPr>
                <w:rFonts w:hint="eastAsia" w:ascii="Times New Roman" w:hAnsi="Times New Roman"/>
                <w:color w:val="auto"/>
                <w:kern w:val="2"/>
                <w:u w:val="single"/>
              </w:rPr>
              <w:t>污水处理厂处理可行。</w:t>
            </w:r>
          </w:p>
          <w:p>
            <w:pPr>
              <w:pStyle w:val="53"/>
              <w:spacing w:line="480" w:lineRule="exact"/>
              <w:rPr>
                <w:rFonts w:ascii="Times New Roman" w:hAnsi="Times New Roman"/>
                <w:b/>
                <w:color w:val="auto"/>
              </w:rPr>
            </w:pPr>
            <w:r>
              <w:rPr>
                <w:rFonts w:hint="eastAsia" w:ascii="Times New Roman" w:hAnsi="Times New Roman"/>
                <w:b/>
                <w:color w:val="auto"/>
              </w:rPr>
              <w:t>4.2.3、常规监测要求</w:t>
            </w:r>
          </w:p>
          <w:p>
            <w:pPr>
              <w:spacing w:line="480" w:lineRule="exact"/>
              <w:ind w:firstLine="448" w:firstLineChars="200"/>
              <w:rPr>
                <w:rFonts w:cs="宋体"/>
                <w:sz w:val="24"/>
              </w:rPr>
            </w:pPr>
            <w:r>
              <w:rPr>
                <w:rFonts w:cs="宋体"/>
                <w:spacing w:val="-8"/>
                <w:sz w:val="24"/>
              </w:rPr>
              <w:t>根据本项目的行业类别以及《固定污染源排污许可分类管理名录》（2019 版），本项目排污许可为简化管理。本项目无生产废水外排，单独的生活污水排放口且间接排放时无需监测。</w:t>
            </w:r>
          </w:p>
          <w:p>
            <w:pPr>
              <w:pStyle w:val="50"/>
              <w:autoSpaceDE/>
              <w:autoSpaceDN/>
              <w:adjustRightInd/>
              <w:spacing w:line="480" w:lineRule="exact"/>
              <w:jc w:val="both"/>
              <w:textAlignment w:val="auto"/>
              <w:rPr>
                <w:rFonts w:ascii="Times New Roman" w:hAnsi="Times New Roman"/>
                <w:b/>
              </w:rPr>
            </w:pPr>
            <w:r>
              <w:rPr>
                <w:rFonts w:hint="eastAsia" w:ascii="Times New Roman" w:hAnsi="Times New Roman"/>
                <w:b/>
              </w:rPr>
              <w:t>4.3</w:t>
            </w:r>
            <w:r>
              <w:rPr>
                <w:rFonts w:ascii="Times New Roman" w:hAnsi="Times New Roman"/>
                <w:b/>
              </w:rPr>
              <w:t>、声环境影响分析</w:t>
            </w:r>
          </w:p>
          <w:p>
            <w:pPr>
              <w:pStyle w:val="50"/>
              <w:autoSpaceDE/>
              <w:autoSpaceDN/>
              <w:adjustRightInd/>
              <w:spacing w:line="480" w:lineRule="exact"/>
              <w:ind w:firstLine="480" w:firstLineChars="200"/>
              <w:jc w:val="both"/>
              <w:textAlignment w:val="auto"/>
              <w:rPr>
                <w:rFonts w:ascii="Times New Roman" w:hAnsi="Times New Roman"/>
                <w:kern w:val="2"/>
                <w:szCs w:val="24"/>
              </w:rPr>
            </w:pPr>
            <w:r>
              <w:rPr>
                <w:rFonts w:hint="eastAsia" w:ascii="Times New Roman" w:hAnsi="Times New Roman"/>
              </w:rPr>
              <w:t>（</w:t>
            </w:r>
            <w:r>
              <w:rPr>
                <w:rFonts w:ascii="Times New Roman" w:hAnsi="Times New Roman"/>
                <w:kern w:val="2"/>
              </w:rPr>
              <w:t>1</w:t>
            </w:r>
            <w:r>
              <w:rPr>
                <w:rFonts w:hint="eastAsia" w:ascii="Times New Roman" w:hAnsi="Times New Roman"/>
                <w:kern w:val="2"/>
              </w:rPr>
              <w:t>）</w:t>
            </w:r>
            <w:r>
              <w:rPr>
                <w:rFonts w:hint="eastAsia" w:ascii="Times New Roman" w:hAnsi="Times New Roman"/>
              </w:rPr>
              <w:t>噪</w:t>
            </w:r>
            <w:r>
              <w:rPr>
                <w:rFonts w:hint="eastAsia" w:ascii="Times New Roman" w:hAnsi="Times New Roman"/>
                <w:kern w:val="2"/>
                <w:szCs w:val="24"/>
              </w:rPr>
              <w:t>声源强</w:t>
            </w:r>
          </w:p>
          <w:p>
            <w:pPr>
              <w:adjustRightInd w:val="0"/>
              <w:snapToGrid w:val="0"/>
              <w:spacing w:line="480" w:lineRule="exact"/>
              <w:ind w:firstLine="480" w:firstLineChars="200"/>
              <w:jc w:val="left"/>
              <w:rPr>
                <w:sz w:val="24"/>
              </w:rPr>
            </w:pPr>
            <w:r>
              <w:rPr>
                <w:sz w:val="24"/>
              </w:rPr>
              <w:t>本项目噪声源主要来源于</w:t>
            </w:r>
            <w:r>
              <w:rPr>
                <w:rFonts w:hint="eastAsia"/>
                <w:sz w:val="24"/>
              </w:rPr>
              <w:t>破碎机、造粒机组</w:t>
            </w:r>
            <w:r>
              <w:rPr>
                <w:kern w:val="0"/>
                <w:sz w:val="24"/>
              </w:rPr>
              <w:t>等设备在生产运行过程中产生的噪声</w:t>
            </w:r>
            <w:r>
              <w:rPr>
                <w:sz w:val="24"/>
              </w:rPr>
              <w:t>，噪声值约为7</w:t>
            </w:r>
            <w:r>
              <w:rPr>
                <w:rFonts w:hint="eastAsia"/>
                <w:sz w:val="24"/>
              </w:rPr>
              <w:t>0</w:t>
            </w:r>
            <w:r>
              <w:rPr>
                <w:sz w:val="24"/>
              </w:rPr>
              <w:t>～</w:t>
            </w:r>
            <w:r>
              <w:rPr>
                <w:rFonts w:hint="eastAsia"/>
                <w:sz w:val="24"/>
              </w:rPr>
              <w:t xml:space="preserve">90 </w:t>
            </w:r>
            <w:r>
              <w:rPr>
                <w:sz w:val="24"/>
              </w:rPr>
              <w:t>dB(A)。</w:t>
            </w:r>
            <w:r>
              <w:rPr>
                <w:rFonts w:hint="eastAsia"/>
                <w:sz w:val="24"/>
              </w:rPr>
              <w:t>经计算，采用减振、隔声一般可达到15-20 dB（A）的隔声量。本项目通过选用低噪声设备、消声减振、合理布局、建筑隔声、加强操作管理和维护等措施，其综合降噪效果可达20 dB（A）以上。</w:t>
            </w:r>
            <w:r>
              <w:rPr>
                <w:sz w:val="24"/>
              </w:rPr>
              <w:t>项目主要噪声源强</w:t>
            </w:r>
            <w:r>
              <w:rPr>
                <w:rFonts w:hint="eastAsia"/>
                <w:sz w:val="24"/>
              </w:rPr>
              <w:t>和</w:t>
            </w:r>
            <w:r>
              <w:rPr>
                <w:sz w:val="24"/>
              </w:rPr>
              <w:t>拟采取的防治措施</w:t>
            </w:r>
            <w:r>
              <w:rPr>
                <w:rFonts w:hint="eastAsia"/>
                <w:sz w:val="24"/>
              </w:rPr>
              <w:t>以及设备噪声传播至厂界噪声预测值</w:t>
            </w:r>
            <w:r>
              <w:rPr>
                <w:sz w:val="24"/>
              </w:rPr>
              <w:t>详见表4-</w:t>
            </w:r>
            <w:r>
              <w:rPr>
                <w:rFonts w:hint="eastAsia"/>
                <w:sz w:val="24"/>
              </w:rPr>
              <w:t>5</w:t>
            </w:r>
            <w:r>
              <w:rPr>
                <w:sz w:val="24"/>
              </w:rPr>
              <w:t>。</w:t>
            </w:r>
          </w:p>
          <w:p>
            <w:pPr>
              <w:pStyle w:val="20"/>
              <w:ind w:left="0" w:leftChars="0" w:firstLine="0" w:firstLineChars="0"/>
              <w:jc w:val="center"/>
              <w:rPr>
                <w:b/>
                <w:bCs/>
                <w:szCs w:val="21"/>
              </w:rPr>
            </w:pPr>
            <w:r>
              <w:rPr>
                <w:rFonts w:hint="eastAsia"/>
                <w:b/>
                <w:bCs/>
                <w:szCs w:val="21"/>
              </w:rPr>
              <w:t>表 4-</w:t>
            </w:r>
            <w:r>
              <w:rPr>
                <w:rFonts w:hint="eastAsia"/>
                <w:b/>
                <w:bCs/>
                <w:szCs w:val="21"/>
                <w:lang w:val="en-US" w:eastAsia="zh-CN"/>
              </w:rPr>
              <w:t>9</w:t>
            </w:r>
            <w:r>
              <w:rPr>
                <w:rFonts w:hint="eastAsia"/>
                <w:b/>
                <w:bCs/>
                <w:szCs w:val="21"/>
              </w:rPr>
              <w:tab/>
            </w:r>
            <w:r>
              <w:rPr>
                <w:rFonts w:hint="eastAsia"/>
                <w:b/>
                <w:bCs/>
                <w:szCs w:val="21"/>
              </w:rPr>
              <w:t>项目主要噪声源一览表</w:t>
            </w:r>
          </w:p>
          <w:tbl>
            <w:tblPr>
              <w:tblStyle w:val="21"/>
              <w:tblW w:w="8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989"/>
              <w:gridCol w:w="1991"/>
              <w:gridCol w:w="1705"/>
              <w:gridCol w:w="1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15" w:type="dxa"/>
                  <w:tcBorders>
                    <w:bottom w:val="single" w:color="000000" w:sz="6" w:space="0"/>
                    <w:right w:val="single" w:color="000000" w:sz="6" w:space="0"/>
                  </w:tcBorders>
                </w:tcPr>
                <w:p>
                  <w:pPr>
                    <w:pStyle w:val="59"/>
                    <w:spacing w:before="63"/>
                    <w:ind w:left="124" w:right="117"/>
                    <w:jc w:val="center"/>
                  </w:pPr>
                  <w:r>
                    <w:t>编号</w:t>
                  </w:r>
                </w:p>
              </w:tc>
              <w:tc>
                <w:tcPr>
                  <w:tcW w:w="1989" w:type="dxa"/>
                  <w:tcBorders>
                    <w:left w:val="single" w:color="000000" w:sz="6" w:space="0"/>
                    <w:bottom w:val="single" w:color="000000" w:sz="6" w:space="0"/>
                    <w:right w:val="single" w:color="000000" w:sz="6" w:space="0"/>
                  </w:tcBorders>
                </w:tcPr>
                <w:p>
                  <w:pPr>
                    <w:pStyle w:val="59"/>
                    <w:spacing w:before="63"/>
                    <w:ind w:left="550" w:right="542"/>
                    <w:jc w:val="center"/>
                  </w:pPr>
                  <w:r>
                    <w:t>设备</w:t>
                  </w:r>
                </w:p>
              </w:tc>
              <w:tc>
                <w:tcPr>
                  <w:tcW w:w="1991" w:type="dxa"/>
                  <w:tcBorders>
                    <w:left w:val="single" w:color="000000" w:sz="6" w:space="0"/>
                    <w:bottom w:val="single" w:color="000000" w:sz="6" w:space="0"/>
                    <w:right w:val="single" w:color="000000" w:sz="6" w:space="0"/>
                  </w:tcBorders>
                </w:tcPr>
                <w:p>
                  <w:pPr>
                    <w:pStyle w:val="59"/>
                    <w:spacing w:before="63"/>
                    <w:ind w:left="85" w:right="76"/>
                    <w:jc w:val="center"/>
                  </w:pPr>
                  <w:r>
                    <w:t xml:space="preserve">噪声声级 </w:t>
                  </w:r>
                  <w:r>
                    <w:rPr>
                      <w:rFonts w:ascii="Times New Roman" w:eastAsia="Times New Roman"/>
                      <w:b/>
                    </w:rPr>
                    <w:t>dB</w:t>
                  </w:r>
                  <w:r>
                    <w:t>（</w:t>
                  </w:r>
                  <w:r>
                    <w:rPr>
                      <w:rFonts w:ascii="Times New Roman" w:eastAsia="Times New Roman"/>
                      <w:b/>
                    </w:rPr>
                    <w:t>A</w:t>
                  </w:r>
                  <w:r>
                    <w:t>）</w:t>
                  </w:r>
                </w:p>
              </w:tc>
              <w:tc>
                <w:tcPr>
                  <w:tcW w:w="1705" w:type="dxa"/>
                  <w:tcBorders>
                    <w:left w:val="single" w:color="000000" w:sz="6" w:space="0"/>
                    <w:bottom w:val="single" w:color="000000" w:sz="6" w:space="0"/>
                    <w:right w:val="single" w:color="000000" w:sz="6" w:space="0"/>
                  </w:tcBorders>
                </w:tcPr>
                <w:p>
                  <w:pPr>
                    <w:pStyle w:val="59"/>
                    <w:spacing w:before="63"/>
                    <w:ind w:left="96" w:right="84"/>
                    <w:jc w:val="center"/>
                  </w:pPr>
                  <w:r>
                    <w:t>设备数量（套）</w:t>
                  </w:r>
                </w:p>
              </w:tc>
              <w:tc>
                <w:tcPr>
                  <w:tcW w:w="1655" w:type="dxa"/>
                  <w:tcBorders>
                    <w:left w:val="single" w:color="000000" w:sz="6" w:space="0"/>
                    <w:bottom w:val="single" w:color="000000" w:sz="6" w:space="0"/>
                  </w:tcBorders>
                </w:tcPr>
                <w:p>
                  <w:pPr>
                    <w:pStyle w:val="59"/>
                    <w:spacing w:before="63"/>
                    <w:ind w:left="406"/>
                  </w:pPr>
                  <w:r>
                    <w:t>防治措施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715" w:type="dxa"/>
                  <w:tcBorders>
                    <w:top w:val="single" w:color="000000" w:sz="6" w:space="0"/>
                    <w:bottom w:val="single" w:color="000000" w:sz="6" w:space="0"/>
                    <w:right w:val="single" w:color="000000" w:sz="6" w:space="0"/>
                  </w:tcBorders>
                </w:tcPr>
                <w:p>
                  <w:pPr>
                    <w:pStyle w:val="59"/>
                    <w:spacing w:before="70"/>
                    <w:ind w:left="7"/>
                    <w:jc w:val="center"/>
                    <w:rPr>
                      <w:rFonts w:ascii="Times New Roman"/>
                    </w:rPr>
                  </w:pPr>
                  <w:r>
                    <w:rPr>
                      <w:rFonts w:ascii="Times New Roman"/>
                    </w:rPr>
                    <w:t>1</w:t>
                  </w:r>
                </w:p>
              </w:tc>
              <w:tc>
                <w:tcPr>
                  <w:tcW w:w="1989" w:type="dxa"/>
                  <w:tcBorders>
                    <w:top w:val="single" w:color="000000" w:sz="6" w:space="0"/>
                    <w:left w:val="single" w:color="000000" w:sz="6" w:space="0"/>
                    <w:bottom w:val="single" w:color="000000" w:sz="6" w:space="0"/>
                    <w:right w:val="single" w:color="000000" w:sz="6" w:space="0"/>
                  </w:tcBorders>
                </w:tcPr>
                <w:p>
                  <w:pPr>
                    <w:pStyle w:val="59"/>
                    <w:spacing w:before="63"/>
                    <w:ind w:left="552" w:right="542"/>
                    <w:jc w:val="center"/>
                  </w:pPr>
                  <w:r>
                    <w:t>造粒机组</w:t>
                  </w:r>
                </w:p>
              </w:tc>
              <w:tc>
                <w:tcPr>
                  <w:tcW w:w="1991" w:type="dxa"/>
                  <w:tcBorders>
                    <w:top w:val="single" w:color="000000" w:sz="6" w:space="0"/>
                    <w:left w:val="single" w:color="000000" w:sz="6" w:space="0"/>
                    <w:bottom w:val="single" w:color="000000" w:sz="6" w:space="0"/>
                    <w:right w:val="single" w:color="000000" w:sz="6" w:space="0"/>
                  </w:tcBorders>
                </w:tcPr>
                <w:p>
                  <w:pPr>
                    <w:pStyle w:val="59"/>
                    <w:spacing w:before="70"/>
                    <w:ind w:left="84" w:right="76"/>
                    <w:jc w:val="center"/>
                    <w:rPr>
                      <w:rFonts w:ascii="Times New Roman"/>
                    </w:rPr>
                  </w:pPr>
                  <w:r>
                    <w:rPr>
                      <w:rFonts w:ascii="Times New Roman"/>
                    </w:rPr>
                    <w:t>75~90</w:t>
                  </w:r>
                </w:p>
              </w:tc>
              <w:tc>
                <w:tcPr>
                  <w:tcW w:w="1705" w:type="dxa"/>
                  <w:tcBorders>
                    <w:top w:val="single" w:color="000000" w:sz="6" w:space="0"/>
                    <w:left w:val="single" w:color="000000" w:sz="6" w:space="0"/>
                    <w:bottom w:val="single" w:color="000000" w:sz="6" w:space="0"/>
                    <w:right w:val="single" w:color="000000" w:sz="6" w:space="0"/>
                  </w:tcBorders>
                </w:tcPr>
                <w:p>
                  <w:pPr>
                    <w:pStyle w:val="59"/>
                    <w:spacing w:before="70"/>
                    <w:ind w:left="11"/>
                    <w:jc w:val="center"/>
                    <w:rPr>
                      <w:rFonts w:ascii="Times New Roman"/>
                    </w:rPr>
                  </w:pPr>
                  <w:r>
                    <w:rPr>
                      <w:rFonts w:ascii="Times New Roman"/>
                    </w:rPr>
                    <w:t>6</w:t>
                  </w:r>
                </w:p>
              </w:tc>
              <w:tc>
                <w:tcPr>
                  <w:tcW w:w="1655" w:type="dxa"/>
                  <w:vMerge w:val="restart"/>
                  <w:tcBorders>
                    <w:top w:val="single" w:color="000000" w:sz="6" w:space="0"/>
                    <w:left w:val="single" w:color="000000" w:sz="6" w:space="0"/>
                  </w:tcBorders>
                </w:tcPr>
                <w:p>
                  <w:pPr>
                    <w:pStyle w:val="59"/>
                    <w:spacing w:before="142" w:line="242" w:lineRule="auto"/>
                    <w:ind w:left="108" w:right="57" w:hanging="34"/>
                    <w:jc w:val="center"/>
                  </w:pPr>
                  <w:r>
                    <w:rPr>
                      <w:spacing w:val="-2"/>
                    </w:rPr>
                    <w:t xml:space="preserve">选用低噪声设 </w:t>
                  </w:r>
                  <w:r>
                    <w:rPr>
                      <w:spacing w:val="-5"/>
                    </w:rPr>
                    <w:t>备、减振基础、</w:t>
                  </w:r>
                  <w:r>
                    <w:rPr>
                      <w:spacing w:val="-2"/>
                    </w:rPr>
                    <w:t>厂房建筑隔声</w:t>
                  </w:r>
                </w:p>
                <w:p>
                  <w:pPr>
                    <w:pStyle w:val="59"/>
                    <w:spacing w:before="1" w:line="268" w:lineRule="exact"/>
                    <w:ind w:left="378" w:right="362"/>
                    <w:jc w:val="center"/>
                  </w:pPr>
                  <w:r>
                    <w:rPr>
                      <w:rFonts w:ascii="Times New Roman" w:eastAsia="Times New Roman"/>
                    </w:rPr>
                    <w:t>(</w:t>
                  </w:r>
                  <w:r>
                    <w:t>隔声量</w:t>
                  </w:r>
                </w:p>
                <w:p>
                  <w:pPr>
                    <w:pStyle w:val="59"/>
                    <w:spacing w:line="240" w:lineRule="exact"/>
                    <w:ind w:left="378" w:right="362"/>
                    <w:jc w:val="center"/>
                    <w:rPr>
                      <w:rFonts w:ascii="Times New Roman" w:hAnsi="Times New Roman"/>
                    </w:rPr>
                  </w:pPr>
                  <w:r>
                    <w:rPr>
                      <w:rFonts w:hint="eastAsia" w:ascii="Times New Roman" w:hAnsi="Times New Roman"/>
                    </w:rPr>
                    <w:t>≥2</w:t>
                  </w:r>
                  <w:r>
                    <w:rPr>
                      <w:rFonts w:hint="eastAsia" w:ascii="Times New Roman" w:hAnsi="Times New Roman"/>
                      <w:lang w:val="en-US" w:eastAsia="zh-CN"/>
                    </w:rPr>
                    <w:t>0</w:t>
                  </w:r>
                  <w:r>
                    <w:rPr>
                      <w:rFonts w:ascii="Times New Roman" w:hAnsi="Times New Roman"/>
                    </w:rPr>
                    <w:t>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15" w:type="dxa"/>
                  <w:tcBorders>
                    <w:top w:val="single" w:color="000000" w:sz="6" w:space="0"/>
                    <w:bottom w:val="single" w:color="000000" w:sz="6" w:space="0"/>
                    <w:right w:val="single" w:color="000000" w:sz="6" w:space="0"/>
                  </w:tcBorders>
                </w:tcPr>
                <w:p>
                  <w:pPr>
                    <w:pStyle w:val="59"/>
                    <w:spacing w:before="70"/>
                    <w:ind w:left="7"/>
                    <w:jc w:val="center"/>
                    <w:rPr>
                      <w:rFonts w:ascii="Times New Roman"/>
                    </w:rPr>
                  </w:pPr>
                  <w:r>
                    <w:rPr>
                      <w:rFonts w:ascii="Times New Roman"/>
                    </w:rPr>
                    <w:t>2</w:t>
                  </w:r>
                </w:p>
              </w:tc>
              <w:tc>
                <w:tcPr>
                  <w:tcW w:w="1989" w:type="dxa"/>
                  <w:tcBorders>
                    <w:top w:val="single" w:color="000000" w:sz="6" w:space="0"/>
                    <w:left w:val="single" w:color="000000" w:sz="6" w:space="0"/>
                    <w:bottom w:val="single" w:color="000000" w:sz="6" w:space="0"/>
                    <w:right w:val="single" w:color="000000" w:sz="6" w:space="0"/>
                  </w:tcBorders>
                </w:tcPr>
                <w:p>
                  <w:pPr>
                    <w:pStyle w:val="59"/>
                    <w:spacing w:before="63"/>
                    <w:ind w:left="552" w:right="539"/>
                    <w:jc w:val="center"/>
                    <w:rPr>
                      <w:lang w:val="en-US"/>
                    </w:rPr>
                  </w:pPr>
                  <w:r>
                    <w:rPr>
                      <w:rFonts w:hint="eastAsia"/>
                      <w:lang w:val="en-US"/>
                    </w:rPr>
                    <w:t>切粒机</w:t>
                  </w:r>
                </w:p>
              </w:tc>
              <w:tc>
                <w:tcPr>
                  <w:tcW w:w="1991" w:type="dxa"/>
                  <w:tcBorders>
                    <w:top w:val="single" w:color="000000" w:sz="6" w:space="0"/>
                    <w:left w:val="single" w:color="000000" w:sz="6" w:space="0"/>
                    <w:bottom w:val="single" w:color="000000" w:sz="6" w:space="0"/>
                    <w:right w:val="single" w:color="000000" w:sz="6" w:space="0"/>
                  </w:tcBorders>
                </w:tcPr>
                <w:p>
                  <w:pPr>
                    <w:pStyle w:val="59"/>
                    <w:spacing w:before="70"/>
                    <w:ind w:left="84" w:right="76"/>
                    <w:jc w:val="center"/>
                    <w:rPr>
                      <w:rFonts w:ascii="Times New Roman"/>
                    </w:rPr>
                  </w:pPr>
                  <w:r>
                    <w:rPr>
                      <w:rFonts w:ascii="Times New Roman"/>
                    </w:rPr>
                    <w:t>70~80</w:t>
                  </w:r>
                </w:p>
              </w:tc>
              <w:tc>
                <w:tcPr>
                  <w:tcW w:w="1705" w:type="dxa"/>
                  <w:tcBorders>
                    <w:top w:val="single" w:color="000000" w:sz="6" w:space="0"/>
                    <w:left w:val="single" w:color="000000" w:sz="6" w:space="0"/>
                    <w:bottom w:val="single" w:color="000000" w:sz="6" w:space="0"/>
                    <w:right w:val="single" w:color="000000" w:sz="6" w:space="0"/>
                  </w:tcBorders>
                </w:tcPr>
                <w:p>
                  <w:pPr>
                    <w:pStyle w:val="59"/>
                    <w:spacing w:before="70"/>
                    <w:ind w:left="11"/>
                    <w:jc w:val="center"/>
                    <w:rPr>
                      <w:rFonts w:ascii="Times New Roman"/>
                    </w:rPr>
                  </w:pPr>
                  <w:r>
                    <w:rPr>
                      <w:rFonts w:ascii="Times New Roman"/>
                    </w:rPr>
                    <w:t>1</w:t>
                  </w:r>
                </w:p>
              </w:tc>
              <w:tc>
                <w:tcPr>
                  <w:tcW w:w="1655"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15" w:type="dxa"/>
                  <w:tcBorders>
                    <w:top w:val="single" w:color="000000" w:sz="6" w:space="0"/>
                    <w:bottom w:val="single" w:color="000000" w:sz="6" w:space="0"/>
                    <w:right w:val="single" w:color="000000" w:sz="6" w:space="0"/>
                  </w:tcBorders>
                </w:tcPr>
                <w:p>
                  <w:pPr>
                    <w:pStyle w:val="59"/>
                    <w:spacing w:before="70"/>
                    <w:ind w:left="7"/>
                    <w:jc w:val="center"/>
                    <w:rPr>
                      <w:rFonts w:ascii="Times New Roman"/>
                    </w:rPr>
                  </w:pPr>
                  <w:r>
                    <w:rPr>
                      <w:rFonts w:ascii="Times New Roman"/>
                    </w:rPr>
                    <w:t>3</w:t>
                  </w:r>
                </w:p>
              </w:tc>
              <w:tc>
                <w:tcPr>
                  <w:tcW w:w="1989" w:type="dxa"/>
                  <w:tcBorders>
                    <w:top w:val="single" w:color="000000" w:sz="6" w:space="0"/>
                    <w:left w:val="single" w:color="000000" w:sz="6" w:space="0"/>
                    <w:bottom w:val="single" w:color="000000" w:sz="6" w:space="0"/>
                    <w:right w:val="single" w:color="000000" w:sz="6" w:space="0"/>
                  </w:tcBorders>
                </w:tcPr>
                <w:p>
                  <w:pPr>
                    <w:pStyle w:val="59"/>
                    <w:spacing w:before="63"/>
                    <w:ind w:left="552" w:right="539"/>
                    <w:jc w:val="center"/>
                  </w:pPr>
                  <w:r>
                    <w:t>破碎机</w:t>
                  </w:r>
                </w:p>
              </w:tc>
              <w:tc>
                <w:tcPr>
                  <w:tcW w:w="1991" w:type="dxa"/>
                  <w:tcBorders>
                    <w:top w:val="single" w:color="000000" w:sz="6" w:space="0"/>
                    <w:left w:val="single" w:color="000000" w:sz="6" w:space="0"/>
                    <w:bottom w:val="single" w:color="000000" w:sz="6" w:space="0"/>
                    <w:right w:val="single" w:color="000000" w:sz="6" w:space="0"/>
                  </w:tcBorders>
                </w:tcPr>
                <w:p>
                  <w:pPr>
                    <w:pStyle w:val="59"/>
                    <w:spacing w:before="70"/>
                    <w:ind w:left="84" w:right="76"/>
                    <w:jc w:val="center"/>
                    <w:rPr>
                      <w:rFonts w:ascii="Times New Roman"/>
                    </w:rPr>
                  </w:pPr>
                  <w:r>
                    <w:rPr>
                      <w:rFonts w:ascii="Times New Roman"/>
                    </w:rPr>
                    <w:t>70~75</w:t>
                  </w:r>
                </w:p>
              </w:tc>
              <w:tc>
                <w:tcPr>
                  <w:tcW w:w="1705" w:type="dxa"/>
                  <w:tcBorders>
                    <w:top w:val="single" w:color="000000" w:sz="6" w:space="0"/>
                    <w:left w:val="single" w:color="000000" w:sz="6" w:space="0"/>
                    <w:bottom w:val="single" w:color="000000" w:sz="6" w:space="0"/>
                    <w:right w:val="single" w:color="000000" w:sz="6" w:space="0"/>
                  </w:tcBorders>
                </w:tcPr>
                <w:p>
                  <w:pPr>
                    <w:pStyle w:val="59"/>
                    <w:spacing w:before="70"/>
                    <w:ind w:left="11"/>
                    <w:jc w:val="center"/>
                    <w:rPr>
                      <w:rFonts w:ascii="Times New Roman"/>
                    </w:rPr>
                  </w:pPr>
                  <w:r>
                    <w:rPr>
                      <w:rFonts w:ascii="Times New Roman"/>
                    </w:rPr>
                    <w:t>1</w:t>
                  </w:r>
                </w:p>
              </w:tc>
              <w:tc>
                <w:tcPr>
                  <w:tcW w:w="1655"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715" w:type="dxa"/>
                  <w:tcBorders>
                    <w:top w:val="single" w:color="000000" w:sz="6" w:space="0"/>
                    <w:right w:val="single" w:color="000000" w:sz="6" w:space="0"/>
                  </w:tcBorders>
                </w:tcPr>
                <w:p>
                  <w:pPr>
                    <w:pStyle w:val="59"/>
                    <w:spacing w:before="70"/>
                    <w:ind w:left="7"/>
                    <w:jc w:val="center"/>
                    <w:rPr>
                      <w:rFonts w:ascii="Times New Roman"/>
                    </w:rPr>
                  </w:pPr>
                  <w:r>
                    <w:rPr>
                      <w:rFonts w:ascii="Times New Roman"/>
                    </w:rPr>
                    <w:t>4</w:t>
                  </w:r>
                </w:p>
              </w:tc>
              <w:tc>
                <w:tcPr>
                  <w:tcW w:w="1989" w:type="dxa"/>
                  <w:tcBorders>
                    <w:top w:val="single" w:color="000000" w:sz="6" w:space="0"/>
                    <w:left w:val="single" w:color="000000" w:sz="6" w:space="0"/>
                    <w:right w:val="single" w:color="000000" w:sz="6" w:space="0"/>
                  </w:tcBorders>
                </w:tcPr>
                <w:p>
                  <w:pPr>
                    <w:pStyle w:val="59"/>
                    <w:spacing w:before="63"/>
                    <w:ind w:left="552" w:right="539"/>
                    <w:jc w:val="center"/>
                  </w:pPr>
                  <w:r>
                    <w:t>风机</w:t>
                  </w:r>
                </w:p>
              </w:tc>
              <w:tc>
                <w:tcPr>
                  <w:tcW w:w="1991" w:type="dxa"/>
                  <w:tcBorders>
                    <w:top w:val="single" w:color="000000" w:sz="6" w:space="0"/>
                    <w:left w:val="single" w:color="000000" w:sz="6" w:space="0"/>
                    <w:right w:val="single" w:color="000000" w:sz="6" w:space="0"/>
                  </w:tcBorders>
                </w:tcPr>
                <w:p>
                  <w:pPr>
                    <w:pStyle w:val="59"/>
                    <w:spacing w:before="70"/>
                    <w:ind w:left="84" w:right="76"/>
                    <w:jc w:val="center"/>
                    <w:rPr>
                      <w:rFonts w:ascii="Times New Roman"/>
                    </w:rPr>
                  </w:pPr>
                  <w:r>
                    <w:rPr>
                      <w:rFonts w:ascii="Times New Roman"/>
                    </w:rPr>
                    <w:t>80~90</w:t>
                  </w:r>
                </w:p>
              </w:tc>
              <w:tc>
                <w:tcPr>
                  <w:tcW w:w="1705" w:type="dxa"/>
                  <w:tcBorders>
                    <w:top w:val="single" w:color="000000" w:sz="6" w:space="0"/>
                    <w:left w:val="single" w:color="000000" w:sz="6" w:space="0"/>
                    <w:right w:val="single" w:color="000000" w:sz="6" w:space="0"/>
                  </w:tcBorders>
                </w:tcPr>
                <w:p>
                  <w:pPr>
                    <w:pStyle w:val="59"/>
                    <w:spacing w:before="70"/>
                    <w:ind w:left="11"/>
                    <w:jc w:val="center"/>
                    <w:rPr>
                      <w:rFonts w:ascii="Times New Roman"/>
                    </w:rPr>
                  </w:pPr>
                  <w:r>
                    <w:rPr>
                      <w:rFonts w:ascii="Times New Roman"/>
                    </w:rPr>
                    <w:t>2</w:t>
                  </w:r>
                </w:p>
              </w:tc>
              <w:tc>
                <w:tcPr>
                  <w:tcW w:w="1655" w:type="dxa"/>
                  <w:vMerge w:val="continue"/>
                  <w:tcBorders>
                    <w:top w:val="nil"/>
                    <w:left w:val="single" w:color="000000" w:sz="6" w:space="0"/>
                  </w:tcBorders>
                </w:tcPr>
                <w:p>
                  <w:pPr>
                    <w:rPr>
                      <w:sz w:val="2"/>
                      <w:szCs w:val="2"/>
                    </w:rPr>
                  </w:pPr>
                </w:p>
              </w:tc>
            </w:tr>
          </w:tbl>
          <w:p>
            <w:pPr>
              <w:pStyle w:val="20"/>
              <w:ind w:firstLine="480"/>
              <w:jc w:val="left"/>
              <w:rPr>
                <w:color w:val="0000FF"/>
                <w:sz w:val="24"/>
              </w:rPr>
            </w:pPr>
          </w:p>
          <w:p>
            <w:pPr>
              <w:rPr>
                <w:color w:val="0000FF"/>
                <w:sz w:val="24"/>
              </w:rPr>
            </w:pPr>
          </w:p>
          <w:p>
            <w:pPr>
              <w:pStyle w:val="27"/>
              <w:spacing w:line="480" w:lineRule="exact"/>
              <w:rPr>
                <w:rFonts w:ascii="Times New Roman" w:hAnsi="Times New Roman"/>
                <w:color w:val="0000FF"/>
              </w:rPr>
            </w:pPr>
          </w:p>
        </w:tc>
      </w:tr>
    </w:tbl>
    <w:p>
      <w:pPr>
        <w:adjustRightInd w:val="0"/>
        <w:snapToGrid w:val="0"/>
        <w:jc w:val="center"/>
        <w:rPr>
          <w:rFonts w:cs="宋体"/>
          <w:bCs/>
          <w:color w:val="0000FF"/>
          <w:kern w:val="21"/>
          <w:sz w:val="24"/>
          <w:szCs w:val="21"/>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21"/>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Mar>
              <w:left w:w="28" w:type="dxa"/>
              <w:right w:w="28" w:type="dxa"/>
            </w:tcMar>
            <w:vAlign w:val="center"/>
          </w:tcPr>
          <w:p>
            <w:pPr>
              <w:pStyle w:val="20"/>
              <w:rPr>
                <w:color w:val="0000FF"/>
              </w:rPr>
            </w:pPr>
          </w:p>
        </w:tc>
        <w:tc>
          <w:tcPr>
            <w:tcW w:w="7790" w:type="dxa"/>
            <w:vAlign w:val="center"/>
          </w:tcPr>
          <w:p>
            <w:pPr>
              <w:snapToGrid w:val="0"/>
              <w:spacing w:line="480" w:lineRule="exact"/>
              <w:ind w:firstLine="480" w:firstLineChars="200"/>
              <w:rPr>
                <w:kern w:val="24"/>
                <w:sz w:val="24"/>
                <w:szCs w:val="20"/>
              </w:rPr>
            </w:pPr>
            <w:bookmarkStart w:id="23" w:name="_Hlk71191936"/>
            <w:r>
              <w:rPr>
                <w:kern w:val="24"/>
                <w:sz w:val="24"/>
                <w:szCs w:val="20"/>
              </w:rPr>
              <w:t>（</w:t>
            </w:r>
            <w:r>
              <w:rPr>
                <w:sz w:val="24"/>
                <w:szCs w:val="20"/>
              </w:rPr>
              <w:t>2）</w:t>
            </w:r>
            <w:r>
              <w:rPr>
                <w:kern w:val="24"/>
                <w:sz w:val="24"/>
                <w:szCs w:val="20"/>
              </w:rPr>
              <w:t>噪声影响分析</w:t>
            </w:r>
          </w:p>
          <w:p>
            <w:pPr>
              <w:adjustRightInd w:val="0"/>
              <w:snapToGrid w:val="0"/>
              <w:spacing w:line="480" w:lineRule="exact"/>
              <w:ind w:firstLine="480" w:firstLineChars="200"/>
              <w:jc w:val="left"/>
              <w:rPr>
                <w:sz w:val="24"/>
              </w:rPr>
            </w:pPr>
            <w:r>
              <w:rPr>
                <w:rFonts w:hint="eastAsia"/>
                <w:sz w:val="24"/>
              </w:rPr>
              <w:t>由于本项目周边50 m范围内无居民房，对</w:t>
            </w:r>
            <w:r>
              <w:rPr>
                <w:sz w:val="24"/>
              </w:rPr>
              <w:t>按照《环境影响评价技术导则声环境（HJ</w:t>
            </w:r>
            <w:r>
              <w:rPr>
                <w:rFonts w:hint="eastAsia"/>
                <w:sz w:val="24"/>
              </w:rPr>
              <w:t xml:space="preserve"> </w:t>
            </w:r>
            <w:r>
              <w:rPr>
                <w:sz w:val="24"/>
              </w:rPr>
              <w:t>2.4－20</w:t>
            </w:r>
            <w:r>
              <w:rPr>
                <w:rFonts w:hint="eastAsia"/>
                <w:sz w:val="24"/>
              </w:rPr>
              <w:t>21</w:t>
            </w:r>
            <w:r>
              <w:rPr>
                <w:sz w:val="24"/>
              </w:rPr>
              <w:t>）》要求，可选择点声源预测模式，来模拟预测本项目主要声源排放噪声随距离的衰减变化规律，计算公式如下：</w:t>
            </w:r>
          </w:p>
          <w:p>
            <w:pPr>
              <w:adjustRightInd w:val="0"/>
              <w:snapToGrid w:val="0"/>
              <w:spacing w:line="480" w:lineRule="exact"/>
              <w:ind w:firstLine="420" w:firstLineChars="200"/>
              <w:jc w:val="center"/>
              <w:rPr>
                <w:sz w:val="24"/>
              </w:rPr>
            </w:pPr>
            <w:r>
              <w:rPr>
                <w:szCs w:val="21"/>
              </w:rPr>
              <w:pict>
                <v:shape id="_x0000_i1026" o:spt="75" type="#_x0000_t75" style="height:17.2pt;width:125.2pt;" filled="f" o:preferrelative="t" stroked="f" coordsize="21600,21600">
                  <v:path/>
                  <v:fill on="f" focussize="0,0"/>
                  <v:stroke on="f" joinstyle="miter"/>
                  <v:imagedata r:id="rId11" o:title=""/>
                  <o:lock v:ext="edit" aspectratio="t"/>
                  <w10:wrap type="none"/>
                  <w10:anchorlock/>
                </v:shape>
              </w:pict>
            </w:r>
          </w:p>
          <w:p>
            <w:pPr>
              <w:adjustRightInd w:val="0"/>
              <w:snapToGrid w:val="0"/>
              <w:spacing w:line="480" w:lineRule="exact"/>
              <w:ind w:firstLine="480" w:firstLineChars="200"/>
              <w:jc w:val="left"/>
              <w:rPr>
                <w:sz w:val="24"/>
              </w:rPr>
            </w:pPr>
            <w:r>
              <w:rPr>
                <w:sz w:val="24"/>
              </w:rPr>
              <w:t>式中：</w:t>
            </w:r>
            <w:r>
              <w:rPr>
                <w:i/>
                <w:iCs/>
                <w:sz w:val="24"/>
              </w:rPr>
              <w:t>L</w:t>
            </w:r>
            <w:r>
              <w:rPr>
                <w:sz w:val="24"/>
                <w:vertAlign w:val="subscript"/>
              </w:rPr>
              <w:t>2</w:t>
            </w:r>
            <w:r>
              <w:rPr>
                <w:sz w:val="24"/>
              </w:rPr>
              <w:t>——点声源在预测点产生的声压级，dB(A)；</w:t>
            </w:r>
          </w:p>
          <w:p>
            <w:pPr>
              <w:adjustRightInd w:val="0"/>
              <w:snapToGrid w:val="0"/>
              <w:spacing w:line="480" w:lineRule="exact"/>
              <w:ind w:firstLine="480" w:firstLineChars="200"/>
              <w:jc w:val="left"/>
              <w:rPr>
                <w:sz w:val="24"/>
              </w:rPr>
            </w:pPr>
            <w:r>
              <w:rPr>
                <w:sz w:val="24"/>
              </w:rPr>
              <w:t xml:space="preserve">      </w:t>
            </w:r>
            <w:r>
              <w:rPr>
                <w:i/>
                <w:iCs/>
                <w:sz w:val="24"/>
              </w:rPr>
              <w:t>L</w:t>
            </w:r>
            <w:r>
              <w:rPr>
                <w:sz w:val="24"/>
                <w:vertAlign w:val="subscript"/>
              </w:rPr>
              <w:t>1</w:t>
            </w:r>
            <w:r>
              <w:rPr>
                <w:sz w:val="24"/>
              </w:rPr>
              <w:t>——点声源在参考点产生的声压级，dB(A)；</w:t>
            </w:r>
          </w:p>
          <w:p>
            <w:pPr>
              <w:adjustRightInd w:val="0"/>
              <w:snapToGrid w:val="0"/>
              <w:spacing w:line="480" w:lineRule="exact"/>
              <w:ind w:firstLine="480" w:firstLineChars="200"/>
              <w:jc w:val="left"/>
              <w:rPr>
                <w:sz w:val="24"/>
              </w:rPr>
            </w:pPr>
            <w:r>
              <w:rPr>
                <w:sz w:val="24"/>
              </w:rPr>
              <w:t xml:space="preserve">      </w:t>
            </w:r>
            <w:r>
              <w:rPr>
                <w:i/>
                <w:iCs/>
                <w:sz w:val="24"/>
              </w:rPr>
              <w:t>r</w:t>
            </w:r>
            <w:r>
              <w:rPr>
                <w:sz w:val="24"/>
                <w:vertAlign w:val="subscript"/>
              </w:rPr>
              <w:t>2</w:t>
            </w:r>
            <w:r>
              <w:rPr>
                <w:sz w:val="24"/>
              </w:rPr>
              <w:t>——预测点距声源的距离，m；</w:t>
            </w:r>
          </w:p>
          <w:p>
            <w:pPr>
              <w:adjustRightInd w:val="0"/>
              <w:snapToGrid w:val="0"/>
              <w:spacing w:line="480" w:lineRule="exact"/>
              <w:ind w:firstLine="480" w:firstLineChars="200"/>
              <w:jc w:val="left"/>
              <w:rPr>
                <w:sz w:val="24"/>
              </w:rPr>
            </w:pPr>
            <w:r>
              <w:rPr>
                <w:sz w:val="24"/>
              </w:rPr>
              <w:t xml:space="preserve">      </w:t>
            </w:r>
            <w:r>
              <w:rPr>
                <w:i/>
                <w:iCs/>
                <w:sz w:val="24"/>
              </w:rPr>
              <w:t>r</w:t>
            </w:r>
            <w:r>
              <w:rPr>
                <w:sz w:val="24"/>
                <w:vertAlign w:val="subscript"/>
              </w:rPr>
              <w:t>i</w:t>
            </w:r>
            <w:r>
              <w:rPr>
                <w:sz w:val="24"/>
              </w:rPr>
              <w:t>——参考点距声源的距离，m；</w:t>
            </w:r>
          </w:p>
          <w:p>
            <w:pPr>
              <w:adjustRightInd w:val="0"/>
              <w:snapToGrid w:val="0"/>
              <w:spacing w:line="480" w:lineRule="exact"/>
              <w:ind w:firstLine="480" w:firstLineChars="200"/>
              <w:jc w:val="left"/>
              <w:rPr>
                <w:sz w:val="24"/>
              </w:rPr>
            </w:pPr>
            <w:r>
              <w:rPr>
                <w:sz w:val="24"/>
              </w:rPr>
              <w:t xml:space="preserve">      </w:t>
            </w:r>
            <w:r>
              <w:rPr>
                <w:rFonts w:hint="eastAsia" w:cs="宋体"/>
                <w:sz w:val="24"/>
              </w:rPr>
              <w:t>△</w:t>
            </w:r>
            <w:r>
              <w:rPr>
                <w:i/>
                <w:iCs/>
                <w:sz w:val="24"/>
              </w:rPr>
              <w:t>L</w:t>
            </w:r>
            <w:r>
              <w:rPr>
                <w:sz w:val="24"/>
              </w:rPr>
              <w:t>——各种因素引起的衰减量（包括声屏障、空气吸收等引起的衰减量），dB(A)。</w:t>
            </w:r>
          </w:p>
          <w:p>
            <w:pPr>
              <w:adjustRightInd w:val="0"/>
              <w:snapToGrid w:val="0"/>
              <w:spacing w:line="480" w:lineRule="exact"/>
              <w:ind w:firstLine="480" w:firstLineChars="200"/>
              <w:jc w:val="left"/>
              <w:rPr>
                <w:sz w:val="24"/>
              </w:rPr>
            </w:pPr>
            <w:r>
              <w:rPr>
                <w:sz w:val="24"/>
              </w:rPr>
              <w:t>对两个以上多个声源同时存在时，其预测点总声压级采用下面公式：</w:t>
            </w:r>
          </w:p>
          <w:p>
            <w:pPr>
              <w:adjustRightInd w:val="0"/>
              <w:snapToGrid w:val="0"/>
              <w:spacing w:line="480" w:lineRule="exact"/>
              <w:ind w:firstLine="480" w:firstLineChars="200"/>
              <w:jc w:val="center"/>
              <w:rPr>
                <w:sz w:val="24"/>
              </w:rPr>
            </w:pPr>
            <w:r>
              <w:rPr>
                <w:sz w:val="24"/>
              </w:rPr>
              <w:pict>
                <v:shape id="_x0000_i1027" o:spt="75" type="#_x0000_t75" style="height:20.95pt;width:96.2pt;" filled="f" o:preferrelative="t" stroked="f" coordsize="21600,21600">
                  <v:path/>
                  <v:fill on="f" focussize="0,0"/>
                  <v:stroke on="f" joinstyle="miter"/>
                  <v:imagedata r:id="rId12" o:title=""/>
                  <o:lock v:ext="edit" aspectratio="t"/>
                  <w10:wrap type="none"/>
                  <w10:anchorlock/>
                </v:shape>
              </w:pict>
            </w:r>
          </w:p>
          <w:p>
            <w:pPr>
              <w:adjustRightInd w:val="0"/>
              <w:snapToGrid w:val="0"/>
              <w:spacing w:line="480" w:lineRule="exact"/>
              <w:ind w:firstLine="480" w:firstLineChars="200"/>
              <w:jc w:val="left"/>
              <w:rPr>
                <w:sz w:val="24"/>
              </w:rPr>
            </w:pPr>
            <w:r>
              <w:rPr>
                <w:sz w:val="24"/>
              </w:rPr>
              <w:t>式中：</w:t>
            </w:r>
            <w:r>
              <w:rPr>
                <w:i/>
                <w:iCs/>
                <w:sz w:val="24"/>
              </w:rPr>
              <w:t>L</w:t>
            </w:r>
            <w:r>
              <w:rPr>
                <w:sz w:val="24"/>
                <w:vertAlign w:val="subscript"/>
              </w:rPr>
              <w:t>eq</w:t>
            </w:r>
            <w:r>
              <w:rPr>
                <w:sz w:val="24"/>
              </w:rPr>
              <w:t>——预测点的总等效声级，dB(A)；</w:t>
            </w:r>
          </w:p>
          <w:p>
            <w:pPr>
              <w:adjustRightInd w:val="0"/>
              <w:snapToGrid w:val="0"/>
              <w:spacing w:line="480" w:lineRule="exact"/>
              <w:ind w:firstLine="480" w:firstLineChars="200"/>
              <w:jc w:val="left"/>
              <w:rPr>
                <w:sz w:val="24"/>
              </w:rPr>
            </w:pPr>
            <w:r>
              <w:rPr>
                <w:sz w:val="24"/>
              </w:rPr>
              <w:t xml:space="preserve">      </w:t>
            </w:r>
            <w:r>
              <w:rPr>
                <w:i/>
                <w:iCs/>
                <w:sz w:val="24"/>
              </w:rPr>
              <w:t>L</w:t>
            </w:r>
            <w:r>
              <w:rPr>
                <w:sz w:val="24"/>
                <w:vertAlign w:val="subscript"/>
              </w:rPr>
              <w:t>i</w:t>
            </w:r>
            <w:r>
              <w:rPr>
                <w:sz w:val="24"/>
              </w:rPr>
              <w:t>——第i个声源对预测点的声级影响，dB(A)。</w:t>
            </w:r>
          </w:p>
          <w:p>
            <w:pPr>
              <w:adjustRightInd w:val="0"/>
              <w:snapToGrid w:val="0"/>
              <w:spacing w:line="480" w:lineRule="exact"/>
              <w:ind w:firstLine="480" w:firstLineChars="200"/>
              <w:jc w:val="left"/>
              <w:rPr>
                <w:sz w:val="24"/>
              </w:rPr>
            </w:pPr>
            <w:r>
              <w:rPr>
                <w:rFonts w:hint="eastAsia"/>
                <w:sz w:val="24"/>
              </w:rPr>
              <w:t>本项目作业安排于白天，夜间不生产，经计算，生产车间主要噪声设备经墙体隔声、距离衰减、设备基础减振后，厂界噪声均满足《工业企业厂界环境噪声排放标准》（GB 12348-2008）中3类标准，厂界</w:t>
            </w:r>
            <w:r>
              <w:rPr>
                <w:sz w:val="24"/>
              </w:rPr>
              <w:t>噪声预测结果详见表4-</w:t>
            </w:r>
            <w:r>
              <w:rPr>
                <w:rFonts w:hint="eastAsia"/>
                <w:sz w:val="24"/>
                <w:lang w:val="en-US" w:eastAsia="zh-CN"/>
              </w:rPr>
              <w:t>10</w:t>
            </w:r>
            <w:r>
              <w:rPr>
                <w:sz w:val="24"/>
              </w:rPr>
              <w:t>。</w:t>
            </w:r>
          </w:p>
          <w:p>
            <w:pPr>
              <w:jc w:val="center"/>
              <w:rPr>
                <w:b/>
                <w:bCs/>
                <w:szCs w:val="21"/>
              </w:rPr>
            </w:pPr>
            <w:r>
              <w:rPr>
                <w:b/>
                <w:bCs/>
                <w:szCs w:val="21"/>
              </w:rPr>
              <w:t>表4-</w:t>
            </w:r>
            <w:r>
              <w:rPr>
                <w:rFonts w:hint="eastAsia"/>
                <w:b/>
                <w:bCs/>
                <w:szCs w:val="21"/>
                <w:lang w:val="en-US" w:eastAsia="zh-CN"/>
              </w:rPr>
              <w:t>10</w:t>
            </w:r>
            <w:r>
              <w:rPr>
                <w:b/>
                <w:bCs/>
                <w:szCs w:val="21"/>
              </w:rPr>
              <w:t xml:space="preserve"> </w:t>
            </w:r>
            <w:r>
              <w:rPr>
                <w:rFonts w:hint="eastAsia"/>
                <w:b/>
                <w:bCs/>
                <w:szCs w:val="21"/>
              </w:rPr>
              <w:t xml:space="preserve"> </w:t>
            </w:r>
            <w:r>
              <w:rPr>
                <w:b/>
                <w:bCs/>
                <w:szCs w:val="21"/>
              </w:rPr>
              <w:t>项目噪声预测结果一览表</w:t>
            </w:r>
            <w:r>
              <w:rPr>
                <w:rFonts w:hint="eastAsia"/>
                <w:b/>
                <w:bCs/>
                <w:szCs w:val="21"/>
              </w:rPr>
              <w:t xml:space="preserve">   单位：Leq dB（A）</w:t>
            </w:r>
          </w:p>
          <w:bookmarkEnd w:id="23"/>
          <w:tbl>
            <w:tblPr>
              <w:tblStyle w:val="21"/>
              <w:tblW w:w="75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7"/>
              <w:gridCol w:w="1155"/>
              <w:gridCol w:w="1170"/>
              <w:gridCol w:w="1110"/>
              <w:gridCol w:w="1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jc w:val="center"/>
              </w:trPr>
              <w:tc>
                <w:tcPr>
                  <w:tcW w:w="3017" w:type="dxa"/>
                  <w:tcBorders>
                    <w:left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napToGrid w:val="0"/>
                    <w:spacing w:line="240" w:lineRule="auto"/>
                    <w:ind w:left="0" w:right="0"/>
                    <w:jc w:val="center"/>
                    <w:textAlignment w:val="auto"/>
                  </w:pPr>
                  <w:r>
                    <w:rPr>
                      <w:rFonts w:hint="eastAsia"/>
                      <w:lang w:val="en-US"/>
                    </w:rPr>
                    <w:t>项目</w:t>
                  </w:r>
                  <w:r>
                    <w:t>预测点</w:t>
                  </w:r>
                </w:p>
              </w:tc>
              <w:tc>
                <w:tcPr>
                  <w:tcW w:w="1155"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厂界东</w:t>
                  </w:r>
                </w:p>
              </w:tc>
              <w:tc>
                <w:tcPr>
                  <w:tcW w:w="117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厂界南</w:t>
                  </w:r>
                </w:p>
              </w:tc>
              <w:tc>
                <w:tcPr>
                  <w:tcW w:w="111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厂界西</w:t>
                  </w:r>
                </w:p>
              </w:tc>
              <w:tc>
                <w:tcPr>
                  <w:tcW w:w="1112"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厂界北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atLeast"/>
                <w:jc w:val="center"/>
              </w:trPr>
              <w:tc>
                <w:tcPr>
                  <w:tcW w:w="3017" w:type="dxa"/>
                  <w:tcBorders>
                    <w:right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噪声源强</w:t>
                  </w:r>
                </w:p>
              </w:tc>
              <w:tc>
                <w:tcPr>
                  <w:tcW w:w="4547" w:type="dxa"/>
                  <w:gridSpan w:val="4"/>
                  <w:tcBorders>
                    <w:left w:val="single" w:color="auto" w:sz="4" w:space="0"/>
                  </w:tcBorders>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3017"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主要噪声源与厂界距离</w:t>
                  </w:r>
                </w:p>
              </w:tc>
              <w:tc>
                <w:tcPr>
                  <w:tcW w:w="1155"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58</w:t>
                  </w:r>
                </w:p>
              </w:tc>
              <w:tc>
                <w:tcPr>
                  <w:tcW w:w="117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20</w:t>
                  </w:r>
                </w:p>
              </w:tc>
              <w:tc>
                <w:tcPr>
                  <w:tcW w:w="111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30</w:t>
                  </w:r>
                </w:p>
              </w:tc>
              <w:tc>
                <w:tcPr>
                  <w:tcW w:w="1112"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atLeast"/>
                <w:jc w:val="center"/>
              </w:trPr>
              <w:tc>
                <w:tcPr>
                  <w:tcW w:w="3017"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厂界贡献值</w:t>
                  </w:r>
                </w:p>
              </w:tc>
              <w:tc>
                <w:tcPr>
                  <w:tcW w:w="1155"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46.49</w:t>
                  </w:r>
                </w:p>
              </w:tc>
              <w:tc>
                <w:tcPr>
                  <w:tcW w:w="117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54.28</w:t>
                  </w:r>
                </w:p>
              </w:tc>
              <w:tc>
                <w:tcPr>
                  <w:tcW w:w="111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51.15</w:t>
                  </w:r>
                </w:p>
              </w:tc>
              <w:tc>
                <w:tcPr>
                  <w:tcW w:w="1112"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49.85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jc w:val="center"/>
              </w:trPr>
              <w:tc>
                <w:tcPr>
                  <w:tcW w:w="3017"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评价标准值</w:t>
                  </w:r>
                </w:p>
              </w:tc>
              <w:tc>
                <w:tcPr>
                  <w:tcW w:w="1155"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65</w:t>
                  </w:r>
                </w:p>
              </w:tc>
              <w:tc>
                <w:tcPr>
                  <w:tcW w:w="117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65</w:t>
                  </w:r>
                </w:p>
              </w:tc>
              <w:tc>
                <w:tcPr>
                  <w:tcW w:w="111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65</w:t>
                  </w:r>
                </w:p>
              </w:tc>
              <w:tc>
                <w:tcPr>
                  <w:tcW w:w="1112"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rPr>
                      <w:rFonts w:ascii="Times New Roman"/>
                    </w:rPr>
                  </w:pPr>
                  <w:r>
                    <w:rPr>
                      <w:rFonts w:ascii="Times New Roman"/>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jc w:val="center"/>
              </w:trPr>
              <w:tc>
                <w:tcPr>
                  <w:tcW w:w="3017"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达标情况</w:t>
                  </w:r>
                </w:p>
              </w:tc>
              <w:tc>
                <w:tcPr>
                  <w:tcW w:w="1155"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达标</w:t>
                  </w:r>
                </w:p>
              </w:tc>
              <w:tc>
                <w:tcPr>
                  <w:tcW w:w="117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达标</w:t>
                  </w:r>
                </w:p>
              </w:tc>
              <w:tc>
                <w:tcPr>
                  <w:tcW w:w="1110"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达标</w:t>
                  </w:r>
                </w:p>
              </w:tc>
              <w:tc>
                <w:tcPr>
                  <w:tcW w:w="1112" w:type="dxa"/>
                  <w:vAlign w:val="center"/>
                </w:tcPr>
                <w:p>
                  <w:pPr>
                    <w:pStyle w:val="59"/>
                    <w:keepNext w:val="0"/>
                    <w:keepLines w:val="0"/>
                    <w:pageBreakBefore w:val="0"/>
                    <w:widowControl w:val="0"/>
                    <w:kinsoku/>
                    <w:wordWrap/>
                    <w:overflowPunct/>
                    <w:topLinePunct w:val="0"/>
                    <w:autoSpaceDE/>
                    <w:autoSpaceDN/>
                    <w:bidi w:val="0"/>
                    <w:adjustRightInd/>
                    <w:spacing w:line="240" w:lineRule="auto"/>
                    <w:ind w:left="0" w:right="0"/>
                    <w:jc w:val="center"/>
                    <w:textAlignment w:val="auto"/>
                  </w:pPr>
                  <w:r>
                    <w:t>达标</w:t>
                  </w:r>
                </w:p>
              </w:tc>
            </w:tr>
          </w:tbl>
          <w:p>
            <w:pPr>
              <w:adjustRightInd w:val="0"/>
              <w:snapToGrid w:val="0"/>
              <w:spacing w:line="480" w:lineRule="exact"/>
              <w:ind w:firstLine="480" w:firstLineChars="200"/>
              <w:jc w:val="left"/>
              <w:rPr>
                <w:sz w:val="24"/>
              </w:rPr>
            </w:pPr>
            <w:r>
              <w:rPr>
                <w:sz w:val="24"/>
              </w:rPr>
              <w:t>由表4-</w:t>
            </w:r>
            <w:r>
              <w:rPr>
                <w:rFonts w:hint="eastAsia"/>
                <w:sz w:val="24"/>
              </w:rPr>
              <w:t>6</w:t>
            </w:r>
            <w:r>
              <w:rPr>
                <w:sz w:val="24"/>
              </w:rPr>
              <w:t>可知，在采取隔声、减振等措施的前提下，项目东、南、西、北侧厂界昼间噪声贡献值均满足《工业企业厂界环境噪声排放标准》(GB</w:t>
            </w:r>
            <w:r>
              <w:rPr>
                <w:rFonts w:hint="eastAsia"/>
                <w:sz w:val="24"/>
              </w:rPr>
              <w:t xml:space="preserve"> </w:t>
            </w:r>
            <w:r>
              <w:rPr>
                <w:sz w:val="24"/>
              </w:rPr>
              <w:t>12348-2008</w:t>
            </w:r>
            <w:r>
              <w:rPr>
                <w:rFonts w:hint="eastAsia"/>
                <w:sz w:val="24"/>
              </w:rPr>
              <w:t>)</w:t>
            </w:r>
            <w:r>
              <w:rPr>
                <w:sz w:val="24"/>
              </w:rPr>
              <w:t>中的</w:t>
            </w:r>
            <w:r>
              <w:rPr>
                <w:rFonts w:hint="eastAsia"/>
                <w:sz w:val="24"/>
              </w:rPr>
              <w:t>3</w:t>
            </w:r>
            <w:r>
              <w:rPr>
                <w:sz w:val="24"/>
              </w:rPr>
              <w:t>类标准限值要求。</w:t>
            </w:r>
          </w:p>
          <w:p>
            <w:pPr>
              <w:adjustRightInd w:val="0"/>
              <w:snapToGrid w:val="0"/>
              <w:spacing w:line="480" w:lineRule="exact"/>
              <w:ind w:firstLine="480" w:firstLineChars="200"/>
              <w:jc w:val="left"/>
              <w:rPr>
                <w:sz w:val="24"/>
              </w:rPr>
            </w:pPr>
            <w:r>
              <w:rPr>
                <w:sz w:val="24"/>
              </w:rPr>
              <w:t>为进一步减轻项目排放噪声，评价提出以下要求与建议：</w:t>
            </w:r>
          </w:p>
          <w:p>
            <w:pPr>
              <w:adjustRightInd w:val="0"/>
              <w:snapToGrid w:val="0"/>
              <w:spacing w:line="480" w:lineRule="exact"/>
              <w:ind w:firstLine="480" w:firstLineChars="200"/>
              <w:jc w:val="left"/>
              <w:rPr>
                <w:sz w:val="24"/>
              </w:rPr>
            </w:pPr>
            <w:r>
              <w:rPr>
                <w:rFonts w:hint="eastAsia" w:cs="宋体"/>
                <w:sz w:val="24"/>
              </w:rPr>
              <w:t>①</w:t>
            </w:r>
            <w:r>
              <w:rPr>
                <w:sz w:val="24"/>
              </w:rPr>
              <w:t>在设备选型时，选用满足标准的低噪声设备。</w:t>
            </w:r>
          </w:p>
          <w:p>
            <w:pPr>
              <w:adjustRightInd w:val="0"/>
              <w:snapToGrid w:val="0"/>
              <w:spacing w:line="480" w:lineRule="exact"/>
              <w:ind w:firstLine="480" w:firstLineChars="200"/>
              <w:jc w:val="left"/>
              <w:rPr>
                <w:sz w:val="24"/>
              </w:rPr>
            </w:pPr>
            <w:r>
              <w:rPr>
                <w:rFonts w:hint="eastAsia" w:cs="宋体"/>
                <w:sz w:val="24"/>
              </w:rPr>
              <w:t>②</w:t>
            </w:r>
            <w:r>
              <w:rPr>
                <w:sz w:val="24"/>
              </w:rPr>
              <w:t>对在室内运行的高噪声设备，应加装吸声隔声材料，并设置隔声操作室。</w:t>
            </w:r>
          </w:p>
          <w:p>
            <w:pPr>
              <w:adjustRightInd w:val="0"/>
              <w:snapToGrid w:val="0"/>
              <w:spacing w:line="480" w:lineRule="exact"/>
              <w:ind w:firstLine="480" w:firstLineChars="200"/>
              <w:jc w:val="left"/>
              <w:rPr>
                <w:sz w:val="24"/>
              </w:rPr>
            </w:pPr>
            <w:r>
              <w:rPr>
                <w:rFonts w:hint="eastAsia" w:cs="宋体"/>
                <w:sz w:val="24"/>
              </w:rPr>
              <w:t>③</w:t>
            </w:r>
            <w:r>
              <w:rPr>
                <w:sz w:val="24"/>
              </w:rPr>
              <w:t>加强管理，降低人为噪声。从管理方面看，可通过加强以下几方面工作，以减少设备噪声对周围声环境的污染。</w:t>
            </w:r>
          </w:p>
          <w:p>
            <w:pPr>
              <w:spacing w:line="480" w:lineRule="exact"/>
              <w:ind w:firstLine="480" w:firstLineChars="200"/>
              <w:rPr>
                <w:sz w:val="24"/>
              </w:rPr>
            </w:pPr>
            <w:r>
              <w:rPr>
                <w:sz w:val="24"/>
              </w:rPr>
              <w:t>Ⅰ</w:t>
            </w:r>
            <w:r>
              <w:rPr>
                <w:rFonts w:hint="eastAsia"/>
                <w:sz w:val="24"/>
              </w:rPr>
              <w:t>.</w:t>
            </w:r>
            <w:r>
              <w:rPr>
                <w:sz w:val="24"/>
              </w:rPr>
              <w:t>建立设备定期维护、保养的管理制度，以防止设备故障形成的非正常生产噪声。</w:t>
            </w:r>
          </w:p>
          <w:p>
            <w:pPr>
              <w:spacing w:line="480" w:lineRule="exact"/>
              <w:ind w:firstLine="480" w:firstLineChars="200"/>
              <w:rPr>
                <w:sz w:val="24"/>
              </w:rPr>
            </w:pPr>
            <w:r>
              <w:rPr>
                <w:sz w:val="24"/>
              </w:rPr>
              <w:t>Ⅱ</w:t>
            </w:r>
            <w:r>
              <w:rPr>
                <w:rFonts w:hint="eastAsia"/>
                <w:sz w:val="24"/>
              </w:rPr>
              <w:t>.</w:t>
            </w:r>
            <w:r>
              <w:rPr>
                <w:sz w:val="24"/>
              </w:rPr>
              <w:t>加强职工环保意识教育，提倡文明生产，防止人为噪声。</w:t>
            </w:r>
          </w:p>
          <w:p>
            <w:pPr>
              <w:spacing w:line="480" w:lineRule="exact"/>
              <w:ind w:firstLine="480" w:firstLineChars="200"/>
              <w:rPr>
                <w:sz w:val="24"/>
                <w:szCs w:val="20"/>
              </w:rPr>
            </w:pPr>
            <w:r>
              <w:rPr>
                <w:kern w:val="24"/>
                <w:sz w:val="24"/>
                <w:szCs w:val="20"/>
              </w:rPr>
              <w:t>（</w:t>
            </w:r>
            <w:r>
              <w:rPr>
                <w:rFonts w:hint="eastAsia"/>
                <w:sz w:val="24"/>
                <w:szCs w:val="20"/>
              </w:rPr>
              <w:t>3</w:t>
            </w:r>
            <w:r>
              <w:rPr>
                <w:sz w:val="24"/>
                <w:szCs w:val="20"/>
              </w:rPr>
              <w:t>）</w:t>
            </w:r>
            <w:r>
              <w:rPr>
                <w:rFonts w:hint="eastAsia"/>
                <w:sz w:val="24"/>
                <w:szCs w:val="20"/>
              </w:rPr>
              <w:t>噪声污染防治措施可行性分析</w:t>
            </w:r>
          </w:p>
          <w:p>
            <w:pPr>
              <w:spacing w:line="480" w:lineRule="exact"/>
              <w:ind w:firstLine="480" w:firstLineChars="200"/>
              <w:rPr>
                <w:sz w:val="24"/>
                <w:szCs w:val="20"/>
              </w:rPr>
            </w:pPr>
            <w:r>
              <w:rPr>
                <w:rFonts w:hint="eastAsia"/>
                <w:sz w:val="24"/>
                <w:szCs w:val="20"/>
              </w:rPr>
              <w:t>①生产设备噪声源分散布置在生产加工车间内，同时企业加强生产区域门窗的隔声性能，考虑到车间建筑门窗基本关闭情况，该车间的整体降噪能力可达20 dB(A)以上。</w:t>
            </w:r>
          </w:p>
          <w:p>
            <w:pPr>
              <w:spacing w:line="480" w:lineRule="exact"/>
              <w:ind w:firstLine="480" w:firstLineChars="200"/>
              <w:rPr>
                <w:sz w:val="24"/>
                <w:szCs w:val="20"/>
              </w:rPr>
            </w:pPr>
            <w:r>
              <w:rPr>
                <w:rFonts w:hint="eastAsia"/>
                <w:sz w:val="24"/>
                <w:szCs w:val="20"/>
              </w:rPr>
              <w:t>②合理布置车间内设备，避免设备之间的噪声叠加影响。</w:t>
            </w:r>
          </w:p>
          <w:p>
            <w:pPr>
              <w:spacing w:line="480" w:lineRule="exact"/>
              <w:ind w:firstLine="480" w:firstLineChars="200"/>
              <w:rPr>
                <w:sz w:val="24"/>
                <w:szCs w:val="20"/>
              </w:rPr>
            </w:pPr>
            <w:r>
              <w:rPr>
                <w:rFonts w:hint="eastAsia"/>
                <w:sz w:val="24"/>
                <w:szCs w:val="20"/>
              </w:rPr>
              <w:t>③选用低噪声设备，从源头控制噪声。</w:t>
            </w:r>
          </w:p>
          <w:p>
            <w:pPr>
              <w:spacing w:line="480" w:lineRule="exact"/>
              <w:ind w:firstLine="480" w:firstLineChars="200"/>
              <w:rPr>
                <w:sz w:val="24"/>
                <w:szCs w:val="20"/>
              </w:rPr>
            </w:pPr>
            <w:r>
              <w:rPr>
                <w:rFonts w:hint="eastAsia"/>
                <w:sz w:val="24"/>
                <w:szCs w:val="20"/>
              </w:rPr>
              <w:t>本项目机械噪声经过上述措施治理和距离衰减后，厂界噪声可达到《工业企业厂界环境噪声排放标准》(GB 12348-2008)中的3类标准要求。以上噪声治理措施容易实施，投资费用较少，因此措施是可行的。</w:t>
            </w:r>
          </w:p>
          <w:p>
            <w:pPr>
              <w:spacing w:line="480" w:lineRule="exact"/>
              <w:ind w:firstLine="480" w:firstLineChars="200"/>
              <w:rPr>
                <w:kern w:val="24"/>
                <w:sz w:val="24"/>
                <w:szCs w:val="20"/>
              </w:rPr>
            </w:pPr>
            <w:r>
              <w:rPr>
                <w:rFonts w:hint="eastAsia"/>
                <w:sz w:val="24"/>
                <w:szCs w:val="20"/>
              </w:rPr>
              <w:t>（4）</w:t>
            </w:r>
            <w:r>
              <w:rPr>
                <w:kern w:val="24"/>
                <w:sz w:val="24"/>
                <w:szCs w:val="20"/>
              </w:rPr>
              <w:t>噪声监测要求</w:t>
            </w:r>
          </w:p>
          <w:p>
            <w:pPr>
              <w:adjustRightInd w:val="0"/>
              <w:snapToGrid w:val="0"/>
              <w:spacing w:line="480" w:lineRule="exact"/>
              <w:ind w:firstLine="480" w:firstLineChars="200"/>
              <w:jc w:val="left"/>
              <w:rPr>
                <w:sz w:val="24"/>
              </w:rPr>
            </w:pPr>
            <w:r>
              <w:rPr>
                <w:rFonts w:hint="eastAsia"/>
                <w:sz w:val="24"/>
              </w:rPr>
              <w:t>按照《排污单位自行监测技术指南总则》，建设单位应开展环境噪声监测，</w:t>
            </w:r>
            <w:r>
              <w:rPr>
                <w:sz w:val="24"/>
              </w:rPr>
              <w:t>本项目噪声监测要求见表4-</w:t>
            </w:r>
            <w:r>
              <w:rPr>
                <w:rFonts w:hint="eastAsia"/>
                <w:sz w:val="24"/>
                <w:lang w:val="en-US" w:eastAsia="zh-CN"/>
              </w:rPr>
              <w:t>11</w:t>
            </w:r>
            <w:r>
              <w:rPr>
                <w:sz w:val="24"/>
              </w:rPr>
              <w:t>。</w:t>
            </w:r>
          </w:p>
          <w:p>
            <w:pPr>
              <w:jc w:val="center"/>
              <w:rPr>
                <w:b/>
                <w:bCs/>
                <w:szCs w:val="21"/>
              </w:rPr>
            </w:pPr>
            <w:r>
              <w:rPr>
                <w:b/>
                <w:bCs/>
                <w:szCs w:val="21"/>
              </w:rPr>
              <w:t>表4-</w:t>
            </w:r>
            <w:r>
              <w:rPr>
                <w:rFonts w:hint="eastAsia"/>
                <w:b/>
                <w:bCs/>
                <w:szCs w:val="21"/>
                <w:lang w:val="en-US" w:eastAsia="zh-CN"/>
              </w:rPr>
              <w:t>11</w:t>
            </w:r>
            <w:r>
              <w:rPr>
                <w:rFonts w:hint="eastAsia"/>
                <w:b/>
                <w:bCs/>
                <w:szCs w:val="21"/>
              </w:rPr>
              <w:t xml:space="preserve"> </w:t>
            </w:r>
            <w:r>
              <w:rPr>
                <w:b/>
                <w:bCs/>
                <w:szCs w:val="21"/>
              </w:rPr>
              <w:t xml:space="preserve"> 项目噪声监测要求一览表</w:t>
            </w:r>
          </w:p>
          <w:tbl>
            <w:tblPr>
              <w:tblStyle w:val="21"/>
              <w:tblW w:w="746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737"/>
              <w:gridCol w:w="1262"/>
              <w:gridCol w:w="1584"/>
              <w:gridCol w:w="1223"/>
              <w:gridCol w:w="2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76" w:hRule="atLeast"/>
                <w:jc w:val="center"/>
              </w:trPr>
              <w:tc>
                <w:tcPr>
                  <w:tcW w:w="737" w:type="dxa"/>
                  <w:vAlign w:val="center"/>
                </w:tcPr>
                <w:p>
                  <w:pPr>
                    <w:snapToGrid w:val="0"/>
                    <w:jc w:val="center"/>
                    <w:rPr>
                      <w:b/>
                      <w:bCs/>
                      <w:kern w:val="0"/>
                      <w:szCs w:val="21"/>
                    </w:rPr>
                  </w:pPr>
                  <w:r>
                    <w:rPr>
                      <w:b/>
                      <w:bCs/>
                      <w:kern w:val="0"/>
                      <w:szCs w:val="21"/>
                    </w:rPr>
                    <w:t>要素</w:t>
                  </w:r>
                </w:p>
              </w:tc>
              <w:tc>
                <w:tcPr>
                  <w:tcW w:w="1262" w:type="dxa"/>
                  <w:vAlign w:val="center"/>
                </w:tcPr>
                <w:p>
                  <w:pPr>
                    <w:snapToGrid w:val="0"/>
                    <w:jc w:val="center"/>
                    <w:rPr>
                      <w:b/>
                      <w:bCs/>
                      <w:kern w:val="0"/>
                      <w:szCs w:val="21"/>
                    </w:rPr>
                  </w:pPr>
                  <w:r>
                    <w:rPr>
                      <w:b/>
                      <w:bCs/>
                      <w:kern w:val="0"/>
                      <w:szCs w:val="21"/>
                    </w:rPr>
                    <w:t>监测点位</w:t>
                  </w:r>
                </w:p>
              </w:tc>
              <w:tc>
                <w:tcPr>
                  <w:tcW w:w="1584" w:type="dxa"/>
                  <w:vAlign w:val="center"/>
                </w:tcPr>
                <w:p>
                  <w:pPr>
                    <w:snapToGrid w:val="0"/>
                    <w:jc w:val="center"/>
                    <w:rPr>
                      <w:b/>
                      <w:bCs/>
                      <w:kern w:val="0"/>
                      <w:szCs w:val="21"/>
                    </w:rPr>
                  </w:pPr>
                  <w:r>
                    <w:rPr>
                      <w:b/>
                      <w:bCs/>
                      <w:kern w:val="0"/>
                      <w:szCs w:val="21"/>
                    </w:rPr>
                    <w:t>监测因子</w:t>
                  </w:r>
                </w:p>
              </w:tc>
              <w:tc>
                <w:tcPr>
                  <w:tcW w:w="1223" w:type="dxa"/>
                  <w:vAlign w:val="center"/>
                </w:tcPr>
                <w:p>
                  <w:pPr>
                    <w:snapToGrid w:val="0"/>
                    <w:jc w:val="center"/>
                    <w:rPr>
                      <w:b/>
                      <w:bCs/>
                      <w:kern w:val="0"/>
                      <w:szCs w:val="21"/>
                    </w:rPr>
                  </w:pPr>
                  <w:r>
                    <w:rPr>
                      <w:b/>
                      <w:bCs/>
                      <w:kern w:val="0"/>
                      <w:szCs w:val="21"/>
                    </w:rPr>
                    <w:t>监测频次</w:t>
                  </w:r>
                </w:p>
              </w:tc>
              <w:tc>
                <w:tcPr>
                  <w:tcW w:w="2663" w:type="dxa"/>
                  <w:vAlign w:val="center"/>
                </w:tcPr>
                <w:p>
                  <w:pPr>
                    <w:snapToGrid w:val="0"/>
                    <w:jc w:val="center"/>
                    <w:rPr>
                      <w:b/>
                      <w:bCs/>
                      <w:kern w:val="0"/>
                      <w:szCs w:val="21"/>
                    </w:rPr>
                  </w:pPr>
                  <w:r>
                    <w:rPr>
                      <w:b/>
                      <w:bCs/>
                      <w:kern w:val="0"/>
                      <w:szCs w:val="21"/>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9" w:hRule="atLeast"/>
                <w:jc w:val="center"/>
              </w:trPr>
              <w:tc>
                <w:tcPr>
                  <w:tcW w:w="737" w:type="dxa"/>
                  <w:vAlign w:val="center"/>
                </w:tcPr>
                <w:p>
                  <w:pPr>
                    <w:snapToGrid w:val="0"/>
                    <w:jc w:val="center"/>
                    <w:rPr>
                      <w:kern w:val="0"/>
                      <w:szCs w:val="21"/>
                    </w:rPr>
                  </w:pPr>
                  <w:r>
                    <w:rPr>
                      <w:kern w:val="0"/>
                      <w:szCs w:val="21"/>
                    </w:rPr>
                    <w:t>噪声</w:t>
                  </w:r>
                </w:p>
              </w:tc>
              <w:tc>
                <w:tcPr>
                  <w:tcW w:w="1262" w:type="dxa"/>
                  <w:vAlign w:val="center"/>
                </w:tcPr>
                <w:p>
                  <w:pPr>
                    <w:snapToGrid w:val="0"/>
                    <w:jc w:val="center"/>
                    <w:rPr>
                      <w:kern w:val="0"/>
                      <w:szCs w:val="21"/>
                    </w:rPr>
                  </w:pPr>
                  <w:r>
                    <w:rPr>
                      <w:rFonts w:hint="eastAsia"/>
                      <w:kern w:val="0"/>
                      <w:szCs w:val="21"/>
                    </w:rPr>
                    <w:t>项目厂界</w:t>
                  </w:r>
                  <w:r>
                    <w:rPr>
                      <w:kern w:val="0"/>
                      <w:szCs w:val="21"/>
                    </w:rPr>
                    <w:t>外</w:t>
                  </w:r>
                  <w:r>
                    <w:rPr>
                      <w:rFonts w:hint="eastAsia"/>
                      <w:kern w:val="0"/>
                      <w:szCs w:val="21"/>
                    </w:rPr>
                    <w:t>四周</w:t>
                  </w:r>
                </w:p>
              </w:tc>
              <w:tc>
                <w:tcPr>
                  <w:tcW w:w="1584" w:type="dxa"/>
                  <w:vAlign w:val="center"/>
                </w:tcPr>
                <w:p>
                  <w:pPr>
                    <w:snapToGrid w:val="0"/>
                    <w:jc w:val="center"/>
                    <w:rPr>
                      <w:kern w:val="0"/>
                      <w:szCs w:val="21"/>
                    </w:rPr>
                  </w:pPr>
                  <w:r>
                    <w:rPr>
                      <w:kern w:val="0"/>
                      <w:szCs w:val="21"/>
                    </w:rPr>
                    <w:t>连续等效A声级</w:t>
                  </w:r>
                </w:p>
              </w:tc>
              <w:tc>
                <w:tcPr>
                  <w:tcW w:w="1223" w:type="dxa"/>
                  <w:vAlign w:val="center"/>
                </w:tcPr>
                <w:p>
                  <w:pPr>
                    <w:snapToGrid w:val="0"/>
                    <w:jc w:val="center"/>
                    <w:rPr>
                      <w:kern w:val="0"/>
                      <w:szCs w:val="21"/>
                    </w:rPr>
                  </w:pPr>
                  <w:r>
                    <w:rPr>
                      <w:rFonts w:hint="eastAsia"/>
                      <w:kern w:val="0"/>
                      <w:szCs w:val="21"/>
                    </w:rPr>
                    <w:t>一季度</w:t>
                  </w:r>
                  <w:r>
                    <w:rPr>
                      <w:kern w:val="0"/>
                      <w:szCs w:val="21"/>
                    </w:rPr>
                    <w:t>一次</w:t>
                  </w:r>
                </w:p>
              </w:tc>
              <w:tc>
                <w:tcPr>
                  <w:tcW w:w="2663" w:type="dxa"/>
                  <w:vAlign w:val="center"/>
                </w:tcPr>
                <w:p>
                  <w:pPr>
                    <w:snapToGrid w:val="0"/>
                    <w:jc w:val="left"/>
                    <w:rPr>
                      <w:kern w:val="0"/>
                      <w:szCs w:val="21"/>
                    </w:rPr>
                  </w:pPr>
                  <w:r>
                    <w:rPr>
                      <w:kern w:val="0"/>
                      <w:szCs w:val="21"/>
                    </w:rPr>
                    <w:t>《工业企业厂界环境噪声排放标准》（GB</w:t>
                  </w:r>
                  <w:r>
                    <w:rPr>
                      <w:rFonts w:hint="eastAsia"/>
                      <w:kern w:val="0"/>
                      <w:szCs w:val="21"/>
                    </w:rPr>
                    <w:t xml:space="preserve"> </w:t>
                  </w:r>
                  <w:r>
                    <w:rPr>
                      <w:kern w:val="0"/>
                      <w:szCs w:val="21"/>
                    </w:rPr>
                    <w:t>12348-2008）</w:t>
                  </w:r>
                  <w:r>
                    <w:rPr>
                      <w:rFonts w:hint="eastAsia"/>
                      <w:kern w:val="0"/>
                      <w:szCs w:val="21"/>
                    </w:rPr>
                    <w:t>3</w:t>
                  </w:r>
                  <w:r>
                    <w:rPr>
                      <w:kern w:val="0"/>
                      <w:szCs w:val="21"/>
                    </w:rPr>
                    <w:t>类标准</w:t>
                  </w:r>
                </w:p>
              </w:tc>
            </w:tr>
          </w:tbl>
          <w:p>
            <w:pPr>
              <w:pStyle w:val="50"/>
              <w:autoSpaceDE/>
              <w:autoSpaceDN/>
              <w:adjustRightInd/>
              <w:spacing w:line="480" w:lineRule="exact"/>
              <w:jc w:val="both"/>
              <w:textAlignment w:val="auto"/>
              <w:rPr>
                <w:rFonts w:ascii="Times New Roman" w:hAnsi="Times New Roman"/>
                <w:b/>
                <w:u w:val="single"/>
              </w:rPr>
            </w:pPr>
            <w:r>
              <w:rPr>
                <w:rFonts w:hint="eastAsia" w:ascii="Times New Roman" w:hAnsi="Times New Roman"/>
                <w:b/>
              </w:rPr>
              <w:t>4.4</w:t>
            </w:r>
            <w:r>
              <w:rPr>
                <w:rFonts w:ascii="Times New Roman" w:hAnsi="Times New Roman"/>
                <w:b/>
              </w:rPr>
              <w:t>、</w:t>
            </w:r>
            <w:r>
              <w:rPr>
                <w:rFonts w:ascii="Times New Roman" w:hAnsi="Times New Roman"/>
                <w:b/>
                <w:u w:val="single"/>
              </w:rPr>
              <w:t>固体废物</w:t>
            </w:r>
          </w:p>
          <w:p>
            <w:pPr>
              <w:adjustRightInd w:val="0"/>
              <w:snapToGrid w:val="0"/>
              <w:spacing w:line="480" w:lineRule="exact"/>
              <w:ind w:firstLine="480" w:firstLineChars="200"/>
              <w:jc w:val="left"/>
              <w:rPr>
                <w:rFonts w:hint="eastAsia"/>
                <w:sz w:val="24"/>
                <w:u w:val="single"/>
              </w:rPr>
            </w:pPr>
            <w:r>
              <w:rPr>
                <w:rFonts w:hint="eastAsia"/>
                <w:sz w:val="24"/>
                <w:u w:val="single"/>
              </w:rPr>
              <w:t>（1）固体废物产生环节、产生量及排放方式</w:t>
            </w:r>
          </w:p>
          <w:p>
            <w:pPr>
              <w:adjustRightInd w:val="0"/>
              <w:snapToGrid w:val="0"/>
              <w:spacing w:line="480" w:lineRule="exact"/>
              <w:ind w:firstLine="480" w:firstLineChars="200"/>
              <w:jc w:val="left"/>
              <w:rPr>
                <w:sz w:val="24"/>
                <w:u w:val="single"/>
              </w:rPr>
            </w:pPr>
            <w:r>
              <w:rPr>
                <w:rFonts w:hint="eastAsia"/>
                <w:sz w:val="24"/>
                <w:u w:val="single"/>
              </w:rPr>
              <w:t>项目运营期固体废物主要是员工生活垃圾、废过滤网、废包装材料、废活性炭、废灯管</w:t>
            </w:r>
            <w:r>
              <w:rPr>
                <w:rFonts w:hint="eastAsia"/>
                <w:sz w:val="24"/>
                <w:u w:val="single"/>
                <w:lang w:eastAsia="zh-CN"/>
              </w:rPr>
              <w:t>、</w:t>
            </w:r>
            <w:r>
              <w:rPr>
                <w:rFonts w:hint="eastAsia"/>
                <w:sz w:val="24"/>
                <w:u w:val="single"/>
                <w:lang w:val="en-US" w:eastAsia="zh-CN"/>
              </w:rPr>
              <w:t>废机油</w:t>
            </w:r>
            <w:r>
              <w:rPr>
                <w:rFonts w:hint="eastAsia"/>
                <w:sz w:val="24"/>
                <w:u w:val="single"/>
              </w:rPr>
              <w:t>等危险废物。</w:t>
            </w:r>
          </w:p>
          <w:p>
            <w:pPr>
              <w:adjustRightInd w:val="0"/>
              <w:snapToGrid w:val="0"/>
              <w:spacing w:line="480" w:lineRule="exact"/>
              <w:ind w:firstLine="480" w:firstLineChars="200"/>
              <w:jc w:val="left"/>
              <w:rPr>
                <w:sz w:val="24"/>
                <w:u w:val="single"/>
              </w:rPr>
            </w:pPr>
            <w:r>
              <w:rPr>
                <w:rFonts w:hint="eastAsia"/>
                <w:sz w:val="24"/>
                <w:u w:val="single"/>
              </w:rPr>
              <w:t>1）生活垃圾</w:t>
            </w:r>
          </w:p>
          <w:p>
            <w:pPr>
              <w:adjustRightInd w:val="0"/>
              <w:snapToGrid w:val="0"/>
              <w:spacing w:line="480" w:lineRule="exact"/>
              <w:ind w:firstLine="480" w:firstLineChars="200"/>
              <w:jc w:val="left"/>
              <w:rPr>
                <w:sz w:val="24"/>
                <w:u w:val="single"/>
              </w:rPr>
            </w:pPr>
            <w:r>
              <w:rPr>
                <w:rFonts w:hint="eastAsia"/>
                <w:sz w:val="24"/>
                <w:u w:val="single"/>
              </w:rPr>
              <w:t>项目员工5人，均在厂内食宿，其员工生活垃圾按1 kg/人·d计，则人员生活垃圾产生量约5 kg/d，1.5 t/a，</w:t>
            </w:r>
            <w:bookmarkStart w:id="24" w:name="OLE_LINK24"/>
            <w:r>
              <w:rPr>
                <w:rFonts w:hint="eastAsia"/>
                <w:kern w:val="0"/>
                <w:sz w:val="24"/>
                <w:szCs w:val="21"/>
                <w:u w:val="single"/>
              </w:rPr>
              <w:t>设置生活垃圾收集箱，生活垃圾按指定地点堆放，并</w:t>
            </w:r>
            <w:r>
              <w:rPr>
                <w:rFonts w:hint="eastAsia"/>
                <w:sz w:val="24"/>
                <w:u w:val="single"/>
              </w:rPr>
              <w:t>委托当地环卫部门定期统一清运处理</w:t>
            </w:r>
            <w:bookmarkEnd w:id="24"/>
            <w:r>
              <w:rPr>
                <w:rFonts w:hint="eastAsia"/>
                <w:sz w:val="24"/>
                <w:u w:val="single"/>
              </w:rPr>
              <w:t>所产生的生活垃圾。</w:t>
            </w:r>
          </w:p>
          <w:p>
            <w:pPr>
              <w:spacing w:line="480" w:lineRule="exact"/>
              <w:ind w:firstLine="480" w:firstLineChars="200"/>
              <w:rPr>
                <w:rFonts w:cs="宋体"/>
                <w:sz w:val="24"/>
                <w:u w:val="single"/>
              </w:rPr>
            </w:pPr>
            <w:r>
              <w:rPr>
                <w:rFonts w:hint="eastAsia"/>
                <w:sz w:val="24"/>
                <w:u w:val="single"/>
              </w:rPr>
              <w:t>2）废包装材料</w:t>
            </w:r>
          </w:p>
          <w:p>
            <w:pPr>
              <w:spacing w:line="480" w:lineRule="exact"/>
              <w:ind w:firstLine="481"/>
              <w:rPr>
                <w:rFonts w:cs="宋体"/>
                <w:spacing w:val="-1"/>
                <w:sz w:val="24"/>
                <w:u w:val="single"/>
              </w:rPr>
            </w:pPr>
            <w:r>
              <w:rPr>
                <w:rFonts w:cs="宋体"/>
                <w:spacing w:val="-1"/>
                <w:sz w:val="24"/>
                <w:u w:val="single"/>
              </w:rPr>
              <w:t>根据建设单位提供的资料，本项目包装过程中产生的废包装材料约为</w:t>
            </w:r>
          </w:p>
          <w:p>
            <w:pPr>
              <w:spacing w:line="480" w:lineRule="exact"/>
              <w:rPr>
                <w:rFonts w:cs="宋体"/>
                <w:sz w:val="24"/>
                <w:u w:val="single"/>
              </w:rPr>
            </w:pPr>
            <w:r>
              <w:rPr>
                <w:rFonts w:cs="宋体"/>
                <w:spacing w:val="-1"/>
                <w:sz w:val="24"/>
                <w:u w:val="single"/>
              </w:rPr>
              <w:t>0.2t/a，为一般固体废物，固废代码为223-001-07，收集后外售综合利用。</w:t>
            </w:r>
          </w:p>
          <w:p>
            <w:pPr>
              <w:spacing w:line="480" w:lineRule="exact"/>
              <w:ind w:firstLine="480" w:firstLineChars="200"/>
              <w:rPr>
                <w:rFonts w:cs="宋体"/>
                <w:sz w:val="24"/>
                <w:u w:val="single"/>
              </w:rPr>
            </w:pPr>
            <w:r>
              <w:rPr>
                <w:rFonts w:hint="eastAsia"/>
                <w:sz w:val="24"/>
                <w:u w:val="single"/>
              </w:rPr>
              <w:t>3</w:t>
            </w:r>
            <w:r>
              <w:rPr>
                <w:rFonts w:cs="宋体"/>
                <w:sz w:val="24"/>
                <w:u w:val="single"/>
              </w:rPr>
              <w:t>)废过滤网</w:t>
            </w:r>
          </w:p>
          <w:p>
            <w:pPr>
              <w:spacing w:line="480" w:lineRule="exact"/>
              <w:ind w:firstLine="480" w:firstLineChars="200"/>
              <w:rPr>
                <w:rFonts w:cs="宋体"/>
                <w:sz w:val="24"/>
                <w:u w:val="single"/>
              </w:rPr>
            </w:pPr>
            <w:r>
              <w:rPr>
                <w:rFonts w:cs="宋体"/>
                <w:sz w:val="24"/>
                <w:u w:val="single"/>
              </w:rPr>
              <w:t>本项目热熔挤出工序造粒机所使用的滤网随着时间的延长，网眼会逐渐变小直至不能使用，需定期更换，废过滤网产生量为0.1t/a。根据《废塑料加工利用污染防治管理规定》（环境保护部、发展改革委、商务部联合公告2012年第55号）“废塑料加工利用单位应当以环境无害化方式处理废塑料加工利用过程产生的残余垃圾、滤网；禁止交不符合环保要求的单位或个人处置。禁止露天焚烧废塑料及加工利用过程产生的残余垃圾、滤网”。根据《国家危险废物名录》（2021版），废滤网不属于危险废物，为一般工业固体废物，固废代码为422-000-06，收集后交环卫部门统一处置</w:t>
            </w:r>
            <w:r>
              <w:rPr>
                <w:rFonts w:hint="eastAsia" w:cs="宋体"/>
                <w:sz w:val="24"/>
                <w:u w:val="single"/>
              </w:rPr>
              <w:t>。</w:t>
            </w:r>
          </w:p>
          <w:p>
            <w:pPr>
              <w:spacing w:line="480" w:lineRule="exact"/>
              <w:ind w:left="481"/>
              <w:rPr>
                <w:rFonts w:cs="宋体"/>
                <w:spacing w:val="-12"/>
                <w:sz w:val="24"/>
                <w:u w:val="single"/>
              </w:rPr>
            </w:pPr>
            <w:r>
              <w:rPr>
                <w:rFonts w:hint="eastAsia" w:cs="宋体"/>
                <w:spacing w:val="-12"/>
                <w:sz w:val="24"/>
                <w:u w:val="single"/>
              </w:rPr>
              <w:t>4)危险废物</w:t>
            </w:r>
          </w:p>
          <w:p>
            <w:pPr>
              <w:spacing w:line="480" w:lineRule="exact"/>
              <w:ind w:left="481"/>
              <w:rPr>
                <w:rFonts w:cs="宋体"/>
                <w:spacing w:val="-4"/>
                <w:sz w:val="24"/>
                <w:u w:val="single"/>
              </w:rPr>
            </w:pPr>
            <w:r>
              <w:rPr>
                <w:rFonts w:cs="宋体"/>
                <w:spacing w:val="-12"/>
                <w:sz w:val="24"/>
                <w:u w:val="single"/>
              </w:rPr>
              <w:t>①废活性炭</w:t>
            </w:r>
          </w:p>
          <w:p>
            <w:pPr>
              <w:spacing w:line="480" w:lineRule="exact"/>
              <w:ind w:firstLine="464" w:firstLineChars="200"/>
              <w:rPr>
                <w:rFonts w:cs="宋体"/>
                <w:spacing w:val="-4"/>
                <w:sz w:val="24"/>
                <w:u w:val="single"/>
              </w:rPr>
            </w:pPr>
            <w:r>
              <w:rPr>
                <w:rFonts w:hint="eastAsia" w:cs="宋体"/>
                <w:spacing w:val="-4"/>
                <w:sz w:val="24"/>
                <w:u w:val="single"/>
              </w:rPr>
              <w:t>1kg活性炭对有机废气吸附量一般在0.2-0.3kg，本项目取值0.3kg，根据计算项目有机废气活性炭去除量为</w:t>
            </w:r>
            <w:r>
              <w:rPr>
                <w:rFonts w:hint="eastAsia" w:cs="宋体"/>
                <w:spacing w:val="-4"/>
                <w:sz w:val="24"/>
                <w:u w:val="single"/>
                <w:lang w:val="en-US" w:eastAsia="zh-CN"/>
              </w:rPr>
              <w:t>0.84</w:t>
            </w:r>
            <w:r>
              <w:rPr>
                <w:rFonts w:hint="eastAsia" w:cs="宋体"/>
                <w:spacing w:val="-4"/>
                <w:sz w:val="24"/>
                <w:u w:val="single"/>
              </w:rPr>
              <w:t>t/a，则活性炭吸附用量为</w:t>
            </w:r>
            <w:r>
              <w:rPr>
                <w:rFonts w:hint="eastAsia" w:cs="宋体"/>
                <w:spacing w:val="-4"/>
                <w:sz w:val="24"/>
                <w:u w:val="single"/>
                <w:lang w:val="en-US" w:eastAsia="zh-CN"/>
              </w:rPr>
              <w:t>2.8</w:t>
            </w:r>
            <w:r>
              <w:rPr>
                <w:rFonts w:hint="eastAsia" w:cs="宋体"/>
                <w:spacing w:val="-4"/>
                <w:sz w:val="24"/>
                <w:u w:val="single"/>
              </w:rPr>
              <w:t>t/a，活性炭半年更换一次（具体可根据生产中实际废气处理饱和度情况及时更换，以免影响处理效率），则废活性炭产生量年为</w:t>
            </w:r>
            <w:r>
              <w:rPr>
                <w:rFonts w:hint="eastAsia" w:cs="宋体"/>
                <w:spacing w:val="-4"/>
                <w:sz w:val="24"/>
                <w:u w:val="single"/>
                <w:lang w:val="en-US" w:eastAsia="zh-CN"/>
              </w:rPr>
              <w:t>2.8</w:t>
            </w:r>
            <w:r>
              <w:rPr>
                <w:rFonts w:hint="eastAsia" w:cs="宋体"/>
                <w:spacing w:val="-4"/>
                <w:sz w:val="24"/>
                <w:u w:val="single"/>
              </w:rPr>
              <w:t>t/a。根据《国家危险废物名录》（2021年），分类编号为HW49其他废物 900-039-49 VOCs 治理过程（不包括餐饮行业油烟治理过程）产生的废活性炭。暂存于危险废物暂存间，委托有资质单位进行处理处置</w:t>
            </w:r>
            <w:r>
              <w:rPr>
                <w:rFonts w:cs="宋体"/>
                <w:spacing w:val="-4"/>
                <w:sz w:val="24"/>
                <w:u w:val="single"/>
              </w:rPr>
              <w:t>。</w:t>
            </w:r>
          </w:p>
          <w:p>
            <w:pPr>
              <w:pStyle w:val="27"/>
              <w:spacing w:line="480" w:lineRule="exact"/>
              <w:ind w:firstLine="472" w:firstLineChars="200"/>
              <w:rPr>
                <w:rFonts w:ascii="Times New Roman" w:hAnsi="Times New Roman"/>
                <w:color w:val="auto"/>
                <w:spacing w:val="-2"/>
                <w:kern w:val="2"/>
                <w:u w:val="single"/>
              </w:rPr>
            </w:pPr>
            <w:r>
              <w:rPr>
                <w:rFonts w:hint="eastAsia" w:ascii="Times New Roman" w:hAnsi="Times New Roman"/>
                <w:color w:val="auto"/>
                <w:spacing w:val="-2"/>
                <w:kern w:val="2"/>
                <w:u w:val="single"/>
              </w:rPr>
              <w:t>②废灯管</w:t>
            </w:r>
          </w:p>
          <w:p>
            <w:pPr>
              <w:pStyle w:val="27"/>
              <w:keepNext w:val="0"/>
              <w:keepLines w:val="0"/>
              <w:pageBreakBefore w:val="0"/>
              <w:widowControl w:val="0"/>
              <w:kinsoku/>
              <w:wordWrap/>
              <w:overflowPunct/>
              <w:topLinePunct w:val="0"/>
              <w:bidi w:val="0"/>
              <w:snapToGrid/>
              <w:spacing w:line="360" w:lineRule="auto"/>
              <w:ind w:firstLine="472" w:firstLineChars="200"/>
              <w:textAlignment w:val="auto"/>
              <w:rPr>
                <w:rFonts w:hint="default" w:ascii="Times New Roman" w:hAnsi="Times New Roman" w:cs="Times New Roman"/>
                <w:color w:val="auto"/>
                <w:spacing w:val="-2"/>
                <w:kern w:val="2"/>
                <w:sz w:val="24"/>
                <w:szCs w:val="24"/>
                <w:u w:val="single"/>
              </w:rPr>
            </w:pPr>
            <w:r>
              <w:rPr>
                <w:rFonts w:hint="eastAsia" w:ascii="Times New Roman" w:hAnsi="Times New Roman"/>
                <w:color w:val="auto"/>
                <w:spacing w:val="-2"/>
                <w:kern w:val="2"/>
                <w:u w:val="single"/>
              </w:rPr>
              <w:t>本项目</w:t>
            </w:r>
            <w:r>
              <w:rPr>
                <w:rFonts w:hint="eastAsia" w:ascii="Times New Roman" w:hAnsi="Times New Roman"/>
                <w:color w:val="auto"/>
                <w:spacing w:val="-2"/>
                <w:kern w:val="2"/>
                <w:u w:val="single"/>
                <w:lang w:val="en-US" w:eastAsia="zh-CN"/>
              </w:rPr>
              <w:t>有机</w:t>
            </w:r>
            <w:r>
              <w:rPr>
                <w:rFonts w:hint="eastAsia" w:ascii="Times New Roman" w:hAnsi="Times New Roman"/>
                <w:color w:val="auto"/>
                <w:spacing w:val="-2"/>
                <w:kern w:val="2"/>
                <w:u w:val="single"/>
              </w:rPr>
              <w:t>废气采用“UV 光氧催化+活性炭吸附”的工艺进行处理，光氧催化设备中涉及紫外灯管，考虑到设备使用寿命及破损情况，预计年产生废紫外灯管约20支，根据《国家危险废物名录》（2021年），废紫外灯管</w:t>
            </w:r>
            <w:r>
              <w:rPr>
                <w:rFonts w:hint="default" w:ascii="Times New Roman" w:hAnsi="Times New Roman" w:cs="Times New Roman"/>
                <w:color w:val="auto"/>
                <w:spacing w:val="-2"/>
                <w:kern w:val="2"/>
                <w:sz w:val="24"/>
                <w:szCs w:val="24"/>
                <w:u w:val="single"/>
              </w:rPr>
              <w:t>分类编号为HW29含汞废物900-023-29生产、销售及使用过程中产生的废含汞温度计、废含汞血压计、废含汞真空表和废含汞压力计。废紫外灯管收集后暂存于危险废物暂存间，交由有资质的单位处置。</w:t>
            </w:r>
          </w:p>
          <w:p>
            <w:pPr>
              <w:pStyle w:val="20"/>
              <w:keepNext w:val="0"/>
              <w:keepLines w:val="0"/>
              <w:pageBreakBefore w:val="0"/>
              <w:widowControl w:val="0"/>
              <w:kinsoku/>
              <w:wordWrap/>
              <w:overflowPunct/>
              <w:topLinePunct w:val="0"/>
              <w:bidi w:val="0"/>
              <w:snapToGrid/>
              <w:spacing w:after="0" w:line="360" w:lineRule="auto"/>
              <w:ind w:left="0" w:leftChars="0" w:firstLine="480" w:firstLineChars="200"/>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③废机油</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sz w:val="24"/>
                <w:szCs w:val="24"/>
                <w:u w:val="single"/>
                <w:lang w:val="en-US" w:eastAsia="zh-CN"/>
              </w:rPr>
            </w:pPr>
            <w:r>
              <w:rPr>
                <w:rFonts w:hint="default" w:ascii="Times New Roman" w:hAnsi="Times New Roman" w:cs="Times New Roman"/>
                <w:sz w:val="24"/>
                <w:szCs w:val="24"/>
                <w:u w:val="single"/>
                <w:lang w:val="en-US" w:eastAsia="zh-CN"/>
              </w:rPr>
              <w:t>项目生产设备检修过程中产生废机油，废机油产生量约为</w:t>
            </w:r>
            <w:r>
              <w:rPr>
                <w:rFonts w:hint="eastAsia" w:cs="Times New Roman"/>
                <w:sz w:val="24"/>
                <w:szCs w:val="24"/>
                <w:u w:val="single"/>
                <w:lang w:val="en-US" w:eastAsia="zh-CN"/>
              </w:rPr>
              <w:t>5</w:t>
            </w:r>
            <w:r>
              <w:rPr>
                <w:rFonts w:hint="default" w:ascii="Times New Roman" w:hAnsi="Times New Roman" w:cs="Times New Roman"/>
                <w:sz w:val="24"/>
                <w:szCs w:val="24"/>
                <w:u w:val="single"/>
                <w:lang w:val="en-US" w:eastAsia="zh-CN"/>
              </w:rPr>
              <w:t>0 kg/a，</w:t>
            </w:r>
            <w:r>
              <w:rPr>
                <w:rFonts w:hint="eastAsia" w:cs="Times New Roman"/>
                <w:sz w:val="24"/>
                <w:szCs w:val="24"/>
                <w:u w:val="single"/>
                <w:lang w:val="en-US" w:eastAsia="zh-CN"/>
              </w:rPr>
              <w:t>根据</w:t>
            </w:r>
            <w:r>
              <w:rPr>
                <w:rFonts w:hint="default" w:ascii="Times New Roman" w:hAnsi="Times New Roman" w:cs="Times New Roman"/>
                <w:sz w:val="24"/>
                <w:szCs w:val="24"/>
                <w:u w:val="single"/>
                <w:lang w:val="en-US" w:eastAsia="zh-CN"/>
              </w:rPr>
              <w:t>《国家危险废物名录（2021 年版）》，废机油为危险废物，属于</w:t>
            </w:r>
            <w:r>
              <w:rPr>
                <w:rFonts w:hint="eastAsia" w:cs="Times New Roman"/>
                <w:sz w:val="24"/>
                <w:szCs w:val="24"/>
                <w:u w:val="single"/>
                <w:lang w:val="en-US" w:eastAsia="zh-CN"/>
              </w:rPr>
              <w:t>“</w:t>
            </w:r>
            <w:r>
              <w:rPr>
                <w:rFonts w:hint="default" w:ascii="Times New Roman" w:hAnsi="Times New Roman" w:cs="Times New Roman"/>
                <w:sz w:val="24"/>
                <w:szCs w:val="24"/>
                <w:u w:val="single"/>
                <w:lang w:val="en-US" w:eastAsia="zh-CN"/>
              </w:rPr>
              <w:t>HW08 废矿物油与含矿物油废物”类别中“非特定行业 900-249-08：其他生产、销售、使用过程中产生的废矿物油与含矿物油废物</w:t>
            </w:r>
            <w:r>
              <w:rPr>
                <w:rFonts w:hint="eastAsia" w:cs="Times New Roman"/>
                <w:sz w:val="24"/>
                <w:szCs w:val="24"/>
                <w:u w:val="single"/>
                <w:lang w:val="en-US" w:eastAsia="zh-CN"/>
              </w:rPr>
              <w:t>”</w:t>
            </w:r>
            <w:r>
              <w:rPr>
                <w:rFonts w:hint="default" w:ascii="Times New Roman" w:hAnsi="Times New Roman" w:cs="Times New Roman"/>
                <w:sz w:val="24"/>
                <w:szCs w:val="24"/>
                <w:u w:val="single"/>
                <w:lang w:val="en-US" w:eastAsia="zh-CN"/>
              </w:rPr>
              <w:t>，暂存于厂内危废暂存间，定期交由有资质单位处理处置</w:t>
            </w:r>
          </w:p>
          <w:p>
            <w:pPr>
              <w:pStyle w:val="53"/>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kern w:val="2"/>
                <w:sz w:val="24"/>
                <w:szCs w:val="24"/>
                <w:u w:val="single"/>
              </w:rPr>
            </w:pPr>
            <w:r>
              <w:rPr>
                <w:rFonts w:hint="default" w:ascii="Times New Roman" w:hAnsi="Times New Roman" w:cs="Times New Roman"/>
                <w:color w:val="auto"/>
                <w:kern w:val="2"/>
                <w:sz w:val="24"/>
                <w:szCs w:val="24"/>
                <w:u w:val="single"/>
              </w:rPr>
              <w:t>根据《固体废物鉴别导则（试行）》和《国家危险废物名录 2021年版》等相关文件进行固体废物及危险废物的判定，本项目固体废物具体鉴别分析情况汇总于表 4-</w:t>
            </w:r>
            <w:r>
              <w:rPr>
                <w:rFonts w:hint="eastAsia" w:ascii="Times New Roman" w:hAnsi="Times New Roman" w:cs="Times New Roman"/>
                <w:color w:val="auto"/>
                <w:kern w:val="2"/>
                <w:sz w:val="24"/>
                <w:szCs w:val="24"/>
                <w:u w:val="single"/>
                <w:lang w:val="en-US" w:eastAsia="zh-CN"/>
              </w:rPr>
              <w:t>12</w:t>
            </w:r>
            <w:r>
              <w:rPr>
                <w:rFonts w:hint="eastAsia" w:ascii="Times New Roman" w:hAnsi="Times New Roman" w:cs="Times New Roman"/>
                <w:color w:val="auto"/>
                <w:kern w:val="2"/>
                <w:sz w:val="24"/>
                <w:szCs w:val="24"/>
                <w:u w:val="single"/>
                <w:lang w:eastAsia="zh-CN"/>
              </w:rPr>
              <w:t>、</w:t>
            </w:r>
            <w:r>
              <w:rPr>
                <w:rFonts w:hint="eastAsia" w:ascii="Times New Roman" w:hAnsi="Times New Roman" w:cs="Times New Roman"/>
                <w:color w:val="auto"/>
                <w:kern w:val="2"/>
                <w:sz w:val="24"/>
                <w:szCs w:val="24"/>
                <w:u w:val="single"/>
                <w:lang w:val="en-US" w:eastAsia="zh-CN"/>
              </w:rPr>
              <w:t>4-13</w:t>
            </w:r>
            <w:r>
              <w:rPr>
                <w:rFonts w:hint="default" w:ascii="Times New Roman" w:hAnsi="Times New Roman" w:cs="Times New Roman"/>
                <w:color w:val="auto"/>
                <w:kern w:val="2"/>
                <w:sz w:val="24"/>
                <w:szCs w:val="24"/>
                <w:u w:val="single"/>
              </w:rPr>
              <w:t>。</w:t>
            </w:r>
          </w:p>
          <w:p>
            <w:pPr>
              <w:pStyle w:val="53"/>
              <w:keepNext w:val="0"/>
              <w:keepLines w:val="0"/>
              <w:pageBreakBefore w:val="0"/>
              <w:widowControl w:val="0"/>
              <w:kinsoku/>
              <w:wordWrap/>
              <w:overflowPunct/>
              <w:topLinePunct w:val="0"/>
              <w:bidi w:val="0"/>
              <w:snapToGrid/>
              <w:spacing w:line="240" w:lineRule="auto"/>
              <w:jc w:val="center"/>
              <w:textAlignment w:val="auto"/>
              <w:rPr>
                <w:b/>
                <w:bCs/>
                <w:color w:val="000000"/>
                <w:sz w:val="21"/>
                <w:szCs w:val="21"/>
                <w:u w:val="single"/>
              </w:rPr>
            </w:pPr>
            <w:r>
              <w:rPr>
                <w:b/>
                <w:bCs/>
                <w:color w:val="000000"/>
                <w:sz w:val="21"/>
                <w:szCs w:val="21"/>
                <w:u w:val="single"/>
              </w:rPr>
              <w:t>表4-</w:t>
            </w:r>
            <w:r>
              <w:rPr>
                <w:rFonts w:hint="eastAsia"/>
                <w:b/>
                <w:bCs/>
                <w:color w:val="000000"/>
                <w:sz w:val="21"/>
                <w:szCs w:val="21"/>
                <w:u w:val="single"/>
                <w:lang w:val="en-US" w:eastAsia="zh-CN"/>
              </w:rPr>
              <w:t>12</w:t>
            </w:r>
            <w:r>
              <w:rPr>
                <w:b/>
                <w:bCs/>
                <w:color w:val="000000"/>
                <w:sz w:val="21"/>
                <w:szCs w:val="21"/>
                <w:u w:val="single"/>
              </w:rPr>
              <w:t xml:space="preserve">  项目</w:t>
            </w:r>
            <w:r>
              <w:rPr>
                <w:rFonts w:hint="eastAsia"/>
                <w:b/>
                <w:bCs/>
                <w:color w:val="000000"/>
                <w:sz w:val="21"/>
                <w:szCs w:val="21"/>
                <w:u w:val="single"/>
              </w:rPr>
              <w:t>一般固废</w:t>
            </w:r>
            <w:r>
              <w:rPr>
                <w:b/>
                <w:bCs/>
                <w:color w:val="000000"/>
                <w:sz w:val="21"/>
                <w:szCs w:val="21"/>
                <w:u w:val="single"/>
              </w:rPr>
              <w:t>产生情况及治理措施一览表</w:t>
            </w:r>
          </w:p>
          <w:tbl>
            <w:tblPr>
              <w:tblStyle w:val="21"/>
              <w:tblW w:w="75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14"/>
              <w:gridCol w:w="1334"/>
              <w:gridCol w:w="623"/>
              <w:gridCol w:w="995"/>
              <w:gridCol w:w="735"/>
              <w:gridCol w:w="924"/>
              <w:gridCol w:w="1595"/>
              <w:gridCol w:w="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000000"/>
                      <w:sz w:val="18"/>
                      <w:szCs w:val="18"/>
                      <w:u w:val="single"/>
                    </w:rPr>
                  </w:pPr>
                  <w:r>
                    <w:rPr>
                      <w:color w:val="000000"/>
                      <w:sz w:val="18"/>
                      <w:szCs w:val="18"/>
                      <w:u w:val="single"/>
                    </w:rPr>
                    <w:t>序号</w:t>
                  </w:r>
                </w:p>
              </w:tc>
              <w:tc>
                <w:tcPr>
                  <w:tcW w:w="1334" w:type="dxa"/>
                  <w:tcBorders>
                    <w:top w:val="single" w:color="000000" w:sz="4" w:space="0"/>
                    <w:left w:val="nil"/>
                    <w:bottom w:val="single" w:color="000000" w:sz="4" w:space="0"/>
                    <w:right w:val="single" w:color="000000" w:sz="4" w:space="0"/>
                  </w:tcBorders>
                  <w:vAlign w:val="center"/>
                </w:tcPr>
                <w:p>
                  <w:pPr>
                    <w:spacing w:line="400" w:lineRule="exact"/>
                    <w:jc w:val="center"/>
                    <w:rPr>
                      <w:color w:val="000000"/>
                      <w:sz w:val="18"/>
                      <w:szCs w:val="18"/>
                      <w:u w:val="single"/>
                    </w:rPr>
                  </w:pPr>
                  <w:r>
                    <w:rPr>
                      <w:color w:val="000000"/>
                      <w:sz w:val="18"/>
                      <w:szCs w:val="18"/>
                      <w:u w:val="single"/>
                    </w:rPr>
                    <w:t>固废名称</w:t>
                  </w:r>
                </w:p>
              </w:tc>
              <w:tc>
                <w:tcPr>
                  <w:tcW w:w="623" w:type="dxa"/>
                  <w:tcBorders>
                    <w:top w:val="single" w:color="000000" w:sz="4" w:space="0"/>
                    <w:left w:val="nil"/>
                    <w:bottom w:val="single" w:color="000000" w:sz="4" w:space="0"/>
                    <w:right w:val="single" w:color="000000" w:sz="4" w:space="0"/>
                  </w:tcBorders>
                  <w:vAlign w:val="center"/>
                </w:tcPr>
                <w:p>
                  <w:pPr>
                    <w:spacing w:line="400" w:lineRule="exact"/>
                    <w:jc w:val="center"/>
                    <w:rPr>
                      <w:color w:val="000000"/>
                      <w:sz w:val="18"/>
                      <w:szCs w:val="18"/>
                      <w:u w:val="single"/>
                    </w:rPr>
                  </w:pPr>
                  <w:r>
                    <w:rPr>
                      <w:color w:val="000000"/>
                      <w:sz w:val="18"/>
                      <w:szCs w:val="18"/>
                      <w:u w:val="single"/>
                    </w:rPr>
                    <w:t>性质</w:t>
                  </w:r>
                </w:p>
              </w:tc>
              <w:tc>
                <w:tcPr>
                  <w:tcW w:w="995" w:type="dxa"/>
                  <w:tcBorders>
                    <w:top w:val="single" w:color="000000" w:sz="4" w:space="0"/>
                    <w:left w:val="nil"/>
                    <w:bottom w:val="single" w:color="000000" w:sz="4" w:space="0"/>
                    <w:right w:val="single" w:color="auto" w:sz="4" w:space="0"/>
                  </w:tcBorders>
                  <w:vAlign w:val="center"/>
                </w:tcPr>
                <w:p>
                  <w:pPr>
                    <w:spacing w:line="400" w:lineRule="exact"/>
                    <w:jc w:val="center"/>
                    <w:rPr>
                      <w:color w:val="000000"/>
                      <w:sz w:val="18"/>
                      <w:szCs w:val="18"/>
                      <w:u w:val="single"/>
                    </w:rPr>
                  </w:pPr>
                  <w:r>
                    <w:rPr>
                      <w:rFonts w:hint="eastAsia"/>
                      <w:color w:val="000000"/>
                      <w:sz w:val="18"/>
                      <w:szCs w:val="18"/>
                      <w:u w:val="single"/>
                    </w:rPr>
                    <w:t>分类编号</w:t>
                  </w:r>
                  <w:r>
                    <w:rPr>
                      <w:rFonts w:hint="eastAsia"/>
                      <w:color w:val="000000"/>
                      <w:sz w:val="18"/>
                      <w:szCs w:val="18"/>
                      <w:u w:val="single"/>
                      <w:vertAlign w:val="superscript"/>
                    </w:rPr>
                    <w:t>①</w:t>
                  </w:r>
                </w:p>
              </w:tc>
              <w:tc>
                <w:tcPr>
                  <w:tcW w:w="735"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性状</w:t>
                  </w:r>
                </w:p>
              </w:tc>
              <w:tc>
                <w:tcPr>
                  <w:tcW w:w="924" w:type="dxa"/>
                  <w:tcBorders>
                    <w:top w:val="single" w:color="000000" w:sz="4" w:space="0"/>
                    <w:left w:val="nil"/>
                    <w:bottom w:val="single" w:color="000000" w:sz="4" w:space="0"/>
                    <w:right w:val="single" w:color="000000" w:sz="4" w:space="0"/>
                  </w:tcBorders>
                  <w:vAlign w:val="center"/>
                </w:tcPr>
                <w:p>
                  <w:pPr>
                    <w:spacing w:line="400" w:lineRule="exact"/>
                    <w:jc w:val="center"/>
                    <w:rPr>
                      <w:color w:val="000000"/>
                      <w:sz w:val="18"/>
                      <w:szCs w:val="18"/>
                      <w:u w:val="single"/>
                    </w:rPr>
                  </w:pPr>
                  <w:r>
                    <w:rPr>
                      <w:color w:val="000000"/>
                      <w:sz w:val="18"/>
                      <w:szCs w:val="18"/>
                      <w:u w:val="single"/>
                    </w:rPr>
                    <w:t>产生量</w:t>
                  </w:r>
                </w:p>
                <w:p>
                  <w:pPr>
                    <w:spacing w:line="400" w:lineRule="exact"/>
                    <w:jc w:val="center"/>
                    <w:rPr>
                      <w:color w:val="000000"/>
                      <w:sz w:val="18"/>
                      <w:szCs w:val="18"/>
                      <w:u w:val="single"/>
                    </w:rPr>
                  </w:pPr>
                  <w:r>
                    <w:rPr>
                      <w:color w:val="000000"/>
                      <w:sz w:val="18"/>
                      <w:szCs w:val="18"/>
                      <w:u w:val="single"/>
                    </w:rPr>
                    <w:t>（t/a）</w:t>
                  </w:r>
                </w:p>
              </w:tc>
              <w:tc>
                <w:tcPr>
                  <w:tcW w:w="1595" w:type="dxa"/>
                  <w:tcBorders>
                    <w:top w:val="single" w:color="000000" w:sz="4" w:space="0"/>
                    <w:left w:val="nil"/>
                    <w:bottom w:val="single" w:color="000000" w:sz="4" w:space="0"/>
                    <w:right w:val="single" w:color="auto" w:sz="4" w:space="0"/>
                  </w:tcBorders>
                  <w:vAlign w:val="center"/>
                </w:tcPr>
                <w:p>
                  <w:pPr>
                    <w:spacing w:line="400" w:lineRule="exact"/>
                    <w:jc w:val="center"/>
                    <w:rPr>
                      <w:color w:val="000000"/>
                      <w:sz w:val="18"/>
                      <w:szCs w:val="18"/>
                      <w:u w:val="single"/>
                    </w:rPr>
                  </w:pPr>
                  <w:r>
                    <w:rPr>
                      <w:color w:val="000000"/>
                      <w:sz w:val="18"/>
                      <w:szCs w:val="18"/>
                      <w:u w:val="single"/>
                    </w:rPr>
                    <w:t>治理措施</w:t>
                  </w:r>
                </w:p>
              </w:tc>
              <w:tc>
                <w:tcPr>
                  <w:tcW w:w="73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排放量</w:t>
                  </w:r>
                </w:p>
                <w:p>
                  <w:pPr>
                    <w:spacing w:line="400" w:lineRule="exact"/>
                    <w:jc w:val="center"/>
                    <w:rPr>
                      <w:color w:val="000000"/>
                      <w:sz w:val="18"/>
                      <w:szCs w:val="18"/>
                      <w:u w:val="single"/>
                    </w:rPr>
                  </w:pPr>
                  <w:r>
                    <w:rPr>
                      <w:rFonts w:hint="eastAsia"/>
                      <w:color w:val="000000"/>
                      <w:sz w:val="18"/>
                      <w:szCs w:val="18"/>
                      <w:u w:val="single"/>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000000"/>
                      <w:sz w:val="18"/>
                      <w:szCs w:val="18"/>
                      <w:u w:val="single"/>
                    </w:rPr>
                  </w:pPr>
                  <w:r>
                    <w:rPr>
                      <w:color w:val="000000"/>
                      <w:sz w:val="18"/>
                      <w:szCs w:val="18"/>
                      <w:u w:val="single"/>
                    </w:rPr>
                    <w:t>1</w:t>
                  </w:r>
                </w:p>
              </w:tc>
              <w:tc>
                <w:tcPr>
                  <w:tcW w:w="1334" w:type="dxa"/>
                  <w:tcBorders>
                    <w:top w:val="single" w:color="000000" w:sz="4" w:space="0"/>
                    <w:left w:val="nil"/>
                    <w:bottom w:val="single" w:color="000000"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废包装材料</w:t>
                  </w:r>
                </w:p>
              </w:tc>
              <w:tc>
                <w:tcPr>
                  <w:tcW w:w="623" w:type="dxa"/>
                  <w:vMerge w:val="restart"/>
                  <w:tcBorders>
                    <w:top w:val="nil"/>
                    <w:left w:val="nil"/>
                    <w:right w:val="single" w:color="000000" w:sz="4" w:space="0"/>
                  </w:tcBorders>
                  <w:vAlign w:val="center"/>
                </w:tcPr>
                <w:p>
                  <w:pPr>
                    <w:spacing w:line="400" w:lineRule="exact"/>
                    <w:jc w:val="center"/>
                    <w:rPr>
                      <w:color w:val="000000"/>
                      <w:sz w:val="18"/>
                      <w:szCs w:val="18"/>
                      <w:u w:val="single"/>
                    </w:rPr>
                  </w:pPr>
                  <w:r>
                    <w:rPr>
                      <w:color w:val="000000"/>
                      <w:sz w:val="18"/>
                      <w:szCs w:val="18"/>
                      <w:u w:val="single"/>
                    </w:rPr>
                    <w:t>一般</w:t>
                  </w:r>
                </w:p>
                <w:p>
                  <w:pPr>
                    <w:spacing w:line="400" w:lineRule="exact"/>
                    <w:jc w:val="center"/>
                    <w:rPr>
                      <w:color w:val="000000"/>
                      <w:sz w:val="18"/>
                      <w:szCs w:val="18"/>
                      <w:u w:val="single"/>
                    </w:rPr>
                  </w:pPr>
                  <w:r>
                    <w:rPr>
                      <w:color w:val="000000"/>
                      <w:sz w:val="18"/>
                      <w:szCs w:val="18"/>
                      <w:u w:val="single"/>
                    </w:rPr>
                    <w:t>固废</w:t>
                  </w:r>
                </w:p>
              </w:tc>
              <w:tc>
                <w:tcPr>
                  <w:tcW w:w="995" w:type="dxa"/>
                  <w:tcBorders>
                    <w:top w:val="single" w:color="000000" w:sz="4" w:space="0"/>
                    <w:left w:val="nil"/>
                    <w:bottom w:val="single" w:color="000000" w:sz="4" w:space="0"/>
                    <w:right w:val="single" w:color="auto" w:sz="4" w:space="0"/>
                  </w:tcBorders>
                  <w:vAlign w:val="center"/>
                </w:tcPr>
                <w:p>
                  <w:pPr>
                    <w:spacing w:line="400" w:lineRule="exact"/>
                    <w:jc w:val="center"/>
                    <w:rPr>
                      <w:color w:val="000000"/>
                      <w:sz w:val="18"/>
                      <w:szCs w:val="18"/>
                      <w:u w:val="single"/>
                    </w:rPr>
                  </w:pPr>
                  <w:r>
                    <w:rPr>
                      <w:rFonts w:hint="eastAsia"/>
                      <w:color w:val="000000"/>
                      <w:sz w:val="18"/>
                      <w:szCs w:val="18"/>
                      <w:u w:val="single"/>
                    </w:rPr>
                    <w:t>2</w:t>
                  </w:r>
                  <w:r>
                    <w:rPr>
                      <w:color w:val="000000"/>
                      <w:sz w:val="18"/>
                      <w:szCs w:val="18"/>
                      <w:u w:val="single"/>
                    </w:rPr>
                    <w:t>23</w:t>
                  </w:r>
                  <w:r>
                    <w:rPr>
                      <w:rFonts w:hint="eastAsia"/>
                      <w:color w:val="000000"/>
                      <w:sz w:val="18"/>
                      <w:szCs w:val="18"/>
                      <w:u w:val="single"/>
                    </w:rPr>
                    <w:t>-</w:t>
                  </w:r>
                  <w:r>
                    <w:rPr>
                      <w:color w:val="000000"/>
                      <w:sz w:val="18"/>
                      <w:szCs w:val="18"/>
                      <w:u w:val="single"/>
                    </w:rPr>
                    <w:t>001</w:t>
                  </w:r>
                  <w:r>
                    <w:rPr>
                      <w:rFonts w:hint="eastAsia"/>
                      <w:color w:val="000000"/>
                      <w:sz w:val="18"/>
                      <w:szCs w:val="18"/>
                      <w:u w:val="single"/>
                    </w:rPr>
                    <w:t>-</w:t>
                  </w:r>
                  <w:r>
                    <w:rPr>
                      <w:color w:val="000000"/>
                      <w:sz w:val="18"/>
                      <w:szCs w:val="18"/>
                      <w:u w:val="single"/>
                    </w:rPr>
                    <w:t>07</w:t>
                  </w:r>
                </w:p>
              </w:tc>
              <w:tc>
                <w:tcPr>
                  <w:tcW w:w="735" w:type="dxa"/>
                  <w:vMerge w:val="restart"/>
                  <w:tcBorders>
                    <w:top w:val="single" w:color="000000" w:sz="4" w:space="0"/>
                    <w:left w:val="single" w:color="auto"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固体</w:t>
                  </w:r>
                </w:p>
              </w:tc>
              <w:tc>
                <w:tcPr>
                  <w:tcW w:w="924" w:type="dxa"/>
                  <w:tcBorders>
                    <w:top w:val="single" w:color="000000" w:sz="4" w:space="0"/>
                    <w:left w:val="nil"/>
                    <w:bottom w:val="single" w:color="000000"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0.2</w:t>
                  </w:r>
                </w:p>
              </w:tc>
              <w:tc>
                <w:tcPr>
                  <w:tcW w:w="1595" w:type="dxa"/>
                  <w:vMerge w:val="restart"/>
                  <w:tcBorders>
                    <w:top w:val="nil"/>
                    <w:left w:val="nil"/>
                    <w:right w:val="single" w:color="auto" w:sz="4" w:space="0"/>
                  </w:tcBorders>
                  <w:vAlign w:val="center"/>
                </w:tcPr>
                <w:p>
                  <w:pPr>
                    <w:spacing w:line="400" w:lineRule="exact"/>
                    <w:jc w:val="left"/>
                    <w:rPr>
                      <w:color w:val="000000"/>
                      <w:sz w:val="18"/>
                      <w:szCs w:val="18"/>
                      <w:u w:val="single"/>
                    </w:rPr>
                  </w:pPr>
                  <w:r>
                    <w:rPr>
                      <w:color w:val="000000"/>
                      <w:sz w:val="18"/>
                      <w:szCs w:val="18"/>
                      <w:u w:val="single"/>
                    </w:rPr>
                    <w:t>妥善收集至一般固废暂存区后定期外售</w:t>
                  </w:r>
                </w:p>
              </w:tc>
              <w:tc>
                <w:tcPr>
                  <w:tcW w:w="738" w:type="dxa"/>
                  <w:tcBorders>
                    <w:top w:val="nil"/>
                    <w:left w:val="single" w:color="auto" w:sz="4" w:space="0"/>
                    <w:bottom w:val="single" w:color="000000"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2</w:t>
                  </w:r>
                </w:p>
              </w:tc>
              <w:tc>
                <w:tcPr>
                  <w:tcW w:w="133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eastAsia="宋体"/>
                      <w:color w:val="000000"/>
                      <w:sz w:val="18"/>
                      <w:szCs w:val="18"/>
                      <w:u w:val="single"/>
                      <w:lang w:eastAsia="zh-CN"/>
                    </w:rPr>
                  </w:pPr>
                  <w:r>
                    <w:rPr>
                      <w:rFonts w:hint="eastAsia"/>
                      <w:color w:val="000000"/>
                      <w:sz w:val="18"/>
                      <w:szCs w:val="18"/>
                      <w:u w:val="single"/>
                      <w:lang w:eastAsia="zh-CN"/>
                    </w:rPr>
                    <w:t>废过滤网</w:t>
                  </w:r>
                </w:p>
              </w:tc>
              <w:tc>
                <w:tcPr>
                  <w:tcW w:w="623" w:type="dxa"/>
                  <w:vMerge w:val="continue"/>
                  <w:tcBorders>
                    <w:left w:val="nil"/>
                    <w:right w:val="single" w:color="000000" w:sz="4" w:space="0"/>
                  </w:tcBorders>
                  <w:vAlign w:val="center"/>
                </w:tcPr>
                <w:p>
                  <w:pPr>
                    <w:spacing w:line="400" w:lineRule="exact"/>
                    <w:jc w:val="center"/>
                    <w:rPr>
                      <w:color w:val="000000"/>
                      <w:sz w:val="18"/>
                      <w:szCs w:val="18"/>
                      <w:u w:val="single"/>
                    </w:rPr>
                  </w:pPr>
                </w:p>
              </w:tc>
              <w:tc>
                <w:tcPr>
                  <w:tcW w:w="995" w:type="dxa"/>
                  <w:tcBorders>
                    <w:top w:val="single" w:color="000000" w:sz="4" w:space="0"/>
                    <w:left w:val="nil"/>
                    <w:bottom w:val="single" w:color="000000" w:sz="4" w:space="0"/>
                    <w:right w:val="single" w:color="auto" w:sz="4" w:space="0"/>
                  </w:tcBorders>
                  <w:vAlign w:val="center"/>
                </w:tcPr>
                <w:p>
                  <w:pPr>
                    <w:spacing w:line="400" w:lineRule="exact"/>
                    <w:jc w:val="center"/>
                    <w:rPr>
                      <w:color w:val="000000"/>
                      <w:sz w:val="18"/>
                      <w:szCs w:val="18"/>
                      <w:u w:val="single"/>
                    </w:rPr>
                  </w:pPr>
                  <w:r>
                    <w:rPr>
                      <w:rFonts w:hint="eastAsia"/>
                      <w:color w:val="000000"/>
                      <w:sz w:val="18"/>
                      <w:szCs w:val="18"/>
                      <w:u w:val="single"/>
                    </w:rPr>
                    <w:t>422-000-06</w:t>
                  </w:r>
                </w:p>
              </w:tc>
              <w:tc>
                <w:tcPr>
                  <w:tcW w:w="735" w:type="dxa"/>
                  <w:vMerge w:val="continue"/>
                  <w:tcBorders>
                    <w:left w:val="single" w:color="auto" w:sz="4" w:space="0"/>
                    <w:right w:val="single" w:color="000000" w:sz="4" w:space="0"/>
                  </w:tcBorders>
                  <w:vAlign w:val="center"/>
                </w:tcPr>
                <w:p>
                  <w:pPr>
                    <w:spacing w:line="400" w:lineRule="exact"/>
                    <w:jc w:val="center"/>
                    <w:rPr>
                      <w:color w:val="000000"/>
                      <w:sz w:val="18"/>
                      <w:szCs w:val="18"/>
                      <w:u w:val="single"/>
                    </w:rPr>
                  </w:pPr>
                </w:p>
              </w:tc>
              <w:tc>
                <w:tcPr>
                  <w:tcW w:w="924"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eastAsia="宋体"/>
                      <w:color w:val="000000"/>
                      <w:sz w:val="18"/>
                      <w:szCs w:val="18"/>
                      <w:u w:val="single"/>
                      <w:lang w:eastAsia="zh-CN"/>
                    </w:rPr>
                  </w:pPr>
                  <w:r>
                    <w:rPr>
                      <w:rFonts w:hint="eastAsia"/>
                      <w:color w:val="000000"/>
                      <w:sz w:val="18"/>
                      <w:szCs w:val="18"/>
                      <w:u w:val="single"/>
                    </w:rPr>
                    <w:t>0.</w:t>
                  </w:r>
                  <w:r>
                    <w:rPr>
                      <w:rFonts w:hint="eastAsia"/>
                      <w:color w:val="000000"/>
                      <w:sz w:val="18"/>
                      <w:szCs w:val="18"/>
                      <w:u w:val="single"/>
                      <w:lang w:val="en-US" w:eastAsia="zh-CN"/>
                    </w:rPr>
                    <w:t>1</w:t>
                  </w:r>
                </w:p>
              </w:tc>
              <w:tc>
                <w:tcPr>
                  <w:tcW w:w="1595" w:type="dxa"/>
                  <w:vMerge w:val="continue"/>
                  <w:tcBorders>
                    <w:left w:val="nil"/>
                    <w:right w:val="single" w:color="auto" w:sz="4" w:space="0"/>
                  </w:tcBorders>
                  <w:vAlign w:val="center"/>
                </w:tcPr>
                <w:p>
                  <w:pPr>
                    <w:spacing w:line="400" w:lineRule="exact"/>
                    <w:jc w:val="left"/>
                    <w:rPr>
                      <w:color w:val="000000"/>
                      <w:sz w:val="18"/>
                      <w:szCs w:val="18"/>
                      <w:u w:val="single"/>
                    </w:rPr>
                  </w:pPr>
                </w:p>
              </w:tc>
              <w:tc>
                <w:tcPr>
                  <w:tcW w:w="738" w:type="dxa"/>
                  <w:tcBorders>
                    <w:top w:val="nil"/>
                    <w:left w:val="single" w:color="auto" w:sz="4" w:space="0"/>
                    <w:bottom w:val="single" w:color="000000"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61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eastAsia="宋体"/>
                      <w:color w:val="000000"/>
                      <w:sz w:val="18"/>
                      <w:szCs w:val="18"/>
                      <w:u w:val="single"/>
                      <w:lang w:eastAsia="zh-CN"/>
                    </w:rPr>
                  </w:pPr>
                  <w:r>
                    <w:rPr>
                      <w:rFonts w:hint="eastAsia"/>
                      <w:color w:val="000000"/>
                      <w:sz w:val="18"/>
                      <w:szCs w:val="18"/>
                      <w:u w:val="single"/>
                      <w:lang w:val="en-US" w:eastAsia="zh-CN"/>
                    </w:rPr>
                    <w:t>3</w:t>
                  </w:r>
                </w:p>
              </w:tc>
              <w:tc>
                <w:tcPr>
                  <w:tcW w:w="1334" w:type="dxa"/>
                  <w:tcBorders>
                    <w:top w:val="single" w:color="auto" w:sz="4" w:space="0"/>
                    <w:left w:val="nil"/>
                    <w:bottom w:val="single" w:color="auto" w:sz="4" w:space="0"/>
                    <w:right w:val="single" w:color="000000" w:sz="4" w:space="0"/>
                  </w:tcBorders>
                  <w:vAlign w:val="center"/>
                </w:tcPr>
                <w:p>
                  <w:pPr>
                    <w:spacing w:line="400" w:lineRule="exact"/>
                    <w:jc w:val="center"/>
                    <w:rPr>
                      <w:color w:val="000000"/>
                      <w:sz w:val="18"/>
                      <w:szCs w:val="18"/>
                      <w:u w:val="single"/>
                    </w:rPr>
                  </w:pPr>
                  <w:r>
                    <w:rPr>
                      <w:color w:val="000000"/>
                      <w:sz w:val="18"/>
                      <w:szCs w:val="18"/>
                      <w:u w:val="single"/>
                    </w:rPr>
                    <w:t>生活垃圾</w:t>
                  </w:r>
                </w:p>
              </w:tc>
              <w:tc>
                <w:tcPr>
                  <w:tcW w:w="623" w:type="dxa"/>
                  <w:tcBorders>
                    <w:top w:val="single" w:color="auto" w:sz="4" w:space="0"/>
                    <w:left w:val="nil"/>
                    <w:bottom w:val="single" w:color="auto"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生活</w:t>
                  </w:r>
                </w:p>
                <w:p>
                  <w:pPr>
                    <w:spacing w:line="400" w:lineRule="exact"/>
                    <w:jc w:val="center"/>
                    <w:rPr>
                      <w:color w:val="000000"/>
                      <w:sz w:val="18"/>
                      <w:szCs w:val="18"/>
                      <w:u w:val="single"/>
                    </w:rPr>
                  </w:pPr>
                  <w:r>
                    <w:rPr>
                      <w:rFonts w:hint="eastAsia"/>
                      <w:color w:val="000000"/>
                      <w:sz w:val="18"/>
                      <w:szCs w:val="18"/>
                      <w:u w:val="single"/>
                    </w:rPr>
                    <w:t>垃圾</w:t>
                  </w:r>
                </w:p>
              </w:tc>
              <w:tc>
                <w:tcPr>
                  <w:tcW w:w="995" w:type="dxa"/>
                  <w:tcBorders>
                    <w:top w:val="single" w:color="auto" w:sz="4" w:space="0"/>
                    <w:left w:val="nil"/>
                    <w:bottom w:val="single" w:color="auto" w:sz="4" w:space="0"/>
                    <w:right w:val="single" w:color="auto" w:sz="4" w:space="0"/>
                  </w:tcBorders>
                  <w:vAlign w:val="center"/>
                </w:tcPr>
                <w:p>
                  <w:pPr>
                    <w:spacing w:line="400" w:lineRule="exact"/>
                    <w:jc w:val="center"/>
                    <w:rPr>
                      <w:color w:val="000000"/>
                      <w:sz w:val="18"/>
                      <w:szCs w:val="18"/>
                      <w:u w:val="single"/>
                    </w:rPr>
                  </w:pPr>
                  <w:r>
                    <w:rPr>
                      <w:rFonts w:hint="eastAsia"/>
                      <w:color w:val="000000"/>
                      <w:sz w:val="18"/>
                      <w:szCs w:val="18"/>
                      <w:u w:val="single"/>
                    </w:rPr>
                    <w:t>/</w:t>
                  </w:r>
                </w:p>
              </w:tc>
              <w:tc>
                <w:tcPr>
                  <w:tcW w:w="735" w:type="dxa"/>
                  <w:tcBorders>
                    <w:top w:val="single" w:color="auto" w:sz="4" w:space="0"/>
                    <w:left w:val="single" w:color="auto" w:sz="4" w:space="0"/>
                    <w:bottom w:val="single" w:color="auto"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w:t>
                  </w:r>
                </w:p>
              </w:tc>
              <w:tc>
                <w:tcPr>
                  <w:tcW w:w="924" w:type="dxa"/>
                  <w:tcBorders>
                    <w:top w:val="single" w:color="000000" w:sz="4" w:space="0"/>
                    <w:left w:val="nil"/>
                    <w:bottom w:val="single" w:color="000000" w:sz="4" w:space="0"/>
                    <w:right w:val="single" w:color="000000" w:sz="4" w:space="0"/>
                  </w:tcBorders>
                  <w:vAlign w:val="center"/>
                </w:tcPr>
                <w:p>
                  <w:pPr>
                    <w:spacing w:line="400" w:lineRule="exact"/>
                    <w:jc w:val="center"/>
                    <w:rPr>
                      <w:rFonts w:hint="default" w:eastAsia="宋体"/>
                      <w:color w:val="000000"/>
                      <w:sz w:val="18"/>
                      <w:szCs w:val="18"/>
                      <w:u w:val="single"/>
                      <w:lang w:val="en-US" w:eastAsia="zh-CN"/>
                    </w:rPr>
                  </w:pPr>
                  <w:r>
                    <w:rPr>
                      <w:rFonts w:hint="eastAsia"/>
                      <w:color w:val="000000"/>
                      <w:sz w:val="18"/>
                      <w:szCs w:val="18"/>
                      <w:u w:val="single"/>
                      <w:lang w:val="en-US" w:eastAsia="zh-CN"/>
                    </w:rPr>
                    <w:t>1.5</w:t>
                  </w:r>
                </w:p>
              </w:tc>
              <w:tc>
                <w:tcPr>
                  <w:tcW w:w="1595" w:type="dxa"/>
                  <w:tcBorders>
                    <w:top w:val="single" w:color="000000" w:sz="4" w:space="0"/>
                    <w:left w:val="nil"/>
                    <w:bottom w:val="single" w:color="000000" w:sz="4" w:space="0"/>
                    <w:right w:val="single" w:color="auto" w:sz="4" w:space="0"/>
                  </w:tcBorders>
                  <w:vAlign w:val="center"/>
                </w:tcPr>
                <w:p>
                  <w:pPr>
                    <w:spacing w:line="400" w:lineRule="exact"/>
                    <w:jc w:val="left"/>
                    <w:rPr>
                      <w:color w:val="000000"/>
                      <w:sz w:val="18"/>
                      <w:szCs w:val="18"/>
                      <w:u w:val="single"/>
                    </w:rPr>
                  </w:pPr>
                  <w:r>
                    <w:rPr>
                      <w:rFonts w:hint="eastAsia"/>
                      <w:color w:val="000000"/>
                      <w:sz w:val="18"/>
                      <w:szCs w:val="18"/>
                      <w:u w:val="single"/>
                    </w:rPr>
                    <w:t>由当地</w:t>
                  </w:r>
                  <w:r>
                    <w:rPr>
                      <w:color w:val="000000"/>
                      <w:sz w:val="18"/>
                      <w:szCs w:val="18"/>
                      <w:u w:val="single"/>
                    </w:rPr>
                    <w:t>环卫部门清运</w:t>
                  </w:r>
                  <w:r>
                    <w:rPr>
                      <w:rFonts w:hint="eastAsia"/>
                      <w:color w:val="000000"/>
                      <w:sz w:val="18"/>
                      <w:szCs w:val="18"/>
                      <w:u w:val="single"/>
                    </w:rPr>
                    <w:t>处置</w:t>
                  </w:r>
                </w:p>
              </w:tc>
              <w:tc>
                <w:tcPr>
                  <w:tcW w:w="738" w:type="dxa"/>
                  <w:tcBorders>
                    <w:top w:val="single" w:color="000000" w:sz="4" w:space="0"/>
                    <w:left w:val="single" w:color="auto" w:sz="4" w:space="0"/>
                    <w:bottom w:val="single" w:color="000000" w:sz="4" w:space="0"/>
                    <w:right w:val="single" w:color="000000" w:sz="4" w:space="0"/>
                  </w:tcBorders>
                  <w:vAlign w:val="center"/>
                </w:tcPr>
                <w:p>
                  <w:pPr>
                    <w:spacing w:line="400" w:lineRule="exact"/>
                    <w:jc w:val="center"/>
                    <w:rPr>
                      <w:color w:val="000000"/>
                      <w:sz w:val="18"/>
                      <w:szCs w:val="18"/>
                      <w:u w:val="single"/>
                    </w:rPr>
                  </w:pPr>
                  <w:r>
                    <w:rPr>
                      <w:rFonts w:hint="eastAsia"/>
                      <w:color w:val="000000"/>
                      <w:sz w:val="18"/>
                      <w:szCs w:val="18"/>
                      <w:u w:val="singl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jc w:val="center"/>
              </w:trPr>
              <w:tc>
                <w:tcPr>
                  <w:tcW w:w="7558"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left"/>
                    <w:rPr>
                      <w:color w:val="000000"/>
                      <w:sz w:val="18"/>
                      <w:szCs w:val="18"/>
                      <w:u w:val="single"/>
                    </w:rPr>
                  </w:pPr>
                  <w:r>
                    <w:rPr>
                      <w:rFonts w:hint="eastAsia"/>
                      <w:color w:val="000000"/>
                      <w:sz w:val="18"/>
                      <w:szCs w:val="18"/>
                      <w:u w:val="single"/>
                    </w:rPr>
                    <w:t>注</w:t>
                  </w:r>
                  <w:r>
                    <w:rPr>
                      <w:rFonts w:hint="eastAsia"/>
                      <w:color w:val="000000"/>
                      <w:sz w:val="18"/>
                      <w:szCs w:val="18"/>
                      <w:u w:val="single"/>
                      <w:vertAlign w:val="superscript"/>
                    </w:rPr>
                    <w:t>①</w:t>
                  </w:r>
                  <w:r>
                    <w:rPr>
                      <w:rFonts w:hint="eastAsia"/>
                      <w:color w:val="000000"/>
                      <w:sz w:val="18"/>
                      <w:szCs w:val="18"/>
                      <w:u w:val="single"/>
                    </w:rPr>
                    <w:t>：一般固废编号参照《一般固体废物分类与代码》（G</w:t>
                  </w:r>
                  <w:r>
                    <w:rPr>
                      <w:color w:val="000000"/>
                      <w:sz w:val="18"/>
                      <w:szCs w:val="18"/>
                      <w:u w:val="single"/>
                    </w:rPr>
                    <w:t>B</w:t>
                  </w:r>
                  <w:r>
                    <w:rPr>
                      <w:rFonts w:hint="eastAsia"/>
                      <w:color w:val="000000"/>
                      <w:sz w:val="18"/>
                      <w:szCs w:val="18"/>
                      <w:u w:val="single"/>
                    </w:rPr>
                    <w:t>/</w:t>
                  </w:r>
                  <w:r>
                    <w:rPr>
                      <w:color w:val="000000"/>
                      <w:sz w:val="18"/>
                      <w:szCs w:val="18"/>
                      <w:u w:val="single"/>
                    </w:rPr>
                    <w:t>T 39198</w:t>
                  </w:r>
                  <w:r>
                    <w:rPr>
                      <w:rFonts w:hint="eastAsia"/>
                      <w:color w:val="000000"/>
                      <w:sz w:val="18"/>
                      <w:szCs w:val="18"/>
                      <w:u w:val="single"/>
                    </w:rPr>
                    <w:t>-</w:t>
                  </w:r>
                  <w:r>
                    <w:rPr>
                      <w:color w:val="000000"/>
                      <w:sz w:val="18"/>
                      <w:szCs w:val="18"/>
                      <w:u w:val="single"/>
                    </w:rPr>
                    <w:t>2020</w:t>
                  </w:r>
                  <w:r>
                    <w:rPr>
                      <w:rFonts w:hint="eastAsia"/>
                      <w:color w:val="000000"/>
                      <w:sz w:val="18"/>
                      <w:szCs w:val="18"/>
                      <w:u w:val="single"/>
                    </w:rPr>
                    <w:t>）。</w:t>
                  </w:r>
                </w:p>
              </w:tc>
            </w:tr>
          </w:tbl>
          <w:p>
            <w:pPr>
              <w:keepNext w:val="0"/>
              <w:keepLines w:val="0"/>
              <w:pageBreakBefore w:val="0"/>
              <w:widowControl w:val="0"/>
              <w:kinsoku/>
              <w:wordWrap/>
              <w:overflowPunct/>
              <w:topLinePunct w:val="0"/>
              <w:bidi w:val="0"/>
              <w:snapToGrid/>
              <w:spacing w:line="240" w:lineRule="auto"/>
              <w:jc w:val="center"/>
              <w:textAlignment w:val="auto"/>
              <w:rPr>
                <w:b/>
                <w:bCs/>
                <w:color w:val="000000"/>
                <w:sz w:val="21"/>
                <w:szCs w:val="21"/>
                <w:u w:val="single"/>
              </w:rPr>
            </w:pPr>
          </w:p>
          <w:p>
            <w:pPr>
              <w:keepNext w:val="0"/>
              <w:keepLines w:val="0"/>
              <w:pageBreakBefore w:val="0"/>
              <w:widowControl w:val="0"/>
              <w:kinsoku/>
              <w:wordWrap/>
              <w:overflowPunct/>
              <w:topLinePunct w:val="0"/>
              <w:bidi w:val="0"/>
              <w:snapToGrid/>
              <w:spacing w:line="240" w:lineRule="auto"/>
              <w:jc w:val="center"/>
              <w:textAlignment w:val="auto"/>
              <w:rPr>
                <w:b/>
                <w:bCs/>
                <w:color w:val="000000"/>
                <w:sz w:val="21"/>
                <w:szCs w:val="21"/>
                <w:u w:val="single"/>
              </w:rPr>
            </w:pPr>
          </w:p>
          <w:p>
            <w:pPr>
              <w:keepNext w:val="0"/>
              <w:keepLines w:val="0"/>
              <w:pageBreakBefore w:val="0"/>
              <w:widowControl w:val="0"/>
              <w:kinsoku/>
              <w:wordWrap/>
              <w:overflowPunct/>
              <w:topLinePunct w:val="0"/>
              <w:bidi w:val="0"/>
              <w:snapToGrid/>
              <w:spacing w:line="240" w:lineRule="auto"/>
              <w:jc w:val="center"/>
              <w:textAlignment w:val="auto"/>
              <w:rPr>
                <w:b/>
                <w:bCs/>
                <w:color w:val="000000"/>
                <w:sz w:val="21"/>
                <w:szCs w:val="21"/>
                <w:u w:val="single"/>
              </w:rPr>
            </w:pPr>
          </w:p>
          <w:p>
            <w:pPr>
              <w:keepNext w:val="0"/>
              <w:keepLines w:val="0"/>
              <w:pageBreakBefore w:val="0"/>
              <w:widowControl w:val="0"/>
              <w:kinsoku/>
              <w:wordWrap/>
              <w:overflowPunct/>
              <w:topLinePunct w:val="0"/>
              <w:bidi w:val="0"/>
              <w:snapToGrid/>
              <w:spacing w:line="240" w:lineRule="auto"/>
              <w:jc w:val="center"/>
              <w:textAlignment w:val="auto"/>
              <w:rPr>
                <w:b/>
                <w:bCs/>
                <w:color w:val="000000"/>
                <w:sz w:val="21"/>
                <w:szCs w:val="21"/>
                <w:u w:val="single"/>
              </w:rPr>
            </w:pPr>
          </w:p>
          <w:p>
            <w:pPr>
              <w:keepNext w:val="0"/>
              <w:keepLines w:val="0"/>
              <w:pageBreakBefore w:val="0"/>
              <w:widowControl w:val="0"/>
              <w:kinsoku/>
              <w:wordWrap/>
              <w:overflowPunct/>
              <w:topLinePunct w:val="0"/>
              <w:bidi w:val="0"/>
              <w:snapToGrid/>
              <w:spacing w:line="240" w:lineRule="auto"/>
              <w:jc w:val="center"/>
              <w:textAlignment w:val="auto"/>
              <w:rPr>
                <w:b/>
                <w:bCs/>
                <w:color w:val="000000"/>
                <w:sz w:val="21"/>
                <w:szCs w:val="21"/>
                <w:u w:val="single"/>
              </w:rPr>
            </w:pPr>
          </w:p>
          <w:p>
            <w:pPr>
              <w:keepNext w:val="0"/>
              <w:keepLines w:val="0"/>
              <w:pageBreakBefore w:val="0"/>
              <w:widowControl w:val="0"/>
              <w:kinsoku/>
              <w:wordWrap/>
              <w:overflowPunct/>
              <w:topLinePunct w:val="0"/>
              <w:bidi w:val="0"/>
              <w:snapToGrid/>
              <w:spacing w:line="240" w:lineRule="auto"/>
              <w:jc w:val="center"/>
              <w:textAlignment w:val="auto"/>
              <w:rPr>
                <w:b/>
                <w:bCs/>
                <w:color w:val="000000"/>
                <w:sz w:val="21"/>
                <w:szCs w:val="21"/>
                <w:u w:val="single"/>
              </w:rPr>
            </w:pPr>
          </w:p>
          <w:p>
            <w:pPr>
              <w:keepNext w:val="0"/>
              <w:keepLines w:val="0"/>
              <w:pageBreakBefore w:val="0"/>
              <w:widowControl w:val="0"/>
              <w:kinsoku/>
              <w:wordWrap/>
              <w:overflowPunct/>
              <w:topLinePunct w:val="0"/>
              <w:bidi w:val="0"/>
              <w:snapToGrid/>
              <w:spacing w:line="240" w:lineRule="auto"/>
              <w:jc w:val="center"/>
              <w:textAlignment w:val="auto"/>
              <w:rPr>
                <w:b/>
                <w:bCs/>
                <w:color w:val="000000"/>
                <w:sz w:val="24"/>
                <w:u w:val="single"/>
              </w:rPr>
            </w:pPr>
            <w:r>
              <w:rPr>
                <w:b/>
                <w:bCs/>
                <w:color w:val="000000"/>
                <w:sz w:val="21"/>
                <w:szCs w:val="21"/>
                <w:u w:val="single"/>
              </w:rPr>
              <w:t>表</w:t>
            </w:r>
            <w:r>
              <w:rPr>
                <w:rFonts w:hint="eastAsia"/>
                <w:b/>
                <w:bCs/>
                <w:color w:val="000000"/>
                <w:sz w:val="21"/>
                <w:szCs w:val="21"/>
                <w:u w:val="single"/>
                <w:lang w:val="en-US" w:eastAsia="zh-CN"/>
              </w:rPr>
              <w:t>4-13</w:t>
            </w:r>
            <w:r>
              <w:rPr>
                <w:b/>
                <w:bCs/>
                <w:color w:val="000000"/>
                <w:sz w:val="21"/>
                <w:szCs w:val="21"/>
                <w:u w:val="single"/>
              </w:rPr>
              <w:t xml:space="preserve">  项目</w:t>
            </w:r>
            <w:r>
              <w:rPr>
                <w:rFonts w:hint="eastAsia"/>
                <w:b/>
                <w:bCs/>
                <w:color w:val="000000"/>
                <w:sz w:val="21"/>
                <w:szCs w:val="21"/>
                <w:u w:val="single"/>
              </w:rPr>
              <w:t>危险固废</w:t>
            </w:r>
            <w:r>
              <w:rPr>
                <w:b/>
                <w:bCs/>
                <w:color w:val="000000"/>
                <w:sz w:val="21"/>
                <w:szCs w:val="21"/>
                <w:u w:val="single"/>
              </w:rPr>
              <w:t>产生情况及治理措施一览表</w:t>
            </w:r>
          </w:p>
          <w:tbl>
            <w:tblPr>
              <w:tblStyle w:val="21"/>
              <w:tblW w:w="75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4"/>
              <w:gridCol w:w="891"/>
              <w:gridCol w:w="742"/>
              <w:gridCol w:w="1056"/>
              <w:gridCol w:w="712"/>
              <w:gridCol w:w="445"/>
              <w:gridCol w:w="516"/>
              <w:gridCol w:w="644"/>
              <w:gridCol w:w="950"/>
              <w:gridCol w:w="448"/>
              <w:gridCol w:w="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374"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序号</w:t>
                  </w:r>
                </w:p>
              </w:tc>
              <w:tc>
                <w:tcPr>
                  <w:tcW w:w="891"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名称</w:t>
                  </w:r>
                </w:p>
              </w:tc>
              <w:tc>
                <w:tcPr>
                  <w:tcW w:w="742"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危险废</w:t>
                  </w:r>
                </w:p>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物类别</w:t>
                  </w:r>
                </w:p>
              </w:tc>
              <w:tc>
                <w:tcPr>
                  <w:tcW w:w="1056"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危险废</w:t>
                  </w:r>
                </w:p>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物代码</w:t>
                  </w:r>
                </w:p>
              </w:tc>
              <w:tc>
                <w:tcPr>
                  <w:tcW w:w="712"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产生工序及装置</w:t>
                  </w:r>
                </w:p>
              </w:tc>
              <w:tc>
                <w:tcPr>
                  <w:tcW w:w="445"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形态</w:t>
                  </w:r>
                </w:p>
              </w:tc>
              <w:tc>
                <w:tcPr>
                  <w:tcW w:w="516"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主要成分</w:t>
                  </w:r>
                </w:p>
              </w:tc>
              <w:tc>
                <w:tcPr>
                  <w:tcW w:w="644"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有害</w:t>
                  </w:r>
                </w:p>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成分</w:t>
                  </w:r>
                </w:p>
              </w:tc>
              <w:tc>
                <w:tcPr>
                  <w:tcW w:w="950"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产废</w:t>
                  </w:r>
                </w:p>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周期</w:t>
                  </w:r>
                </w:p>
              </w:tc>
              <w:tc>
                <w:tcPr>
                  <w:tcW w:w="448"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危险特性</w:t>
                  </w:r>
                </w:p>
              </w:tc>
              <w:tc>
                <w:tcPr>
                  <w:tcW w:w="760"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污染防治措施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color w:val="000000"/>
                      <w:sz w:val="18"/>
                      <w:szCs w:val="18"/>
                      <w:u w:val="single"/>
                    </w:rPr>
                  </w:pPr>
                  <w:r>
                    <w:rPr>
                      <w:rFonts w:ascii="Times New Roman" w:hAnsi="Times New Roman" w:eastAsia="宋体"/>
                      <w:b w:val="0"/>
                      <w:bCs/>
                      <w:color w:val="000000"/>
                      <w:sz w:val="18"/>
                      <w:szCs w:val="18"/>
                      <w:u w:val="single"/>
                    </w:rPr>
                    <w:t>1</w:t>
                  </w:r>
                </w:p>
              </w:tc>
              <w:tc>
                <w:tcPr>
                  <w:tcW w:w="891" w:type="dxa"/>
                  <w:vAlign w:val="center"/>
                </w:tcPr>
                <w:p>
                  <w:pPr>
                    <w:jc w:val="center"/>
                    <w:rPr>
                      <w:bCs/>
                      <w:sz w:val="18"/>
                      <w:szCs w:val="18"/>
                      <w:u w:val="single"/>
                    </w:rPr>
                  </w:pPr>
                  <w:r>
                    <w:rPr>
                      <w:color w:val="000000"/>
                      <w:sz w:val="18"/>
                      <w:szCs w:val="18"/>
                      <w:u w:val="single"/>
                    </w:rPr>
                    <w:t>废</w:t>
                  </w:r>
                  <w:r>
                    <w:rPr>
                      <w:rFonts w:hint="eastAsia"/>
                      <w:color w:val="000000"/>
                      <w:sz w:val="18"/>
                      <w:szCs w:val="18"/>
                      <w:u w:val="single"/>
                    </w:rPr>
                    <w:t>矿物油</w:t>
                  </w:r>
                </w:p>
              </w:tc>
              <w:tc>
                <w:tcPr>
                  <w:tcW w:w="742" w:type="dxa"/>
                  <w:vAlign w:val="center"/>
                </w:tcPr>
                <w:p>
                  <w:pPr>
                    <w:jc w:val="center"/>
                    <w:rPr>
                      <w:bCs/>
                      <w:sz w:val="18"/>
                      <w:szCs w:val="18"/>
                      <w:u w:val="single"/>
                    </w:rPr>
                  </w:pPr>
                  <w:r>
                    <w:rPr>
                      <w:rFonts w:hint="eastAsia"/>
                      <w:color w:val="000000"/>
                      <w:sz w:val="18"/>
                      <w:szCs w:val="18"/>
                      <w:u w:val="single"/>
                    </w:rPr>
                    <w:t>H</w:t>
                  </w:r>
                  <w:r>
                    <w:rPr>
                      <w:color w:val="000000"/>
                      <w:sz w:val="18"/>
                      <w:szCs w:val="18"/>
                      <w:u w:val="single"/>
                    </w:rPr>
                    <w:t>W08</w:t>
                  </w:r>
                </w:p>
              </w:tc>
              <w:tc>
                <w:tcPr>
                  <w:tcW w:w="1056" w:type="dxa"/>
                  <w:vAlign w:val="center"/>
                </w:tcPr>
                <w:p>
                  <w:pPr>
                    <w:jc w:val="center"/>
                    <w:rPr>
                      <w:bCs/>
                      <w:sz w:val="18"/>
                      <w:szCs w:val="18"/>
                      <w:u w:val="single"/>
                    </w:rPr>
                  </w:pPr>
                  <w:r>
                    <w:rPr>
                      <w:rFonts w:hint="eastAsia"/>
                      <w:color w:val="000000"/>
                      <w:sz w:val="18"/>
                      <w:szCs w:val="18"/>
                      <w:u w:val="single"/>
                    </w:rPr>
                    <w:t>9</w:t>
                  </w:r>
                  <w:r>
                    <w:rPr>
                      <w:color w:val="000000"/>
                      <w:sz w:val="18"/>
                      <w:szCs w:val="18"/>
                      <w:u w:val="single"/>
                    </w:rPr>
                    <w:t>00</w:t>
                  </w:r>
                  <w:r>
                    <w:rPr>
                      <w:rFonts w:hint="eastAsia"/>
                      <w:color w:val="000000"/>
                      <w:sz w:val="18"/>
                      <w:szCs w:val="18"/>
                      <w:u w:val="single"/>
                    </w:rPr>
                    <w:t>-</w:t>
                  </w:r>
                  <w:r>
                    <w:rPr>
                      <w:color w:val="000000"/>
                      <w:sz w:val="18"/>
                      <w:szCs w:val="18"/>
                      <w:u w:val="single"/>
                    </w:rPr>
                    <w:t>249</w:t>
                  </w:r>
                  <w:r>
                    <w:rPr>
                      <w:rFonts w:hint="eastAsia"/>
                      <w:color w:val="000000"/>
                      <w:sz w:val="18"/>
                      <w:szCs w:val="18"/>
                      <w:u w:val="single"/>
                    </w:rPr>
                    <w:t>-</w:t>
                  </w:r>
                  <w:r>
                    <w:rPr>
                      <w:color w:val="000000"/>
                      <w:sz w:val="18"/>
                      <w:szCs w:val="18"/>
                      <w:u w:val="single"/>
                    </w:rPr>
                    <w:t>08</w:t>
                  </w:r>
                </w:p>
              </w:tc>
              <w:tc>
                <w:tcPr>
                  <w:tcW w:w="712"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设备</w:t>
                  </w:r>
                </w:p>
              </w:tc>
              <w:tc>
                <w:tcPr>
                  <w:tcW w:w="445"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液态</w:t>
                  </w:r>
                </w:p>
              </w:tc>
              <w:tc>
                <w:tcPr>
                  <w:tcW w:w="516"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废气</w:t>
                  </w:r>
                </w:p>
              </w:tc>
              <w:tc>
                <w:tcPr>
                  <w:tcW w:w="644"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VOCs</w:t>
                  </w:r>
                </w:p>
              </w:tc>
              <w:tc>
                <w:tcPr>
                  <w:tcW w:w="950" w:type="dxa"/>
                  <w:vAlign w:val="center"/>
                </w:tcPr>
                <w:p>
                  <w:pPr>
                    <w:spacing w:line="400" w:lineRule="exact"/>
                    <w:jc w:val="center"/>
                    <w:rPr>
                      <w:bCs/>
                      <w:sz w:val="18"/>
                      <w:szCs w:val="18"/>
                      <w:u w:val="single"/>
                    </w:rPr>
                  </w:pPr>
                  <w:r>
                    <w:rPr>
                      <w:rFonts w:hint="eastAsia"/>
                      <w:color w:val="000000"/>
                      <w:sz w:val="18"/>
                      <w:szCs w:val="18"/>
                      <w:u w:val="single"/>
                    </w:rPr>
                    <w:t>0.</w:t>
                  </w:r>
                  <w:r>
                    <w:rPr>
                      <w:rFonts w:hint="eastAsia"/>
                      <w:color w:val="000000"/>
                      <w:sz w:val="18"/>
                      <w:szCs w:val="18"/>
                      <w:u w:val="single"/>
                      <w:lang w:val="en-US" w:eastAsia="zh-CN"/>
                    </w:rPr>
                    <w:t>05</w:t>
                  </w:r>
                  <w:r>
                    <w:rPr>
                      <w:color w:val="000000"/>
                      <w:sz w:val="18"/>
                      <w:szCs w:val="18"/>
                      <w:u w:val="single"/>
                    </w:rPr>
                    <w:t>t/a</w:t>
                  </w:r>
                </w:p>
              </w:tc>
              <w:tc>
                <w:tcPr>
                  <w:tcW w:w="448"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T</w:t>
                  </w:r>
                </w:p>
              </w:tc>
              <w:tc>
                <w:tcPr>
                  <w:tcW w:w="760" w:type="dxa"/>
                  <w:vMerge w:val="restart"/>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收集</w:t>
                  </w:r>
                  <w:r>
                    <w:rPr>
                      <w:rFonts w:ascii="Times New Roman" w:hAnsi="Times New Roman" w:eastAsia="宋体"/>
                      <w:b w:val="0"/>
                      <w:bCs/>
                      <w:sz w:val="18"/>
                      <w:szCs w:val="18"/>
                      <w:u w:val="single"/>
                    </w:rPr>
                    <w:t>于危废暂存间后交由有资质单位处理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dxa"/>
                  <w:vAlign w:val="center"/>
                </w:tcPr>
                <w:p>
                  <w:pPr>
                    <w:pStyle w:val="5"/>
                    <w:tabs>
                      <w:tab w:val="left" w:pos="864"/>
                    </w:tabs>
                    <w:snapToGrid w:val="0"/>
                    <w:spacing w:before="0" w:after="0"/>
                    <w:ind w:left="-105" w:leftChars="-50" w:right="-105" w:rightChars="-50"/>
                    <w:jc w:val="center"/>
                    <w:rPr>
                      <w:rFonts w:hint="eastAsia" w:ascii="Times New Roman" w:hAnsi="Times New Roman" w:eastAsia="宋体"/>
                      <w:b w:val="0"/>
                      <w:bCs/>
                      <w:color w:val="000000"/>
                      <w:sz w:val="18"/>
                      <w:szCs w:val="18"/>
                      <w:u w:val="single"/>
                      <w:lang w:val="en-US" w:eastAsia="zh-CN"/>
                    </w:rPr>
                  </w:pPr>
                  <w:r>
                    <w:rPr>
                      <w:rFonts w:hint="eastAsia" w:ascii="Times New Roman" w:hAnsi="Times New Roman" w:eastAsia="宋体"/>
                      <w:b w:val="0"/>
                      <w:bCs/>
                      <w:color w:val="000000"/>
                      <w:sz w:val="18"/>
                      <w:szCs w:val="18"/>
                      <w:u w:val="single"/>
                      <w:lang w:val="en-US" w:eastAsia="zh-CN"/>
                    </w:rPr>
                    <w:t>2</w:t>
                  </w:r>
                </w:p>
              </w:tc>
              <w:tc>
                <w:tcPr>
                  <w:tcW w:w="891" w:type="dxa"/>
                  <w:vAlign w:val="center"/>
                </w:tcPr>
                <w:p>
                  <w:pPr>
                    <w:jc w:val="center"/>
                    <w:rPr>
                      <w:bCs/>
                      <w:sz w:val="18"/>
                      <w:szCs w:val="18"/>
                      <w:u w:val="single"/>
                    </w:rPr>
                  </w:pPr>
                  <w:r>
                    <w:rPr>
                      <w:rFonts w:hint="eastAsia"/>
                      <w:color w:val="000000"/>
                      <w:sz w:val="18"/>
                      <w:szCs w:val="18"/>
                      <w:u w:val="single"/>
                    </w:rPr>
                    <w:t>废U</w:t>
                  </w:r>
                  <w:r>
                    <w:rPr>
                      <w:color w:val="000000"/>
                      <w:sz w:val="18"/>
                      <w:szCs w:val="18"/>
                      <w:u w:val="single"/>
                    </w:rPr>
                    <w:t>V</w:t>
                  </w:r>
                  <w:r>
                    <w:rPr>
                      <w:rFonts w:hint="eastAsia"/>
                      <w:color w:val="000000"/>
                      <w:sz w:val="18"/>
                      <w:szCs w:val="18"/>
                      <w:u w:val="single"/>
                    </w:rPr>
                    <w:t>灯管</w:t>
                  </w:r>
                </w:p>
              </w:tc>
              <w:tc>
                <w:tcPr>
                  <w:tcW w:w="742" w:type="dxa"/>
                  <w:vAlign w:val="center"/>
                </w:tcPr>
                <w:p>
                  <w:pPr>
                    <w:jc w:val="center"/>
                    <w:rPr>
                      <w:bCs/>
                      <w:sz w:val="18"/>
                      <w:szCs w:val="18"/>
                      <w:u w:val="single"/>
                    </w:rPr>
                  </w:pPr>
                  <w:r>
                    <w:rPr>
                      <w:rFonts w:hint="eastAsia"/>
                      <w:color w:val="000000"/>
                      <w:sz w:val="18"/>
                      <w:szCs w:val="18"/>
                      <w:u w:val="single"/>
                    </w:rPr>
                    <w:t>H</w:t>
                  </w:r>
                  <w:r>
                    <w:rPr>
                      <w:color w:val="000000"/>
                      <w:sz w:val="18"/>
                      <w:szCs w:val="18"/>
                      <w:u w:val="single"/>
                    </w:rPr>
                    <w:t>W29</w:t>
                  </w:r>
                </w:p>
              </w:tc>
              <w:tc>
                <w:tcPr>
                  <w:tcW w:w="1056" w:type="dxa"/>
                  <w:vAlign w:val="center"/>
                </w:tcPr>
                <w:p>
                  <w:pPr>
                    <w:jc w:val="center"/>
                    <w:rPr>
                      <w:bCs/>
                      <w:sz w:val="18"/>
                      <w:szCs w:val="18"/>
                      <w:u w:val="single"/>
                    </w:rPr>
                  </w:pPr>
                  <w:r>
                    <w:rPr>
                      <w:rFonts w:hint="eastAsia"/>
                      <w:color w:val="000000"/>
                      <w:sz w:val="18"/>
                      <w:szCs w:val="18"/>
                      <w:u w:val="single"/>
                    </w:rPr>
                    <w:t>9</w:t>
                  </w:r>
                  <w:r>
                    <w:rPr>
                      <w:color w:val="000000"/>
                      <w:sz w:val="18"/>
                      <w:szCs w:val="18"/>
                      <w:u w:val="single"/>
                    </w:rPr>
                    <w:t>00</w:t>
                  </w:r>
                  <w:r>
                    <w:rPr>
                      <w:rFonts w:hint="eastAsia"/>
                      <w:color w:val="000000"/>
                      <w:sz w:val="18"/>
                      <w:szCs w:val="18"/>
                      <w:u w:val="single"/>
                    </w:rPr>
                    <w:t>-</w:t>
                  </w:r>
                  <w:r>
                    <w:rPr>
                      <w:color w:val="000000"/>
                      <w:sz w:val="18"/>
                      <w:szCs w:val="18"/>
                      <w:u w:val="single"/>
                    </w:rPr>
                    <w:t>023</w:t>
                  </w:r>
                  <w:r>
                    <w:rPr>
                      <w:rFonts w:hint="eastAsia"/>
                      <w:color w:val="000000"/>
                      <w:sz w:val="18"/>
                      <w:szCs w:val="18"/>
                      <w:u w:val="single"/>
                    </w:rPr>
                    <w:t>-</w:t>
                  </w:r>
                  <w:r>
                    <w:rPr>
                      <w:color w:val="000000"/>
                      <w:sz w:val="18"/>
                      <w:szCs w:val="18"/>
                      <w:u w:val="single"/>
                    </w:rPr>
                    <w:t>29</w:t>
                  </w:r>
                </w:p>
              </w:tc>
              <w:tc>
                <w:tcPr>
                  <w:tcW w:w="712"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废气处理</w:t>
                  </w:r>
                </w:p>
              </w:tc>
              <w:tc>
                <w:tcPr>
                  <w:tcW w:w="445"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固</w:t>
                  </w:r>
                  <w:r>
                    <w:rPr>
                      <w:rFonts w:ascii="Times New Roman" w:hAnsi="Times New Roman" w:eastAsia="宋体"/>
                      <w:b w:val="0"/>
                      <w:bCs/>
                      <w:sz w:val="18"/>
                      <w:szCs w:val="18"/>
                      <w:u w:val="single"/>
                    </w:rPr>
                    <w:t>态</w:t>
                  </w:r>
                </w:p>
              </w:tc>
              <w:tc>
                <w:tcPr>
                  <w:tcW w:w="516"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废气</w:t>
                  </w:r>
                </w:p>
              </w:tc>
              <w:tc>
                <w:tcPr>
                  <w:tcW w:w="644"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VOCs</w:t>
                  </w:r>
                </w:p>
              </w:tc>
              <w:tc>
                <w:tcPr>
                  <w:tcW w:w="950" w:type="dxa"/>
                  <w:vAlign w:val="center"/>
                </w:tcPr>
                <w:p>
                  <w:pPr>
                    <w:spacing w:line="400" w:lineRule="exact"/>
                    <w:jc w:val="center"/>
                    <w:rPr>
                      <w:bCs/>
                      <w:sz w:val="18"/>
                      <w:szCs w:val="18"/>
                      <w:u w:val="single"/>
                    </w:rPr>
                  </w:pPr>
                  <w:r>
                    <w:rPr>
                      <w:rFonts w:hint="eastAsia"/>
                      <w:color w:val="000000"/>
                      <w:sz w:val="18"/>
                      <w:szCs w:val="18"/>
                      <w:u w:val="single"/>
                      <w:lang w:val="en-US" w:eastAsia="zh-CN"/>
                    </w:rPr>
                    <w:t>0.02t</w:t>
                  </w:r>
                  <w:r>
                    <w:rPr>
                      <w:rFonts w:hint="eastAsia"/>
                      <w:color w:val="000000"/>
                      <w:sz w:val="18"/>
                      <w:szCs w:val="18"/>
                      <w:u w:val="single"/>
                    </w:rPr>
                    <w:t>/a</w:t>
                  </w:r>
                </w:p>
              </w:tc>
              <w:tc>
                <w:tcPr>
                  <w:tcW w:w="448"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T</w:t>
                  </w:r>
                </w:p>
              </w:tc>
              <w:tc>
                <w:tcPr>
                  <w:tcW w:w="760" w:type="dxa"/>
                  <w:vMerge w:val="continue"/>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4" w:type="dxa"/>
                  <w:vAlign w:val="center"/>
                </w:tcPr>
                <w:p>
                  <w:pPr>
                    <w:pStyle w:val="5"/>
                    <w:tabs>
                      <w:tab w:val="left" w:pos="864"/>
                    </w:tabs>
                    <w:snapToGrid w:val="0"/>
                    <w:spacing w:before="0" w:after="0"/>
                    <w:ind w:left="-105" w:leftChars="-50" w:right="-105" w:rightChars="-50"/>
                    <w:jc w:val="center"/>
                    <w:rPr>
                      <w:rFonts w:hint="eastAsia" w:ascii="Times New Roman" w:hAnsi="Times New Roman" w:eastAsia="宋体"/>
                      <w:b w:val="0"/>
                      <w:bCs/>
                      <w:color w:val="000000"/>
                      <w:sz w:val="18"/>
                      <w:szCs w:val="18"/>
                      <w:u w:val="single"/>
                      <w:lang w:val="en-US" w:eastAsia="zh-CN"/>
                    </w:rPr>
                  </w:pPr>
                  <w:r>
                    <w:rPr>
                      <w:rFonts w:hint="eastAsia" w:ascii="Times New Roman" w:hAnsi="Times New Roman" w:eastAsia="宋体"/>
                      <w:b w:val="0"/>
                      <w:bCs/>
                      <w:color w:val="000000"/>
                      <w:sz w:val="18"/>
                      <w:szCs w:val="18"/>
                      <w:u w:val="single"/>
                      <w:lang w:val="en-US" w:eastAsia="zh-CN"/>
                    </w:rPr>
                    <w:t>3</w:t>
                  </w:r>
                </w:p>
              </w:tc>
              <w:tc>
                <w:tcPr>
                  <w:tcW w:w="891" w:type="dxa"/>
                  <w:vAlign w:val="center"/>
                </w:tcPr>
                <w:p>
                  <w:pPr>
                    <w:jc w:val="center"/>
                    <w:rPr>
                      <w:bCs/>
                      <w:sz w:val="18"/>
                      <w:szCs w:val="18"/>
                      <w:u w:val="single"/>
                    </w:rPr>
                  </w:pPr>
                  <w:r>
                    <w:rPr>
                      <w:color w:val="000000"/>
                      <w:sz w:val="18"/>
                      <w:szCs w:val="18"/>
                      <w:u w:val="single"/>
                    </w:rPr>
                    <w:t>废活性炭</w:t>
                  </w:r>
                </w:p>
              </w:tc>
              <w:tc>
                <w:tcPr>
                  <w:tcW w:w="742" w:type="dxa"/>
                  <w:vAlign w:val="center"/>
                </w:tcPr>
                <w:p>
                  <w:pPr>
                    <w:jc w:val="center"/>
                    <w:rPr>
                      <w:bCs/>
                      <w:sz w:val="18"/>
                      <w:szCs w:val="18"/>
                      <w:u w:val="single"/>
                    </w:rPr>
                  </w:pPr>
                  <w:r>
                    <w:rPr>
                      <w:rFonts w:hint="eastAsia"/>
                      <w:color w:val="000000"/>
                      <w:sz w:val="18"/>
                      <w:szCs w:val="18"/>
                      <w:u w:val="single"/>
                    </w:rPr>
                    <w:t>H</w:t>
                  </w:r>
                  <w:r>
                    <w:rPr>
                      <w:color w:val="000000"/>
                      <w:sz w:val="18"/>
                      <w:szCs w:val="18"/>
                      <w:u w:val="single"/>
                    </w:rPr>
                    <w:t>W49</w:t>
                  </w:r>
                </w:p>
              </w:tc>
              <w:tc>
                <w:tcPr>
                  <w:tcW w:w="1056" w:type="dxa"/>
                  <w:vAlign w:val="center"/>
                </w:tcPr>
                <w:p>
                  <w:pPr>
                    <w:jc w:val="center"/>
                    <w:rPr>
                      <w:bCs/>
                      <w:sz w:val="18"/>
                      <w:szCs w:val="18"/>
                      <w:u w:val="single"/>
                    </w:rPr>
                  </w:pPr>
                  <w:r>
                    <w:rPr>
                      <w:rFonts w:hint="eastAsia"/>
                      <w:color w:val="000000"/>
                      <w:sz w:val="18"/>
                      <w:szCs w:val="18"/>
                      <w:u w:val="single"/>
                    </w:rPr>
                    <w:t>9</w:t>
                  </w:r>
                  <w:r>
                    <w:rPr>
                      <w:color w:val="000000"/>
                      <w:sz w:val="18"/>
                      <w:szCs w:val="18"/>
                      <w:u w:val="single"/>
                    </w:rPr>
                    <w:t>00</w:t>
                  </w:r>
                  <w:r>
                    <w:rPr>
                      <w:rFonts w:hint="eastAsia"/>
                      <w:color w:val="000000"/>
                      <w:sz w:val="18"/>
                      <w:szCs w:val="18"/>
                      <w:u w:val="single"/>
                    </w:rPr>
                    <w:t>-</w:t>
                  </w:r>
                  <w:r>
                    <w:rPr>
                      <w:color w:val="000000"/>
                      <w:sz w:val="18"/>
                      <w:szCs w:val="18"/>
                      <w:u w:val="single"/>
                    </w:rPr>
                    <w:t>041</w:t>
                  </w:r>
                  <w:r>
                    <w:rPr>
                      <w:rFonts w:hint="eastAsia"/>
                      <w:color w:val="000000"/>
                      <w:sz w:val="18"/>
                      <w:szCs w:val="18"/>
                      <w:u w:val="single"/>
                    </w:rPr>
                    <w:t>-</w:t>
                  </w:r>
                  <w:r>
                    <w:rPr>
                      <w:color w:val="000000"/>
                      <w:sz w:val="18"/>
                      <w:szCs w:val="18"/>
                      <w:u w:val="single"/>
                    </w:rPr>
                    <w:t>49</w:t>
                  </w:r>
                </w:p>
              </w:tc>
              <w:tc>
                <w:tcPr>
                  <w:tcW w:w="712"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废气处理</w:t>
                  </w:r>
                </w:p>
              </w:tc>
              <w:tc>
                <w:tcPr>
                  <w:tcW w:w="445"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固</w:t>
                  </w:r>
                  <w:r>
                    <w:rPr>
                      <w:rFonts w:ascii="Times New Roman" w:hAnsi="Times New Roman" w:eastAsia="宋体"/>
                      <w:b w:val="0"/>
                      <w:bCs/>
                      <w:sz w:val="18"/>
                      <w:szCs w:val="18"/>
                      <w:u w:val="single"/>
                    </w:rPr>
                    <w:t>态</w:t>
                  </w:r>
                </w:p>
              </w:tc>
              <w:tc>
                <w:tcPr>
                  <w:tcW w:w="516"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废气</w:t>
                  </w:r>
                </w:p>
              </w:tc>
              <w:tc>
                <w:tcPr>
                  <w:tcW w:w="644"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VOCs</w:t>
                  </w:r>
                </w:p>
              </w:tc>
              <w:tc>
                <w:tcPr>
                  <w:tcW w:w="950" w:type="dxa"/>
                  <w:vAlign w:val="center"/>
                </w:tcPr>
                <w:p>
                  <w:pPr>
                    <w:spacing w:line="400" w:lineRule="exact"/>
                    <w:jc w:val="center"/>
                    <w:rPr>
                      <w:bCs/>
                      <w:sz w:val="18"/>
                      <w:szCs w:val="18"/>
                      <w:u w:val="single"/>
                    </w:rPr>
                  </w:pPr>
                  <w:r>
                    <w:rPr>
                      <w:rFonts w:hint="eastAsia"/>
                      <w:color w:val="000000"/>
                      <w:sz w:val="18"/>
                      <w:szCs w:val="18"/>
                      <w:u w:val="single"/>
                      <w:lang w:val="en-US" w:eastAsia="zh-CN"/>
                    </w:rPr>
                    <w:t>2.8</w:t>
                  </w:r>
                  <w:r>
                    <w:rPr>
                      <w:color w:val="000000"/>
                      <w:sz w:val="18"/>
                      <w:szCs w:val="18"/>
                      <w:u w:val="single"/>
                    </w:rPr>
                    <w:t>t/a</w:t>
                  </w:r>
                </w:p>
              </w:tc>
              <w:tc>
                <w:tcPr>
                  <w:tcW w:w="448" w:type="dxa"/>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r>
                    <w:rPr>
                      <w:rFonts w:hint="eastAsia" w:ascii="Times New Roman" w:hAnsi="Times New Roman" w:eastAsia="宋体"/>
                      <w:b w:val="0"/>
                      <w:bCs/>
                      <w:sz w:val="18"/>
                      <w:szCs w:val="18"/>
                      <w:u w:val="single"/>
                    </w:rPr>
                    <w:t>T</w:t>
                  </w:r>
                </w:p>
              </w:tc>
              <w:tc>
                <w:tcPr>
                  <w:tcW w:w="760" w:type="dxa"/>
                  <w:vMerge w:val="continue"/>
                  <w:vAlign w:val="center"/>
                </w:tcPr>
                <w:p>
                  <w:pPr>
                    <w:pStyle w:val="5"/>
                    <w:tabs>
                      <w:tab w:val="left" w:pos="864"/>
                    </w:tabs>
                    <w:snapToGrid w:val="0"/>
                    <w:spacing w:before="0" w:after="0"/>
                    <w:ind w:left="-105" w:leftChars="-50" w:right="-105" w:rightChars="-50"/>
                    <w:jc w:val="center"/>
                    <w:rPr>
                      <w:rFonts w:ascii="Times New Roman" w:hAnsi="Times New Roman" w:eastAsia="宋体"/>
                      <w:b w:val="0"/>
                      <w:bCs/>
                      <w:sz w:val="18"/>
                      <w:szCs w:val="1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38" w:type="dxa"/>
                  <w:gridSpan w:val="11"/>
                  <w:vAlign w:val="center"/>
                </w:tcPr>
                <w:p>
                  <w:pPr>
                    <w:adjustRightInd w:val="0"/>
                    <w:snapToGrid w:val="0"/>
                    <w:spacing w:line="400" w:lineRule="exact"/>
                    <w:jc w:val="left"/>
                    <w:rPr>
                      <w:color w:val="000000"/>
                      <w:sz w:val="18"/>
                      <w:szCs w:val="18"/>
                      <w:u w:val="single"/>
                    </w:rPr>
                  </w:pPr>
                  <w:r>
                    <w:rPr>
                      <w:color w:val="000000"/>
                      <w:sz w:val="18"/>
                      <w:szCs w:val="18"/>
                      <w:u w:val="single"/>
                    </w:rPr>
                    <w:t>注：根据《危险废物贮存污染控制标准》（GB18597-2001），建设单位对危险固废暂存场所应做到以下几点：</w:t>
                  </w:r>
                </w:p>
                <w:p>
                  <w:pPr>
                    <w:adjustRightInd w:val="0"/>
                    <w:snapToGrid w:val="0"/>
                    <w:spacing w:line="400" w:lineRule="exact"/>
                    <w:ind w:firstLine="360" w:firstLineChars="200"/>
                    <w:jc w:val="left"/>
                    <w:rPr>
                      <w:color w:val="000000"/>
                      <w:sz w:val="18"/>
                      <w:szCs w:val="18"/>
                      <w:u w:val="single"/>
                    </w:rPr>
                  </w:pPr>
                  <w:r>
                    <w:rPr>
                      <w:rFonts w:hint="eastAsia"/>
                      <w:color w:val="000000"/>
                      <w:sz w:val="18"/>
                      <w:szCs w:val="18"/>
                      <w:u w:val="single"/>
                    </w:rPr>
                    <w:t>①</w:t>
                  </w:r>
                  <w:r>
                    <w:rPr>
                      <w:color w:val="000000"/>
                      <w:sz w:val="18"/>
                      <w:szCs w:val="18"/>
                      <w:u w:val="single"/>
                    </w:rPr>
                    <w:t>要做好危险废物</w:t>
                  </w:r>
                  <w:r>
                    <w:rPr>
                      <w:rFonts w:hint="eastAsia"/>
                      <w:color w:val="000000"/>
                      <w:sz w:val="18"/>
                      <w:szCs w:val="18"/>
                      <w:u w:val="single"/>
                    </w:rPr>
                    <w:t>暂存场所</w:t>
                  </w:r>
                  <w:r>
                    <w:rPr>
                      <w:color w:val="000000"/>
                      <w:sz w:val="18"/>
                      <w:szCs w:val="18"/>
                      <w:u w:val="single"/>
                    </w:rPr>
                    <w:t>的防渗、防泄漏工作</w:t>
                  </w:r>
                  <w:r>
                    <w:rPr>
                      <w:rFonts w:hint="eastAsia"/>
                      <w:color w:val="000000"/>
                      <w:sz w:val="18"/>
                      <w:szCs w:val="18"/>
                      <w:u w:val="single"/>
                    </w:rPr>
                    <w:t>；</w:t>
                  </w:r>
                </w:p>
                <w:p>
                  <w:pPr>
                    <w:pStyle w:val="50"/>
                    <w:autoSpaceDE/>
                    <w:autoSpaceDN/>
                    <w:adjustRightInd/>
                    <w:spacing w:line="480" w:lineRule="exact"/>
                    <w:ind w:firstLine="360" w:firstLineChars="200"/>
                    <w:jc w:val="both"/>
                    <w:textAlignment w:val="auto"/>
                    <w:rPr>
                      <w:rFonts w:ascii="Times New Roman" w:hAnsi="Times New Roman" w:eastAsia="宋体"/>
                      <w:b w:val="0"/>
                      <w:bCs/>
                      <w:sz w:val="18"/>
                      <w:szCs w:val="18"/>
                      <w:u w:val="single"/>
                    </w:rPr>
                  </w:pPr>
                  <w:r>
                    <w:rPr>
                      <w:rFonts w:hint="eastAsia"/>
                      <w:color w:val="000000"/>
                      <w:sz w:val="18"/>
                      <w:szCs w:val="18"/>
                      <w:u w:val="single"/>
                    </w:rPr>
                    <w:t>②</w:t>
                  </w:r>
                  <w:r>
                    <w:rPr>
                      <w:color w:val="000000"/>
                      <w:sz w:val="18"/>
                      <w:szCs w:val="18"/>
                      <w:u w:val="single"/>
                    </w:rPr>
                    <w:t>危险废物需用符合标准的容器盛装，容器上需粘贴符合《危险废物贮存污染控制标准》（GB18597-2001）附录A所示的标签。</w:t>
                  </w:r>
                </w:p>
              </w:tc>
            </w:tr>
          </w:tbl>
          <w:p/>
          <w:p>
            <w:pPr>
              <w:adjustRightInd w:val="0"/>
              <w:snapToGrid w:val="0"/>
              <w:spacing w:line="360" w:lineRule="auto"/>
              <w:ind w:firstLine="480" w:firstLineChars="200"/>
              <w:jc w:val="left"/>
              <w:rPr>
                <w:rFonts w:hint="eastAsia"/>
                <w:color w:val="000000"/>
                <w:sz w:val="24"/>
                <w:u w:val="single"/>
              </w:rPr>
            </w:pPr>
            <w:r>
              <w:rPr>
                <w:rFonts w:hint="eastAsia"/>
                <w:color w:val="000000"/>
                <w:sz w:val="24"/>
                <w:u w:val="single"/>
              </w:rPr>
              <w:t>（2）固体废物环境管理要求</w:t>
            </w:r>
          </w:p>
          <w:p>
            <w:pPr>
              <w:adjustRightInd w:val="0"/>
              <w:snapToGrid w:val="0"/>
              <w:spacing w:line="360" w:lineRule="auto"/>
              <w:ind w:firstLine="480" w:firstLineChars="200"/>
              <w:jc w:val="left"/>
              <w:rPr>
                <w:color w:val="000000"/>
                <w:sz w:val="24"/>
                <w:u w:val="single"/>
              </w:rPr>
            </w:pPr>
            <w:r>
              <w:rPr>
                <w:rFonts w:hint="eastAsia"/>
                <w:color w:val="000000"/>
                <w:sz w:val="24"/>
                <w:u w:val="single"/>
              </w:rPr>
              <w:t>本项目产生的废矿物油、废U</w:t>
            </w:r>
            <w:r>
              <w:rPr>
                <w:color w:val="000000"/>
                <w:sz w:val="24"/>
                <w:u w:val="single"/>
              </w:rPr>
              <w:t>V</w:t>
            </w:r>
            <w:r>
              <w:rPr>
                <w:rFonts w:hint="eastAsia"/>
                <w:color w:val="000000"/>
                <w:sz w:val="24"/>
                <w:u w:val="single"/>
              </w:rPr>
              <w:t>灯管、废活性炭属于危险废物；上述固废在项目厂区收集、贮存过程中应按危险废物进行管理。为进一步加强危险废物贮存管理，评价对本项目厂区危险废物暂存提出以下建议</w:t>
            </w:r>
            <w:r>
              <w:rPr>
                <w:color w:val="000000"/>
                <w:sz w:val="24"/>
                <w:u w:val="single"/>
              </w:rPr>
              <w:t>：</w:t>
            </w:r>
          </w:p>
          <w:p>
            <w:pPr>
              <w:adjustRightInd w:val="0"/>
              <w:snapToGrid w:val="0"/>
              <w:spacing w:line="360" w:lineRule="auto"/>
              <w:ind w:firstLine="480" w:firstLineChars="200"/>
              <w:jc w:val="left"/>
              <w:rPr>
                <w:color w:val="000000"/>
                <w:sz w:val="24"/>
                <w:u w:val="single"/>
              </w:rPr>
            </w:pPr>
            <w:r>
              <w:rPr>
                <w:rFonts w:hint="eastAsia"/>
                <w:color w:val="000000"/>
                <w:sz w:val="24"/>
                <w:u w:val="single"/>
              </w:rPr>
              <w:t>①</w:t>
            </w:r>
            <w:r>
              <w:rPr>
                <w:color w:val="000000"/>
                <w:sz w:val="24"/>
                <w:u w:val="single"/>
              </w:rPr>
              <w:t>应使用符合标准的容器盛装危险废物，容器及其材质应满足相应的强度要求；液体危险废物可注入开孔直径不超过70mm并有放气孔的桶中。</w:t>
            </w:r>
          </w:p>
          <w:p>
            <w:pPr>
              <w:adjustRightInd w:val="0"/>
              <w:snapToGrid w:val="0"/>
              <w:spacing w:line="360" w:lineRule="auto"/>
              <w:ind w:firstLine="480" w:firstLineChars="200"/>
              <w:jc w:val="left"/>
              <w:rPr>
                <w:color w:val="000000"/>
                <w:sz w:val="24"/>
                <w:u w:val="single"/>
              </w:rPr>
            </w:pPr>
            <w:r>
              <w:rPr>
                <w:rFonts w:hint="eastAsia"/>
                <w:color w:val="000000"/>
                <w:sz w:val="24"/>
                <w:u w:val="single"/>
              </w:rPr>
              <w:t>②</w:t>
            </w:r>
            <w:r>
              <w:rPr>
                <w:color w:val="000000"/>
                <w:sz w:val="24"/>
                <w:u w:val="single"/>
              </w:rPr>
              <w:t>装载危废材质和衬里要与危险废物相容，并且保留足够的空间，容器顶部与液体表面之间保留100mm以上的空间。</w:t>
            </w:r>
          </w:p>
          <w:p>
            <w:pPr>
              <w:adjustRightInd w:val="0"/>
              <w:snapToGrid w:val="0"/>
              <w:spacing w:line="360" w:lineRule="auto"/>
              <w:ind w:firstLine="480" w:firstLineChars="200"/>
              <w:jc w:val="left"/>
              <w:rPr>
                <w:color w:val="000000"/>
                <w:sz w:val="24"/>
                <w:u w:val="single"/>
              </w:rPr>
            </w:pPr>
            <w:r>
              <w:rPr>
                <w:rFonts w:hint="eastAsia"/>
                <w:color w:val="000000"/>
                <w:sz w:val="24"/>
                <w:u w:val="single"/>
              </w:rPr>
              <w:t>③</w:t>
            </w:r>
            <w:r>
              <w:rPr>
                <w:color w:val="000000"/>
                <w:sz w:val="24"/>
                <w:u w:val="single"/>
              </w:rPr>
              <w:t>容器表面必须粘贴符合标准的标签（见《危险废物贮存污染控制标准》GB18597-2001附录A）。</w:t>
            </w:r>
          </w:p>
          <w:p>
            <w:pPr>
              <w:adjustRightInd w:val="0"/>
              <w:snapToGrid w:val="0"/>
              <w:spacing w:line="360" w:lineRule="auto"/>
              <w:ind w:firstLine="480" w:firstLineChars="200"/>
              <w:jc w:val="left"/>
              <w:rPr>
                <w:color w:val="000000"/>
                <w:sz w:val="24"/>
                <w:u w:val="single"/>
              </w:rPr>
            </w:pPr>
            <w:r>
              <w:rPr>
                <w:rFonts w:hint="eastAsia"/>
                <w:color w:val="000000"/>
                <w:sz w:val="24"/>
                <w:u w:val="single"/>
              </w:rPr>
              <w:t>④</w:t>
            </w:r>
            <w:r>
              <w:rPr>
                <w:color w:val="000000"/>
                <w:sz w:val="24"/>
                <w:u w:val="single"/>
              </w:rPr>
              <w:t>专门设置危险固废暂存间作为危险废物临时贮存地；危险废物临时贮存所的地面和裙脚要用坚固、防渗的材料建造；该贮存所的地面与裙脚围建一定的空间，该容积不低于堵截最大容器的最大储量或总储量的1/5；贮存所需设液体收集装置、气体导出口及气体净化装置；贮存装载液体、半固体危险废物容器的地方，必须有耐腐蚀的硬化地面且表面无裂隙。贮存设施应注意安全照明等问题；不相容的危险废物分开存放，并设有隔离间。具体设计原则见《危险废物贮存污染控制标准》GB18597-2001。</w:t>
            </w:r>
          </w:p>
          <w:p>
            <w:pPr>
              <w:adjustRightInd w:val="0"/>
              <w:snapToGrid w:val="0"/>
              <w:spacing w:line="360" w:lineRule="auto"/>
              <w:ind w:firstLine="480" w:firstLineChars="200"/>
              <w:jc w:val="left"/>
              <w:rPr>
                <w:color w:val="000000"/>
                <w:sz w:val="24"/>
                <w:u w:val="single"/>
              </w:rPr>
            </w:pPr>
            <w:r>
              <w:rPr>
                <w:rFonts w:hint="eastAsia"/>
                <w:color w:val="000000"/>
                <w:sz w:val="24"/>
                <w:u w:val="single"/>
              </w:rPr>
              <w:t>⑤</w:t>
            </w:r>
            <w:r>
              <w:rPr>
                <w:color w:val="000000"/>
                <w:sz w:val="24"/>
                <w:u w:val="single"/>
              </w:rPr>
              <w:t>废物暂存间地面采取防渗措施，建议采用刚性防渗结构：水泥基渗透结晶型抗渗混凝土（厚度大于250mm、混凝土强度等级不宜小于C30、抗渗等级不小于P8）+水泥基渗透结晶型防渗涂层结构型式（厚度不小于2.0mm），透系数不大于1.0×10</w:t>
            </w:r>
            <w:r>
              <w:rPr>
                <w:color w:val="000000"/>
                <w:sz w:val="24"/>
                <w:u w:val="single"/>
                <w:vertAlign w:val="superscript"/>
              </w:rPr>
              <w:t>-10</w:t>
            </w:r>
            <w:r>
              <w:rPr>
                <w:color w:val="000000"/>
                <w:sz w:val="24"/>
                <w:u w:val="single"/>
              </w:rPr>
              <w:t>cm/s。</w:t>
            </w:r>
          </w:p>
          <w:p>
            <w:pPr>
              <w:adjustRightInd w:val="0"/>
              <w:snapToGrid w:val="0"/>
              <w:spacing w:line="360" w:lineRule="auto"/>
              <w:ind w:firstLine="480" w:firstLineChars="200"/>
              <w:jc w:val="left"/>
              <w:rPr>
                <w:color w:val="000000"/>
                <w:sz w:val="24"/>
                <w:u w:val="single"/>
              </w:rPr>
            </w:pPr>
            <w:r>
              <w:rPr>
                <w:rFonts w:hint="eastAsia"/>
                <w:color w:val="000000"/>
                <w:sz w:val="24"/>
                <w:u w:val="single"/>
              </w:rPr>
              <w:t>⑥</w:t>
            </w:r>
            <w:r>
              <w:rPr>
                <w:color w:val="000000"/>
                <w:sz w:val="24"/>
                <w:u w:val="single"/>
              </w:rPr>
              <w:t>设置专人负责危废的日常收集和管理，对进出临时贮存所的危废都要记录在案。</w:t>
            </w:r>
          </w:p>
          <w:p>
            <w:pPr>
              <w:adjustRightInd w:val="0"/>
              <w:snapToGrid w:val="0"/>
              <w:spacing w:line="360" w:lineRule="auto"/>
              <w:ind w:firstLine="480" w:firstLineChars="200"/>
              <w:jc w:val="left"/>
              <w:rPr>
                <w:color w:val="000000"/>
                <w:sz w:val="24"/>
                <w:u w:val="single"/>
              </w:rPr>
            </w:pPr>
            <w:r>
              <w:rPr>
                <w:rFonts w:hint="eastAsia"/>
                <w:color w:val="000000"/>
                <w:sz w:val="24"/>
                <w:u w:val="single"/>
              </w:rPr>
              <w:t>⑦</w:t>
            </w:r>
            <w:r>
              <w:rPr>
                <w:color w:val="000000"/>
                <w:sz w:val="24"/>
                <w:u w:val="single"/>
              </w:rPr>
              <w:t>危废临时贮存所周围要设置防护栅栏，并设置警示标志。贮存所内应配备通讯设备、照明设备、安全防护服装及工具，并有应急防护设施。</w:t>
            </w:r>
          </w:p>
          <w:p>
            <w:pPr>
              <w:adjustRightInd w:val="0"/>
              <w:snapToGrid w:val="0"/>
              <w:spacing w:line="360" w:lineRule="auto"/>
              <w:ind w:firstLine="480" w:firstLineChars="200"/>
              <w:jc w:val="left"/>
              <w:rPr>
                <w:color w:val="000000"/>
                <w:sz w:val="24"/>
                <w:u w:val="single"/>
              </w:rPr>
            </w:pPr>
            <w:r>
              <w:rPr>
                <w:color w:val="000000"/>
                <w:sz w:val="24"/>
                <w:u w:val="single"/>
              </w:rPr>
              <w:t>根据《中华人民共和国固体废物污染环境防治法》规定，企业应制定危险废物管理计划，内容包括减少危险废物产生量和危害性的措施以及危险废物贮存、利用、处置措施。企业应严格按照《危险废物贮存污染控制标准》（GB18597-2001）及2013修改单中有关要求做好危险固废的收集、贮存工作，各类危险固废分别采用专门容器收集后，在厂区内设置专门的危险废物储存间暂存，储存间应按照《危险废物贮存污染控制标准》（GB18597-2001）及2013修改单中要求进行设置和管理，并及时委托具有相关危废处置资质的单位进行安全处置。危险废物应向环境保护主管部门进行申报，建立台账管理制度和危险废物联单转移制度。</w:t>
            </w:r>
          </w:p>
          <w:p>
            <w:pPr>
              <w:adjustRightInd w:val="0"/>
              <w:snapToGrid w:val="0"/>
              <w:spacing w:line="360" w:lineRule="auto"/>
              <w:ind w:firstLine="480" w:firstLineChars="200"/>
              <w:jc w:val="left"/>
              <w:rPr>
                <w:color w:val="000000"/>
                <w:sz w:val="24"/>
                <w:u w:val="single"/>
              </w:rPr>
            </w:pPr>
            <w:r>
              <w:rPr>
                <w:color w:val="000000"/>
                <w:sz w:val="24"/>
                <w:u w:val="single"/>
              </w:rPr>
              <w:t>项目危险废物贮存场所基本情况见表4-</w:t>
            </w:r>
            <w:r>
              <w:rPr>
                <w:rFonts w:hint="eastAsia"/>
                <w:color w:val="000000"/>
                <w:sz w:val="24"/>
                <w:u w:val="single"/>
                <w:lang w:val="en-US" w:eastAsia="zh-CN"/>
              </w:rPr>
              <w:t>14</w:t>
            </w:r>
            <w:r>
              <w:rPr>
                <w:color w:val="000000"/>
                <w:sz w:val="24"/>
                <w:u w:val="singl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sz w:val="21"/>
                <w:szCs w:val="21"/>
                <w:u w:val="single"/>
              </w:rPr>
            </w:pPr>
            <w:r>
              <w:rPr>
                <w:b/>
                <w:bCs/>
                <w:color w:val="000000"/>
                <w:sz w:val="21"/>
                <w:szCs w:val="21"/>
                <w:u w:val="single"/>
              </w:rPr>
              <w:t>表4-</w:t>
            </w:r>
            <w:r>
              <w:rPr>
                <w:rFonts w:hint="eastAsia"/>
                <w:b/>
                <w:bCs/>
                <w:color w:val="000000"/>
                <w:sz w:val="21"/>
                <w:szCs w:val="21"/>
                <w:u w:val="single"/>
                <w:lang w:val="en-US" w:eastAsia="zh-CN"/>
              </w:rPr>
              <w:t>14</w:t>
            </w:r>
            <w:r>
              <w:rPr>
                <w:b/>
                <w:bCs/>
                <w:color w:val="000000"/>
                <w:sz w:val="21"/>
                <w:szCs w:val="21"/>
                <w:u w:val="single"/>
              </w:rPr>
              <w:t xml:space="preserve">  危险废物贮存场所基本情况表</w:t>
            </w:r>
          </w:p>
          <w:tbl>
            <w:tblPr>
              <w:tblStyle w:val="21"/>
              <w:tblW w:w="75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57" w:type="dxa"/>
                <w:bottom w:w="0" w:type="dxa"/>
                <w:right w:w="57" w:type="dxa"/>
              </w:tblCellMar>
            </w:tblPr>
            <w:tblGrid>
              <w:gridCol w:w="478"/>
              <w:gridCol w:w="611"/>
              <w:gridCol w:w="1015"/>
              <w:gridCol w:w="776"/>
              <w:gridCol w:w="1212"/>
              <w:gridCol w:w="774"/>
              <w:gridCol w:w="640"/>
              <w:gridCol w:w="661"/>
              <w:gridCol w:w="725"/>
              <w:gridCol w:w="66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478" w:type="dxa"/>
                  <w:vAlign w:val="center"/>
                </w:tcPr>
                <w:p>
                  <w:pPr>
                    <w:spacing w:line="360" w:lineRule="auto"/>
                    <w:jc w:val="center"/>
                    <w:rPr>
                      <w:color w:val="000000"/>
                      <w:sz w:val="18"/>
                      <w:szCs w:val="18"/>
                      <w:u w:val="single"/>
                    </w:rPr>
                  </w:pPr>
                  <w:r>
                    <w:rPr>
                      <w:color w:val="000000"/>
                      <w:sz w:val="18"/>
                      <w:szCs w:val="18"/>
                      <w:u w:val="single"/>
                    </w:rPr>
                    <w:t>序号</w:t>
                  </w:r>
                </w:p>
              </w:tc>
              <w:tc>
                <w:tcPr>
                  <w:tcW w:w="611" w:type="dxa"/>
                  <w:vAlign w:val="center"/>
                </w:tcPr>
                <w:p>
                  <w:pPr>
                    <w:spacing w:line="360" w:lineRule="auto"/>
                    <w:jc w:val="center"/>
                    <w:rPr>
                      <w:color w:val="000000"/>
                      <w:sz w:val="18"/>
                      <w:szCs w:val="18"/>
                      <w:u w:val="single"/>
                    </w:rPr>
                  </w:pPr>
                  <w:r>
                    <w:rPr>
                      <w:color w:val="000000"/>
                      <w:sz w:val="18"/>
                      <w:szCs w:val="18"/>
                      <w:u w:val="single"/>
                    </w:rPr>
                    <w:t>贮存场</w:t>
                  </w:r>
                </w:p>
                <w:p>
                  <w:pPr>
                    <w:spacing w:line="360" w:lineRule="auto"/>
                    <w:jc w:val="center"/>
                    <w:rPr>
                      <w:color w:val="000000"/>
                      <w:sz w:val="18"/>
                      <w:szCs w:val="18"/>
                      <w:u w:val="single"/>
                    </w:rPr>
                  </w:pPr>
                  <w:r>
                    <w:rPr>
                      <w:color w:val="000000"/>
                      <w:sz w:val="18"/>
                      <w:szCs w:val="18"/>
                      <w:u w:val="single"/>
                    </w:rPr>
                    <w:t>所名称</w:t>
                  </w:r>
                </w:p>
              </w:tc>
              <w:tc>
                <w:tcPr>
                  <w:tcW w:w="1015" w:type="dxa"/>
                  <w:vAlign w:val="center"/>
                </w:tcPr>
                <w:p>
                  <w:pPr>
                    <w:spacing w:line="360" w:lineRule="auto"/>
                    <w:jc w:val="center"/>
                    <w:rPr>
                      <w:color w:val="000000"/>
                      <w:sz w:val="18"/>
                      <w:szCs w:val="18"/>
                      <w:u w:val="single"/>
                    </w:rPr>
                  </w:pPr>
                  <w:r>
                    <w:rPr>
                      <w:color w:val="000000"/>
                      <w:sz w:val="18"/>
                      <w:szCs w:val="18"/>
                      <w:u w:val="single"/>
                    </w:rPr>
                    <w:t>危险废物名称</w:t>
                  </w:r>
                </w:p>
              </w:tc>
              <w:tc>
                <w:tcPr>
                  <w:tcW w:w="776" w:type="dxa"/>
                  <w:vAlign w:val="center"/>
                </w:tcPr>
                <w:p>
                  <w:pPr>
                    <w:spacing w:line="360" w:lineRule="auto"/>
                    <w:jc w:val="center"/>
                    <w:rPr>
                      <w:color w:val="000000"/>
                      <w:sz w:val="18"/>
                      <w:szCs w:val="18"/>
                      <w:u w:val="single"/>
                    </w:rPr>
                  </w:pPr>
                  <w:r>
                    <w:rPr>
                      <w:color w:val="000000"/>
                      <w:sz w:val="18"/>
                      <w:szCs w:val="18"/>
                      <w:u w:val="single"/>
                    </w:rPr>
                    <w:t>危险废物类别</w:t>
                  </w:r>
                </w:p>
              </w:tc>
              <w:tc>
                <w:tcPr>
                  <w:tcW w:w="1212" w:type="dxa"/>
                  <w:vAlign w:val="center"/>
                </w:tcPr>
                <w:p>
                  <w:pPr>
                    <w:spacing w:line="360" w:lineRule="auto"/>
                    <w:jc w:val="center"/>
                    <w:rPr>
                      <w:color w:val="000000"/>
                      <w:sz w:val="18"/>
                      <w:szCs w:val="18"/>
                      <w:u w:val="single"/>
                    </w:rPr>
                  </w:pPr>
                  <w:r>
                    <w:rPr>
                      <w:color w:val="000000"/>
                      <w:sz w:val="18"/>
                      <w:szCs w:val="18"/>
                      <w:u w:val="single"/>
                    </w:rPr>
                    <w:t>危险废物代码</w:t>
                  </w:r>
                </w:p>
              </w:tc>
              <w:tc>
                <w:tcPr>
                  <w:tcW w:w="774" w:type="dxa"/>
                  <w:vAlign w:val="center"/>
                </w:tcPr>
                <w:p>
                  <w:pPr>
                    <w:spacing w:line="360" w:lineRule="auto"/>
                    <w:jc w:val="center"/>
                    <w:rPr>
                      <w:color w:val="000000"/>
                      <w:sz w:val="18"/>
                      <w:szCs w:val="18"/>
                      <w:u w:val="single"/>
                    </w:rPr>
                  </w:pPr>
                  <w:r>
                    <w:rPr>
                      <w:color w:val="000000"/>
                      <w:sz w:val="18"/>
                      <w:szCs w:val="18"/>
                      <w:u w:val="single"/>
                    </w:rPr>
                    <w:t>位置</w:t>
                  </w:r>
                </w:p>
              </w:tc>
              <w:tc>
                <w:tcPr>
                  <w:tcW w:w="640" w:type="dxa"/>
                  <w:vAlign w:val="center"/>
                </w:tcPr>
                <w:p>
                  <w:pPr>
                    <w:spacing w:line="360" w:lineRule="auto"/>
                    <w:jc w:val="center"/>
                    <w:rPr>
                      <w:color w:val="000000"/>
                      <w:sz w:val="18"/>
                      <w:szCs w:val="18"/>
                      <w:u w:val="single"/>
                    </w:rPr>
                  </w:pPr>
                  <w:r>
                    <w:rPr>
                      <w:color w:val="000000"/>
                      <w:sz w:val="18"/>
                      <w:szCs w:val="18"/>
                      <w:u w:val="single"/>
                    </w:rPr>
                    <w:t>占地</w:t>
                  </w:r>
                </w:p>
                <w:p>
                  <w:pPr>
                    <w:spacing w:line="360" w:lineRule="auto"/>
                    <w:jc w:val="center"/>
                    <w:rPr>
                      <w:color w:val="000000"/>
                      <w:sz w:val="18"/>
                      <w:szCs w:val="18"/>
                      <w:u w:val="single"/>
                    </w:rPr>
                  </w:pPr>
                  <w:r>
                    <w:rPr>
                      <w:color w:val="000000"/>
                      <w:sz w:val="18"/>
                      <w:szCs w:val="18"/>
                      <w:u w:val="single"/>
                    </w:rPr>
                    <w:t>面积</w:t>
                  </w:r>
                </w:p>
              </w:tc>
              <w:tc>
                <w:tcPr>
                  <w:tcW w:w="661" w:type="dxa"/>
                  <w:vAlign w:val="center"/>
                </w:tcPr>
                <w:p>
                  <w:pPr>
                    <w:spacing w:line="360" w:lineRule="auto"/>
                    <w:jc w:val="center"/>
                    <w:rPr>
                      <w:color w:val="000000"/>
                      <w:sz w:val="18"/>
                      <w:szCs w:val="18"/>
                      <w:u w:val="single"/>
                    </w:rPr>
                  </w:pPr>
                  <w:r>
                    <w:rPr>
                      <w:color w:val="000000"/>
                      <w:sz w:val="18"/>
                      <w:szCs w:val="18"/>
                      <w:u w:val="single"/>
                    </w:rPr>
                    <w:t>贮存</w:t>
                  </w:r>
                </w:p>
                <w:p>
                  <w:pPr>
                    <w:spacing w:line="360" w:lineRule="auto"/>
                    <w:jc w:val="center"/>
                    <w:rPr>
                      <w:color w:val="000000"/>
                      <w:sz w:val="18"/>
                      <w:szCs w:val="18"/>
                      <w:u w:val="single"/>
                    </w:rPr>
                  </w:pPr>
                  <w:r>
                    <w:rPr>
                      <w:color w:val="000000"/>
                      <w:sz w:val="18"/>
                      <w:szCs w:val="18"/>
                      <w:u w:val="single"/>
                    </w:rPr>
                    <w:t>方式</w:t>
                  </w:r>
                </w:p>
              </w:tc>
              <w:tc>
                <w:tcPr>
                  <w:tcW w:w="725" w:type="dxa"/>
                  <w:vAlign w:val="center"/>
                </w:tcPr>
                <w:p>
                  <w:pPr>
                    <w:spacing w:line="360" w:lineRule="auto"/>
                    <w:jc w:val="center"/>
                    <w:rPr>
                      <w:color w:val="000000"/>
                      <w:sz w:val="18"/>
                      <w:szCs w:val="18"/>
                      <w:u w:val="single"/>
                    </w:rPr>
                  </w:pPr>
                  <w:r>
                    <w:rPr>
                      <w:color w:val="000000"/>
                      <w:sz w:val="18"/>
                      <w:szCs w:val="18"/>
                      <w:u w:val="single"/>
                    </w:rPr>
                    <w:t>贮存能力</w:t>
                  </w:r>
                </w:p>
              </w:tc>
              <w:tc>
                <w:tcPr>
                  <w:tcW w:w="662" w:type="dxa"/>
                  <w:vAlign w:val="center"/>
                </w:tcPr>
                <w:p>
                  <w:pPr>
                    <w:spacing w:line="360" w:lineRule="auto"/>
                    <w:jc w:val="center"/>
                    <w:rPr>
                      <w:color w:val="000000"/>
                      <w:sz w:val="18"/>
                      <w:szCs w:val="18"/>
                      <w:u w:val="single"/>
                    </w:rPr>
                  </w:pPr>
                  <w:r>
                    <w:rPr>
                      <w:color w:val="000000"/>
                      <w:sz w:val="18"/>
                      <w:szCs w:val="18"/>
                      <w:u w:val="single"/>
                    </w:rPr>
                    <w:t>贮存周期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478" w:type="dxa"/>
                  <w:vAlign w:val="center"/>
                </w:tcPr>
                <w:p>
                  <w:pPr>
                    <w:spacing w:line="360" w:lineRule="auto"/>
                    <w:jc w:val="center"/>
                    <w:rPr>
                      <w:color w:val="000000"/>
                      <w:sz w:val="18"/>
                      <w:szCs w:val="18"/>
                      <w:u w:val="single"/>
                    </w:rPr>
                  </w:pPr>
                  <w:r>
                    <w:rPr>
                      <w:color w:val="000000"/>
                      <w:sz w:val="18"/>
                      <w:szCs w:val="18"/>
                      <w:u w:val="single"/>
                    </w:rPr>
                    <w:t>1</w:t>
                  </w:r>
                </w:p>
              </w:tc>
              <w:tc>
                <w:tcPr>
                  <w:tcW w:w="611" w:type="dxa"/>
                  <w:vMerge w:val="restart"/>
                  <w:vAlign w:val="center"/>
                </w:tcPr>
                <w:p>
                  <w:pPr>
                    <w:spacing w:line="360" w:lineRule="auto"/>
                    <w:jc w:val="center"/>
                    <w:rPr>
                      <w:color w:val="000000"/>
                      <w:sz w:val="18"/>
                      <w:szCs w:val="18"/>
                      <w:u w:val="single"/>
                    </w:rPr>
                  </w:pPr>
                  <w:r>
                    <w:rPr>
                      <w:color w:val="000000"/>
                      <w:sz w:val="18"/>
                      <w:szCs w:val="18"/>
                      <w:u w:val="single"/>
                    </w:rPr>
                    <w:t>危废</w:t>
                  </w:r>
                </w:p>
                <w:p>
                  <w:pPr>
                    <w:spacing w:line="360" w:lineRule="auto"/>
                    <w:jc w:val="center"/>
                    <w:rPr>
                      <w:color w:val="000000"/>
                      <w:sz w:val="18"/>
                      <w:szCs w:val="18"/>
                      <w:u w:val="single"/>
                    </w:rPr>
                  </w:pPr>
                  <w:r>
                    <w:rPr>
                      <w:color w:val="000000"/>
                      <w:sz w:val="18"/>
                      <w:szCs w:val="18"/>
                      <w:u w:val="single"/>
                    </w:rPr>
                    <w:t>暂存间</w:t>
                  </w:r>
                </w:p>
              </w:tc>
              <w:tc>
                <w:tcPr>
                  <w:tcW w:w="1015" w:type="dxa"/>
                  <w:vAlign w:val="center"/>
                </w:tcPr>
                <w:p>
                  <w:pPr>
                    <w:spacing w:line="360" w:lineRule="auto"/>
                    <w:jc w:val="center"/>
                    <w:rPr>
                      <w:color w:val="000000"/>
                      <w:sz w:val="18"/>
                      <w:szCs w:val="18"/>
                      <w:u w:val="single"/>
                    </w:rPr>
                  </w:pPr>
                  <w:r>
                    <w:rPr>
                      <w:rFonts w:hint="eastAsia"/>
                      <w:color w:val="000000"/>
                      <w:sz w:val="18"/>
                      <w:szCs w:val="18"/>
                      <w:u w:val="single"/>
                    </w:rPr>
                    <w:t>废矿物油</w:t>
                  </w:r>
                </w:p>
              </w:tc>
              <w:tc>
                <w:tcPr>
                  <w:tcW w:w="776" w:type="dxa"/>
                  <w:vAlign w:val="center"/>
                </w:tcPr>
                <w:p>
                  <w:pPr>
                    <w:spacing w:line="360" w:lineRule="auto"/>
                    <w:jc w:val="center"/>
                    <w:rPr>
                      <w:color w:val="000000"/>
                      <w:sz w:val="18"/>
                      <w:szCs w:val="18"/>
                      <w:u w:val="single"/>
                    </w:rPr>
                  </w:pPr>
                  <w:r>
                    <w:rPr>
                      <w:rFonts w:hint="eastAsia"/>
                      <w:color w:val="000000"/>
                      <w:sz w:val="18"/>
                      <w:szCs w:val="18"/>
                      <w:u w:val="single"/>
                    </w:rPr>
                    <w:t>H</w:t>
                  </w:r>
                  <w:r>
                    <w:rPr>
                      <w:color w:val="000000"/>
                      <w:sz w:val="18"/>
                      <w:szCs w:val="18"/>
                      <w:u w:val="single"/>
                    </w:rPr>
                    <w:t>W08</w:t>
                  </w:r>
                </w:p>
              </w:tc>
              <w:tc>
                <w:tcPr>
                  <w:tcW w:w="1212" w:type="dxa"/>
                  <w:vAlign w:val="center"/>
                </w:tcPr>
                <w:p>
                  <w:pPr>
                    <w:autoSpaceDE w:val="0"/>
                    <w:autoSpaceDN w:val="0"/>
                    <w:adjustRightInd w:val="0"/>
                    <w:snapToGrid w:val="0"/>
                    <w:spacing w:line="360" w:lineRule="auto"/>
                    <w:jc w:val="center"/>
                    <w:textAlignment w:val="baseline"/>
                    <w:rPr>
                      <w:color w:val="000000"/>
                      <w:sz w:val="18"/>
                      <w:szCs w:val="18"/>
                      <w:u w:val="single"/>
                    </w:rPr>
                  </w:pPr>
                  <w:r>
                    <w:rPr>
                      <w:color w:val="000000"/>
                      <w:sz w:val="18"/>
                      <w:szCs w:val="18"/>
                      <w:u w:val="single"/>
                    </w:rPr>
                    <w:t>900-249-08</w:t>
                  </w:r>
                </w:p>
              </w:tc>
              <w:tc>
                <w:tcPr>
                  <w:tcW w:w="774" w:type="dxa"/>
                  <w:vMerge w:val="restart"/>
                  <w:vAlign w:val="center"/>
                </w:tcPr>
                <w:p>
                  <w:pPr>
                    <w:spacing w:line="360" w:lineRule="auto"/>
                    <w:jc w:val="left"/>
                    <w:rPr>
                      <w:color w:val="000000"/>
                      <w:sz w:val="18"/>
                      <w:szCs w:val="18"/>
                      <w:u w:val="single"/>
                    </w:rPr>
                  </w:pPr>
                  <w:r>
                    <w:rPr>
                      <w:color w:val="000000"/>
                      <w:sz w:val="18"/>
                      <w:szCs w:val="18"/>
                      <w:u w:val="single"/>
                    </w:rPr>
                    <w:t>厂</w:t>
                  </w:r>
                  <w:r>
                    <w:rPr>
                      <w:rFonts w:hint="eastAsia"/>
                      <w:color w:val="000000"/>
                      <w:sz w:val="18"/>
                      <w:szCs w:val="18"/>
                      <w:u w:val="single"/>
                    </w:rPr>
                    <w:t>房</w:t>
                  </w:r>
                  <w:r>
                    <w:rPr>
                      <w:color w:val="000000"/>
                      <w:sz w:val="18"/>
                      <w:szCs w:val="18"/>
                      <w:u w:val="single"/>
                    </w:rPr>
                    <w:t>南侧</w:t>
                  </w:r>
                </w:p>
              </w:tc>
              <w:tc>
                <w:tcPr>
                  <w:tcW w:w="640" w:type="dxa"/>
                  <w:vMerge w:val="restart"/>
                  <w:vAlign w:val="center"/>
                </w:tcPr>
                <w:p>
                  <w:pPr>
                    <w:spacing w:line="360" w:lineRule="auto"/>
                    <w:jc w:val="center"/>
                    <w:rPr>
                      <w:color w:val="000000"/>
                      <w:sz w:val="18"/>
                      <w:szCs w:val="18"/>
                      <w:u w:val="single"/>
                    </w:rPr>
                  </w:pPr>
                  <w:r>
                    <w:rPr>
                      <w:color w:val="000000"/>
                      <w:sz w:val="18"/>
                      <w:szCs w:val="18"/>
                      <w:u w:val="single"/>
                    </w:rPr>
                    <w:t>10m</w:t>
                  </w:r>
                  <w:r>
                    <w:rPr>
                      <w:color w:val="000000"/>
                      <w:sz w:val="18"/>
                      <w:szCs w:val="18"/>
                      <w:u w:val="single"/>
                      <w:vertAlign w:val="superscript"/>
                    </w:rPr>
                    <w:t>2</w:t>
                  </w:r>
                </w:p>
              </w:tc>
              <w:tc>
                <w:tcPr>
                  <w:tcW w:w="661" w:type="dxa"/>
                  <w:vAlign w:val="center"/>
                </w:tcPr>
                <w:p>
                  <w:pPr>
                    <w:spacing w:line="360" w:lineRule="auto"/>
                    <w:jc w:val="center"/>
                    <w:rPr>
                      <w:color w:val="000000"/>
                      <w:sz w:val="18"/>
                      <w:szCs w:val="18"/>
                      <w:u w:val="single"/>
                    </w:rPr>
                  </w:pPr>
                  <w:r>
                    <w:rPr>
                      <w:rFonts w:hint="eastAsia"/>
                      <w:color w:val="000000"/>
                      <w:sz w:val="18"/>
                      <w:szCs w:val="18"/>
                      <w:u w:val="single"/>
                    </w:rPr>
                    <w:t>桶装</w:t>
                  </w:r>
                </w:p>
              </w:tc>
              <w:tc>
                <w:tcPr>
                  <w:tcW w:w="725" w:type="dxa"/>
                  <w:vAlign w:val="center"/>
                </w:tcPr>
                <w:p>
                  <w:pPr>
                    <w:spacing w:line="360" w:lineRule="auto"/>
                    <w:jc w:val="center"/>
                    <w:rPr>
                      <w:color w:val="000000"/>
                      <w:sz w:val="18"/>
                      <w:szCs w:val="18"/>
                      <w:u w:val="single"/>
                    </w:rPr>
                  </w:pPr>
                  <w:r>
                    <w:rPr>
                      <w:color w:val="000000"/>
                      <w:sz w:val="18"/>
                      <w:szCs w:val="18"/>
                      <w:u w:val="single"/>
                    </w:rPr>
                    <w:t>——</w:t>
                  </w:r>
                </w:p>
              </w:tc>
              <w:tc>
                <w:tcPr>
                  <w:tcW w:w="662" w:type="dxa"/>
                  <w:vAlign w:val="center"/>
                </w:tcPr>
                <w:p>
                  <w:pPr>
                    <w:spacing w:line="360" w:lineRule="auto"/>
                    <w:jc w:val="center"/>
                    <w:rPr>
                      <w:color w:val="000000"/>
                      <w:sz w:val="18"/>
                      <w:szCs w:val="18"/>
                      <w:u w:val="single"/>
                    </w:rPr>
                  </w:pPr>
                  <w:r>
                    <w:rPr>
                      <w:rFonts w:hint="eastAsia"/>
                      <w:color w:val="000000"/>
                      <w:sz w:val="18"/>
                      <w:szCs w:val="18"/>
                      <w:u w:val="single"/>
                    </w:rPr>
                    <w:t>半年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478" w:type="dxa"/>
                  <w:vAlign w:val="center"/>
                </w:tcPr>
                <w:p>
                  <w:pPr>
                    <w:spacing w:line="360" w:lineRule="auto"/>
                    <w:jc w:val="center"/>
                    <w:rPr>
                      <w:rFonts w:hint="eastAsia" w:eastAsia="宋体"/>
                      <w:color w:val="000000"/>
                      <w:sz w:val="18"/>
                      <w:szCs w:val="18"/>
                      <w:u w:val="single"/>
                      <w:lang w:eastAsia="zh-CN"/>
                    </w:rPr>
                  </w:pPr>
                  <w:r>
                    <w:rPr>
                      <w:rFonts w:hint="eastAsia"/>
                      <w:color w:val="000000"/>
                      <w:sz w:val="18"/>
                      <w:szCs w:val="18"/>
                      <w:u w:val="single"/>
                      <w:lang w:val="en-US" w:eastAsia="zh-CN"/>
                    </w:rPr>
                    <w:t>2</w:t>
                  </w:r>
                </w:p>
              </w:tc>
              <w:tc>
                <w:tcPr>
                  <w:tcW w:w="611" w:type="dxa"/>
                  <w:vMerge w:val="continue"/>
                  <w:vAlign w:val="center"/>
                </w:tcPr>
                <w:p>
                  <w:pPr>
                    <w:widowControl/>
                    <w:spacing w:line="360" w:lineRule="auto"/>
                    <w:jc w:val="left"/>
                    <w:rPr>
                      <w:color w:val="000000"/>
                      <w:sz w:val="18"/>
                      <w:szCs w:val="18"/>
                      <w:u w:val="single"/>
                    </w:rPr>
                  </w:pPr>
                </w:p>
              </w:tc>
              <w:tc>
                <w:tcPr>
                  <w:tcW w:w="1015" w:type="dxa"/>
                  <w:vAlign w:val="center"/>
                </w:tcPr>
                <w:p>
                  <w:pPr>
                    <w:spacing w:line="360" w:lineRule="auto"/>
                    <w:jc w:val="center"/>
                    <w:rPr>
                      <w:color w:val="000000"/>
                      <w:sz w:val="18"/>
                      <w:szCs w:val="18"/>
                      <w:u w:val="single"/>
                    </w:rPr>
                  </w:pPr>
                  <w:r>
                    <w:rPr>
                      <w:rFonts w:hint="eastAsia"/>
                      <w:color w:val="000000"/>
                      <w:sz w:val="18"/>
                      <w:szCs w:val="18"/>
                      <w:u w:val="single"/>
                    </w:rPr>
                    <w:t>废U</w:t>
                  </w:r>
                  <w:r>
                    <w:rPr>
                      <w:color w:val="000000"/>
                      <w:sz w:val="18"/>
                      <w:szCs w:val="18"/>
                      <w:u w:val="single"/>
                    </w:rPr>
                    <w:t>V</w:t>
                  </w:r>
                  <w:r>
                    <w:rPr>
                      <w:rFonts w:hint="eastAsia"/>
                      <w:color w:val="000000"/>
                      <w:sz w:val="18"/>
                      <w:szCs w:val="18"/>
                      <w:u w:val="single"/>
                    </w:rPr>
                    <w:t>灯管</w:t>
                  </w:r>
                </w:p>
              </w:tc>
              <w:tc>
                <w:tcPr>
                  <w:tcW w:w="776" w:type="dxa"/>
                  <w:vAlign w:val="center"/>
                </w:tcPr>
                <w:p>
                  <w:pPr>
                    <w:spacing w:line="360" w:lineRule="auto"/>
                    <w:jc w:val="center"/>
                    <w:rPr>
                      <w:color w:val="000000"/>
                      <w:sz w:val="18"/>
                      <w:szCs w:val="18"/>
                      <w:u w:val="single"/>
                    </w:rPr>
                  </w:pPr>
                  <w:r>
                    <w:rPr>
                      <w:rFonts w:hint="eastAsia"/>
                      <w:color w:val="000000"/>
                      <w:sz w:val="18"/>
                      <w:szCs w:val="18"/>
                      <w:u w:val="single"/>
                    </w:rPr>
                    <w:t>H</w:t>
                  </w:r>
                  <w:r>
                    <w:rPr>
                      <w:color w:val="000000"/>
                      <w:sz w:val="18"/>
                      <w:szCs w:val="18"/>
                      <w:u w:val="single"/>
                    </w:rPr>
                    <w:t>W29</w:t>
                  </w:r>
                </w:p>
              </w:tc>
              <w:tc>
                <w:tcPr>
                  <w:tcW w:w="1212" w:type="dxa"/>
                  <w:vAlign w:val="center"/>
                </w:tcPr>
                <w:p>
                  <w:pPr>
                    <w:autoSpaceDE w:val="0"/>
                    <w:autoSpaceDN w:val="0"/>
                    <w:adjustRightInd w:val="0"/>
                    <w:snapToGrid w:val="0"/>
                    <w:spacing w:line="360" w:lineRule="auto"/>
                    <w:jc w:val="center"/>
                    <w:textAlignment w:val="baseline"/>
                    <w:rPr>
                      <w:color w:val="000000"/>
                      <w:sz w:val="18"/>
                      <w:szCs w:val="18"/>
                      <w:u w:val="single"/>
                    </w:rPr>
                  </w:pPr>
                  <w:r>
                    <w:rPr>
                      <w:color w:val="000000"/>
                      <w:sz w:val="18"/>
                      <w:szCs w:val="18"/>
                      <w:u w:val="single"/>
                    </w:rPr>
                    <w:t>900-023-29</w:t>
                  </w:r>
                </w:p>
              </w:tc>
              <w:tc>
                <w:tcPr>
                  <w:tcW w:w="774" w:type="dxa"/>
                  <w:vMerge w:val="continue"/>
                  <w:vAlign w:val="center"/>
                </w:tcPr>
                <w:p>
                  <w:pPr>
                    <w:widowControl/>
                    <w:spacing w:line="360" w:lineRule="auto"/>
                    <w:jc w:val="left"/>
                    <w:rPr>
                      <w:color w:val="000000"/>
                      <w:sz w:val="18"/>
                      <w:szCs w:val="18"/>
                      <w:u w:val="single"/>
                    </w:rPr>
                  </w:pPr>
                </w:p>
              </w:tc>
              <w:tc>
                <w:tcPr>
                  <w:tcW w:w="640" w:type="dxa"/>
                  <w:vMerge w:val="continue"/>
                  <w:vAlign w:val="center"/>
                </w:tcPr>
                <w:p>
                  <w:pPr>
                    <w:widowControl/>
                    <w:spacing w:line="360" w:lineRule="auto"/>
                    <w:jc w:val="left"/>
                    <w:rPr>
                      <w:color w:val="000000"/>
                      <w:sz w:val="18"/>
                      <w:szCs w:val="18"/>
                      <w:u w:val="single"/>
                    </w:rPr>
                  </w:pPr>
                </w:p>
              </w:tc>
              <w:tc>
                <w:tcPr>
                  <w:tcW w:w="661" w:type="dxa"/>
                  <w:vAlign w:val="center"/>
                </w:tcPr>
                <w:p>
                  <w:pPr>
                    <w:spacing w:line="360" w:lineRule="auto"/>
                    <w:jc w:val="center"/>
                    <w:rPr>
                      <w:color w:val="000000"/>
                      <w:sz w:val="18"/>
                      <w:szCs w:val="18"/>
                      <w:u w:val="single"/>
                    </w:rPr>
                  </w:pPr>
                  <w:r>
                    <w:rPr>
                      <w:rFonts w:hint="eastAsia"/>
                      <w:color w:val="000000"/>
                      <w:sz w:val="18"/>
                      <w:szCs w:val="18"/>
                      <w:u w:val="single"/>
                    </w:rPr>
                    <w:t>/</w:t>
                  </w:r>
                </w:p>
              </w:tc>
              <w:tc>
                <w:tcPr>
                  <w:tcW w:w="725" w:type="dxa"/>
                  <w:vAlign w:val="center"/>
                </w:tcPr>
                <w:p>
                  <w:pPr>
                    <w:spacing w:line="360" w:lineRule="auto"/>
                    <w:jc w:val="center"/>
                    <w:rPr>
                      <w:color w:val="000000"/>
                      <w:sz w:val="18"/>
                      <w:szCs w:val="18"/>
                      <w:u w:val="single"/>
                    </w:rPr>
                  </w:pPr>
                  <w:r>
                    <w:rPr>
                      <w:color w:val="000000"/>
                      <w:sz w:val="18"/>
                      <w:szCs w:val="18"/>
                      <w:u w:val="single"/>
                    </w:rPr>
                    <w:t>——</w:t>
                  </w:r>
                </w:p>
              </w:tc>
              <w:tc>
                <w:tcPr>
                  <w:tcW w:w="662" w:type="dxa"/>
                  <w:vAlign w:val="center"/>
                </w:tcPr>
                <w:p>
                  <w:pPr>
                    <w:spacing w:line="360" w:lineRule="auto"/>
                    <w:jc w:val="center"/>
                    <w:rPr>
                      <w:color w:val="000000"/>
                      <w:sz w:val="18"/>
                      <w:szCs w:val="18"/>
                      <w:u w:val="single"/>
                    </w:rPr>
                  </w:pPr>
                  <w:r>
                    <w:rPr>
                      <w:color w:val="000000"/>
                      <w:sz w:val="18"/>
                      <w:szCs w:val="18"/>
                      <w:u w:val="single"/>
                    </w:rPr>
                    <w:t>一年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57" w:type="dxa"/>
                  <w:bottom w:w="0" w:type="dxa"/>
                  <w:right w:w="57" w:type="dxa"/>
                </w:tblCellMar>
              </w:tblPrEx>
              <w:trPr>
                <w:jc w:val="center"/>
              </w:trPr>
              <w:tc>
                <w:tcPr>
                  <w:tcW w:w="478" w:type="dxa"/>
                  <w:vAlign w:val="center"/>
                </w:tcPr>
                <w:p>
                  <w:pPr>
                    <w:spacing w:line="360" w:lineRule="auto"/>
                    <w:jc w:val="center"/>
                    <w:rPr>
                      <w:rFonts w:hint="eastAsia" w:eastAsia="宋体"/>
                      <w:color w:val="000000"/>
                      <w:sz w:val="18"/>
                      <w:szCs w:val="18"/>
                      <w:u w:val="single"/>
                      <w:lang w:eastAsia="zh-CN"/>
                    </w:rPr>
                  </w:pPr>
                  <w:r>
                    <w:rPr>
                      <w:rFonts w:hint="eastAsia"/>
                      <w:color w:val="000000"/>
                      <w:sz w:val="18"/>
                      <w:szCs w:val="18"/>
                      <w:u w:val="single"/>
                      <w:lang w:val="en-US" w:eastAsia="zh-CN"/>
                    </w:rPr>
                    <w:t>3</w:t>
                  </w:r>
                </w:p>
              </w:tc>
              <w:tc>
                <w:tcPr>
                  <w:tcW w:w="611" w:type="dxa"/>
                  <w:vMerge w:val="continue"/>
                  <w:vAlign w:val="center"/>
                </w:tcPr>
                <w:p>
                  <w:pPr>
                    <w:widowControl/>
                    <w:spacing w:line="360" w:lineRule="auto"/>
                    <w:jc w:val="left"/>
                    <w:rPr>
                      <w:color w:val="000000"/>
                      <w:sz w:val="18"/>
                      <w:szCs w:val="18"/>
                      <w:u w:val="single"/>
                    </w:rPr>
                  </w:pPr>
                </w:p>
              </w:tc>
              <w:tc>
                <w:tcPr>
                  <w:tcW w:w="1015" w:type="dxa"/>
                  <w:vAlign w:val="center"/>
                </w:tcPr>
                <w:p>
                  <w:pPr>
                    <w:spacing w:line="360" w:lineRule="auto"/>
                    <w:jc w:val="center"/>
                    <w:rPr>
                      <w:color w:val="000000"/>
                      <w:sz w:val="18"/>
                      <w:szCs w:val="18"/>
                      <w:u w:val="single"/>
                    </w:rPr>
                  </w:pPr>
                  <w:r>
                    <w:rPr>
                      <w:rFonts w:hint="eastAsia"/>
                      <w:color w:val="000000"/>
                      <w:sz w:val="18"/>
                      <w:szCs w:val="18"/>
                      <w:u w:val="single"/>
                    </w:rPr>
                    <w:t>废活性炭</w:t>
                  </w:r>
                </w:p>
              </w:tc>
              <w:tc>
                <w:tcPr>
                  <w:tcW w:w="776" w:type="dxa"/>
                  <w:vAlign w:val="center"/>
                </w:tcPr>
                <w:p>
                  <w:pPr>
                    <w:spacing w:line="360" w:lineRule="auto"/>
                    <w:jc w:val="center"/>
                    <w:rPr>
                      <w:color w:val="000000"/>
                      <w:sz w:val="18"/>
                      <w:szCs w:val="18"/>
                      <w:u w:val="single"/>
                    </w:rPr>
                  </w:pPr>
                  <w:r>
                    <w:rPr>
                      <w:rFonts w:hint="eastAsia"/>
                      <w:color w:val="000000"/>
                      <w:sz w:val="18"/>
                      <w:szCs w:val="18"/>
                      <w:u w:val="single"/>
                    </w:rPr>
                    <w:t>H</w:t>
                  </w:r>
                  <w:r>
                    <w:rPr>
                      <w:color w:val="000000"/>
                      <w:sz w:val="18"/>
                      <w:szCs w:val="18"/>
                      <w:u w:val="single"/>
                    </w:rPr>
                    <w:t>W49</w:t>
                  </w:r>
                </w:p>
              </w:tc>
              <w:tc>
                <w:tcPr>
                  <w:tcW w:w="1212" w:type="dxa"/>
                  <w:vAlign w:val="center"/>
                </w:tcPr>
                <w:p>
                  <w:pPr>
                    <w:autoSpaceDE w:val="0"/>
                    <w:autoSpaceDN w:val="0"/>
                    <w:adjustRightInd w:val="0"/>
                    <w:snapToGrid w:val="0"/>
                    <w:spacing w:line="360" w:lineRule="auto"/>
                    <w:jc w:val="center"/>
                    <w:textAlignment w:val="baseline"/>
                    <w:rPr>
                      <w:color w:val="000000"/>
                      <w:sz w:val="18"/>
                      <w:szCs w:val="18"/>
                      <w:u w:val="single"/>
                    </w:rPr>
                  </w:pPr>
                  <w:r>
                    <w:rPr>
                      <w:color w:val="000000"/>
                      <w:sz w:val="18"/>
                      <w:szCs w:val="18"/>
                      <w:u w:val="single"/>
                    </w:rPr>
                    <w:t>900-041-49</w:t>
                  </w:r>
                </w:p>
              </w:tc>
              <w:tc>
                <w:tcPr>
                  <w:tcW w:w="774" w:type="dxa"/>
                  <w:vMerge w:val="continue"/>
                  <w:vAlign w:val="center"/>
                </w:tcPr>
                <w:p>
                  <w:pPr>
                    <w:widowControl/>
                    <w:spacing w:line="360" w:lineRule="auto"/>
                    <w:jc w:val="left"/>
                    <w:rPr>
                      <w:color w:val="000000"/>
                      <w:sz w:val="18"/>
                      <w:szCs w:val="18"/>
                      <w:u w:val="single"/>
                    </w:rPr>
                  </w:pPr>
                </w:p>
              </w:tc>
              <w:tc>
                <w:tcPr>
                  <w:tcW w:w="640" w:type="dxa"/>
                  <w:vMerge w:val="continue"/>
                  <w:vAlign w:val="center"/>
                </w:tcPr>
                <w:p>
                  <w:pPr>
                    <w:widowControl/>
                    <w:spacing w:line="360" w:lineRule="auto"/>
                    <w:jc w:val="left"/>
                    <w:rPr>
                      <w:color w:val="000000"/>
                      <w:sz w:val="18"/>
                      <w:szCs w:val="18"/>
                      <w:u w:val="single"/>
                    </w:rPr>
                  </w:pPr>
                </w:p>
              </w:tc>
              <w:tc>
                <w:tcPr>
                  <w:tcW w:w="661" w:type="dxa"/>
                  <w:vAlign w:val="center"/>
                </w:tcPr>
                <w:p>
                  <w:pPr>
                    <w:spacing w:line="360" w:lineRule="auto"/>
                    <w:jc w:val="center"/>
                    <w:rPr>
                      <w:color w:val="000000"/>
                      <w:sz w:val="18"/>
                      <w:szCs w:val="18"/>
                      <w:u w:val="single"/>
                    </w:rPr>
                  </w:pPr>
                  <w:r>
                    <w:rPr>
                      <w:rFonts w:hint="eastAsia"/>
                      <w:color w:val="000000"/>
                      <w:sz w:val="18"/>
                      <w:szCs w:val="18"/>
                      <w:u w:val="single"/>
                    </w:rPr>
                    <w:t>袋装</w:t>
                  </w:r>
                </w:p>
              </w:tc>
              <w:tc>
                <w:tcPr>
                  <w:tcW w:w="725" w:type="dxa"/>
                  <w:vAlign w:val="center"/>
                </w:tcPr>
                <w:p>
                  <w:pPr>
                    <w:spacing w:line="360" w:lineRule="auto"/>
                    <w:jc w:val="center"/>
                    <w:rPr>
                      <w:color w:val="000000"/>
                      <w:sz w:val="18"/>
                      <w:szCs w:val="18"/>
                      <w:u w:val="single"/>
                    </w:rPr>
                  </w:pPr>
                  <w:r>
                    <w:rPr>
                      <w:color w:val="000000"/>
                      <w:sz w:val="18"/>
                      <w:szCs w:val="18"/>
                      <w:u w:val="single"/>
                    </w:rPr>
                    <w:t>——</w:t>
                  </w:r>
                </w:p>
              </w:tc>
              <w:tc>
                <w:tcPr>
                  <w:tcW w:w="662" w:type="dxa"/>
                  <w:vAlign w:val="center"/>
                </w:tcPr>
                <w:p>
                  <w:pPr>
                    <w:spacing w:line="360" w:lineRule="auto"/>
                    <w:jc w:val="center"/>
                    <w:rPr>
                      <w:color w:val="000000"/>
                      <w:sz w:val="18"/>
                      <w:szCs w:val="18"/>
                      <w:u w:val="single"/>
                    </w:rPr>
                  </w:pPr>
                  <w:r>
                    <w:rPr>
                      <w:color w:val="000000"/>
                      <w:sz w:val="18"/>
                      <w:szCs w:val="18"/>
                      <w:u w:val="single"/>
                    </w:rPr>
                    <w:t>一年</w:t>
                  </w:r>
                </w:p>
              </w:tc>
            </w:tr>
          </w:tbl>
          <w:p>
            <w:pPr>
              <w:pStyle w:val="53"/>
              <w:spacing w:line="480" w:lineRule="exact"/>
              <w:ind w:firstLine="480" w:firstLineChars="200"/>
              <w:rPr>
                <w:rFonts w:hint="eastAsia" w:eastAsia="宋体"/>
                <w:color w:val="000000"/>
                <w:sz w:val="24"/>
                <w:u w:val="single"/>
                <w:lang w:eastAsia="zh-CN"/>
              </w:rPr>
            </w:pPr>
            <w:r>
              <w:rPr>
                <w:color w:val="000000"/>
                <w:sz w:val="24"/>
                <w:u w:val="single"/>
              </w:rPr>
              <w:t>综上所述，在采取以上措施后，可有效控制本项目固废收集、贮存过程中产生的二次污染，各类固废去向明确，对周围环境影响较小</w:t>
            </w:r>
            <w:r>
              <w:rPr>
                <w:rFonts w:hint="eastAsia"/>
                <w:color w:val="000000"/>
                <w:sz w:val="24"/>
                <w:u w:val="single"/>
                <w:lang w:eastAsia="zh-CN"/>
              </w:rPr>
              <w:t>。</w:t>
            </w:r>
          </w:p>
          <w:p>
            <w:pPr>
              <w:pStyle w:val="53"/>
              <w:spacing w:line="480" w:lineRule="exact"/>
              <w:ind w:firstLine="482" w:firstLineChars="200"/>
              <w:rPr>
                <w:rFonts w:ascii="Times New Roman" w:hAnsi="Times New Roman"/>
                <w:b/>
                <w:color w:val="auto"/>
              </w:rPr>
            </w:pPr>
            <w:r>
              <w:rPr>
                <w:rFonts w:hint="eastAsia" w:ascii="Times New Roman" w:hAnsi="Times New Roman"/>
                <w:b/>
                <w:color w:val="auto"/>
              </w:rPr>
              <w:t>4.4、土壤环境影响分析</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根据生态环境部办公厅2020年12月24日印发的《建设项目环境影响报告表编制技术指南（污染影响类）（试行）》</w:t>
            </w:r>
            <w:r>
              <w:rPr>
                <w:color w:val="auto"/>
              </w:rPr>
              <w:t>中具体编制要求</w:t>
            </w:r>
            <w:r>
              <w:rPr>
                <w:rFonts w:hint="eastAsia"/>
                <w:color w:val="auto"/>
              </w:rPr>
              <w:t>“</w:t>
            </w:r>
            <w:r>
              <w:rPr>
                <w:color w:val="auto"/>
              </w:rPr>
              <w:t>原则上不开展土壤环境质量现状调查。建设项目存在土壤环境污染途径的，应结合污染源、保护目标分布情况开展现状调查以留作背景值</w:t>
            </w:r>
            <w:r>
              <w:rPr>
                <w:rFonts w:hint="eastAsia"/>
                <w:color w:val="auto"/>
              </w:rPr>
              <w:t>”</w:t>
            </w:r>
            <w:r>
              <w:rPr>
                <w:color w:val="auto"/>
              </w:rPr>
              <w:t>。结合现场调查及工艺分析，</w:t>
            </w:r>
            <w:r>
              <w:rPr>
                <w:rFonts w:hint="eastAsia" w:ascii="Times New Roman" w:hAnsi="Times New Roman"/>
                <w:color w:val="auto"/>
                <w:kern w:val="2"/>
              </w:rPr>
              <w:t>本项目为</w:t>
            </w:r>
            <w:r>
              <w:rPr>
                <w:rFonts w:ascii="Times New Roman" w:hAnsi="Times New Roman"/>
                <w:color w:val="auto"/>
                <w:spacing w:val="-5"/>
              </w:rPr>
              <w:t>非金属废料和碎</w:t>
            </w:r>
            <w:r>
              <w:rPr>
                <w:rFonts w:ascii="Times New Roman" w:hAnsi="Times New Roman"/>
                <w:color w:val="auto"/>
                <w:spacing w:val="-3"/>
              </w:rPr>
              <w:t>屑</w:t>
            </w:r>
            <w:r>
              <w:rPr>
                <w:rFonts w:ascii="Times New Roman" w:hAnsi="Times New Roman"/>
                <w:color w:val="auto"/>
                <w:spacing w:val="-2"/>
              </w:rPr>
              <w:t>加工处理</w:t>
            </w:r>
            <w:r>
              <w:rPr>
                <w:rFonts w:hint="eastAsia" w:ascii="Times New Roman" w:hAnsi="Times New Roman"/>
                <w:color w:val="auto"/>
                <w:spacing w:val="-2"/>
              </w:rPr>
              <w:t>-废塑料加工处理</w:t>
            </w:r>
            <w:r>
              <w:rPr>
                <w:rFonts w:hint="eastAsia" w:ascii="Times New Roman" w:hAnsi="Times New Roman"/>
                <w:color w:val="auto"/>
                <w:kern w:val="2"/>
              </w:rPr>
              <w:t>项目，</w:t>
            </w:r>
            <w:r>
              <w:rPr>
                <w:color w:val="auto"/>
              </w:rPr>
              <w:t>不存在土壤环境污染途径。因此项目不存在土壤环境污染途径，</w:t>
            </w:r>
            <w:r>
              <w:rPr>
                <w:rFonts w:hint="eastAsia" w:ascii="Times New Roman" w:hAnsi="Times New Roman"/>
                <w:color w:val="auto"/>
              </w:rPr>
              <w:t>项目可不开展土壤环境影响评价工作。</w:t>
            </w:r>
          </w:p>
          <w:p>
            <w:pPr>
              <w:pStyle w:val="53"/>
              <w:spacing w:line="480" w:lineRule="exact"/>
              <w:rPr>
                <w:rFonts w:ascii="Times New Roman" w:hAnsi="Times New Roman"/>
                <w:b/>
                <w:color w:val="auto"/>
              </w:rPr>
            </w:pPr>
            <w:r>
              <w:rPr>
                <w:rFonts w:hint="eastAsia" w:ascii="Times New Roman" w:hAnsi="Times New Roman"/>
                <w:b/>
                <w:color w:val="auto"/>
              </w:rPr>
              <w:t>4.5、地下水环境影响分析</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根据生态环境部办公厅2020年12月24日印发的《建设项目环境影响报告表编制技术指南（污染影响类）（试行）》中相关要求，本项目为</w:t>
            </w:r>
            <w:r>
              <w:rPr>
                <w:rFonts w:ascii="Times New Roman" w:hAnsi="Times New Roman"/>
                <w:color w:val="auto"/>
                <w:spacing w:val="-1"/>
              </w:rPr>
              <w:t>非金属</w:t>
            </w:r>
            <w:r>
              <w:rPr>
                <w:rFonts w:ascii="Times New Roman" w:hAnsi="Times New Roman"/>
                <w:color w:val="auto"/>
              </w:rPr>
              <w:t>废料</w:t>
            </w:r>
            <w:r>
              <w:rPr>
                <w:rFonts w:ascii="Times New Roman" w:hAnsi="Times New Roman"/>
                <w:color w:val="auto"/>
                <w:spacing w:val="-2"/>
              </w:rPr>
              <w:t>和碎</w:t>
            </w:r>
            <w:r>
              <w:rPr>
                <w:rFonts w:ascii="Times New Roman" w:hAnsi="Times New Roman"/>
                <w:color w:val="auto"/>
                <w:spacing w:val="-1"/>
              </w:rPr>
              <w:t>屑加工处理</w:t>
            </w:r>
            <w:r>
              <w:rPr>
                <w:rFonts w:hint="eastAsia" w:ascii="Times New Roman" w:hAnsi="Times New Roman"/>
                <w:color w:val="auto"/>
                <w:spacing w:val="-1"/>
              </w:rPr>
              <w:t>行业，</w:t>
            </w:r>
            <w:r>
              <w:rPr>
                <w:rFonts w:ascii="Times New Roman" w:hAnsi="Times New Roman"/>
                <w:color w:val="auto"/>
                <w:spacing w:val="-5"/>
              </w:rPr>
              <w:t>非金属废料和碎</w:t>
            </w:r>
            <w:r>
              <w:rPr>
                <w:rFonts w:ascii="Times New Roman" w:hAnsi="Times New Roman"/>
                <w:color w:val="auto"/>
                <w:spacing w:val="-3"/>
              </w:rPr>
              <w:t>屑</w:t>
            </w:r>
            <w:r>
              <w:rPr>
                <w:rFonts w:ascii="Times New Roman" w:hAnsi="Times New Roman"/>
                <w:color w:val="auto"/>
                <w:spacing w:val="-2"/>
              </w:rPr>
              <w:t>加工处理</w:t>
            </w:r>
            <w:r>
              <w:rPr>
                <w:rFonts w:hint="eastAsia" w:ascii="Times New Roman" w:hAnsi="Times New Roman"/>
                <w:color w:val="auto"/>
                <w:spacing w:val="-2"/>
              </w:rPr>
              <w:t>-废塑料加工处理</w:t>
            </w:r>
            <w:r>
              <w:rPr>
                <w:rFonts w:hint="eastAsia" w:ascii="Times New Roman" w:hAnsi="Times New Roman"/>
                <w:color w:val="auto"/>
                <w:kern w:val="2"/>
              </w:rPr>
              <w:t>项目，厂区内均进行水泥地面硬底化，不存在污染地下水途径，对地下水环境影响较小，可不开展地下水环境影响评价工作。</w:t>
            </w:r>
          </w:p>
          <w:p>
            <w:pPr>
              <w:pStyle w:val="53"/>
              <w:spacing w:line="480" w:lineRule="exact"/>
              <w:rPr>
                <w:rFonts w:ascii="Times New Roman" w:hAnsi="Times New Roman"/>
                <w:b/>
                <w:color w:val="auto"/>
              </w:rPr>
            </w:pPr>
            <w:r>
              <w:rPr>
                <w:rFonts w:hint="eastAsia" w:ascii="Times New Roman" w:hAnsi="Times New Roman"/>
                <w:b/>
                <w:color w:val="auto"/>
              </w:rPr>
              <w:t>4.6、生态环境影响分析</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根据生态环境部办公厅2020年12月24日印发的《建设项目环境影响报告表编制技术指南（污染影响类）（试行）》中具体编制要求“产业园区外建设项目新增用地且用地范围内有生态环境敏感的，应明确环保措施”，本项目位于产业园区外，租用现有厂房，不新增用地，用地范围内无生态环境敏感，因此不需生态环境保护措施。</w:t>
            </w:r>
          </w:p>
          <w:p>
            <w:pPr>
              <w:pStyle w:val="53"/>
              <w:spacing w:line="480" w:lineRule="exact"/>
              <w:rPr>
                <w:rFonts w:ascii="Times New Roman" w:hAnsi="Times New Roman"/>
                <w:b/>
                <w:color w:val="auto"/>
              </w:rPr>
            </w:pPr>
            <w:r>
              <w:rPr>
                <w:rFonts w:hint="eastAsia" w:ascii="Times New Roman" w:hAnsi="Times New Roman"/>
                <w:b/>
                <w:color w:val="auto"/>
              </w:rPr>
              <w:t>4.7、环境风险分析</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根据《建设项目环境风险评价技术导则》（HJ/T169-2018）本项目所涉及原料未在附录 B.1 中。</w:t>
            </w:r>
            <w:r>
              <w:rPr>
                <w:rFonts w:hint="eastAsia" w:ascii="Times New Roman" w:hAnsi="Times New Roman"/>
                <w:color w:val="auto"/>
                <w:kern w:val="2"/>
                <w:lang w:val="en-US" w:eastAsia="zh-CN"/>
              </w:rPr>
              <w:t>项目使用机油，年用量为0.5吨，产生的废机油为50kg/a，机油与废机油的储存临界量为2500t，</w:t>
            </w:r>
            <w:r>
              <w:rPr>
                <w:rFonts w:hint="eastAsia" w:ascii="Times New Roman" w:hAnsi="Times New Roman"/>
                <w:color w:val="auto"/>
                <w:kern w:val="2"/>
              </w:rPr>
              <w:t>则建设项目 Q 值＝0＜1</w:t>
            </w:r>
            <w:r>
              <w:rPr>
                <w:rFonts w:hint="eastAsia" w:ascii="Times New Roman" w:hAnsi="Times New Roman"/>
                <w:color w:val="auto"/>
                <w:kern w:val="2"/>
                <w:lang w:eastAsia="zh-CN"/>
              </w:rPr>
              <w:t>，</w:t>
            </w:r>
            <w:r>
              <w:rPr>
                <w:rFonts w:hint="eastAsia" w:ascii="Times New Roman" w:hAnsi="Times New Roman"/>
                <w:color w:val="auto"/>
                <w:kern w:val="2"/>
              </w:rPr>
              <w:t>由此可知本项目风险潜势为I，因此，本项目环境风险评价进行简单分析。</w:t>
            </w:r>
          </w:p>
          <w:p>
            <w:pPr>
              <w:pStyle w:val="59"/>
              <w:numPr>
                <w:ilvl w:val="0"/>
                <w:numId w:val="2"/>
              </w:numPr>
              <w:tabs>
                <w:tab w:val="left" w:pos="1194"/>
              </w:tabs>
              <w:spacing w:line="305" w:lineRule="exact"/>
              <w:rPr>
                <w:sz w:val="24"/>
              </w:rPr>
            </w:pPr>
            <w:r>
              <w:rPr>
                <w:sz w:val="24"/>
              </w:rPr>
              <w:t>风险识别</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根据《危险化学品重大危险源辨识》（GB18218-2018）和《建设项目环境风险评价技术导则》（HJ169-2018）进行风险调查可知，本项目不存在风险导则附录 B.1 中的危险物质。</w:t>
            </w:r>
          </w:p>
          <w:p>
            <w:pPr>
              <w:pStyle w:val="59"/>
              <w:numPr>
                <w:ilvl w:val="0"/>
                <w:numId w:val="2"/>
              </w:numPr>
              <w:tabs>
                <w:tab w:val="left" w:pos="1194"/>
              </w:tabs>
              <w:spacing w:line="304" w:lineRule="exact"/>
              <w:rPr>
                <w:sz w:val="24"/>
              </w:rPr>
            </w:pPr>
            <w:r>
              <w:rPr>
                <w:sz w:val="24"/>
              </w:rPr>
              <w:t>环境风险影响途径</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①本项目运营期厂区发生火灾，引起次生环境问题。</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②废气处理设施失效导致废气污染周边环境。</w:t>
            </w:r>
          </w:p>
          <w:p>
            <w:pPr>
              <w:pStyle w:val="59"/>
              <w:numPr>
                <w:ilvl w:val="0"/>
                <w:numId w:val="2"/>
              </w:numPr>
              <w:tabs>
                <w:tab w:val="left" w:pos="1194"/>
              </w:tabs>
              <w:spacing w:before="160"/>
              <w:rPr>
                <w:sz w:val="24"/>
              </w:rPr>
            </w:pPr>
            <w:r>
              <w:rPr>
                <w:sz w:val="24"/>
              </w:rPr>
              <w:t>环境风险防范措施</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①安全生产风险防范措施</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火灾爆炸风险常与装置设备故障相关联，安全管理中要密切注意事故易发部位，做好运行监督检查与维修保养，防患于未然。</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安装在危险区内的电气设备和设施采用防爆型，所有电气设备均有可靠接地。生产车间禁止明烟明火，认真严格落实相关安全生产措施及消防措施。</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②储存过程风险防范措施</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原料和成品贮存区应单独分区，贮存场所避免高温，禁止明烟明火，配备相关消防器材及喷淋警报系统。</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危废暂存间地面应做好防渗、防腐措施，不同类别危废分类独立贮存。</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③末端治理风险防范措施</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企业末端治理措施必须确保日常运行，企业末端治理措施主要是工艺废气的治理，企业应由专人负责相应措施的正常运行。若末端治理措施因故不能运行，则生产必须停止。为确保处理效率，在车间设备检修期间，末端处理系统也应同时进行检修，日常应有专人负责进行维护。</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⑤应定期检查维护相关车间安全生产及消防设施，定期组织培训员工应对相关突发环境事件应急演练。</w:t>
            </w:r>
          </w:p>
          <w:p>
            <w:pPr>
              <w:pStyle w:val="53"/>
              <w:spacing w:line="480" w:lineRule="exact"/>
              <w:ind w:firstLine="480" w:firstLineChars="200"/>
              <w:rPr>
                <w:rFonts w:ascii="Times New Roman" w:hAnsi="Times New Roman"/>
                <w:color w:val="auto"/>
                <w:kern w:val="2"/>
              </w:rPr>
            </w:pPr>
            <w:r>
              <w:rPr>
                <w:rFonts w:hint="eastAsia" w:ascii="Times New Roman" w:hAnsi="Times New Roman"/>
                <w:color w:val="auto"/>
                <w:kern w:val="2"/>
              </w:rPr>
              <w:t>⑥编制突发环境事件应急预案。</w:t>
            </w:r>
          </w:p>
          <w:p>
            <w:pPr>
              <w:pStyle w:val="53"/>
              <w:spacing w:line="480" w:lineRule="exact"/>
              <w:rPr>
                <w:rFonts w:ascii="Times New Roman" w:hAnsi="Times New Roman"/>
                <w:b/>
                <w:color w:val="auto"/>
              </w:rPr>
            </w:pPr>
            <w:r>
              <w:rPr>
                <w:rFonts w:hint="eastAsia" w:ascii="Times New Roman" w:hAnsi="Times New Roman"/>
                <w:b/>
                <w:color w:val="auto"/>
              </w:rPr>
              <w:t>4.8、电磁辐射</w:t>
            </w:r>
          </w:p>
          <w:p>
            <w:pPr>
              <w:pStyle w:val="53"/>
              <w:spacing w:line="480" w:lineRule="exact"/>
              <w:ind w:firstLine="480" w:firstLineChars="200"/>
              <w:rPr>
                <w:rFonts w:ascii="Times New Roman" w:hAnsi="Times New Roman"/>
                <w:b/>
                <w:color w:val="auto"/>
              </w:rPr>
            </w:pPr>
            <w:r>
              <w:rPr>
                <w:rFonts w:hint="eastAsia" w:ascii="Times New Roman" w:hAnsi="Times New Roman"/>
                <w:color w:val="auto"/>
                <w:kern w:val="2"/>
              </w:rPr>
              <w:t>对照《电磁环境控制限值》（GB 8702-2014）。本项目所用机电设备等效辐射功率均小于该标准表2限值，可免于电磁环境保护管理。因此，本评价不对电磁辐射环境影响进行分析。</w:t>
            </w:r>
          </w:p>
          <w:p/>
          <w:p>
            <w:pPr>
              <w:pStyle w:val="27"/>
              <w:rPr>
                <w:color w:val="auto"/>
              </w:rPr>
            </w:pPr>
          </w:p>
          <w:p>
            <w:pPr>
              <w:pStyle w:val="20"/>
              <w:rPr>
                <w:color w:val="0000FF"/>
              </w:rPr>
            </w:pPr>
          </w:p>
        </w:tc>
      </w:tr>
    </w:tbl>
    <w:p>
      <w:pPr>
        <w:adjustRightInd w:val="0"/>
        <w:snapToGrid w:val="0"/>
        <w:spacing w:line="360" w:lineRule="auto"/>
        <w:rPr>
          <w:rFonts w:ascii="宋体" w:cs="宋体"/>
          <w:b/>
          <w:color w:val="0000FF"/>
          <w:kern w:val="21"/>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7"/>
        <w:jc w:val="center"/>
        <w:outlineLvl w:val="0"/>
        <w:rPr>
          <w:rFonts w:ascii="黑体" w:hAnsi="黑体" w:eastAsia="黑体"/>
          <w:snapToGrid w:val="0"/>
          <w:kern w:val="21"/>
          <w:sz w:val="30"/>
          <w:szCs w:val="30"/>
        </w:rPr>
      </w:pPr>
      <w:bookmarkStart w:id="25" w:name="_Toc26617"/>
      <w:r>
        <w:rPr>
          <w:rFonts w:hint="eastAsia" w:ascii="黑体" w:hAnsi="黑体" w:eastAsia="黑体"/>
          <w:snapToGrid w:val="0"/>
          <w:kern w:val="21"/>
          <w:sz w:val="30"/>
          <w:szCs w:val="30"/>
        </w:rPr>
        <w:t>五、</w:t>
      </w:r>
      <w:bookmarkStart w:id="26" w:name="_Hlk54167917"/>
      <w:r>
        <w:rPr>
          <w:rFonts w:hint="eastAsia" w:ascii="黑体" w:hAnsi="黑体" w:eastAsia="黑体"/>
          <w:snapToGrid w:val="0"/>
          <w:kern w:val="21"/>
          <w:sz w:val="30"/>
          <w:szCs w:val="30"/>
        </w:rPr>
        <w:t>环境保护措施监督检查清单</w:t>
      </w:r>
      <w:bookmarkEnd w:id="25"/>
      <w:bookmarkEnd w:id="26"/>
    </w:p>
    <w:tbl>
      <w:tblPr>
        <w:tblStyle w:val="21"/>
        <w:tblpPr w:leftFromText="180" w:rightFromText="180" w:vertAnchor="text" w:horzAnchor="page" w:tblpX="1574" w:tblpY="646"/>
        <w:tblOverlap w:val="never"/>
        <w:tblW w:w="895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103"/>
        <w:gridCol w:w="817"/>
        <w:gridCol w:w="1125"/>
        <w:gridCol w:w="2068"/>
        <w:gridCol w:w="29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tcBorders>
              <w:tl2br w:val="single" w:color="auto" w:sz="4" w:space="0"/>
            </w:tcBorders>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b/>
                <w:bCs/>
                <w:kern w:val="21"/>
                <w:sz w:val="24"/>
                <w:szCs w:val="21"/>
                <w:u w:val="single"/>
              </w:rPr>
            </w:pPr>
            <w:r>
              <w:rPr>
                <w:rFonts w:hint="eastAsia" w:cs="宋体"/>
                <w:b/>
                <w:bCs/>
                <w:kern w:val="21"/>
                <w:sz w:val="24"/>
                <w:szCs w:val="21"/>
                <w:u w:val="single"/>
              </w:rPr>
              <w:t>内容</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b/>
                <w:bCs/>
                <w:kern w:val="21"/>
                <w:sz w:val="24"/>
                <w:szCs w:val="21"/>
                <w:u w:val="single"/>
              </w:rPr>
            </w:pPr>
            <w:r>
              <w:rPr>
                <w:rFonts w:hint="eastAsia" w:cs="宋体"/>
                <w:b/>
                <w:bCs/>
                <w:kern w:val="21"/>
                <w:sz w:val="24"/>
                <w:szCs w:val="21"/>
                <w:u w:val="single"/>
              </w:rPr>
              <w:t>要素</w:t>
            </w:r>
          </w:p>
        </w:tc>
        <w:tc>
          <w:tcPr>
            <w:tcW w:w="1920"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b/>
                <w:bCs/>
                <w:kern w:val="21"/>
                <w:sz w:val="24"/>
                <w:szCs w:val="21"/>
                <w:u w:val="single"/>
              </w:rPr>
            </w:pPr>
            <w:r>
              <w:rPr>
                <w:rFonts w:hint="eastAsia" w:cs="宋体"/>
                <w:b/>
                <w:bCs/>
                <w:kern w:val="21"/>
                <w:sz w:val="24"/>
                <w:szCs w:val="21"/>
                <w:u w:val="single"/>
              </w:rPr>
              <w:t>排放口(编号、</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b/>
                <w:bCs/>
                <w:kern w:val="21"/>
                <w:sz w:val="24"/>
                <w:szCs w:val="21"/>
                <w:u w:val="single"/>
              </w:rPr>
            </w:pPr>
            <w:r>
              <w:rPr>
                <w:rFonts w:hint="eastAsia" w:cs="宋体"/>
                <w:b/>
                <w:bCs/>
                <w:kern w:val="21"/>
                <w:sz w:val="24"/>
                <w:szCs w:val="21"/>
                <w:u w:val="single"/>
              </w:rPr>
              <w:t>名称)/污染源</w:t>
            </w:r>
          </w:p>
        </w:tc>
        <w:tc>
          <w:tcPr>
            <w:tcW w:w="11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b/>
                <w:bCs/>
                <w:kern w:val="21"/>
                <w:sz w:val="24"/>
                <w:szCs w:val="21"/>
                <w:u w:val="single"/>
              </w:rPr>
            </w:pPr>
            <w:r>
              <w:rPr>
                <w:rFonts w:hint="eastAsia" w:cs="宋体"/>
                <w:b/>
                <w:bCs/>
                <w:kern w:val="21"/>
                <w:sz w:val="24"/>
                <w:szCs w:val="21"/>
                <w:u w:val="single"/>
              </w:rPr>
              <w:t>污染物项目</w:t>
            </w:r>
          </w:p>
        </w:tc>
        <w:tc>
          <w:tcPr>
            <w:tcW w:w="206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b/>
                <w:bCs/>
                <w:kern w:val="21"/>
                <w:sz w:val="24"/>
                <w:szCs w:val="21"/>
                <w:u w:val="single"/>
              </w:rPr>
            </w:pPr>
            <w:r>
              <w:rPr>
                <w:rFonts w:hint="eastAsia" w:cs="宋体"/>
                <w:b/>
                <w:bCs/>
                <w:kern w:val="21"/>
                <w:sz w:val="24"/>
                <w:szCs w:val="21"/>
                <w:u w:val="single"/>
              </w:rPr>
              <w:t>环境保护措施</w:t>
            </w:r>
          </w:p>
        </w:tc>
        <w:tc>
          <w:tcPr>
            <w:tcW w:w="2927"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b/>
                <w:bCs/>
                <w:kern w:val="21"/>
                <w:sz w:val="24"/>
                <w:szCs w:val="21"/>
                <w:u w:val="single"/>
              </w:rPr>
            </w:pPr>
            <w:r>
              <w:rPr>
                <w:rFonts w:hint="eastAsia" w:cs="宋体"/>
                <w:b/>
                <w:bCs/>
                <w:kern w:val="21"/>
                <w:sz w:val="24"/>
                <w:szCs w:val="21"/>
                <w:u w:val="singl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大气环境</w:t>
            </w:r>
          </w:p>
        </w:tc>
        <w:tc>
          <w:tcPr>
            <w:tcW w:w="1103" w:type="dxa"/>
            <w:vMerge w:val="restart"/>
            <w:tcBorders>
              <w:right w:val="single" w:color="000000" w:sz="6" w:space="0"/>
            </w:tcBorders>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p>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r>
              <w:rPr>
                <w:rFonts w:hint="eastAsia" w:ascii="Times New Roman" w:eastAsia="Times New Roman"/>
                <w:kern w:val="0"/>
                <w:sz w:val="24"/>
                <w:szCs w:val="22"/>
                <w:u w:val="single"/>
                <w:lang w:val="en-US"/>
              </w:rPr>
              <w:t>排气筒</w:t>
            </w:r>
          </w:p>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r>
              <w:rPr>
                <w:rFonts w:hint="eastAsia" w:ascii="Times New Roman" w:eastAsia="Times New Roman"/>
                <w:kern w:val="0"/>
                <w:sz w:val="24"/>
                <w:szCs w:val="22"/>
                <w:u w:val="single"/>
                <w:lang w:val="en-US"/>
              </w:rPr>
              <w:t>（DA001）</w:t>
            </w:r>
          </w:p>
        </w:tc>
        <w:tc>
          <w:tcPr>
            <w:tcW w:w="817" w:type="dxa"/>
            <w:tcBorders>
              <w:left w:val="single" w:color="000000" w:sz="6" w:space="0"/>
            </w:tcBorders>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hint="eastAsia" w:ascii="Times New Roman" w:eastAsia="Times New Roman"/>
                <w:kern w:val="0"/>
                <w:sz w:val="24"/>
                <w:szCs w:val="22"/>
                <w:u w:val="single"/>
                <w:lang w:val="en-US"/>
              </w:rPr>
            </w:pPr>
            <w:r>
              <w:rPr>
                <w:rFonts w:hint="eastAsia" w:ascii="Times New Roman" w:eastAsia="Times New Roman"/>
                <w:kern w:val="0"/>
                <w:sz w:val="24"/>
                <w:szCs w:val="22"/>
                <w:u w:val="single"/>
                <w:lang w:val="en-US"/>
              </w:rPr>
              <w:t>造粒（熔融）</w:t>
            </w:r>
          </w:p>
        </w:tc>
        <w:tc>
          <w:tcPr>
            <w:tcW w:w="1125" w:type="dxa"/>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r>
              <w:rPr>
                <w:rFonts w:hint="eastAsia" w:ascii="Times New Roman" w:eastAsia="Times New Roman"/>
                <w:kern w:val="0"/>
                <w:sz w:val="24"/>
                <w:szCs w:val="22"/>
                <w:u w:val="single"/>
                <w:lang w:val="en-US"/>
              </w:rPr>
              <w:t>非甲烷总烃、</w:t>
            </w:r>
            <w:r>
              <w:rPr>
                <w:rFonts w:hint="eastAsia" w:ascii="Times New Roman"/>
                <w:kern w:val="0"/>
                <w:sz w:val="24"/>
                <w:szCs w:val="22"/>
                <w:u w:val="single"/>
                <w:lang w:val="en-US" w:eastAsia="zh-CN"/>
              </w:rPr>
              <w:t>苯乙烯、</w:t>
            </w:r>
            <w:r>
              <w:rPr>
                <w:rFonts w:hint="eastAsia" w:ascii="Times New Roman" w:eastAsia="Times New Roman"/>
                <w:kern w:val="0"/>
                <w:sz w:val="24"/>
                <w:szCs w:val="22"/>
                <w:u w:val="single"/>
                <w:lang w:val="en-US"/>
              </w:rPr>
              <w:t>臭气浓度</w:t>
            </w:r>
          </w:p>
        </w:tc>
        <w:tc>
          <w:tcPr>
            <w:tcW w:w="2068" w:type="dxa"/>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r>
              <w:rPr>
                <w:rFonts w:hint="eastAsia" w:ascii="Times New Roman"/>
                <w:kern w:val="0"/>
                <w:sz w:val="24"/>
                <w:szCs w:val="22"/>
                <w:u w:val="single"/>
                <w:lang w:val="en-US" w:eastAsia="zh-CN"/>
              </w:rPr>
              <w:t>喷淋+</w:t>
            </w:r>
            <w:r>
              <w:rPr>
                <w:rFonts w:hint="eastAsia" w:ascii="Times New Roman" w:eastAsia="Times New Roman"/>
                <w:kern w:val="0"/>
                <w:sz w:val="24"/>
                <w:szCs w:val="22"/>
                <w:u w:val="single"/>
                <w:lang w:val="en-US"/>
              </w:rPr>
              <w:t>UV 光解+活性炭吸附+15m</w:t>
            </w:r>
          </w:p>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r>
              <w:rPr>
                <w:rFonts w:hint="eastAsia" w:ascii="Times New Roman" w:eastAsia="Times New Roman"/>
                <w:kern w:val="0"/>
                <w:sz w:val="24"/>
                <w:szCs w:val="22"/>
                <w:u w:val="single"/>
                <w:lang w:val="en-US"/>
              </w:rPr>
              <w:t>排气筒</w:t>
            </w:r>
          </w:p>
        </w:tc>
        <w:tc>
          <w:tcPr>
            <w:tcW w:w="2927" w:type="dxa"/>
            <w:vMerge w:val="restart"/>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hint="eastAsia" w:ascii="Times New Roman" w:eastAsia="Times New Roman"/>
                <w:kern w:val="0"/>
                <w:sz w:val="24"/>
                <w:szCs w:val="22"/>
                <w:u w:val="single"/>
                <w:lang w:val="en-US"/>
              </w:rPr>
            </w:pPr>
            <w:r>
              <w:rPr>
                <w:rFonts w:hint="eastAsia" w:ascii="Times New Roman" w:eastAsia="Times New Roman"/>
                <w:kern w:val="0"/>
                <w:sz w:val="24"/>
                <w:szCs w:val="22"/>
                <w:u w:val="single"/>
                <w:lang w:val="en-US"/>
              </w:rPr>
              <w:t>《合成树脂工业污染物排放标准》（GB31572-2015）表 中的浓度限值</w:t>
            </w:r>
          </w:p>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c>
          <w:tcPr>
            <w:tcW w:w="1103" w:type="dxa"/>
            <w:vMerge w:val="continue"/>
            <w:tcBorders>
              <w:right w:val="single" w:color="000000" w:sz="6" w:space="0"/>
            </w:tcBorders>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p>
        </w:tc>
        <w:tc>
          <w:tcPr>
            <w:tcW w:w="817" w:type="dxa"/>
            <w:tcBorders>
              <w:left w:val="single" w:color="000000" w:sz="6" w:space="0"/>
            </w:tcBorders>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hint="eastAsia" w:ascii="Times New Roman" w:eastAsia="Times New Roman"/>
                <w:kern w:val="0"/>
                <w:sz w:val="24"/>
                <w:szCs w:val="22"/>
                <w:u w:val="single"/>
                <w:lang w:val="en-US"/>
              </w:rPr>
            </w:pPr>
            <w:r>
              <w:rPr>
                <w:rFonts w:hint="eastAsia" w:ascii="Times New Roman" w:eastAsia="Times New Roman"/>
                <w:kern w:val="0"/>
                <w:sz w:val="24"/>
                <w:szCs w:val="22"/>
                <w:u w:val="single"/>
                <w:lang w:val="en-US"/>
              </w:rPr>
              <w:t>破碎</w:t>
            </w:r>
          </w:p>
        </w:tc>
        <w:tc>
          <w:tcPr>
            <w:tcW w:w="1125" w:type="dxa"/>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r>
              <w:rPr>
                <w:rFonts w:hint="eastAsia" w:ascii="Times New Roman" w:eastAsia="Times New Roman"/>
                <w:kern w:val="0"/>
                <w:sz w:val="24"/>
                <w:szCs w:val="22"/>
                <w:u w:val="single"/>
                <w:lang w:val="en-US"/>
              </w:rPr>
              <w:t>颗粒物</w:t>
            </w:r>
          </w:p>
        </w:tc>
        <w:tc>
          <w:tcPr>
            <w:tcW w:w="2068" w:type="dxa"/>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hint="default" w:ascii="Times New Roman" w:eastAsia="宋体"/>
                <w:kern w:val="0"/>
                <w:sz w:val="24"/>
                <w:szCs w:val="22"/>
                <w:u w:val="single"/>
                <w:lang w:val="en-US" w:eastAsia="zh-CN"/>
              </w:rPr>
            </w:pPr>
            <w:r>
              <w:rPr>
                <w:rFonts w:hint="eastAsia" w:ascii="Times New Roman"/>
                <w:kern w:val="0"/>
                <w:sz w:val="24"/>
                <w:szCs w:val="22"/>
                <w:u w:val="single"/>
                <w:lang w:val="en-US" w:eastAsia="zh-CN"/>
              </w:rPr>
              <w:t>布袋除尘+15m排气筒</w:t>
            </w:r>
          </w:p>
        </w:tc>
        <w:tc>
          <w:tcPr>
            <w:tcW w:w="2927" w:type="dxa"/>
            <w:vMerge w:val="continue"/>
            <w:vAlign w:val="center"/>
          </w:tcPr>
          <w:p>
            <w:pPr>
              <w:pStyle w:val="59"/>
              <w:keepNext w:val="0"/>
              <w:keepLines w:val="0"/>
              <w:pageBreakBefore w:val="0"/>
              <w:widowControl w:val="0"/>
              <w:kinsoku/>
              <w:wordWrap/>
              <w:overflowPunct/>
              <w:topLinePunct w:val="0"/>
              <w:autoSpaceDE w:val="0"/>
              <w:autoSpaceDN w:val="0"/>
              <w:bidi w:val="0"/>
              <w:spacing w:line="240" w:lineRule="auto"/>
              <w:ind w:left="0" w:leftChars="0" w:right="0" w:firstLine="0" w:firstLineChars="0"/>
              <w:jc w:val="center"/>
              <w:textAlignment w:val="auto"/>
              <w:rPr>
                <w:rFonts w:ascii="Times New Roman" w:eastAsia="Times New Roman"/>
                <w:kern w:val="0"/>
                <w:sz w:val="24"/>
                <w:szCs w:val="22"/>
                <w:u w:val="single"/>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c>
          <w:tcPr>
            <w:tcW w:w="1920" w:type="dxa"/>
            <w:gridSpan w:val="2"/>
            <w:vAlign w:val="center"/>
          </w:tcPr>
          <w:p>
            <w:pPr>
              <w:pStyle w:val="59"/>
              <w:keepNext w:val="0"/>
              <w:keepLines w:val="0"/>
              <w:pageBreakBefore w:val="0"/>
              <w:widowControl w:val="0"/>
              <w:kinsoku/>
              <w:wordWrap/>
              <w:overflowPunct/>
              <w:topLinePunct w:val="0"/>
              <w:bidi w:val="0"/>
              <w:spacing w:line="240" w:lineRule="auto"/>
              <w:ind w:left="0" w:leftChars="0" w:right="0" w:firstLine="0" w:firstLineChars="0"/>
              <w:jc w:val="center"/>
              <w:textAlignment w:val="auto"/>
              <w:rPr>
                <w:rFonts w:ascii="Times New Roman" w:hAnsi="Times New Roman" w:cs="Times New Roman"/>
                <w:spacing w:val="-5"/>
                <w:sz w:val="24"/>
                <w:szCs w:val="21"/>
                <w:u w:val="single"/>
                <w:lang w:val="en-US" w:bidi="ar-SA"/>
              </w:rPr>
            </w:pPr>
          </w:p>
          <w:p>
            <w:pPr>
              <w:pStyle w:val="59"/>
              <w:keepNext w:val="0"/>
              <w:keepLines w:val="0"/>
              <w:pageBreakBefore w:val="0"/>
              <w:widowControl w:val="0"/>
              <w:kinsoku/>
              <w:wordWrap/>
              <w:overflowPunct/>
              <w:topLinePunct w:val="0"/>
              <w:bidi w:val="0"/>
              <w:spacing w:line="240" w:lineRule="auto"/>
              <w:ind w:left="0" w:leftChars="0" w:right="0" w:firstLine="0" w:firstLineChars="0"/>
              <w:jc w:val="center"/>
              <w:textAlignment w:val="auto"/>
              <w:rPr>
                <w:rFonts w:ascii="Times New Roman" w:hAnsi="Times New Roman" w:cs="Times New Roman"/>
                <w:spacing w:val="-5"/>
                <w:sz w:val="24"/>
                <w:szCs w:val="21"/>
                <w:u w:val="single"/>
                <w:lang w:val="en-US" w:bidi="ar-SA"/>
              </w:rPr>
            </w:pPr>
            <w:r>
              <w:rPr>
                <w:rFonts w:hint="eastAsia" w:ascii="Times New Roman" w:hAnsi="Times New Roman" w:cs="Times New Roman"/>
                <w:spacing w:val="-5"/>
                <w:sz w:val="24"/>
                <w:szCs w:val="21"/>
                <w:u w:val="single"/>
                <w:lang w:val="en-US" w:bidi="ar-SA"/>
              </w:rPr>
              <w:t>厂界</w:t>
            </w:r>
          </w:p>
        </w:tc>
        <w:tc>
          <w:tcPr>
            <w:tcW w:w="1125" w:type="dxa"/>
            <w:vAlign w:val="center"/>
          </w:tcPr>
          <w:p>
            <w:pPr>
              <w:pStyle w:val="59"/>
              <w:keepNext w:val="0"/>
              <w:keepLines w:val="0"/>
              <w:pageBreakBefore w:val="0"/>
              <w:widowControl w:val="0"/>
              <w:kinsoku/>
              <w:wordWrap/>
              <w:overflowPunct/>
              <w:topLinePunct w:val="0"/>
              <w:bidi w:val="0"/>
              <w:spacing w:line="240" w:lineRule="auto"/>
              <w:ind w:left="0" w:leftChars="0" w:right="0" w:firstLine="0" w:firstLineChars="0"/>
              <w:jc w:val="center"/>
              <w:textAlignment w:val="auto"/>
              <w:rPr>
                <w:rFonts w:ascii="Times New Roman" w:hAnsi="Times New Roman" w:cs="Times New Roman"/>
                <w:spacing w:val="-5"/>
                <w:sz w:val="24"/>
                <w:szCs w:val="21"/>
                <w:u w:val="single"/>
                <w:lang w:val="en-US" w:bidi="ar-SA"/>
              </w:rPr>
            </w:pPr>
            <w:r>
              <w:rPr>
                <w:rFonts w:hint="eastAsia" w:ascii="Times New Roman" w:hAnsi="Times New Roman" w:cs="Times New Roman"/>
                <w:spacing w:val="-5"/>
                <w:sz w:val="24"/>
                <w:szCs w:val="21"/>
                <w:u w:val="single"/>
                <w:lang w:val="en-US" w:bidi="ar-SA"/>
              </w:rPr>
              <w:t>颗粒物、非甲烷总烃、</w:t>
            </w:r>
            <w:r>
              <w:rPr>
                <w:rFonts w:hint="eastAsia" w:ascii="Times New Roman" w:hAnsi="Times New Roman" w:cs="Times New Roman"/>
                <w:spacing w:val="-5"/>
                <w:sz w:val="24"/>
                <w:szCs w:val="21"/>
                <w:u w:val="single"/>
                <w:lang w:val="en-US" w:eastAsia="zh-CN" w:bidi="ar-SA"/>
              </w:rPr>
              <w:t>苯乙烯、</w:t>
            </w:r>
            <w:r>
              <w:rPr>
                <w:rFonts w:hint="eastAsia" w:ascii="Times New Roman" w:hAnsi="Times New Roman" w:cs="Times New Roman"/>
                <w:spacing w:val="-5"/>
                <w:sz w:val="24"/>
                <w:szCs w:val="21"/>
                <w:u w:val="single"/>
                <w:lang w:val="en-US" w:bidi="ar-SA"/>
              </w:rPr>
              <w:t>臭气浓度</w:t>
            </w:r>
          </w:p>
        </w:tc>
        <w:tc>
          <w:tcPr>
            <w:tcW w:w="2068" w:type="dxa"/>
            <w:vAlign w:val="center"/>
          </w:tcPr>
          <w:p>
            <w:pPr>
              <w:pStyle w:val="59"/>
              <w:keepNext w:val="0"/>
              <w:keepLines w:val="0"/>
              <w:pageBreakBefore w:val="0"/>
              <w:widowControl w:val="0"/>
              <w:kinsoku/>
              <w:wordWrap/>
              <w:overflowPunct/>
              <w:topLinePunct w:val="0"/>
              <w:bidi w:val="0"/>
              <w:spacing w:line="240" w:lineRule="auto"/>
              <w:ind w:left="0" w:leftChars="0" w:right="0" w:firstLine="0" w:firstLineChars="0"/>
              <w:jc w:val="center"/>
              <w:textAlignment w:val="auto"/>
              <w:rPr>
                <w:rFonts w:ascii="Times New Roman" w:hAnsi="Times New Roman" w:cs="Times New Roman"/>
                <w:spacing w:val="-5"/>
                <w:sz w:val="24"/>
                <w:szCs w:val="21"/>
                <w:u w:val="single"/>
                <w:lang w:val="en-US" w:bidi="ar-SA"/>
              </w:rPr>
            </w:pPr>
            <w:r>
              <w:rPr>
                <w:rFonts w:hint="eastAsia" w:ascii="Times New Roman" w:hAnsi="Times New Roman" w:cs="Times New Roman"/>
                <w:spacing w:val="-5"/>
                <w:sz w:val="24"/>
                <w:szCs w:val="21"/>
                <w:u w:val="single"/>
                <w:lang w:val="en-US" w:bidi="ar-SA"/>
              </w:rPr>
              <w:t>加强车间通风换气</w:t>
            </w:r>
          </w:p>
        </w:tc>
        <w:tc>
          <w:tcPr>
            <w:tcW w:w="2927" w:type="dxa"/>
            <w:vAlign w:val="center"/>
          </w:tcPr>
          <w:p>
            <w:pPr>
              <w:pStyle w:val="59"/>
              <w:keepNext w:val="0"/>
              <w:keepLines w:val="0"/>
              <w:pageBreakBefore w:val="0"/>
              <w:widowControl w:val="0"/>
              <w:kinsoku/>
              <w:wordWrap/>
              <w:overflowPunct/>
              <w:topLinePunct w:val="0"/>
              <w:bidi w:val="0"/>
              <w:spacing w:line="240" w:lineRule="auto"/>
              <w:ind w:left="0" w:leftChars="0" w:right="0" w:firstLine="0" w:firstLineChars="0"/>
              <w:jc w:val="center"/>
              <w:textAlignment w:val="auto"/>
              <w:rPr>
                <w:rFonts w:ascii="Times New Roman" w:hAnsi="Times New Roman" w:cs="Times New Roman"/>
                <w:spacing w:val="-5"/>
                <w:sz w:val="24"/>
                <w:szCs w:val="21"/>
                <w:u w:val="single"/>
                <w:lang w:val="en-US" w:bidi="ar-SA"/>
              </w:rPr>
            </w:pPr>
            <w:r>
              <w:rPr>
                <w:rFonts w:hint="eastAsia" w:ascii="Times New Roman" w:hAnsi="Times New Roman" w:cs="Times New Roman"/>
                <w:spacing w:val="-5"/>
                <w:sz w:val="24"/>
                <w:szCs w:val="21"/>
                <w:u w:val="single"/>
                <w:lang w:val="en-US" w:eastAsia="zh-CN" w:bidi="ar-SA"/>
              </w:rPr>
              <w:t>颗粒物、</w:t>
            </w:r>
            <w:r>
              <w:rPr>
                <w:rFonts w:hint="eastAsia" w:ascii="Times New Roman" w:hAnsi="Times New Roman" w:cs="Times New Roman"/>
                <w:spacing w:val="-5"/>
                <w:sz w:val="24"/>
                <w:szCs w:val="21"/>
                <w:u w:val="single"/>
                <w:lang w:val="en-US" w:bidi="ar-SA"/>
              </w:rPr>
              <w:t>VOCs（以非甲烷总烃计）执行《合成树脂工业污染物排放标准》（GB31572-2015）表</w:t>
            </w:r>
            <w:r>
              <w:rPr>
                <w:rFonts w:hint="eastAsia" w:ascii="Times New Roman" w:hAnsi="Times New Roman" w:cs="Times New Roman"/>
                <w:spacing w:val="-5"/>
                <w:sz w:val="24"/>
                <w:szCs w:val="21"/>
                <w:u w:val="single"/>
                <w:lang w:val="en-US" w:eastAsia="zh-CN" w:bidi="ar-SA"/>
              </w:rPr>
              <w:t>4、</w:t>
            </w:r>
            <w:r>
              <w:rPr>
                <w:rFonts w:hint="eastAsia" w:ascii="Times New Roman" w:hAnsi="Times New Roman" w:cs="Times New Roman"/>
                <w:spacing w:val="-5"/>
                <w:sz w:val="24"/>
                <w:szCs w:val="21"/>
                <w:u w:val="single"/>
                <w:lang w:val="en-US" w:bidi="ar-SA"/>
              </w:rPr>
              <w:t>9中的无组织排放监控浓度限值；臭气浓度</w:t>
            </w:r>
            <w:r>
              <w:rPr>
                <w:rFonts w:hint="eastAsia" w:ascii="Times New Roman" w:hAnsi="Times New Roman" w:cs="Times New Roman"/>
                <w:spacing w:val="-5"/>
                <w:sz w:val="24"/>
                <w:szCs w:val="21"/>
                <w:u w:val="single"/>
                <w:lang w:val="en-US" w:eastAsia="zh-CN" w:bidi="ar-SA"/>
              </w:rPr>
              <w:t>、苯乙烯</w:t>
            </w:r>
            <w:r>
              <w:rPr>
                <w:rFonts w:hint="eastAsia" w:ascii="Times New Roman" w:hAnsi="Times New Roman" w:cs="Times New Roman"/>
                <w:spacing w:val="-5"/>
                <w:sz w:val="24"/>
                <w:szCs w:val="21"/>
                <w:u w:val="single"/>
                <w:lang w:val="en-US" w:bidi="ar-SA"/>
              </w:rPr>
              <w:t>执行《恶臭污染物排放标准》（GB14554-1993）排放标准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c>
          <w:tcPr>
            <w:tcW w:w="1920" w:type="dxa"/>
            <w:gridSpan w:val="2"/>
            <w:vAlign w:val="center"/>
          </w:tcPr>
          <w:p>
            <w:pPr>
              <w:pStyle w:val="59"/>
              <w:keepNext w:val="0"/>
              <w:keepLines w:val="0"/>
              <w:pageBreakBefore w:val="0"/>
              <w:widowControl w:val="0"/>
              <w:kinsoku/>
              <w:wordWrap/>
              <w:overflowPunct/>
              <w:topLinePunct w:val="0"/>
              <w:bidi w:val="0"/>
              <w:spacing w:line="240" w:lineRule="auto"/>
              <w:ind w:left="0" w:leftChars="0" w:right="0" w:firstLine="0" w:firstLineChars="0"/>
              <w:jc w:val="center"/>
              <w:textAlignment w:val="auto"/>
              <w:rPr>
                <w:rFonts w:ascii="Times New Roman" w:hAnsi="Times New Roman" w:cs="Times New Roman"/>
                <w:spacing w:val="-5"/>
                <w:sz w:val="24"/>
                <w:szCs w:val="21"/>
                <w:u w:val="single"/>
                <w:lang w:val="en-US" w:bidi="ar-SA"/>
              </w:rPr>
            </w:pPr>
            <w:r>
              <w:rPr>
                <w:rFonts w:hint="eastAsia" w:ascii="Times New Roman" w:hAnsi="Times New Roman" w:cs="Times New Roman"/>
                <w:spacing w:val="-5"/>
                <w:sz w:val="24"/>
                <w:szCs w:val="21"/>
                <w:u w:val="single"/>
                <w:lang w:val="en-US" w:bidi="ar-SA"/>
              </w:rPr>
              <w:t>厂内</w:t>
            </w:r>
          </w:p>
        </w:tc>
        <w:tc>
          <w:tcPr>
            <w:tcW w:w="1125" w:type="dxa"/>
            <w:vAlign w:val="center"/>
          </w:tcPr>
          <w:p>
            <w:pPr>
              <w:pStyle w:val="59"/>
              <w:keepNext w:val="0"/>
              <w:keepLines w:val="0"/>
              <w:pageBreakBefore w:val="0"/>
              <w:widowControl w:val="0"/>
              <w:kinsoku/>
              <w:wordWrap/>
              <w:overflowPunct/>
              <w:topLinePunct w:val="0"/>
              <w:bidi w:val="0"/>
              <w:spacing w:line="240" w:lineRule="auto"/>
              <w:ind w:left="0" w:leftChars="0" w:right="0" w:firstLine="0" w:firstLineChars="0"/>
              <w:jc w:val="center"/>
              <w:textAlignment w:val="auto"/>
              <w:rPr>
                <w:rFonts w:ascii="Times New Roman" w:hAnsi="Times New Roman" w:cs="Times New Roman"/>
                <w:spacing w:val="-5"/>
                <w:sz w:val="24"/>
                <w:szCs w:val="21"/>
                <w:u w:val="single"/>
                <w:lang w:val="en-US" w:bidi="ar-SA"/>
              </w:rPr>
            </w:pPr>
            <w:r>
              <w:rPr>
                <w:rFonts w:hint="eastAsia" w:ascii="Times New Roman" w:hAnsi="Times New Roman" w:cs="Times New Roman"/>
                <w:spacing w:val="-5"/>
                <w:sz w:val="24"/>
                <w:szCs w:val="21"/>
                <w:u w:val="single"/>
                <w:lang w:val="en-US" w:bidi="ar-SA"/>
              </w:rPr>
              <w:t>非甲烷总烃</w:t>
            </w:r>
          </w:p>
        </w:tc>
        <w:tc>
          <w:tcPr>
            <w:tcW w:w="2068" w:type="dxa"/>
            <w:vAlign w:val="center"/>
          </w:tcPr>
          <w:p>
            <w:pPr>
              <w:pStyle w:val="59"/>
              <w:keepNext w:val="0"/>
              <w:keepLines w:val="0"/>
              <w:pageBreakBefore w:val="0"/>
              <w:widowControl w:val="0"/>
              <w:kinsoku/>
              <w:wordWrap/>
              <w:overflowPunct/>
              <w:topLinePunct w:val="0"/>
              <w:bidi w:val="0"/>
              <w:spacing w:line="240" w:lineRule="auto"/>
              <w:ind w:left="0" w:leftChars="0" w:right="0" w:firstLine="0" w:firstLineChars="0"/>
              <w:jc w:val="center"/>
              <w:textAlignment w:val="auto"/>
              <w:rPr>
                <w:rFonts w:ascii="Times New Roman" w:hAnsi="Times New Roman" w:cs="Times New Roman"/>
                <w:spacing w:val="-5"/>
                <w:sz w:val="24"/>
                <w:szCs w:val="21"/>
                <w:u w:val="single"/>
                <w:lang w:val="en-US" w:bidi="ar-SA"/>
              </w:rPr>
            </w:pPr>
            <w:r>
              <w:rPr>
                <w:rFonts w:hint="eastAsia" w:ascii="Times New Roman" w:hAnsi="Times New Roman" w:cs="Times New Roman"/>
                <w:spacing w:val="-5"/>
                <w:sz w:val="24"/>
                <w:szCs w:val="21"/>
                <w:u w:val="single"/>
                <w:lang w:val="en-US" w:bidi="ar-SA"/>
              </w:rPr>
              <w:t>加强车间通风换气</w:t>
            </w:r>
          </w:p>
        </w:tc>
        <w:tc>
          <w:tcPr>
            <w:tcW w:w="2927" w:type="dxa"/>
            <w:vAlign w:val="center"/>
          </w:tcPr>
          <w:p>
            <w:pPr>
              <w:pStyle w:val="59"/>
              <w:keepNext w:val="0"/>
              <w:keepLines w:val="0"/>
              <w:pageBreakBefore w:val="0"/>
              <w:widowControl w:val="0"/>
              <w:kinsoku/>
              <w:wordWrap/>
              <w:overflowPunct/>
              <w:topLinePunct w:val="0"/>
              <w:bidi w:val="0"/>
              <w:spacing w:line="240" w:lineRule="auto"/>
              <w:ind w:left="0" w:leftChars="0" w:right="0" w:firstLine="0" w:firstLineChars="0"/>
              <w:jc w:val="center"/>
              <w:textAlignment w:val="auto"/>
              <w:rPr>
                <w:rFonts w:ascii="Times New Roman" w:hAnsi="Times New Roman" w:cs="Times New Roman"/>
                <w:spacing w:val="-5"/>
                <w:sz w:val="24"/>
                <w:szCs w:val="21"/>
                <w:u w:val="single"/>
                <w:lang w:val="en-US" w:bidi="ar-SA"/>
              </w:rPr>
            </w:pPr>
            <w:r>
              <w:rPr>
                <w:rFonts w:hint="eastAsia" w:ascii="Times New Roman" w:hAnsi="Times New Roman" w:cs="Times New Roman"/>
                <w:spacing w:val="-5"/>
                <w:sz w:val="24"/>
                <w:szCs w:val="21"/>
                <w:u w:val="single"/>
                <w:lang w:val="en-US" w:bidi="ar-SA"/>
              </w:rPr>
              <w:t>《挥发性有机物无组织排放控制标准》（GB37822-2019）无组织排放监控浓度限值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地表水环境</w:t>
            </w:r>
          </w:p>
        </w:tc>
        <w:tc>
          <w:tcPr>
            <w:tcW w:w="1920"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生活污水</w:t>
            </w:r>
          </w:p>
        </w:tc>
        <w:tc>
          <w:tcPr>
            <w:tcW w:w="11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spacing w:val="-8"/>
                <w:sz w:val="24"/>
                <w:szCs w:val="21"/>
                <w:u w:val="single"/>
              </w:rPr>
              <w:t>COD</w:t>
            </w:r>
            <w:r>
              <w:rPr>
                <w:rFonts w:cs="宋体"/>
                <w:spacing w:val="-8"/>
                <w:sz w:val="24"/>
                <w:szCs w:val="21"/>
                <w:u w:val="single"/>
              </w:rPr>
              <w:t>、</w:t>
            </w:r>
            <w:r>
              <w:rPr>
                <w:spacing w:val="-8"/>
                <w:sz w:val="24"/>
                <w:szCs w:val="21"/>
                <w:u w:val="single"/>
              </w:rPr>
              <w:t>BOD</w:t>
            </w:r>
            <w:r>
              <w:rPr>
                <w:spacing w:val="-8"/>
                <w:position w:val="-2"/>
                <w:sz w:val="24"/>
                <w:szCs w:val="13"/>
                <w:u w:val="single"/>
                <w:vertAlign w:val="subscript"/>
              </w:rPr>
              <w:t>5</w:t>
            </w:r>
            <w:r>
              <w:rPr>
                <w:rFonts w:cs="宋体"/>
                <w:spacing w:val="-8"/>
                <w:sz w:val="24"/>
                <w:szCs w:val="21"/>
                <w:u w:val="single"/>
              </w:rPr>
              <w:t>、</w:t>
            </w:r>
            <w:r>
              <w:rPr>
                <w:spacing w:val="-4"/>
                <w:sz w:val="24"/>
                <w:szCs w:val="21"/>
                <w:u w:val="single"/>
              </w:rPr>
              <w:t>NH</w:t>
            </w:r>
            <w:r>
              <w:rPr>
                <w:spacing w:val="-4"/>
                <w:position w:val="-2"/>
                <w:sz w:val="24"/>
                <w:szCs w:val="13"/>
                <w:u w:val="single"/>
                <w:vertAlign w:val="subscript"/>
              </w:rPr>
              <w:t>3</w:t>
            </w:r>
            <w:r>
              <w:rPr>
                <w:spacing w:val="-4"/>
                <w:sz w:val="24"/>
                <w:szCs w:val="21"/>
                <w:u w:val="single"/>
              </w:rPr>
              <w:t>-N</w:t>
            </w:r>
            <w:r>
              <w:rPr>
                <w:rFonts w:cs="宋体"/>
                <w:spacing w:val="-4"/>
                <w:sz w:val="24"/>
                <w:szCs w:val="21"/>
                <w:u w:val="single"/>
              </w:rPr>
              <w:t>、</w:t>
            </w:r>
            <w:r>
              <w:rPr>
                <w:spacing w:val="-4"/>
                <w:sz w:val="24"/>
                <w:szCs w:val="21"/>
                <w:u w:val="single"/>
              </w:rPr>
              <w:t>SS</w:t>
            </w:r>
          </w:p>
        </w:tc>
        <w:tc>
          <w:tcPr>
            <w:tcW w:w="206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经化粪池处理后经园区市政污水管网排入益阳</w:t>
            </w:r>
            <w:r>
              <w:rPr>
                <w:rFonts w:hint="eastAsia"/>
                <w:spacing w:val="-5"/>
                <w:sz w:val="24"/>
                <w:szCs w:val="21"/>
                <w:u w:val="single"/>
                <w:lang w:val="en-US" w:eastAsia="zh-CN"/>
              </w:rPr>
              <w:t>城东</w:t>
            </w:r>
            <w:r>
              <w:rPr>
                <w:rFonts w:hint="eastAsia"/>
                <w:spacing w:val="-5"/>
                <w:sz w:val="24"/>
                <w:szCs w:val="21"/>
                <w:u w:val="single"/>
              </w:rPr>
              <w:t>污水处理厂深度处理后达标排放</w:t>
            </w:r>
          </w:p>
        </w:tc>
        <w:tc>
          <w:tcPr>
            <w:tcW w:w="2927"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《污水综合排放标准》</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（GB8978-1996）</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声环境</w:t>
            </w:r>
          </w:p>
        </w:tc>
        <w:tc>
          <w:tcPr>
            <w:tcW w:w="1920"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cs="宋体"/>
                <w:kern w:val="21"/>
                <w:sz w:val="24"/>
                <w:szCs w:val="21"/>
                <w:u w:val="single"/>
              </w:rPr>
              <w:t>生产设备</w:t>
            </w:r>
          </w:p>
        </w:tc>
        <w:tc>
          <w:tcPr>
            <w:tcW w:w="11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噪声</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cs="宋体"/>
                <w:kern w:val="21"/>
                <w:sz w:val="24"/>
                <w:szCs w:val="21"/>
                <w:u w:val="single"/>
              </w:rPr>
              <w:t>等效A声级</w:t>
            </w:r>
          </w:p>
        </w:tc>
        <w:tc>
          <w:tcPr>
            <w:tcW w:w="206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cs="宋体"/>
                <w:kern w:val="21"/>
                <w:sz w:val="24"/>
                <w:szCs w:val="21"/>
                <w:u w:val="single"/>
              </w:rPr>
              <w:t>合理布局、隔声、吸声、减震等措施，以及墙体隔声、距离衰减</w:t>
            </w:r>
          </w:p>
        </w:tc>
        <w:tc>
          <w:tcPr>
            <w:tcW w:w="2927"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cs="宋体"/>
                <w:kern w:val="21"/>
                <w:sz w:val="24"/>
                <w:szCs w:val="21"/>
                <w:u w:val="single"/>
              </w:rPr>
              <w:t>《工业企业厂界环境噪声排放标准》GB 12348-2008中的3类标准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91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电磁辐射</w:t>
            </w:r>
          </w:p>
        </w:tc>
        <w:tc>
          <w:tcPr>
            <w:tcW w:w="8040" w:type="dxa"/>
            <w:gridSpan w:val="5"/>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本项目不涉及电磁波辐射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918"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固体废物</w:t>
            </w:r>
          </w:p>
        </w:tc>
        <w:tc>
          <w:tcPr>
            <w:tcW w:w="1920"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职工生活</w:t>
            </w:r>
          </w:p>
        </w:tc>
        <w:tc>
          <w:tcPr>
            <w:tcW w:w="11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生活垃圾</w:t>
            </w:r>
          </w:p>
        </w:tc>
        <w:tc>
          <w:tcPr>
            <w:tcW w:w="2068"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环卫部门及时清运</w:t>
            </w:r>
          </w:p>
        </w:tc>
        <w:tc>
          <w:tcPr>
            <w:tcW w:w="2927"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《一般工业固体废物贮存和填埋污染控制标准》(GB 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c>
          <w:tcPr>
            <w:tcW w:w="1920"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z w:val="24"/>
                <w:u w:val="single"/>
              </w:rPr>
              <w:t>造粒工序</w:t>
            </w:r>
          </w:p>
        </w:tc>
        <w:tc>
          <w:tcPr>
            <w:tcW w:w="11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废过滤网</w:t>
            </w:r>
          </w:p>
        </w:tc>
        <w:tc>
          <w:tcPr>
            <w:tcW w:w="206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p>
        </w:tc>
        <w:tc>
          <w:tcPr>
            <w:tcW w:w="292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c>
          <w:tcPr>
            <w:tcW w:w="1920" w:type="dxa"/>
            <w:gridSpan w:val="2"/>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z w:val="24"/>
                <w:u w:val="single"/>
              </w:rPr>
            </w:pPr>
            <w:r>
              <w:rPr>
                <w:rFonts w:hint="eastAsia"/>
                <w:sz w:val="24"/>
                <w:u w:val="single"/>
              </w:rPr>
              <w:t>原料与成品区</w:t>
            </w:r>
          </w:p>
        </w:tc>
        <w:tc>
          <w:tcPr>
            <w:tcW w:w="11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废包装材料</w:t>
            </w:r>
          </w:p>
        </w:tc>
        <w:tc>
          <w:tcPr>
            <w:tcW w:w="206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p>
        </w:tc>
        <w:tc>
          <w:tcPr>
            <w:tcW w:w="292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c>
          <w:tcPr>
            <w:tcW w:w="1920" w:type="dxa"/>
            <w:gridSpan w:val="2"/>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设备</w:t>
            </w:r>
          </w:p>
        </w:tc>
        <w:tc>
          <w:tcPr>
            <w:tcW w:w="11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废灯管</w:t>
            </w:r>
          </w:p>
        </w:tc>
        <w:tc>
          <w:tcPr>
            <w:tcW w:w="2068"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厂区收集暂存后交由有资质的单位处置利用</w:t>
            </w:r>
          </w:p>
        </w:tc>
        <w:tc>
          <w:tcPr>
            <w:tcW w:w="2927" w:type="dxa"/>
            <w:vMerge w:val="restart"/>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《危险废物贮存污染控制标准》(GB 18597-2001)</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及其2013年修改单的标准限值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c>
          <w:tcPr>
            <w:tcW w:w="1920" w:type="dxa"/>
            <w:gridSpan w:val="2"/>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hint="eastAsia"/>
                <w:spacing w:val="-5"/>
                <w:sz w:val="24"/>
                <w:szCs w:val="21"/>
                <w:u w:val="single"/>
              </w:rPr>
            </w:pPr>
          </w:p>
        </w:tc>
        <w:tc>
          <w:tcPr>
            <w:tcW w:w="11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hint="eastAsia" w:eastAsia="宋体"/>
                <w:spacing w:val="-5"/>
                <w:sz w:val="24"/>
                <w:szCs w:val="21"/>
                <w:u w:val="single"/>
                <w:lang w:val="en-US" w:eastAsia="zh-CN"/>
              </w:rPr>
            </w:pPr>
            <w:r>
              <w:rPr>
                <w:rFonts w:hint="eastAsia"/>
                <w:spacing w:val="-5"/>
                <w:sz w:val="24"/>
                <w:szCs w:val="21"/>
                <w:u w:val="single"/>
                <w:lang w:val="en-US" w:eastAsia="zh-CN"/>
              </w:rPr>
              <w:t>废机油</w:t>
            </w:r>
          </w:p>
        </w:tc>
        <w:tc>
          <w:tcPr>
            <w:tcW w:w="206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hint="eastAsia"/>
                <w:spacing w:val="-5"/>
                <w:sz w:val="24"/>
                <w:szCs w:val="21"/>
                <w:u w:val="single"/>
              </w:rPr>
            </w:pPr>
          </w:p>
        </w:tc>
        <w:tc>
          <w:tcPr>
            <w:tcW w:w="292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hint="eastAsia"/>
                <w:spacing w:val="-5"/>
                <w:sz w:val="24"/>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c>
          <w:tcPr>
            <w:tcW w:w="1920" w:type="dxa"/>
            <w:gridSpan w:val="2"/>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p>
        </w:tc>
        <w:tc>
          <w:tcPr>
            <w:tcW w:w="1125"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spacing w:val="-5"/>
                <w:sz w:val="24"/>
                <w:szCs w:val="21"/>
                <w:u w:val="single"/>
              </w:rPr>
            </w:pPr>
            <w:r>
              <w:rPr>
                <w:rFonts w:hint="eastAsia"/>
                <w:spacing w:val="-5"/>
                <w:sz w:val="24"/>
                <w:szCs w:val="21"/>
                <w:u w:val="single"/>
              </w:rPr>
              <w:t>废活性炭</w:t>
            </w:r>
          </w:p>
        </w:tc>
        <w:tc>
          <w:tcPr>
            <w:tcW w:w="2068"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c>
          <w:tcPr>
            <w:tcW w:w="2927" w:type="dxa"/>
            <w:vMerge w:val="continue"/>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土壤及地下水</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污染防治措施</w:t>
            </w:r>
          </w:p>
        </w:tc>
        <w:tc>
          <w:tcPr>
            <w:tcW w:w="8040" w:type="dxa"/>
            <w:gridSpan w:val="5"/>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spacing w:val="-5"/>
                <w:sz w:val="24"/>
                <w:szCs w:val="21"/>
                <w:u w:val="singl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生态保护措施</w:t>
            </w:r>
          </w:p>
        </w:tc>
        <w:tc>
          <w:tcPr>
            <w:tcW w:w="8040" w:type="dxa"/>
            <w:gridSpan w:val="5"/>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环境风险</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防范措施</w:t>
            </w:r>
          </w:p>
        </w:tc>
        <w:tc>
          <w:tcPr>
            <w:tcW w:w="8040" w:type="dxa"/>
            <w:gridSpan w:val="5"/>
            <w:vAlign w:val="center"/>
          </w:tcPr>
          <w:p>
            <w:pPr>
              <w:keepNext w:val="0"/>
              <w:keepLines w:val="0"/>
              <w:pageBreakBefore w:val="0"/>
              <w:widowControl w:val="0"/>
              <w:kinsoku/>
              <w:wordWrap/>
              <w:overflowPunct/>
              <w:topLinePunct w:val="0"/>
              <w:bidi w:val="0"/>
              <w:spacing w:line="240" w:lineRule="auto"/>
              <w:ind w:left="0" w:leftChars="0" w:right="0" w:firstLine="0" w:firstLineChars="0"/>
              <w:jc w:val="left"/>
              <w:textAlignment w:val="auto"/>
              <w:rPr>
                <w:rFonts w:cs="宋体"/>
                <w:spacing w:val="-11"/>
                <w:sz w:val="24"/>
                <w:szCs w:val="21"/>
                <w:u w:val="single"/>
              </w:rPr>
            </w:pPr>
            <w:r>
              <w:rPr>
                <w:rFonts w:cs="宋体"/>
                <w:spacing w:val="-1"/>
                <w:sz w:val="24"/>
                <w:szCs w:val="21"/>
                <w:u w:val="single"/>
              </w:rPr>
              <w:t>①厂区建筑结构及各种</w:t>
            </w:r>
            <w:r>
              <w:rPr>
                <w:rFonts w:cs="宋体"/>
                <w:sz w:val="24"/>
                <w:szCs w:val="21"/>
                <w:u w:val="single"/>
              </w:rPr>
              <w:t>设备应符合《建筑设计防火规范》</w:t>
            </w:r>
            <w:r>
              <w:rPr>
                <w:rFonts w:cs="宋体"/>
                <w:spacing w:val="18"/>
                <w:sz w:val="24"/>
                <w:szCs w:val="21"/>
                <w:u w:val="single"/>
              </w:rPr>
              <w:t>(</w:t>
            </w:r>
            <w:r>
              <w:rPr>
                <w:sz w:val="24"/>
                <w:szCs w:val="21"/>
                <w:u w:val="single"/>
              </w:rPr>
              <w:t>GB</w:t>
            </w:r>
            <w:r>
              <w:rPr>
                <w:rFonts w:hint="eastAsia"/>
                <w:sz w:val="24"/>
                <w:szCs w:val="21"/>
                <w:u w:val="single"/>
              </w:rPr>
              <w:t xml:space="preserve"> </w:t>
            </w:r>
            <w:r>
              <w:rPr>
                <w:spacing w:val="12"/>
                <w:sz w:val="24"/>
                <w:szCs w:val="21"/>
                <w:u w:val="single"/>
              </w:rPr>
              <w:t>50016-2006</w:t>
            </w:r>
            <w:r>
              <w:rPr>
                <w:rFonts w:cs="宋体"/>
                <w:spacing w:val="12"/>
                <w:sz w:val="24"/>
                <w:szCs w:val="21"/>
                <w:u w:val="single"/>
              </w:rPr>
              <w:t>)的要求</w:t>
            </w:r>
            <w:r>
              <w:rPr>
                <w:rFonts w:hint="eastAsia" w:cs="宋体"/>
                <w:spacing w:val="12"/>
                <w:sz w:val="24"/>
                <w:szCs w:val="21"/>
                <w:u w:val="single"/>
              </w:rPr>
              <w:t>，并</w:t>
            </w:r>
            <w:r>
              <w:rPr>
                <w:rFonts w:cs="宋体"/>
                <w:spacing w:val="-8"/>
                <w:sz w:val="24"/>
                <w:szCs w:val="21"/>
                <w:u w:val="single"/>
              </w:rPr>
              <w:t>根</w:t>
            </w:r>
            <w:r>
              <w:rPr>
                <w:rFonts w:cs="宋体"/>
                <w:spacing w:val="-5"/>
                <w:sz w:val="24"/>
                <w:szCs w:val="21"/>
                <w:u w:val="single"/>
              </w:rPr>
              <w:t>据《建筑灭火器配置设计规范》</w:t>
            </w:r>
            <w:r>
              <w:rPr>
                <w:spacing w:val="-5"/>
                <w:sz w:val="24"/>
                <w:szCs w:val="21"/>
                <w:u w:val="single"/>
              </w:rPr>
              <w:t>(GB</w:t>
            </w:r>
            <w:r>
              <w:rPr>
                <w:rFonts w:hint="eastAsia"/>
                <w:spacing w:val="-5"/>
                <w:sz w:val="24"/>
                <w:szCs w:val="21"/>
                <w:u w:val="single"/>
              </w:rPr>
              <w:t xml:space="preserve"> </w:t>
            </w:r>
            <w:r>
              <w:rPr>
                <w:spacing w:val="-5"/>
                <w:sz w:val="24"/>
                <w:szCs w:val="21"/>
                <w:u w:val="single"/>
              </w:rPr>
              <w:t>50140-2005)</w:t>
            </w:r>
            <w:r>
              <w:rPr>
                <w:rFonts w:cs="宋体"/>
                <w:spacing w:val="-5"/>
                <w:sz w:val="24"/>
                <w:szCs w:val="21"/>
                <w:u w:val="single"/>
              </w:rPr>
              <w:t>的规定，</w:t>
            </w:r>
            <w:r>
              <w:rPr>
                <w:rFonts w:cs="宋体"/>
                <w:spacing w:val="-2"/>
                <w:sz w:val="24"/>
                <w:szCs w:val="21"/>
                <w:u w:val="single"/>
              </w:rPr>
              <w:t>在各建筑物内均配置一定数量的灭火器，</w:t>
            </w:r>
            <w:r>
              <w:rPr>
                <w:rFonts w:hint="eastAsia"/>
                <w:sz w:val="24"/>
                <w:u w:val="single"/>
              </w:rPr>
              <w:t>并要定期检查，确保</w:t>
            </w:r>
            <w:r>
              <w:rPr>
                <w:rFonts w:cs="宋体"/>
                <w:spacing w:val="-2"/>
                <w:sz w:val="24"/>
                <w:szCs w:val="21"/>
                <w:u w:val="single"/>
              </w:rPr>
              <w:t>能够及时扑灭初</w:t>
            </w:r>
            <w:r>
              <w:rPr>
                <w:rFonts w:cs="宋体"/>
                <w:sz w:val="24"/>
                <w:szCs w:val="21"/>
                <w:u w:val="single"/>
              </w:rPr>
              <w:t>起</w:t>
            </w:r>
            <w:r>
              <w:rPr>
                <w:rFonts w:cs="宋体"/>
                <w:spacing w:val="-14"/>
                <w:sz w:val="24"/>
                <w:szCs w:val="21"/>
                <w:u w:val="single"/>
              </w:rPr>
              <w:t>火</w:t>
            </w:r>
            <w:r>
              <w:rPr>
                <w:rFonts w:cs="宋体"/>
                <w:spacing w:val="-11"/>
                <w:sz w:val="24"/>
                <w:szCs w:val="21"/>
                <w:u w:val="single"/>
              </w:rPr>
              <w:t>灾；</w:t>
            </w:r>
          </w:p>
          <w:p>
            <w:pPr>
              <w:pStyle w:val="27"/>
              <w:keepNext w:val="0"/>
              <w:keepLines w:val="0"/>
              <w:pageBreakBefore w:val="0"/>
              <w:widowControl w:val="0"/>
              <w:kinsoku/>
              <w:wordWrap/>
              <w:overflowPunct/>
              <w:topLinePunct w:val="0"/>
              <w:bidi w:val="0"/>
              <w:spacing w:line="240" w:lineRule="auto"/>
              <w:ind w:left="0" w:leftChars="0" w:right="0" w:firstLine="0" w:firstLineChars="0"/>
              <w:jc w:val="left"/>
              <w:textAlignment w:val="auto"/>
              <w:rPr>
                <w:rFonts w:ascii="Times New Roman" w:hAnsi="Times New Roman"/>
                <w:color w:val="auto"/>
                <w:u w:val="single"/>
              </w:rPr>
            </w:pPr>
            <w:r>
              <w:rPr>
                <w:rFonts w:hint="eastAsia" w:ascii="Times New Roman" w:hAnsi="Times New Roman"/>
                <w:color w:val="auto"/>
                <w:u w:val="single"/>
              </w:rPr>
              <w:t>②</w:t>
            </w:r>
            <w:r>
              <w:rPr>
                <w:rFonts w:hint="eastAsia" w:ascii="Times New Roman" w:hAnsi="Times New Roman"/>
                <w:color w:val="auto"/>
                <w:szCs w:val="18"/>
                <w:u w:val="single"/>
              </w:rPr>
              <w:t>设置</w:t>
            </w:r>
            <w:r>
              <w:rPr>
                <w:rFonts w:hint="eastAsia" w:ascii="Times New Roman" w:hAnsi="Times New Roman"/>
                <w:color w:val="auto"/>
                <w:u w:val="single"/>
              </w:rPr>
              <w:t>兼职</w:t>
            </w:r>
            <w:r>
              <w:rPr>
                <w:rFonts w:hint="eastAsia" w:ascii="Times New Roman" w:hAnsi="Times New Roman"/>
                <w:color w:val="auto"/>
                <w:szCs w:val="18"/>
                <w:u w:val="single"/>
              </w:rPr>
              <w:t>的安全环保机构，并由企业领导直接领导，全权负责；</w:t>
            </w:r>
          </w:p>
          <w:p>
            <w:pPr>
              <w:keepNext w:val="0"/>
              <w:keepLines w:val="0"/>
              <w:pageBreakBefore w:val="0"/>
              <w:widowControl w:val="0"/>
              <w:kinsoku/>
              <w:wordWrap/>
              <w:overflowPunct/>
              <w:topLinePunct w:val="0"/>
              <w:bidi w:val="0"/>
              <w:spacing w:line="240" w:lineRule="auto"/>
              <w:ind w:left="0" w:leftChars="0" w:right="0" w:firstLine="0" w:firstLineChars="0"/>
              <w:jc w:val="left"/>
              <w:textAlignment w:val="auto"/>
              <w:rPr>
                <w:rFonts w:cs="宋体"/>
                <w:sz w:val="24"/>
                <w:szCs w:val="21"/>
                <w:u w:val="single"/>
              </w:rPr>
            </w:pPr>
            <w:r>
              <w:rPr>
                <w:rFonts w:cs="宋体"/>
                <w:spacing w:val="-5"/>
                <w:sz w:val="24"/>
                <w:szCs w:val="21"/>
                <w:u w:val="single"/>
              </w:rPr>
              <w:t>③厂区内严禁烟火，禁止明火带入车间及仓库</w:t>
            </w:r>
            <w:r>
              <w:rPr>
                <w:rFonts w:hint="eastAsia" w:cs="宋体"/>
                <w:spacing w:val="-2"/>
                <w:sz w:val="24"/>
                <w:szCs w:val="21"/>
                <w:u w:val="single"/>
              </w:rPr>
              <w:t>；</w:t>
            </w:r>
          </w:p>
          <w:p>
            <w:pPr>
              <w:keepNext w:val="0"/>
              <w:keepLines w:val="0"/>
              <w:pageBreakBefore w:val="0"/>
              <w:widowControl w:val="0"/>
              <w:kinsoku/>
              <w:wordWrap/>
              <w:overflowPunct/>
              <w:topLinePunct w:val="0"/>
              <w:bidi w:val="0"/>
              <w:spacing w:line="240" w:lineRule="auto"/>
              <w:ind w:left="0" w:leftChars="0" w:right="0" w:firstLine="0" w:firstLineChars="0"/>
              <w:jc w:val="left"/>
              <w:textAlignment w:val="auto"/>
              <w:rPr>
                <w:rFonts w:cs="宋体"/>
                <w:sz w:val="24"/>
                <w:szCs w:val="21"/>
                <w:u w:val="single"/>
              </w:rPr>
            </w:pPr>
            <w:r>
              <w:rPr>
                <w:rFonts w:cs="宋体"/>
                <w:spacing w:val="-2"/>
                <w:sz w:val="24"/>
                <w:szCs w:val="21"/>
                <w:u w:val="single"/>
              </w:rPr>
              <w:t>④</w:t>
            </w:r>
            <w:r>
              <w:rPr>
                <w:rFonts w:hint="eastAsia"/>
                <w:sz w:val="24"/>
                <w:u w:val="single"/>
              </w:rPr>
              <w:t>加强厂区环境综合管理，</w:t>
            </w:r>
            <w:r>
              <w:rPr>
                <w:rFonts w:cs="宋体"/>
                <w:spacing w:val="-2"/>
                <w:sz w:val="24"/>
                <w:szCs w:val="21"/>
                <w:u w:val="single"/>
              </w:rPr>
              <w:t>安排人定期对污</w:t>
            </w:r>
            <w:r>
              <w:rPr>
                <w:rFonts w:cs="宋体"/>
                <w:spacing w:val="-1"/>
                <w:sz w:val="24"/>
                <w:szCs w:val="21"/>
                <w:u w:val="single"/>
              </w:rPr>
              <w:t>水处理设施进行巡视</w:t>
            </w:r>
            <w:r>
              <w:rPr>
                <w:bCs/>
                <w:sz w:val="24"/>
                <w:u w:val="single"/>
              </w:rPr>
              <w:t>，确保</w:t>
            </w:r>
            <w:r>
              <w:rPr>
                <w:rFonts w:hint="eastAsia"/>
                <w:bCs/>
                <w:sz w:val="24"/>
                <w:u w:val="single"/>
              </w:rPr>
              <w:t>环保</w:t>
            </w:r>
            <w:r>
              <w:rPr>
                <w:bCs/>
                <w:sz w:val="24"/>
                <w:u w:val="single"/>
              </w:rPr>
              <w:t>系统的正常运行</w:t>
            </w:r>
            <w:r>
              <w:rPr>
                <w:rFonts w:cs="宋体"/>
                <w:spacing w:val="-1"/>
                <w:sz w:val="24"/>
                <w:szCs w:val="21"/>
                <w:u w:val="single"/>
              </w:rPr>
              <w:t>；</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left"/>
              <w:textAlignment w:val="auto"/>
              <w:rPr>
                <w:rFonts w:cs="宋体"/>
                <w:kern w:val="21"/>
                <w:sz w:val="24"/>
                <w:szCs w:val="21"/>
                <w:u w:val="single"/>
              </w:rPr>
            </w:pPr>
            <w:r>
              <w:rPr>
                <w:rFonts w:cs="宋体"/>
                <w:spacing w:val="-1"/>
                <w:sz w:val="24"/>
                <w:szCs w:val="21"/>
                <w:u w:val="single"/>
              </w:rPr>
              <w:t>⑤</w:t>
            </w:r>
            <w:r>
              <w:rPr>
                <w:rFonts w:hint="eastAsia"/>
                <w:sz w:val="24"/>
                <w:szCs w:val="18"/>
                <w:u w:val="single"/>
              </w:rPr>
              <w:t>按照规定</w:t>
            </w:r>
            <w:r>
              <w:rPr>
                <w:rFonts w:cs="宋体"/>
                <w:spacing w:val="-1"/>
                <w:sz w:val="24"/>
                <w:szCs w:val="21"/>
                <w:u w:val="single"/>
              </w:rPr>
              <w:t>制定</w:t>
            </w:r>
            <w:r>
              <w:rPr>
                <w:rFonts w:hint="eastAsia" w:cs="宋体"/>
                <w:spacing w:val="-1"/>
                <w:sz w:val="24"/>
                <w:szCs w:val="21"/>
                <w:u w:val="single"/>
              </w:rPr>
              <w:t>突发环境事件应急预案</w:t>
            </w:r>
            <w:r>
              <w:rPr>
                <w:rFonts w:hint="eastAsia" w:cs="宋体"/>
                <w:sz w:val="24"/>
                <w:szCs w:val="21"/>
                <w:u w:val="single"/>
              </w:rPr>
              <w:t>，</w:t>
            </w:r>
            <w:r>
              <w:rPr>
                <w:rFonts w:hint="eastAsia"/>
                <w:sz w:val="24"/>
                <w:szCs w:val="18"/>
                <w:u w:val="single"/>
              </w:rPr>
              <w:t>并报环保部门备案。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vAlign w:val="center"/>
          </w:tcPr>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其他环境</w:t>
            </w:r>
          </w:p>
          <w:p>
            <w:pPr>
              <w:keepNext w:val="0"/>
              <w:keepLines w:val="0"/>
              <w:pageBreakBefore w:val="0"/>
              <w:widowControl w:val="0"/>
              <w:kinsoku/>
              <w:wordWrap/>
              <w:overflowPunct/>
              <w:topLinePunct w:val="0"/>
              <w:bidi w:val="0"/>
              <w:adjustRightInd w:val="0"/>
              <w:snapToGrid w:val="0"/>
              <w:spacing w:line="240" w:lineRule="auto"/>
              <w:ind w:left="0" w:leftChars="0" w:right="0" w:firstLine="0" w:firstLineChars="0"/>
              <w:jc w:val="center"/>
              <w:textAlignment w:val="auto"/>
              <w:rPr>
                <w:rFonts w:cs="宋体"/>
                <w:kern w:val="21"/>
                <w:sz w:val="24"/>
                <w:szCs w:val="21"/>
                <w:u w:val="single"/>
              </w:rPr>
            </w:pPr>
            <w:r>
              <w:rPr>
                <w:rFonts w:hint="eastAsia" w:cs="宋体"/>
                <w:kern w:val="21"/>
                <w:sz w:val="24"/>
                <w:szCs w:val="21"/>
                <w:u w:val="single"/>
              </w:rPr>
              <w:t>管理要求</w:t>
            </w:r>
          </w:p>
        </w:tc>
        <w:tc>
          <w:tcPr>
            <w:tcW w:w="8040" w:type="dxa"/>
            <w:gridSpan w:val="5"/>
            <w:vAlign w:val="center"/>
          </w:tcPr>
          <w:p>
            <w:pPr>
              <w:keepNext w:val="0"/>
              <w:keepLines w:val="0"/>
              <w:pageBreakBefore w:val="0"/>
              <w:widowControl w:val="0"/>
              <w:kinsoku/>
              <w:wordWrap/>
              <w:overflowPunct/>
              <w:topLinePunct w:val="0"/>
              <w:bidi w:val="0"/>
              <w:spacing w:line="240" w:lineRule="auto"/>
              <w:ind w:left="0" w:leftChars="0" w:right="0" w:firstLine="0" w:firstLineChars="0"/>
              <w:jc w:val="left"/>
              <w:textAlignment w:val="auto"/>
              <w:rPr>
                <w:rFonts w:ascii="宋体" w:hAnsi="宋体" w:cs="宋体"/>
                <w:color w:val="000000"/>
                <w:kern w:val="0"/>
                <w:sz w:val="24"/>
                <w:u w:val="single"/>
              </w:rPr>
            </w:pPr>
            <w:r>
              <w:rPr>
                <w:rFonts w:hint="eastAsia" w:ascii="宋体" w:hAnsi="宋体" w:cs="宋体"/>
                <w:color w:val="000000"/>
                <w:kern w:val="0"/>
                <w:sz w:val="24"/>
                <w:u w:val="single"/>
              </w:rPr>
              <w:t>（1）竣工环境保护验收</w:t>
            </w:r>
          </w:p>
          <w:p>
            <w:pPr>
              <w:pStyle w:val="27"/>
              <w:keepNext w:val="0"/>
              <w:keepLines w:val="0"/>
              <w:pageBreakBefore w:val="0"/>
              <w:widowControl w:val="0"/>
              <w:kinsoku/>
              <w:wordWrap/>
              <w:overflowPunct/>
              <w:topLinePunct w:val="0"/>
              <w:bidi w:val="0"/>
              <w:spacing w:line="240" w:lineRule="auto"/>
              <w:ind w:left="0" w:leftChars="0" w:right="0" w:firstLine="0" w:firstLineChars="0"/>
              <w:jc w:val="left"/>
              <w:textAlignment w:val="auto"/>
              <w:rPr>
                <w:u w:val="single"/>
              </w:rPr>
            </w:pPr>
            <w:r>
              <w:rPr>
                <w:rFonts w:hint="eastAsia"/>
                <w:u w:val="single"/>
              </w:rPr>
              <w:t>根据《建设项目竣工环境保护验收暂行办法》（国环规环评〔2017〕4号）文件，建设单位作为项目竣工环保验收的责任主体，应当按照本办法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项目配套建设的环保设施经验收合格，方可投入生产或使用</w:t>
            </w:r>
            <w:r>
              <w:rPr>
                <w:u w:val="single"/>
              </w:rPr>
              <w:t>。</w:t>
            </w:r>
          </w:p>
          <w:p>
            <w:pPr>
              <w:pStyle w:val="27"/>
              <w:keepNext w:val="0"/>
              <w:keepLines w:val="0"/>
              <w:pageBreakBefore w:val="0"/>
              <w:widowControl w:val="0"/>
              <w:kinsoku/>
              <w:wordWrap/>
              <w:overflowPunct/>
              <w:topLinePunct w:val="0"/>
              <w:bidi w:val="0"/>
              <w:spacing w:line="240" w:lineRule="auto"/>
              <w:ind w:left="0" w:leftChars="0" w:right="0" w:firstLine="0" w:firstLineChars="0"/>
              <w:jc w:val="left"/>
              <w:textAlignment w:val="auto"/>
              <w:rPr>
                <w:u w:val="single"/>
              </w:rPr>
            </w:pPr>
            <w:r>
              <w:rPr>
                <w:rFonts w:hint="eastAsia"/>
                <w:u w:val="single"/>
              </w:rPr>
              <w:t>（2）排污许可</w:t>
            </w:r>
          </w:p>
          <w:p>
            <w:pPr>
              <w:pStyle w:val="27"/>
              <w:keepNext w:val="0"/>
              <w:keepLines w:val="0"/>
              <w:pageBreakBefore w:val="0"/>
              <w:widowControl w:val="0"/>
              <w:kinsoku/>
              <w:wordWrap/>
              <w:overflowPunct/>
              <w:topLinePunct w:val="0"/>
              <w:bidi w:val="0"/>
              <w:spacing w:line="240" w:lineRule="auto"/>
              <w:ind w:left="0" w:leftChars="0" w:right="0" w:firstLine="0" w:firstLineChars="0"/>
              <w:jc w:val="left"/>
              <w:textAlignment w:val="auto"/>
              <w:rPr>
                <w:u w:val="single"/>
              </w:rPr>
            </w:pPr>
            <w:r>
              <w:rPr>
                <w:rFonts w:hint="eastAsia"/>
                <w:u w:val="single"/>
              </w:rPr>
              <w:t>根据《排污许可管理办法（试行）》（环境保护部令第 48 号）以及《固定污染源排污许可分类管理名录（2019 年版）》要求，现有排污单位应当在生态环境部规定的实施时限内申请取得排污许可证或者填报排污登记表。本项目属于“三十七、废弃资源综合利用业42，非金属废料和碎屑加工处理 422”，因此本项目属于简化管理。参考《排污许可证申请与核发技术规范总则》（HJ942-2018）、《排污许可证申请与核发技术规范废弃资源加工工业》（HJ1034-2019）、《排污单位自行监测技术指南 总则》（HJ819-2017）申请排污许可。本项目建成投产前，须依照名录要求办理排污许可证，依证排污。</w:t>
            </w:r>
          </w:p>
          <w:p>
            <w:pPr>
              <w:pStyle w:val="20"/>
              <w:keepNext w:val="0"/>
              <w:keepLines w:val="0"/>
              <w:pageBreakBefore w:val="0"/>
              <w:widowControl w:val="0"/>
              <w:kinsoku/>
              <w:wordWrap/>
              <w:overflowPunct/>
              <w:topLinePunct w:val="0"/>
              <w:bidi w:val="0"/>
              <w:spacing w:after="0" w:line="240" w:lineRule="auto"/>
              <w:ind w:left="0" w:leftChars="0" w:right="0" w:firstLine="0" w:firstLineChars="0"/>
              <w:jc w:val="left"/>
              <w:textAlignment w:val="auto"/>
              <w:rPr>
                <w:rFonts w:ascii="宋体" w:hAnsi="宋体" w:cs="宋体"/>
                <w:color w:val="000000"/>
                <w:kern w:val="0"/>
                <w:sz w:val="24"/>
                <w:u w:val="single"/>
              </w:rPr>
            </w:pPr>
            <w:r>
              <w:rPr>
                <w:rFonts w:hint="eastAsia" w:ascii="宋体" w:hAnsi="宋体" w:cs="宋体"/>
                <w:color w:val="000000"/>
                <w:kern w:val="0"/>
                <w:sz w:val="24"/>
                <w:u w:val="single"/>
              </w:rPr>
              <w:t>（3）标识标牌</w:t>
            </w:r>
          </w:p>
          <w:p>
            <w:pPr>
              <w:pStyle w:val="27"/>
              <w:keepNext w:val="0"/>
              <w:keepLines w:val="0"/>
              <w:pageBreakBefore w:val="0"/>
              <w:widowControl w:val="0"/>
              <w:kinsoku/>
              <w:wordWrap/>
              <w:overflowPunct/>
              <w:topLinePunct w:val="0"/>
              <w:bidi w:val="0"/>
              <w:spacing w:line="240" w:lineRule="auto"/>
              <w:ind w:left="0" w:leftChars="0" w:right="0" w:firstLine="0" w:firstLineChars="0"/>
              <w:jc w:val="left"/>
              <w:textAlignment w:val="auto"/>
              <w:rPr>
                <w:rFonts w:hint="eastAsia" w:eastAsia="宋体"/>
                <w:u w:val="single"/>
                <w:lang w:eastAsia="zh-CN"/>
              </w:rPr>
            </w:pPr>
            <w:r>
              <w:rPr>
                <w:u w:val="single"/>
              </w:rPr>
              <w:t>废气排放口预留监测采样孔，并应设置采样平台、规范排污口及其管理、设置排污口环保图形标志牌</w:t>
            </w:r>
            <w:r>
              <w:rPr>
                <w:rFonts w:hint="eastAsia"/>
                <w:u w:val="single"/>
                <w:lang w:eastAsia="zh-CN"/>
              </w:rPr>
              <w:t>。</w:t>
            </w:r>
          </w:p>
          <w:p>
            <w:pPr>
              <w:pStyle w:val="20"/>
              <w:keepNext w:val="0"/>
              <w:keepLines w:val="0"/>
              <w:pageBreakBefore w:val="0"/>
              <w:widowControl w:val="0"/>
              <w:kinsoku/>
              <w:wordWrap/>
              <w:overflowPunct/>
              <w:topLinePunct w:val="0"/>
              <w:bidi w:val="0"/>
              <w:spacing w:after="0" w:line="240" w:lineRule="auto"/>
              <w:ind w:left="0" w:leftChars="0" w:right="0" w:firstLine="0" w:firstLineChars="0"/>
              <w:jc w:val="left"/>
              <w:textAlignment w:val="auto"/>
              <w:rPr>
                <w:u w:val="single"/>
              </w:rPr>
            </w:pPr>
          </w:p>
        </w:tc>
      </w:tr>
    </w:tbl>
    <w:p>
      <w:pPr>
        <w:pStyle w:val="17"/>
        <w:adjustRightInd w:val="0"/>
        <w:snapToGrid w:val="0"/>
        <w:jc w:val="center"/>
        <w:outlineLvl w:val="0"/>
        <w:rPr>
          <w:rFonts w:ascii="黑体" w:hAnsi="黑体" w:eastAsia="黑体"/>
          <w:snapToGrid w:val="0"/>
          <w:color w:val="0000FF"/>
          <w:kern w:val="21"/>
          <w:sz w:val="30"/>
          <w:szCs w:val="30"/>
        </w:rPr>
      </w:pPr>
      <w:r>
        <w:rPr>
          <w:snapToGrid w:val="0"/>
          <w:color w:val="0000FF"/>
          <w:kern w:val="21"/>
        </w:rPr>
        <w:br w:type="page"/>
      </w:r>
      <w:bookmarkStart w:id="27" w:name="_Toc15516"/>
      <w:r>
        <w:rPr>
          <w:rFonts w:hint="eastAsia" w:ascii="黑体" w:hAnsi="黑体" w:eastAsia="黑体"/>
          <w:snapToGrid w:val="0"/>
          <w:kern w:val="21"/>
          <w:sz w:val="30"/>
          <w:szCs w:val="30"/>
        </w:rPr>
        <w:t>六、结论</w:t>
      </w:r>
      <w:bookmarkEnd w:id="27"/>
    </w:p>
    <w:tbl>
      <w:tblPr>
        <w:tblStyle w:val="21"/>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04" w:type="dxa"/>
            <w:vAlign w:val="center"/>
          </w:tcPr>
          <w:p>
            <w:pPr>
              <w:pStyle w:val="53"/>
              <w:spacing w:line="480" w:lineRule="exact"/>
              <w:ind w:firstLine="480" w:firstLineChars="200"/>
              <w:rPr>
                <w:color w:val="auto"/>
                <w:szCs w:val="32"/>
              </w:rPr>
            </w:pPr>
            <w:r>
              <w:rPr>
                <w:color w:val="auto"/>
                <w:szCs w:val="32"/>
              </w:rPr>
              <w:t>本项目建设符合国家产业政策，项目选址及总平面布置合理。在落实本报告提出的环境保护措施的前提下，废气、废水、噪声可做到达标排放，固废可得到妥善处置，不会对周围环境质量产生明显影响。在落实风险防范措施前提下，环境风险较小。从环境保护的角度分析，本项目建设可行。</w:t>
            </w:r>
          </w:p>
          <w:p>
            <w:pPr>
              <w:pStyle w:val="27"/>
              <w:rPr>
                <w:color w:val="0000FF"/>
              </w:rPr>
            </w:pPr>
          </w:p>
          <w:p>
            <w:pPr>
              <w:pStyle w:val="20"/>
              <w:rPr>
                <w:color w:val="0000FF"/>
              </w:rPr>
            </w:pPr>
          </w:p>
          <w:p>
            <w:pPr>
              <w:pStyle w:val="19"/>
              <w:ind w:firstLine="210"/>
              <w:rPr>
                <w:color w:val="0000FF"/>
              </w:rPr>
            </w:pPr>
          </w:p>
          <w:p>
            <w:pPr>
              <w:rPr>
                <w:color w:val="0000FF"/>
              </w:rPr>
            </w:pPr>
          </w:p>
          <w:p>
            <w:pPr>
              <w:pStyle w:val="27"/>
              <w:rPr>
                <w:color w:val="0000FF"/>
              </w:rPr>
            </w:pPr>
          </w:p>
          <w:p>
            <w:pPr>
              <w:pStyle w:val="20"/>
              <w:rPr>
                <w:color w:val="0000FF"/>
              </w:rPr>
            </w:pPr>
          </w:p>
          <w:p>
            <w:pPr>
              <w:pStyle w:val="19"/>
              <w:ind w:firstLine="210"/>
              <w:rPr>
                <w:color w:val="0000FF"/>
              </w:rPr>
            </w:pPr>
          </w:p>
          <w:p>
            <w:pPr>
              <w:rPr>
                <w:color w:val="0000FF"/>
              </w:rPr>
            </w:pPr>
          </w:p>
          <w:p>
            <w:pPr>
              <w:pStyle w:val="27"/>
              <w:rPr>
                <w:color w:val="0000FF"/>
              </w:rPr>
            </w:pPr>
          </w:p>
          <w:p>
            <w:pPr>
              <w:pStyle w:val="20"/>
              <w:rPr>
                <w:color w:val="0000FF"/>
              </w:rPr>
            </w:pPr>
          </w:p>
          <w:p>
            <w:pPr>
              <w:pStyle w:val="19"/>
              <w:ind w:firstLine="210"/>
              <w:rPr>
                <w:color w:val="0000FF"/>
              </w:rPr>
            </w:pPr>
          </w:p>
          <w:p>
            <w:pPr>
              <w:rPr>
                <w:color w:val="0000FF"/>
              </w:rPr>
            </w:pPr>
          </w:p>
          <w:p>
            <w:pPr>
              <w:pStyle w:val="27"/>
              <w:rPr>
                <w:color w:val="0000FF"/>
              </w:rPr>
            </w:pPr>
          </w:p>
          <w:p>
            <w:pPr>
              <w:pStyle w:val="20"/>
              <w:rPr>
                <w:color w:val="0000FF"/>
              </w:rPr>
            </w:pPr>
          </w:p>
          <w:p>
            <w:pPr>
              <w:pStyle w:val="19"/>
              <w:ind w:firstLine="210"/>
              <w:rPr>
                <w:color w:val="0000FF"/>
              </w:rPr>
            </w:pPr>
          </w:p>
          <w:p>
            <w:pPr>
              <w:rPr>
                <w:color w:val="0000FF"/>
              </w:rPr>
            </w:pPr>
          </w:p>
          <w:p>
            <w:pPr>
              <w:pStyle w:val="27"/>
              <w:rPr>
                <w:color w:val="0000FF"/>
              </w:rPr>
            </w:pPr>
          </w:p>
          <w:p>
            <w:pPr>
              <w:pStyle w:val="20"/>
              <w:rPr>
                <w:color w:val="0000FF"/>
              </w:rPr>
            </w:pPr>
          </w:p>
          <w:p>
            <w:pPr>
              <w:pStyle w:val="19"/>
              <w:ind w:firstLine="210"/>
              <w:rPr>
                <w:color w:val="0000FF"/>
              </w:rPr>
            </w:pPr>
          </w:p>
          <w:p>
            <w:pPr>
              <w:rPr>
                <w:color w:val="0000FF"/>
              </w:rPr>
            </w:pPr>
          </w:p>
          <w:p>
            <w:pPr>
              <w:pStyle w:val="27"/>
              <w:rPr>
                <w:color w:val="0000FF"/>
              </w:rPr>
            </w:pPr>
          </w:p>
          <w:p>
            <w:pPr>
              <w:pStyle w:val="20"/>
              <w:rPr>
                <w:color w:val="0000FF"/>
              </w:rPr>
            </w:pPr>
          </w:p>
          <w:p>
            <w:pPr>
              <w:pStyle w:val="19"/>
              <w:ind w:firstLine="210"/>
              <w:rPr>
                <w:color w:val="0000FF"/>
              </w:rPr>
            </w:pPr>
          </w:p>
          <w:p>
            <w:pPr>
              <w:rPr>
                <w:color w:val="0000FF"/>
              </w:rPr>
            </w:pPr>
          </w:p>
          <w:p>
            <w:pPr>
              <w:pStyle w:val="27"/>
              <w:rPr>
                <w:color w:val="0000FF"/>
              </w:rPr>
            </w:pPr>
          </w:p>
          <w:p>
            <w:pPr>
              <w:pStyle w:val="20"/>
              <w:rPr>
                <w:color w:val="0000FF"/>
              </w:rPr>
            </w:pPr>
          </w:p>
          <w:p>
            <w:pPr>
              <w:pStyle w:val="19"/>
              <w:ind w:firstLine="210"/>
              <w:rPr>
                <w:color w:val="0000FF"/>
              </w:rPr>
            </w:pPr>
          </w:p>
          <w:p>
            <w:pPr>
              <w:rPr>
                <w:color w:val="0000FF"/>
              </w:rPr>
            </w:pPr>
          </w:p>
          <w:p>
            <w:pPr>
              <w:pStyle w:val="27"/>
              <w:rPr>
                <w:color w:val="0000FF"/>
              </w:rPr>
            </w:pPr>
          </w:p>
          <w:p>
            <w:pPr>
              <w:pStyle w:val="20"/>
              <w:rPr>
                <w:color w:val="0000FF"/>
              </w:rPr>
            </w:pPr>
          </w:p>
        </w:tc>
      </w:tr>
    </w:tbl>
    <w:p>
      <w:pPr>
        <w:rPr>
          <w:rFonts w:ascii="宋体"/>
          <w:color w:val="0000FF"/>
          <w:kern w:val="21"/>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7"/>
        <w:adjustRightInd w:val="0"/>
        <w:snapToGrid w:val="0"/>
        <w:spacing w:before="0" w:beforeAutospacing="0" w:after="0" w:afterAutospacing="0"/>
        <w:outlineLvl w:val="0"/>
        <w:rPr>
          <w:rFonts w:ascii="黑体" w:hAnsi="黑体" w:eastAsia="黑体"/>
          <w:snapToGrid w:val="0"/>
          <w:kern w:val="21"/>
          <w:sz w:val="21"/>
          <w:szCs w:val="21"/>
        </w:rPr>
      </w:pPr>
      <w:bookmarkStart w:id="28" w:name="_Toc20412"/>
      <w:r>
        <w:rPr>
          <w:rFonts w:hint="eastAsia" w:ascii="黑体" w:hAnsi="黑体" w:eastAsia="黑体"/>
          <w:snapToGrid w:val="0"/>
          <w:kern w:val="21"/>
          <w:sz w:val="32"/>
          <w:szCs w:val="32"/>
        </w:rPr>
        <w:t>附表</w:t>
      </w:r>
      <w:bookmarkEnd w:id="28"/>
    </w:p>
    <w:p>
      <w:pPr>
        <w:pStyle w:val="17"/>
        <w:adjustRightInd w:val="0"/>
        <w:snapToGrid w:val="0"/>
        <w:spacing w:before="0" w:beforeAutospacing="0" w:after="120" w:afterLines="50" w:afterAutospacing="0" w:line="480" w:lineRule="exact"/>
        <w:jc w:val="center"/>
        <w:rPr>
          <w:rFonts w:ascii="方正小标宋_GBK" w:hAnsi="黑体" w:eastAsia="方正小标宋_GBK"/>
          <w:snapToGrid w:val="0"/>
          <w:kern w:val="21"/>
          <w:sz w:val="38"/>
          <w:szCs w:val="38"/>
        </w:rPr>
      </w:pPr>
      <w:bookmarkStart w:id="29" w:name="_Toc15596"/>
      <w:r>
        <w:rPr>
          <w:rFonts w:hint="eastAsia" w:ascii="方正小标宋_GBK" w:hAnsi="黑体" w:eastAsia="方正小标宋_GBK"/>
          <w:snapToGrid w:val="0"/>
          <w:kern w:val="21"/>
          <w:sz w:val="38"/>
          <w:szCs w:val="38"/>
        </w:rPr>
        <w:t>建设项目污染物排放量汇总表</w:t>
      </w:r>
      <w:bookmarkEnd w:id="29"/>
    </w:p>
    <w:tbl>
      <w:tblPr>
        <w:tblStyle w:val="21"/>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508"/>
        <w:gridCol w:w="1701"/>
        <w:gridCol w:w="1276"/>
        <w:gridCol w:w="1701"/>
        <w:gridCol w:w="1559"/>
        <w:gridCol w:w="1761"/>
        <w:gridCol w:w="1877"/>
        <w:gridCol w:w="9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97" w:type="dxa"/>
            <w:tcBorders>
              <w:tl2br w:val="single" w:color="auto" w:sz="4" w:space="0"/>
            </w:tcBorders>
            <w:tcMar>
              <w:left w:w="28" w:type="dxa"/>
              <w:right w:w="28" w:type="dxa"/>
            </w:tcMar>
            <w:vAlign w:val="center"/>
          </w:tcPr>
          <w:p>
            <w:pPr>
              <w:pStyle w:val="44"/>
              <w:spacing w:beforeLines="0" w:afterLines="0" w:line="240" w:lineRule="auto"/>
              <w:rPr>
                <w:rFonts w:ascii="Times New Roman" w:cs="宋体"/>
                <w:b/>
                <w:bCs/>
                <w:snapToGrid w:val="0"/>
                <w:kern w:val="21"/>
                <w:szCs w:val="21"/>
                <w:u w:val="single"/>
              </w:rPr>
            </w:pPr>
            <w:r>
              <w:rPr>
                <w:rFonts w:hint="eastAsia" w:ascii="Times New Roman" w:cs="宋体"/>
                <w:b/>
                <w:bCs/>
                <w:snapToGrid w:val="0"/>
                <w:kern w:val="21"/>
                <w:szCs w:val="21"/>
                <w:u w:val="single"/>
              </w:rPr>
              <w:t>项目</w:t>
            </w:r>
          </w:p>
          <w:p>
            <w:pPr>
              <w:pStyle w:val="44"/>
              <w:spacing w:beforeLines="0" w:afterLines="0" w:line="240" w:lineRule="auto"/>
              <w:rPr>
                <w:rFonts w:ascii="Times New Roman" w:cs="宋体"/>
                <w:b/>
                <w:bCs/>
                <w:snapToGrid w:val="0"/>
                <w:kern w:val="21"/>
                <w:szCs w:val="21"/>
                <w:u w:val="single"/>
              </w:rPr>
            </w:pPr>
            <w:r>
              <w:rPr>
                <w:rFonts w:hint="eastAsia" w:ascii="Times New Roman" w:cs="宋体"/>
                <w:b/>
                <w:bCs/>
                <w:snapToGrid w:val="0"/>
                <w:kern w:val="21"/>
                <w:szCs w:val="21"/>
                <w:u w:val="single"/>
              </w:rPr>
              <w:t>分类</w:t>
            </w:r>
          </w:p>
        </w:tc>
        <w:tc>
          <w:tcPr>
            <w:tcW w:w="1508" w:type="dxa"/>
            <w:tcMar>
              <w:left w:w="28" w:type="dxa"/>
              <w:right w:w="28" w:type="dxa"/>
            </w:tcMar>
            <w:vAlign w:val="center"/>
          </w:tcPr>
          <w:p>
            <w:pPr>
              <w:pStyle w:val="44"/>
              <w:spacing w:beforeLines="0" w:afterLines="0" w:line="240" w:lineRule="auto"/>
              <w:rPr>
                <w:rFonts w:ascii="Times New Roman" w:cs="宋体"/>
                <w:b/>
                <w:bCs/>
                <w:snapToGrid w:val="0"/>
                <w:kern w:val="21"/>
                <w:szCs w:val="21"/>
                <w:u w:val="single"/>
              </w:rPr>
            </w:pPr>
            <w:r>
              <w:rPr>
                <w:rFonts w:hint="eastAsia" w:ascii="Times New Roman" w:cs="宋体"/>
                <w:b/>
                <w:bCs/>
                <w:snapToGrid w:val="0"/>
                <w:kern w:val="21"/>
                <w:szCs w:val="21"/>
                <w:u w:val="single"/>
              </w:rPr>
              <w:t>污染物名称</w:t>
            </w:r>
          </w:p>
        </w:tc>
        <w:tc>
          <w:tcPr>
            <w:tcW w:w="1701" w:type="dxa"/>
            <w:tcMar>
              <w:left w:w="28" w:type="dxa"/>
              <w:right w:w="28" w:type="dxa"/>
            </w:tcMar>
            <w:vAlign w:val="center"/>
          </w:tcPr>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现有工程</w:t>
            </w:r>
          </w:p>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排放量（固</w:t>
            </w:r>
            <w:r>
              <w:rPr>
                <w:rFonts w:hint="eastAsia" w:ascii="Times New Roman"/>
                <w:b/>
                <w:bCs/>
                <w:snapToGrid w:val="0"/>
                <w:kern w:val="21"/>
                <w:szCs w:val="21"/>
                <w:u w:val="single"/>
              </w:rPr>
              <w:t>体</w:t>
            </w:r>
            <w:r>
              <w:rPr>
                <w:rFonts w:ascii="Times New Roman"/>
                <w:b/>
                <w:bCs/>
                <w:snapToGrid w:val="0"/>
                <w:kern w:val="21"/>
                <w:szCs w:val="21"/>
                <w:u w:val="single"/>
              </w:rPr>
              <w:t>废</w:t>
            </w:r>
            <w:r>
              <w:rPr>
                <w:rFonts w:hint="eastAsia" w:ascii="Times New Roman"/>
                <w:b/>
                <w:bCs/>
                <w:snapToGrid w:val="0"/>
                <w:kern w:val="21"/>
                <w:szCs w:val="21"/>
                <w:u w:val="single"/>
              </w:rPr>
              <w:t>物</w:t>
            </w:r>
            <w:r>
              <w:rPr>
                <w:rFonts w:ascii="Times New Roman"/>
                <w:b/>
                <w:bCs/>
                <w:snapToGrid w:val="0"/>
                <w:kern w:val="21"/>
                <w:szCs w:val="21"/>
                <w:u w:val="single"/>
              </w:rPr>
              <w:t>产生量）</w:t>
            </w:r>
            <w:r>
              <w:rPr>
                <w:rFonts w:ascii="Times New Roman"/>
                <w:b/>
                <w:bCs/>
                <w:snapToGrid w:val="0"/>
                <w:kern w:val="21"/>
                <w:szCs w:val="21"/>
                <w:u w:val="single"/>
              </w:rPr>
              <w:fldChar w:fldCharType="begin"/>
            </w:r>
            <w:r>
              <w:rPr>
                <w:rFonts w:ascii="Times New Roman"/>
                <w:b/>
                <w:bCs/>
                <w:snapToGrid w:val="0"/>
                <w:kern w:val="21"/>
                <w:szCs w:val="21"/>
                <w:u w:val="single"/>
              </w:rPr>
              <w:instrText xml:space="preserve"> = 1 \* GB3 \* MERGEFORMAT </w:instrText>
            </w:r>
            <w:r>
              <w:rPr>
                <w:rFonts w:ascii="Times New Roman"/>
                <w:b/>
                <w:bCs/>
                <w:snapToGrid w:val="0"/>
                <w:kern w:val="21"/>
                <w:szCs w:val="21"/>
                <w:u w:val="single"/>
              </w:rPr>
              <w:fldChar w:fldCharType="separate"/>
            </w:r>
            <w:r>
              <w:rPr>
                <w:rFonts w:hint="eastAsia" w:ascii="Times New Roman" w:cs="宋体"/>
                <w:b/>
                <w:bCs/>
                <w:kern w:val="21"/>
                <w:szCs w:val="21"/>
                <w:u w:val="single"/>
              </w:rPr>
              <w:t>①</w:t>
            </w:r>
            <w:r>
              <w:rPr>
                <w:rFonts w:ascii="Times New Roman"/>
                <w:b/>
                <w:bCs/>
                <w:snapToGrid w:val="0"/>
                <w:kern w:val="21"/>
                <w:szCs w:val="21"/>
                <w:u w:val="single"/>
              </w:rPr>
              <w:fldChar w:fldCharType="end"/>
            </w:r>
          </w:p>
        </w:tc>
        <w:tc>
          <w:tcPr>
            <w:tcW w:w="1276" w:type="dxa"/>
            <w:tcMar>
              <w:left w:w="28" w:type="dxa"/>
              <w:right w:w="28" w:type="dxa"/>
            </w:tcMar>
            <w:vAlign w:val="center"/>
          </w:tcPr>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现有工程</w:t>
            </w:r>
          </w:p>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许可排放量</w:t>
            </w:r>
          </w:p>
          <w:p>
            <w:pPr>
              <w:pStyle w:val="44"/>
              <w:spacing w:beforeLines="0" w:afterLines="0"/>
              <w:rPr>
                <w:rFonts w:ascii="Times New Roman"/>
                <w:b/>
                <w:bCs/>
                <w:snapToGrid w:val="0"/>
                <w:kern w:val="21"/>
                <w:szCs w:val="21"/>
                <w:u w:val="single"/>
              </w:rPr>
            </w:pPr>
            <w:r>
              <w:rPr>
                <w:rFonts w:ascii="Times New Roman"/>
                <w:b/>
                <w:bCs/>
                <w:snapToGrid w:val="0"/>
                <w:kern w:val="21"/>
                <w:szCs w:val="21"/>
                <w:u w:val="single"/>
              </w:rPr>
              <w:fldChar w:fldCharType="begin"/>
            </w:r>
            <w:r>
              <w:rPr>
                <w:rFonts w:ascii="Times New Roman"/>
                <w:b/>
                <w:bCs/>
                <w:snapToGrid w:val="0"/>
                <w:kern w:val="21"/>
                <w:szCs w:val="21"/>
                <w:u w:val="single"/>
              </w:rPr>
              <w:instrText xml:space="preserve"> = 2 \* GB3 \* MERGEFORMAT </w:instrText>
            </w:r>
            <w:r>
              <w:rPr>
                <w:rFonts w:ascii="Times New Roman"/>
                <w:b/>
                <w:bCs/>
                <w:snapToGrid w:val="0"/>
                <w:kern w:val="21"/>
                <w:szCs w:val="21"/>
                <w:u w:val="single"/>
              </w:rPr>
              <w:fldChar w:fldCharType="separate"/>
            </w:r>
            <w:r>
              <w:rPr>
                <w:rFonts w:hint="eastAsia" w:ascii="Times New Roman" w:cs="宋体"/>
                <w:b/>
                <w:bCs/>
                <w:snapToGrid w:val="0"/>
                <w:kern w:val="21"/>
                <w:szCs w:val="21"/>
                <w:u w:val="single"/>
              </w:rPr>
              <w:t>②</w:t>
            </w:r>
            <w:r>
              <w:rPr>
                <w:rFonts w:ascii="Times New Roman"/>
                <w:b/>
                <w:bCs/>
                <w:snapToGrid w:val="0"/>
                <w:kern w:val="21"/>
                <w:szCs w:val="21"/>
                <w:u w:val="single"/>
              </w:rPr>
              <w:fldChar w:fldCharType="end"/>
            </w:r>
          </w:p>
        </w:tc>
        <w:tc>
          <w:tcPr>
            <w:tcW w:w="1701" w:type="dxa"/>
            <w:tcMar>
              <w:left w:w="28" w:type="dxa"/>
              <w:right w:w="28" w:type="dxa"/>
            </w:tcMar>
            <w:vAlign w:val="center"/>
          </w:tcPr>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在建工程</w:t>
            </w:r>
          </w:p>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排放量（固</w:t>
            </w:r>
            <w:r>
              <w:rPr>
                <w:rFonts w:hint="eastAsia" w:ascii="Times New Roman"/>
                <w:b/>
                <w:bCs/>
                <w:snapToGrid w:val="0"/>
                <w:kern w:val="21"/>
                <w:szCs w:val="21"/>
                <w:u w:val="single"/>
              </w:rPr>
              <w:t>体</w:t>
            </w:r>
            <w:r>
              <w:rPr>
                <w:rFonts w:ascii="Times New Roman"/>
                <w:b/>
                <w:bCs/>
                <w:snapToGrid w:val="0"/>
                <w:kern w:val="21"/>
                <w:szCs w:val="21"/>
                <w:u w:val="single"/>
              </w:rPr>
              <w:t>废</w:t>
            </w:r>
            <w:r>
              <w:rPr>
                <w:rFonts w:hint="eastAsia" w:ascii="Times New Roman"/>
                <w:b/>
                <w:bCs/>
                <w:snapToGrid w:val="0"/>
                <w:kern w:val="21"/>
                <w:szCs w:val="21"/>
                <w:u w:val="single"/>
              </w:rPr>
              <w:t>物</w:t>
            </w:r>
            <w:r>
              <w:rPr>
                <w:rFonts w:ascii="Times New Roman"/>
                <w:b/>
                <w:bCs/>
                <w:snapToGrid w:val="0"/>
                <w:kern w:val="21"/>
                <w:szCs w:val="21"/>
                <w:u w:val="single"/>
              </w:rPr>
              <w:t>产生量）</w:t>
            </w:r>
            <w:r>
              <w:rPr>
                <w:rFonts w:ascii="Times New Roman"/>
                <w:b/>
                <w:bCs/>
                <w:snapToGrid w:val="0"/>
                <w:kern w:val="21"/>
                <w:szCs w:val="21"/>
                <w:u w:val="single"/>
              </w:rPr>
              <w:fldChar w:fldCharType="begin"/>
            </w:r>
            <w:r>
              <w:rPr>
                <w:rFonts w:ascii="Times New Roman"/>
                <w:b/>
                <w:bCs/>
                <w:snapToGrid w:val="0"/>
                <w:kern w:val="21"/>
                <w:szCs w:val="21"/>
                <w:u w:val="single"/>
              </w:rPr>
              <w:instrText xml:space="preserve"> = 3 \* GB3 \* MERGEFORMAT </w:instrText>
            </w:r>
            <w:r>
              <w:rPr>
                <w:rFonts w:ascii="Times New Roman"/>
                <w:b/>
                <w:bCs/>
                <w:snapToGrid w:val="0"/>
                <w:kern w:val="21"/>
                <w:szCs w:val="21"/>
                <w:u w:val="single"/>
              </w:rPr>
              <w:fldChar w:fldCharType="separate"/>
            </w:r>
            <w:r>
              <w:rPr>
                <w:rFonts w:hint="eastAsia" w:ascii="Times New Roman" w:cs="宋体"/>
                <w:b/>
                <w:bCs/>
                <w:kern w:val="21"/>
                <w:szCs w:val="21"/>
                <w:u w:val="single"/>
              </w:rPr>
              <w:t>③</w:t>
            </w:r>
            <w:r>
              <w:rPr>
                <w:rFonts w:ascii="Times New Roman"/>
                <w:b/>
                <w:bCs/>
                <w:snapToGrid w:val="0"/>
                <w:kern w:val="21"/>
                <w:szCs w:val="21"/>
                <w:u w:val="single"/>
              </w:rPr>
              <w:fldChar w:fldCharType="end"/>
            </w:r>
          </w:p>
        </w:tc>
        <w:tc>
          <w:tcPr>
            <w:tcW w:w="1559" w:type="dxa"/>
            <w:tcMar>
              <w:left w:w="28" w:type="dxa"/>
              <w:right w:w="28" w:type="dxa"/>
            </w:tcMar>
            <w:vAlign w:val="center"/>
          </w:tcPr>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本项目</w:t>
            </w:r>
          </w:p>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排放量（固</w:t>
            </w:r>
            <w:r>
              <w:rPr>
                <w:rFonts w:hint="eastAsia" w:ascii="Times New Roman"/>
                <w:b/>
                <w:bCs/>
                <w:snapToGrid w:val="0"/>
                <w:kern w:val="21"/>
                <w:szCs w:val="21"/>
                <w:u w:val="single"/>
              </w:rPr>
              <w:t>体</w:t>
            </w:r>
            <w:r>
              <w:rPr>
                <w:rFonts w:ascii="Times New Roman"/>
                <w:b/>
                <w:bCs/>
                <w:snapToGrid w:val="0"/>
                <w:kern w:val="21"/>
                <w:szCs w:val="21"/>
                <w:u w:val="single"/>
              </w:rPr>
              <w:t>废</w:t>
            </w:r>
            <w:r>
              <w:rPr>
                <w:rFonts w:hint="eastAsia" w:ascii="Times New Roman"/>
                <w:b/>
                <w:bCs/>
                <w:snapToGrid w:val="0"/>
                <w:kern w:val="21"/>
                <w:szCs w:val="21"/>
                <w:u w:val="single"/>
              </w:rPr>
              <w:t>物</w:t>
            </w:r>
            <w:r>
              <w:rPr>
                <w:rFonts w:ascii="Times New Roman"/>
                <w:b/>
                <w:bCs/>
                <w:snapToGrid w:val="0"/>
                <w:kern w:val="21"/>
                <w:szCs w:val="21"/>
                <w:u w:val="single"/>
              </w:rPr>
              <w:t>产生量）</w:t>
            </w:r>
            <w:r>
              <w:rPr>
                <w:rFonts w:ascii="Times New Roman"/>
                <w:b/>
                <w:bCs/>
                <w:snapToGrid w:val="0"/>
                <w:kern w:val="21"/>
                <w:szCs w:val="21"/>
                <w:u w:val="single"/>
              </w:rPr>
              <w:fldChar w:fldCharType="begin"/>
            </w:r>
            <w:r>
              <w:rPr>
                <w:rFonts w:ascii="Times New Roman"/>
                <w:b/>
                <w:bCs/>
                <w:snapToGrid w:val="0"/>
                <w:kern w:val="21"/>
                <w:szCs w:val="21"/>
                <w:u w:val="single"/>
              </w:rPr>
              <w:instrText xml:space="preserve"> = 4 \* GB3 \* MERGEFORMAT </w:instrText>
            </w:r>
            <w:r>
              <w:rPr>
                <w:rFonts w:ascii="Times New Roman"/>
                <w:b/>
                <w:bCs/>
                <w:snapToGrid w:val="0"/>
                <w:kern w:val="21"/>
                <w:szCs w:val="21"/>
                <w:u w:val="single"/>
              </w:rPr>
              <w:fldChar w:fldCharType="separate"/>
            </w:r>
            <w:r>
              <w:rPr>
                <w:rFonts w:hint="eastAsia" w:ascii="Times New Roman" w:cs="宋体"/>
                <w:b/>
                <w:bCs/>
                <w:kern w:val="21"/>
                <w:szCs w:val="21"/>
                <w:u w:val="single"/>
              </w:rPr>
              <w:t>④</w:t>
            </w:r>
            <w:r>
              <w:rPr>
                <w:rFonts w:ascii="Times New Roman"/>
                <w:b/>
                <w:bCs/>
                <w:snapToGrid w:val="0"/>
                <w:kern w:val="21"/>
                <w:szCs w:val="21"/>
                <w:u w:val="single"/>
              </w:rPr>
              <w:fldChar w:fldCharType="end"/>
            </w:r>
          </w:p>
        </w:tc>
        <w:tc>
          <w:tcPr>
            <w:tcW w:w="1761" w:type="dxa"/>
            <w:tcMar>
              <w:left w:w="28" w:type="dxa"/>
              <w:right w:w="28" w:type="dxa"/>
            </w:tcMar>
            <w:vAlign w:val="center"/>
          </w:tcPr>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以新带老削减量</w:t>
            </w:r>
          </w:p>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（新建项目不填）</w:t>
            </w:r>
            <w:r>
              <w:rPr>
                <w:rFonts w:ascii="Times New Roman"/>
                <w:b/>
                <w:bCs/>
                <w:snapToGrid w:val="0"/>
                <w:kern w:val="21"/>
                <w:szCs w:val="21"/>
                <w:u w:val="single"/>
              </w:rPr>
              <w:fldChar w:fldCharType="begin"/>
            </w:r>
            <w:r>
              <w:rPr>
                <w:rFonts w:ascii="Times New Roman"/>
                <w:b/>
                <w:bCs/>
                <w:snapToGrid w:val="0"/>
                <w:kern w:val="21"/>
                <w:szCs w:val="21"/>
                <w:u w:val="single"/>
              </w:rPr>
              <w:instrText xml:space="preserve"> = 5 \* GB3 \* MERGEFORMAT </w:instrText>
            </w:r>
            <w:r>
              <w:rPr>
                <w:rFonts w:ascii="Times New Roman"/>
                <w:b/>
                <w:bCs/>
                <w:snapToGrid w:val="0"/>
                <w:kern w:val="21"/>
                <w:szCs w:val="21"/>
                <w:u w:val="single"/>
              </w:rPr>
              <w:fldChar w:fldCharType="separate"/>
            </w:r>
            <w:r>
              <w:rPr>
                <w:rFonts w:hint="eastAsia" w:ascii="Times New Roman" w:cs="宋体"/>
                <w:b/>
                <w:bCs/>
                <w:kern w:val="21"/>
                <w:szCs w:val="21"/>
                <w:u w:val="single"/>
              </w:rPr>
              <w:t>⑤</w:t>
            </w:r>
            <w:r>
              <w:rPr>
                <w:rFonts w:ascii="Times New Roman"/>
                <w:b/>
                <w:bCs/>
                <w:snapToGrid w:val="0"/>
                <w:kern w:val="21"/>
                <w:szCs w:val="21"/>
                <w:u w:val="single"/>
              </w:rPr>
              <w:fldChar w:fldCharType="end"/>
            </w:r>
          </w:p>
        </w:tc>
        <w:tc>
          <w:tcPr>
            <w:tcW w:w="1877" w:type="dxa"/>
            <w:tcMar>
              <w:left w:w="28" w:type="dxa"/>
              <w:right w:w="28" w:type="dxa"/>
            </w:tcMar>
            <w:vAlign w:val="center"/>
          </w:tcPr>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本项目建成后</w:t>
            </w:r>
          </w:p>
          <w:p>
            <w:pPr>
              <w:pStyle w:val="44"/>
              <w:spacing w:beforeLines="0" w:afterLines="0" w:line="240" w:lineRule="auto"/>
              <w:rPr>
                <w:rFonts w:ascii="Times New Roman"/>
                <w:b/>
                <w:bCs/>
                <w:snapToGrid w:val="0"/>
                <w:kern w:val="21"/>
                <w:szCs w:val="21"/>
                <w:u w:val="single"/>
              </w:rPr>
            </w:pPr>
            <w:r>
              <w:rPr>
                <w:rFonts w:hint="eastAsia" w:ascii="Times New Roman"/>
                <w:b/>
                <w:bCs/>
                <w:snapToGrid w:val="0"/>
                <w:kern w:val="21"/>
                <w:szCs w:val="21"/>
                <w:u w:val="single"/>
              </w:rPr>
              <w:t>全厂</w:t>
            </w:r>
            <w:r>
              <w:rPr>
                <w:rFonts w:ascii="Times New Roman"/>
                <w:b/>
                <w:bCs/>
                <w:snapToGrid w:val="0"/>
                <w:kern w:val="21"/>
                <w:szCs w:val="21"/>
                <w:u w:val="single"/>
              </w:rPr>
              <w:t>排放量（固</w:t>
            </w:r>
            <w:r>
              <w:rPr>
                <w:rFonts w:hint="eastAsia" w:ascii="Times New Roman"/>
                <w:b/>
                <w:bCs/>
                <w:snapToGrid w:val="0"/>
                <w:kern w:val="21"/>
                <w:szCs w:val="21"/>
                <w:u w:val="single"/>
              </w:rPr>
              <w:t>体</w:t>
            </w:r>
            <w:r>
              <w:rPr>
                <w:rFonts w:ascii="Times New Roman"/>
                <w:b/>
                <w:bCs/>
                <w:snapToGrid w:val="0"/>
                <w:kern w:val="21"/>
                <w:szCs w:val="21"/>
                <w:u w:val="single"/>
              </w:rPr>
              <w:t>废</w:t>
            </w:r>
            <w:r>
              <w:rPr>
                <w:rFonts w:hint="eastAsia" w:ascii="Times New Roman"/>
                <w:b/>
                <w:bCs/>
                <w:snapToGrid w:val="0"/>
                <w:kern w:val="21"/>
                <w:szCs w:val="21"/>
                <w:u w:val="single"/>
              </w:rPr>
              <w:t>物</w:t>
            </w:r>
            <w:r>
              <w:rPr>
                <w:rFonts w:ascii="Times New Roman"/>
                <w:b/>
                <w:bCs/>
                <w:snapToGrid w:val="0"/>
                <w:kern w:val="21"/>
                <w:szCs w:val="21"/>
                <w:u w:val="single"/>
              </w:rPr>
              <w:t>产生量）</w:t>
            </w:r>
            <w:r>
              <w:rPr>
                <w:rFonts w:ascii="Times New Roman"/>
                <w:b/>
                <w:bCs/>
                <w:snapToGrid w:val="0"/>
                <w:kern w:val="21"/>
                <w:szCs w:val="21"/>
                <w:u w:val="single"/>
              </w:rPr>
              <w:fldChar w:fldCharType="begin"/>
            </w:r>
            <w:r>
              <w:rPr>
                <w:rFonts w:ascii="Times New Roman"/>
                <w:b/>
                <w:bCs/>
                <w:snapToGrid w:val="0"/>
                <w:kern w:val="21"/>
                <w:szCs w:val="21"/>
                <w:u w:val="single"/>
              </w:rPr>
              <w:instrText xml:space="preserve"> = 6 \* GB3 \* MERGEFORMAT </w:instrText>
            </w:r>
            <w:r>
              <w:rPr>
                <w:rFonts w:ascii="Times New Roman"/>
                <w:b/>
                <w:bCs/>
                <w:snapToGrid w:val="0"/>
                <w:kern w:val="21"/>
                <w:szCs w:val="21"/>
                <w:u w:val="single"/>
              </w:rPr>
              <w:fldChar w:fldCharType="separate"/>
            </w:r>
            <w:r>
              <w:rPr>
                <w:rFonts w:hint="eastAsia" w:ascii="Times New Roman" w:cs="宋体"/>
                <w:b/>
                <w:bCs/>
                <w:kern w:val="21"/>
                <w:szCs w:val="21"/>
                <w:u w:val="single"/>
              </w:rPr>
              <w:t>⑥</w:t>
            </w:r>
            <w:r>
              <w:rPr>
                <w:rFonts w:ascii="Times New Roman"/>
                <w:b/>
                <w:bCs/>
                <w:snapToGrid w:val="0"/>
                <w:kern w:val="21"/>
                <w:szCs w:val="21"/>
                <w:u w:val="single"/>
              </w:rPr>
              <w:fldChar w:fldCharType="end"/>
            </w:r>
          </w:p>
        </w:tc>
        <w:tc>
          <w:tcPr>
            <w:tcW w:w="908" w:type="dxa"/>
            <w:tcMar>
              <w:left w:w="28" w:type="dxa"/>
              <w:right w:w="28" w:type="dxa"/>
            </w:tcMar>
            <w:vAlign w:val="center"/>
          </w:tcPr>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t>变化量</w:t>
            </w:r>
          </w:p>
          <w:p>
            <w:pPr>
              <w:pStyle w:val="44"/>
              <w:spacing w:beforeLines="0" w:afterLines="0" w:line="240" w:lineRule="auto"/>
              <w:rPr>
                <w:rFonts w:ascii="Times New Roman"/>
                <w:b/>
                <w:bCs/>
                <w:snapToGrid w:val="0"/>
                <w:kern w:val="21"/>
                <w:szCs w:val="21"/>
                <w:u w:val="single"/>
              </w:rPr>
            </w:pPr>
            <w:r>
              <w:rPr>
                <w:rFonts w:ascii="Times New Roman"/>
                <w:b/>
                <w:bCs/>
                <w:snapToGrid w:val="0"/>
                <w:kern w:val="21"/>
                <w:szCs w:val="21"/>
                <w:u w:val="single"/>
              </w:rPr>
              <w:fldChar w:fldCharType="begin"/>
            </w:r>
            <w:r>
              <w:rPr>
                <w:rFonts w:ascii="Times New Roman"/>
                <w:b/>
                <w:bCs/>
                <w:snapToGrid w:val="0"/>
                <w:kern w:val="21"/>
                <w:szCs w:val="21"/>
                <w:u w:val="single"/>
              </w:rPr>
              <w:instrText xml:space="preserve"> = 7 \* GB3 \* MERGEFORMAT </w:instrText>
            </w:r>
            <w:r>
              <w:rPr>
                <w:rFonts w:ascii="Times New Roman"/>
                <w:b/>
                <w:bCs/>
                <w:snapToGrid w:val="0"/>
                <w:kern w:val="21"/>
                <w:szCs w:val="21"/>
                <w:u w:val="single"/>
              </w:rPr>
              <w:fldChar w:fldCharType="separate"/>
            </w:r>
            <w:r>
              <w:rPr>
                <w:rFonts w:hint="eastAsia" w:ascii="Times New Roman" w:cs="宋体"/>
                <w:b/>
                <w:bCs/>
                <w:kern w:val="21"/>
                <w:szCs w:val="21"/>
                <w:u w:val="single"/>
              </w:rPr>
              <w:t>⑦</w:t>
            </w:r>
            <w:r>
              <w:rPr>
                <w:rFonts w:ascii="Times New Roman"/>
                <w:b/>
                <w:bCs/>
                <w:snapToGrid w:val="0"/>
                <w:kern w:val="21"/>
                <w:szCs w:val="21"/>
                <w:u w:val="single"/>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97" w:type="dxa"/>
            <w:vMerge w:val="restart"/>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废气</w:t>
            </w:r>
          </w:p>
        </w:tc>
        <w:tc>
          <w:tcPr>
            <w:tcW w:w="1508"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颗粒物</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jc w:val="center"/>
              <w:rPr>
                <w:rFonts w:ascii="Times New Roman" w:hAnsi="Times New Roman"/>
                <w:snapToGrid w:val="0"/>
                <w:kern w:val="21"/>
                <w:szCs w:val="21"/>
                <w:u w:val="single"/>
              </w:rPr>
            </w:pPr>
            <w:r>
              <w:rPr>
                <w:rFonts w:hint="eastAsia" w:ascii="Times New Roman" w:hAnsi="Times New Roman" w:cs="Times New Roman"/>
                <w:color w:val="auto"/>
                <w:kern w:val="2"/>
                <w:u w:val="single"/>
                <w:lang w:val="en-US" w:eastAsia="zh-CN"/>
              </w:rPr>
              <w:t>0.017</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jc w:val="center"/>
              <w:rPr>
                <w:rFonts w:ascii="Times New Roman" w:hAnsi="Times New Roman"/>
                <w:snapToGrid w:val="0"/>
                <w:kern w:val="21"/>
                <w:szCs w:val="21"/>
                <w:u w:val="single"/>
              </w:rPr>
            </w:pPr>
            <w:r>
              <w:rPr>
                <w:rFonts w:hint="eastAsia" w:ascii="Times New Roman" w:hAnsi="Times New Roman" w:cs="Times New Roman"/>
                <w:color w:val="auto"/>
                <w:kern w:val="2"/>
                <w:u w:val="single"/>
                <w:lang w:val="en-US" w:eastAsia="zh-CN"/>
              </w:rPr>
              <w:t>0.017</w:t>
            </w:r>
          </w:p>
        </w:tc>
        <w:tc>
          <w:tcPr>
            <w:tcW w:w="908" w:type="dxa"/>
            <w:vAlign w:val="center"/>
          </w:tcPr>
          <w:p>
            <w:pPr>
              <w:jc w:val="center"/>
              <w:rPr>
                <w:rFonts w:ascii="Times New Roman" w:hAnsi="Times New Roman"/>
                <w:snapToGrid w:val="0"/>
                <w:kern w:val="21"/>
                <w:szCs w:val="21"/>
                <w:u w:val="single"/>
              </w:rPr>
            </w:pPr>
            <w:r>
              <w:rPr>
                <w:rFonts w:hint="eastAsia" w:ascii="Times New Roman" w:hAnsi="Times New Roman" w:cs="Times New Roman"/>
                <w:color w:val="auto"/>
                <w:kern w:val="2"/>
                <w:u w:val="single"/>
                <w:lang w:val="en-US" w:eastAsia="zh-CN"/>
              </w:rPr>
              <w:t>0.017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7" w:type="dxa"/>
            <w:vMerge w:val="continue"/>
            <w:vAlign w:val="center"/>
          </w:tcPr>
          <w:p>
            <w:pPr>
              <w:pStyle w:val="44"/>
              <w:spacing w:beforeLines="0" w:afterLines="0" w:line="240" w:lineRule="auto"/>
              <w:rPr>
                <w:rFonts w:ascii="Times New Roman" w:cs="宋体"/>
                <w:snapToGrid w:val="0"/>
                <w:kern w:val="21"/>
                <w:szCs w:val="21"/>
                <w:u w:val="single"/>
              </w:rPr>
            </w:pPr>
          </w:p>
        </w:tc>
        <w:tc>
          <w:tcPr>
            <w:tcW w:w="1508"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VOCs</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jc w:val="center"/>
              <w:rPr>
                <w:rFonts w:hint="default" w:ascii="Times New Roman" w:hAnsi="Times New Roman" w:eastAsia="宋体"/>
                <w:snapToGrid w:val="0"/>
                <w:kern w:val="21"/>
                <w:szCs w:val="21"/>
                <w:u w:val="single"/>
                <w:lang w:val="en-US" w:eastAsia="zh-CN"/>
              </w:rPr>
            </w:pPr>
            <w:r>
              <w:rPr>
                <w:rFonts w:hint="eastAsia" w:ascii="Times New Roman"/>
                <w:szCs w:val="21"/>
                <w:u w:val="single"/>
                <w:lang w:val="en-US" w:eastAsia="zh-CN"/>
              </w:rPr>
              <w:t>0.56</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jc w:val="center"/>
              <w:rPr>
                <w:rFonts w:ascii="Times New Roman" w:hAnsi="Times New Roman"/>
                <w:snapToGrid w:val="0"/>
                <w:kern w:val="21"/>
                <w:szCs w:val="21"/>
                <w:u w:val="single"/>
                <w:lang w:val="en-US"/>
              </w:rPr>
            </w:pPr>
            <w:r>
              <w:rPr>
                <w:rFonts w:hint="eastAsia" w:ascii="Times New Roman"/>
                <w:szCs w:val="21"/>
                <w:u w:val="single"/>
                <w:lang w:val="en-US" w:eastAsia="zh-CN"/>
              </w:rPr>
              <w:t>0.56</w:t>
            </w:r>
          </w:p>
        </w:tc>
        <w:tc>
          <w:tcPr>
            <w:tcW w:w="908" w:type="dxa"/>
            <w:vAlign w:val="center"/>
          </w:tcPr>
          <w:p>
            <w:pPr>
              <w:jc w:val="center"/>
              <w:rPr>
                <w:rFonts w:ascii="Times New Roman" w:hAnsi="Times New Roman"/>
                <w:snapToGrid w:val="0"/>
                <w:kern w:val="21"/>
                <w:szCs w:val="21"/>
                <w:u w:val="single"/>
                <w:lang w:val="en-US"/>
              </w:rPr>
            </w:pPr>
            <w:r>
              <w:rPr>
                <w:rFonts w:hint="eastAsia" w:ascii="Times New Roman"/>
                <w:szCs w:val="21"/>
                <w:u w:val="single"/>
                <w:lang w:val="en-US" w:eastAsia="zh-CN"/>
              </w:rPr>
              <w:t>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7" w:type="dxa"/>
            <w:vMerge w:val="continue"/>
            <w:vAlign w:val="center"/>
          </w:tcPr>
          <w:p>
            <w:pPr>
              <w:pStyle w:val="44"/>
              <w:spacing w:beforeLines="0" w:afterLines="0" w:line="240" w:lineRule="auto"/>
              <w:rPr>
                <w:rFonts w:ascii="Times New Roman" w:cs="宋体"/>
                <w:snapToGrid w:val="0"/>
                <w:kern w:val="21"/>
                <w:szCs w:val="21"/>
                <w:u w:val="single"/>
              </w:rPr>
            </w:pPr>
          </w:p>
        </w:tc>
        <w:tc>
          <w:tcPr>
            <w:tcW w:w="1508" w:type="dxa"/>
            <w:vAlign w:val="center"/>
          </w:tcPr>
          <w:p>
            <w:pPr>
              <w:pStyle w:val="44"/>
              <w:spacing w:beforeLines="0" w:afterLines="0" w:line="240" w:lineRule="auto"/>
              <w:rPr>
                <w:rFonts w:hint="eastAsia" w:ascii="Times New Roman" w:eastAsia="宋体" w:cs="宋体"/>
                <w:snapToGrid w:val="0"/>
                <w:kern w:val="21"/>
                <w:szCs w:val="21"/>
                <w:u w:val="single"/>
                <w:lang w:val="en-US" w:eastAsia="zh-CN"/>
              </w:rPr>
            </w:pPr>
            <w:r>
              <w:rPr>
                <w:rFonts w:hint="eastAsia" w:ascii="Times New Roman" w:cs="宋体"/>
                <w:snapToGrid w:val="0"/>
                <w:kern w:val="21"/>
                <w:szCs w:val="21"/>
                <w:u w:val="single"/>
                <w:lang w:val="en-US" w:eastAsia="zh-CN"/>
              </w:rPr>
              <w:t>苯乙烯</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jc w:val="center"/>
              <w:rPr>
                <w:rFonts w:hint="default" w:ascii="Times New Roman" w:eastAsia="宋体"/>
                <w:szCs w:val="21"/>
                <w:u w:val="single"/>
                <w:lang w:val="en-US" w:eastAsia="zh-CN"/>
              </w:rPr>
            </w:pPr>
            <w:r>
              <w:rPr>
                <w:rFonts w:ascii="Times New Roman" w:hAnsi="Times New Roman" w:cs="Times New Roman"/>
                <w:color w:val="auto"/>
                <w:u w:val="single"/>
              </w:rPr>
              <w:t>0.</w:t>
            </w:r>
            <w:r>
              <w:rPr>
                <w:rFonts w:hint="eastAsia" w:ascii="Times New Roman" w:hAnsi="Times New Roman" w:cs="Times New Roman"/>
                <w:color w:val="auto"/>
                <w:u w:val="single"/>
                <w:lang w:val="en-US" w:eastAsia="zh-CN"/>
              </w:rPr>
              <w:t>0288</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jc w:val="center"/>
              <w:rPr>
                <w:rFonts w:hint="eastAsia" w:ascii="Times New Roman"/>
                <w:szCs w:val="21"/>
                <w:u w:val="single"/>
                <w:lang w:val="en-US"/>
              </w:rPr>
            </w:pPr>
            <w:r>
              <w:rPr>
                <w:rFonts w:ascii="Times New Roman" w:hAnsi="Times New Roman" w:cs="Times New Roman"/>
                <w:color w:val="auto"/>
                <w:u w:val="single"/>
              </w:rPr>
              <w:t>0.</w:t>
            </w:r>
            <w:r>
              <w:rPr>
                <w:rFonts w:hint="eastAsia" w:ascii="Times New Roman" w:hAnsi="Times New Roman" w:cs="Times New Roman"/>
                <w:color w:val="auto"/>
                <w:u w:val="single"/>
                <w:lang w:val="en-US" w:eastAsia="zh-CN"/>
              </w:rPr>
              <w:t>0288</w:t>
            </w:r>
          </w:p>
        </w:tc>
        <w:tc>
          <w:tcPr>
            <w:tcW w:w="908" w:type="dxa"/>
            <w:vAlign w:val="center"/>
          </w:tcPr>
          <w:p>
            <w:pPr>
              <w:jc w:val="center"/>
              <w:rPr>
                <w:rFonts w:hint="eastAsia" w:ascii="Times New Roman"/>
                <w:szCs w:val="21"/>
                <w:u w:val="single"/>
                <w:lang w:val="en-US"/>
              </w:rPr>
            </w:pPr>
            <w:r>
              <w:rPr>
                <w:rFonts w:ascii="Times New Roman" w:hAnsi="Times New Roman" w:cs="Times New Roman"/>
                <w:color w:val="auto"/>
                <w:u w:val="single"/>
              </w:rPr>
              <w:t>0.</w:t>
            </w:r>
            <w:r>
              <w:rPr>
                <w:rFonts w:hint="eastAsia" w:ascii="Times New Roman" w:hAnsi="Times New Roman" w:cs="Times New Roman"/>
                <w:color w:val="auto"/>
                <w:u w:val="single"/>
                <w:lang w:val="en-US" w:eastAsia="zh-CN"/>
              </w:rPr>
              <w:t>0288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7" w:type="dxa"/>
            <w:vMerge w:val="restart"/>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废水</w:t>
            </w:r>
          </w:p>
        </w:tc>
        <w:tc>
          <w:tcPr>
            <w:tcW w:w="1508"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COD</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pStyle w:val="44"/>
              <w:spacing w:beforeLines="0" w:afterLines="0" w:line="240" w:lineRule="auto"/>
              <w:rPr>
                <w:rFonts w:ascii="Times New Roman" w:cs="宋体"/>
                <w:snapToGrid w:val="0"/>
                <w:kern w:val="21"/>
                <w:sz w:val="24"/>
                <w:szCs w:val="24"/>
                <w:u w:val="single"/>
              </w:rPr>
            </w:pPr>
            <w:r>
              <w:rPr>
                <w:rFonts w:ascii="Times New Roman"/>
                <w:szCs w:val="24"/>
                <w:u w:val="single"/>
              </w:rPr>
              <w:t>0.0</w:t>
            </w:r>
            <w:r>
              <w:rPr>
                <w:rFonts w:hint="eastAsia" w:ascii="Times New Roman"/>
                <w:szCs w:val="24"/>
                <w:u w:val="single"/>
              </w:rPr>
              <w:t>033</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pStyle w:val="44"/>
              <w:spacing w:beforeLines="0" w:afterLines="0" w:line="240" w:lineRule="auto"/>
              <w:rPr>
                <w:rFonts w:ascii="Times New Roman" w:cs="宋体"/>
                <w:snapToGrid w:val="0"/>
                <w:kern w:val="21"/>
                <w:szCs w:val="21"/>
                <w:u w:val="single"/>
              </w:rPr>
            </w:pPr>
            <w:r>
              <w:rPr>
                <w:rFonts w:ascii="Times New Roman"/>
                <w:szCs w:val="24"/>
                <w:u w:val="single"/>
              </w:rPr>
              <w:t>0.0</w:t>
            </w:r>
            <w:r>
              <w:rPr>
                <w:rFonts w:hint="eastAsia" w:ascii="Times New Roman"/>
                <w:szCs w:val="24"/>
                <w:u w:val="single"/>
              </w:rPr>
              <w:t>033</w:t>
            </w:r>
          </w:p>
        </w:tc>
        <w:tc>
          <w:tcPr>
            <w:tcW w:w="908" w:type="dxa"/>
            <w:vAlign w:val="center"/>
          </w:tcPr>
          <w:p>
            <w:pPr>
              <w:pStyle w:val="44"/>
              <w:spacing w:beforeLines="0" w:afterLines="0" w:line="240" w:lineRule="auto"/>
              <w:rPr>
                <w:rFonts w:ascii="Times New Roman" w:cs="宋体"/>
                <w:snapToGrid w:val="0"/>
                <w:kern w:val="21"/>
                <w:szCs w:val="21"/>
                <w:u w:val="single"/>
              </w:rPr>
            </w:pPr>
            <w:r>
              <w:rPr>
                <w:rFonts w:ascii="Times New Roman"/>
                <w:szCs w:val="24"/>
                <w:u w:val="single"/>
              </w:rPr>
              <w:t>0.0</w:t>
            </w:r>
            <w:r>
              <w:rPr>
                <w:rFonts w:hint="eastAsia" w:ascii="Times New Roman"/>
                <w:szCs w:val="24"/>
                <w:u w:val="single"/>
              </w:rPr>
              <w:t>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97" w:type="dxa"/>
            <w:vMerge w:val="continue"/>
            <w:vAlign w:val="center"/>
          </w:tcPr>
          <w:p>
            <w:pPr>
              <w:pStyle w:val="44"/>
              <w:spacing w:beforeLines="0" w:afterLines="0" w:line="240" w:lineRule="auto"/>
              <w:rPr>
                <w:rFonts w:ascii="Times New Roman" w:cs="宋体"/>
                <w:snapToGrid w:val="0"/>
                <w:kern w:val="21"/>
                <w:szCs w:val="21"/>
                <w:u w:val="single"/>
              </w:rPr>
            </w:pPr>
          </w:p>
        </w:tc>
        <w:tc>
          <w:tcPr>
            <w:tcW w:w="1508"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氨氮</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pStyle w:val="44"/>
              <w:spacing w:beforeLines="0" w:afterLines="0" w:line="240" w:lineRule="auto"/>
              <w:rPr>
                <w:rFonts w:ascii="Times New Roman" w:cs="宋体"/>
                <w:snapToGrid w:val="0"/>
                <w:kern w:val="21"/>
                <w:sz w:val="24"/>
                <w:szCs w:val="24"/>
                <w:u w:val="single"/>
              </w:rPr>
            </w:pPr>
            <w:r>
              <w:rPr>
                <w:rFonts w:ascii="Times New Roman"/>
                <w:szCs w:val="24"/>
                <w:u w:val="single"/>
              </w:rPr>
              <w:t>0.0</w:t>
            </w:r>
            <w:r>
              <w:rPr>
                <w:rFonts w:hint="eastAsia" w:ascii="Times New Roman"/>
                <w:szCs w:val="24"/>
                <w:u w:val="single"/>
              </w:rPr>
              <w:t>0033</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pStyle w:val="44"/>
              <w:spacing w:beforeLines="0" w:afterLines="0" w:line="240" w:lineRule="auto"/>
              <w:rPr>
                <w:rFonts w:ascii="Times New Roman" w:cs="宋体"/>
                <w:snapToGrid w:val="0"/>
                <w:kern w:val="21"/>
                <w:szCs w:val="21"/>
                <w:u w:val="single"/>
              </w:rPr>
            </w:pPr>
            <w:r>
              <w:rPr>
                <w:rFonts w:ascii="Times New Roman"/>
                <w:szCs w:val="24"/>
                <w:u w:val="single"/>
              </w:rPr>
              <w:t>0.0</w:t>
            </w:r>
            <w:r>
              <w:rPr>
                <w:rFonts w:hint="eastAsia" w:ascii="Times New Roman"/>
                <w:szCs w:val="24"/>
                <w:u w:val="single"/>
              </w:rPr>
              <w:t>0033</w:t>
            </w:r>
          </w:p>
        </w:tc>
        <w:tc>
          <w:tcPr>
            <w:tcW w:w="908" w:type="dxa"/>
            <w:vAlign w:val="center"/>
          </w:tcPr>
          <w:p>
            <w:pPr>
              <w:pStyle w:val="44"/>
              <w:spacing w:beforeLines="0" w:afterLines="0" w:line="240" w:lineRule="auto"/>
              <w:rPr>
                <w:rFonts w:ascii="Times New Roman" w:cs="宋体"/>
                <w:snapToGrid w:val="0"/>
                <w:kern w:val="21"/>
                <w:szCs w:val="21"/>
                <w:u w:val="single"/>
              </w:rPr>
            </w:pPr>
            <w:r>
              <w:rPr>
                <w:rFonts w:ascii="Times New Roman"/>
                <w:szCs w:val="24"/>
                <w:u w:val="single"/>
              </w:rPr>
              <w:t>0.0</w:t>
            </w:r>
            <w:r>
              <w:rPr>
                <w:rFonts w:hint="eastAsia" w:ascii="Times New Roman"/>
                <w:szCs w:val="24"/>
                <w:u w:val="single"/>
              </w:rPr>
              <w:t>0033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7" w:type="dxa"/>
            <w:vMerge w:val="restart"/>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一般工业</w:t>
            </w:r>
          </w:p>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固体废物</w:t>
            </w:r>
          </w:p>
        </w:tc>
        <w:tc>
          <w:tcPr>
            <w:tcW w:w="1508" w:type="dxa"/>
            <w:vAlign w:val="center"/>
          </w:tcPr>
          <w:p>
            <w:pPr>
              <w:spacing w:line="220" w:lineRule="auto"/>
              <w:jc w:val="center"/>
              <w:rPr>
                <w:rFonts w:cs="宋体"/>
                <w:snapToGrid w:val="0"/>
                <w:kern w:val="21"/>
                <w:szCs w:val="21"/>
                <w:u w:val="single"/>
              </w:rPr>
            </w:pPr>
            <w:r>
              <w:rPr>
                <w:rFonts w:hint="eastAsia" w:cs="宋体"/>
                <w:snapToGrid w:val="0"/>
                <w:kern w:val="21"/>
                <w:szCs w:val="21"/>
                <w:u w:val="single"/>
              </w:rPr>
              <w:t>生活垃圾</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1.5</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1.5</w:t>
            </w:r>
          </w:p>
        </w:tc>
        <w:tc>
          <w:tcPr>
            <w:tcW w:w="908"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7" w:type="dxa"/>
            <w:vMerge w:val="continue"/>
            <w:vAlign w:val="center"/>
          </w:tcPr>
          <w:p>
            <w:pPr>
              <w:pStyle w:val="44"/>
              <w:spacing w:beforeLines="0" w:afterLines="0" w:line="240" w:lineRule="auto"/>
              <w:rPr>
                <w:rFonts w:ascii="Times New Roman" w:cs="宋体"/>
                <w:snapToGrid w:val="0"/>
                <w:kern w:val="21"/>
                <w:szCs w:val="21"/>
                <w:u w:val="single"/>
              </w:rPr>
            </w:pPr>
          </w:p>
        </w:tc>
        <w:tc>
          <w:tcPr>
            <w:tcW w:w="1508" w:type="dxa"/>
            <w:vAlign w:val="center"/>
          </w:tcPr>
          <w:p>
            <w:pPr>
              <w:spacing w:line="220" w:lineRule="auto"/>
              <w:jc w:val="center"/>
              <w:rPr>
                <w:rFonts w:cs="宋体"/>
                <w:snapToGrid w:val="0"/>
                <w:kern w:val="21"/>
                <w:szCs w:val="21"/>
                <w:u w:val="single"/>
              </w:rPr>
            </w:pPr>
            <w:r>
              <w:rPr>
                <w:rFonts w:hint="eastAsia" w:cs="宋体"/>
                <w:snapToGrid w:val="0"/>
                <w:kern w:val="21"/>
                <w:szCs w:val="21"/>
                <w:u w:val="single"/>
              </w:rPr>
              <w:t>废过滤网</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0.1</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0.1</w:t>
            </w:r>
          </w:p>
        </w:tc>
        <w:tc>
          <w:tcPr>
            <w:tcW w:w="908"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7" w:type="dxa"/>
            <w:vMerge w:val="continue"/>
            <w:vAlign w:val="center"/>
          </w:tcPr>
          <w:p>
            <w:pPr>
              <w:pStyle w:val="44"/>
              <w:spacing w:beforeLines="0" w:afterLines="0" w:line="240" w:lineRule="auto"/>
              <w:rPr>
                <w:rFonts w:ascii="Times New Roman" w:cs="宋体"/>
                <w:snapToGrid w:val="0"/>
                <w:kern w:val="21"/>
                <w:szCs w:val="21"/>
                <w:u w:val="single"/>
              </w:rPr>
            </w:pPr>
          </w:p>
        </w:tc>
        <w:tc>
          <w:tcPr>
            <w:tcW w:w="1508" w:type="dxa"/>
            <w:vAlign w:val="center"/>
          </w:tcPr>
          <w:p>
            <w:pPr>
              <w:spacing w:line="220" w:lineRule="auto"/>
              <w:jc w:val="center"/>
              <w:rPr>
                <w:rFonts w:cs="宋体"/>
                <w:snapToGrid w:val="0"/>
                <w:kern w:val="21"/>
                <w:szCs w:val="21"/>
                <w:u w:val="single"/>
              </w:rPr>
            </w:pPr>
            <w:r>
              <w:rPr>
                <w:rFonts w:hint="eastAsia" w:cs="宋体"/>
                <w:snapToGrid w:val="0"/>
                <w:kern w:val="21"/>
                <w:szCs w:val="21"/>
                <w:u w:val="single"/>
              </w:rPr>
              <w:t>废包装材料</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0.2</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0.2</w:t>
            </w:r>
          </w:p>
        </w:tc>
        <w:tc>
          <w:tcPr>
            <w:tcW w:w="908"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7" w:type="dxa"/>
            <w:vMerge w:val="restart"/>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危险废物</w:t>
            </w:r>
          </w:p>
        </w:tc>
        <w:tc>
          <w:tcPr>
            <w:tcW w:w="1508" w:type="dxa"/>
            <w:vAlign w:val="center"/>
          </w:tcPr>
          <w:p>
            <w:pPr>
              <w:spacing w:line="219" w:lineRule="auto"/>
              <w:jc w:val="center"/>
              <w:rPr>
                <w:rFonts w:cs="宋体"/>
                <w:snapToGrid w:val="0"/>
                <w:kern w:val="21"/>
                <w:szCs w:val="21"/>
                <w:u w:val="single"/>
              </w:rPr>
            </w:pPr>
            <w:r>
              <w:rPr>
                <w:rFonts w:hint="eastAsia" w:cs="宋体"/>
                <w:snapToGrid w:val="0"/>
                <w:kern w:val="21"/>
                <w:szCs w:val="21"/>
                <w:u w:val="single"/>
              </w:rPr>
              <w:t>废活性炭</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pStyle w:val="44"/>
              <w:spacing w:beforeLines="0" w:afterLines="0" w:line="240" w:lineRule="auto"/>
              <w:rPr>
                <w:rFonts w:hint="default" w:ascii="Times New Roman" w:eastAsia="宋体" w:cs="宋体"/>
                <w:snapToGrid w:val="0"/>
                <w:kern w:val="21"/>
                <w:szCs w:val="21"/>
                <w:u w:val="single"/>
                <w:lang w:val="en-US" w:eastAsia="zh-CN"/>
              </w:rPr>
            </w:pPr>
            <w:r>
              <w:rPr>
                <w:rFonts w:hint="eastAsia" w:ascii="Times New Roman" w:cs="宋体"/>
                <w:snapToGrid w:val="0"/>
                <w:kern w:val="21"/>
                <w:szCs w:val="21"/>
                <w:u w:val="single"/>
                <w:lang w:val="en-US" w:eastAsia="zh-CN"/>
              </w:rPr>
              <w:t>2.8</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lang w:val="en-US" w:eastAsia="zh-CN"/>
              </w:rPr>
              <w:t>2.8</w:t>
            </w:r>
          </w:p>
        </w:tc>
        <w:tc>
          <w:tcPr>
            <w:tcW w:w="908"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lang w:val="en-US" w:eastAsia="zh-CN"/>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7" w:type="dxa"/>
            <w:vMerge w:val="continue"/>
            <w:vAlign w:val="center"/>
          </w:tcPr>
          <w:p>
            <w:pPr>
              <w:pStyle w:val="44"/>
              <w:spacing w:beforeLines="0" w:afterLines="0" w:line="240" w:lineRule="auto"/>
              <w:rPr>
                <w:rFonts w:hint="eastAsia" w:ascii="Times New Roman" w:cs="宋体"/>
                <w:snapToGrid w:val="0"/>
                <w:kern w:val="21"/>
                <w:szCs w:val="21"/>
                <w:u w:val="single"/>
              </w:rPr>
            </w:pPr>
          </w:p>
        </w:tc>
        <w:tc>
          <w:tcPr>
            <w:tcW w:w="1508" w:type="dxa"/>
            <w:vAlign w:val="center"/>
          </w:tcPr>
          <w:p>
            <w:pPr>
              <w:spacing w:line="219" w:lineRule="auto"/>
              <w:jc w:val="center"/>
              <w:rPr>
                <w:rFonts w:hint="eastAsia" w:eastAsia="宋体" w:cs="宋体"/>
                <w:snapToGrid w:val="0"/>
                <w:kern w:val="21"/>
                <w:szCs w:val="21"/>
                <w:u w:val="single"/>
                <w:lang w:val="en-US" w:eastAsia="zh-CN"/>
              </w:rPr>
            </w:pPr>
            <w:r>
              <w:rPr>
                <w:rFonts w:hint="eastAsia" w:cs="宋体"/>
                <w:snapToGrid w:val="0"/>
                <w:kern w:val="21"/>
                <w:szCs w:val="21"/>
                <w:u w:val="single"/>
                <w:lang w:val="en-US" w:eastAsia="zh-CN"/>
              </w:rPr>
              <w:t>废机油</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pStyle w:val="44"/>
              <w:spacing w:beforeLines="0" w:afterLines="0" w:line="240" w:lineRule="auto"/>
              <w:rPr>
                <w:rFonts w:hint="default" w:ascii="Times New Roman" w:eastAsia="宋体" w:cs="宋体"/>
                <w:snapToGrid w:val="0"/>
                <w:kern w:val="21"/>
                <w:szCs w:val="21"/>
                <w:u w:val="single"/>
                <w:lang w:val="en-US" w:eastAsia="zh-CN"/>
              </w:rPr>
            </w:pPr>
            <w:r>
              <w:rPr>
                <w:rFonts w:hint="eastAsia" w:ascii="Times New Roman" w:cs="宋体"/>
                <w:snapToGrid w:val="0"/>
                <w:kern w:val="21"/>
                <w:szCs w:val="21"/>
                <w:u w:val="single"/>
                <w:lang w:val="en-US" w:eastAsia="zh-CN"/>
              </w:rPr>
              <w:t>0.05</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pStyle w:val="44"/>
              <w:spacing w:beforeLines="0" w:afterLines="0" w:line="240" w:lineRule="auto"/>
              <w:rPr>
                <w:rFonts w:hint="eastAsia" w:ascii="Times New Roman" w:cs="宋体"/>
                <w:snapToGrid w:val="0"/>
                <w:kern w:val="21"/>
                <w:szCs w:val="21"/>
                <w:u w:val="single"/>
              </w:rPr>
            </w:pPr>
            <w:r>
              <w:rPr>
                <w:rFonts w:hint="eastAsia" w:ascii="Times New Roman" w:cs="宋体"/>
                <w:snapToGrid w:val="0"/>
                <w:kern w:val="21"/>
                <w:szCs w:val="21"/>
                <w:u w:val="single"/>
                <w:lang w:val="en-US" w:eastAsia="zh-CN"/>
              </w:rPr>
              <w:t>0.05</w:t>
            </w:r>
          </w:p>
        </w:tc>
        <w:tc>
          <w:tcPr>
            <w:tcW w:w="908" w:type="dxa"/>
            <w:vAlign w:val="center"/>
          </w:tcPr>
          <w:p>
            <w:pPr>
              <w:pStyle w:val="44"/>
              <w:spacing w:beforeLines="0" w:afterLines="0" w:line="240" w:lineRule="auto"/>
              <w:rPr>
                <w:rFonts w:hint="eastAsia" w:ascii="Times New Roman" w:cs="宋体"/>
                <w:snapToGrid w:val="0"/>
                <w:kern w:val="21"/>
                <w:szCs w:val="21"/>
                <w:u w:val="single"/>
              </w:rPr>
            </w:pPr>
            <w:r>
              <w:rPr>
                <w:rFonts w:hint="eastAsia" w:ascii="Times New Roman" w:cs="宋体"/>
                <w:snapToGrid w:val="0"/>
                <w:kern w:val="21"/>
                <w:szCs w:val="21"/>
                <w:u w:val="single"/>
                <w:lang w:val="en-US" w:eastAsia="zh-CN"/>
              </w:rPr>
              <w:t>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97" w:type="dxa"/>
            <w:vMerge w:val="continue"/>
            <w:vAlign w:val="center"/>
          </w:tcPr>
          <w:p>
            <w:pPr>
              <w:pStyle w:val="44"/>
              <w:spacing w:beforeLines="0" w:afterLines="0" w:line="240" w:lineRule="auto"/>
              <w:rPr>
                <w:rFonts w:ascii="Times New Roman" w:cs="宋体"/>
                <w:snapToGrid w:val="0"/>
                <w:kern w:val="21"/>
                <w:szCs w:val="21"/>
                <w:u w:val="single"/>
              </w:rPr>
            </w:pPr>
          </w:p>
        </w:tc>
        <w:tc>
          <w:tcPr>
            <w:tcW w:w="1508" w:type="dxa"/>
            <w:vAlign w:val="center"/>
          </w:tcPr>
          <w:p>
            <w:pPr>
              <w:spacing w:line="219" w:lineRule="auto"/>
              <w:jc w:val="center"/>
              <w:rPr>
                <w:rFonts w:cs="宋体"/>
                <w:snapToGrid w:val="0"/>
                <w:kern w:val="21"/>
                <w:szCs w:val="21"/>
                <w:u w:val="single"/>
              </w:rPr>
            </w:pPr>
            <w:r>
              <w:rPr>
                <w:rFonts w:hint="eastAsia" w:cs="宋体"/>
                <w:snapToGrid w:val="0"/>
                <w:kern w:val="21"/>
                <w:szCs w:val="21"/>
                <w:u w:val="single"/>
              </w:rPr>
              <w:t>废灯管</w:t>
            </w: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276" w:type="dxa"/>
            <w:vAlign w:val="center"/>
          </w:tcPr>
          <w:p>
            <w:pPr>
              <w:pStyle w:val="44"/>
              <w:spacing w:beforeLines="0" w:afterLines="0" w:line="240" w:lineRule="auto"/>
              <w:rPr>
                <w:rFonts w:ascii="Times New Roman" w:cs="宋体"/>
                <w:snapToGrid w:val="0"/>
                <w:kern w:val="21"/>
                <w:szCs w:val="21"/>
                <w:u w:val="single"/>
              </w:rPr>
            </w:pPr>
          </w:p>
        </w:tc>
        <w:tc>
          <w:tcPr>
            <w:tcW w:w="1701" w:type="dxa"/>
            <w:vAlign w:val="center"/>
          </w:tcPr>
          <w:p>
            <w:pPr>
              <w:pStyle w:val="44"/>
              <w:spacing w:beforeLines="0" w:afterLines="0" w:line="240" w:lineRule="auto"/>
              <w:rPr>
                <w:rFonts w:ascii="Times New Roman" w:cs="宋体"/>
                <w:snapToGrid w:val="0"/>
                <w:kern w:val="21"/>
                <w:szCs w:val="21"/>
                <w:u w:val="single"/>
              </w:rPr>
            </w:pPr>
          </w:p>
        </w:tc>
        <w:tc>
          <w:tcPr>
            <w:tcW w:w="1559"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0.02</w:t>
            </w:r>
          </w:p>
        </w:tc>
        <w:tc>
          <w:tcPr>
            <w:tcW w:w="1761" w:type="dxa"/>
            <w:vAlign w:val="center"/>
          </w:tcPr>
          <w:p>
            <w:pPr>
              <w:pStyle w:val="44"/>
              <w:spacing w:beforeLines="0" w:afterLines="0" w:line="240" w:lineRule="auto"/>
              <w:rPr>
                <w:rFonts w:ascii="Times New Roman" w:cs="宋体"/>
                <w:snapToGrid w:val="0"/>
                <w:kern w:val="21"/>
                <w:szCs w:val="21"/>
                <w:u w:val="single"/>
              </w:rPr>
            </w:pPr>
          </w:p>
        </w:tc>
        <w:tc>
          <w:tcPr>
            <w:tcW w:w="1877"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0.02</w:t>
            </w:r>
          </w:p>
        </w:tc>
        <w:tc>
          <w:tcPr>
            <w:tcW w:w="908" w:type="dxa"/>
            <w:vAlign w:val="center"/>
          </w:tcPr>
          <w:p>
            <w:pPr>
              <w:pStyle w:val="44"/>
              <w:spacing w:beforeLines="0" w:afterLines="0" w:line="240" w:lineRule="auto"/>
              <w:rPr>
                <w:rFonts w:ascii="Times New Roman" w:cs="宋体"/>
                <w:snapToGrid w:val="0"/>
                <w:kern w:val="21"/>
                <w:szCs w:val="21"/>
                <w:u w:val="single"/>
              </w:rPr>
            </w:pPr>
            <w:r>
              <w:rPr>
                <w:rFonts w:hint="eastAsia" w:ascii="Times New Roman" w:cs="宋体"/>
                <w:snapToGrid w:val="0"/>
                <w:kern w:val="21"/>
                <w:szCs w:val="21"/>
                <w:u w:val="single"/>
              </w:rPr>
              <w:t>0.02</w:t>
            </w:r>
          </w:p>
        </w:tc>
      </w:tr>
    </w:tbl>
    <w:p>
      <w:pPr>
        <w:pStyle w:val="44"/>
        <w:spacing w:before="192" w:beforeLines="80" w:after="24"/>
        <w:jc w:val="left"/>
        <w:rPr>
          <w:rFonts w:ascii="Times New Roman"/>
          <w:snapToGrid w:val="0"/>
          <w:kern w:val="21"/>
          <w:szCs w:val="21"/>
        </w:rPr>
      </w:pPr>
      <w:r>
        <w:rPr>
          <w:rFonts w:ascii="Times New Roman"/>
          <w:snapToGrid w:val="0"/>
          <w:kern w:val="21"/>
          <w:szCs w:val="21"/>
        </w:rPr>
        <w:t>注：</w:t>
      </w:r>
      <w:r>
        <w:rPr>
          <w:rFonts w:ascii="Times New Roman"/>
          <w:snapToGrid w:val="0"/>
          <w:kern w:val="21"/>
          <w:szCs w:val="21"/>
        </w:rPr>
        <w:fldChar w:fldCharType="begin"/>
      </w:r>
      <w:r>
        <w:rPr>
          <w:rFonts w:ascii="Times New Roman"/>
          <w:snapToGrid w:val="0"/>
          <w:kern w:val="21"/>
          <w:szCs w:val="21"/>
        </w:rPr>
        <w:instrText xml:space="preserve"> = 6 \* GB3 \* MERGEFORMAT </w:instrText>
      </w:r>
      <w:r>
        <w:rPr>
          <w:rFonts w:ascii="Times New Roman"/>
          <w:snapToGrid w:val="0"/>
          <w:kern w:val="21"/>
          <w:szCs w:val="21"/>
        </w:rPr>
        <w:fldChar w:fldCharType="separate"/>
      </w:r>
      <w:r>
        <w:rPr>
          <w:rFonts w:hint="eastAsia" w:ascii="Times New Roman"/>
          <w:kern w:val="21"/>
          <w:szCs w:val="21"/>
        </w:rPr>
        <w:t>⑥</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1 \* GB3 \* MERGEFORMAT </w:instrText>
      </w:r>
      <w:r>
        <w:rPr>
          <w:rFonts w:ascii="Times New Roman"/>
          <w:snapToGrid w:val="0"/>
          <w:kern w:val="21"/>
          <w:szCs w:val="21"/>
        </w:rPr>
        <w:fldChar w:fldCharType="separate"/>
      </w:r>
      <w:r>
        <w:rPr>
          <w:rFonts w:hint="eastAsia" w:ascii="Times New Roman"/>
          <w:kern w:val="21"/>
          <w:szCs w:val="21"/>
        </w:rPr>
        <w:t>①</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3 \* GB3 \* MERGEFORMAT </w:instrText>
      </w:r>
      <w:r>
        <w:rPr>
          <w:rFonts w:ascii="Times New Roman"/>
          <w:snapToGrid w:val="0"/>
          <w:kern w:val="21"/>
          <w:szCs w:val="21"/>
        </w:rPr>
        <w:fldChar w:fldCharType="separate"/>
      </w:r>
      <w:r>
        <w:rPr>
          <w:rFonts w:hint="eastAsia" w:ascii="Times New Roman"/>
          <w:kern w:val="21"/>
          <w:szCs w:val="21"/>
        </w:rPr>
        <w:t>③</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4 \* GB3 \* MERGEFORMAT </w:instrText>
      </w:r>
      <w:r>
        <w:rPr>
          <w:rFonts w:ascii="Times New Roman"/>
          <w:snapToGrid w:val="0"/>
          <w:kern w:val="21"/>
          <w:szCs w:val="21"/>
        </w:rPr>
        <w:fldChar w:fldCharType="separate"/>
      </w:r>
      <w:r>
        <w:rPr>
          <w:rFonts w:hint="eastAsia" w:ascii="Times New Roman"/>
          <w:kern w:val="21"/>
          <w:szCs w:val="21"/>
        </w:rPr>
        <w:t>④</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5 \* GB3 \* MERGEFORMAT </w:instrText>
      </w:r>
      <w:r>
        <w:rPr>
          <w:rFonts w:ascii="Times New Roman"/>
          <w:snapToGrid w:val="0"/>
          <w:kern w:val="21"/>
          <w:szCs w:val="21"/>
        </w:rPr>
        <w:fldChar w:fldCharType="separate"/>
      </w:r>
      <w:r>
        <w:rPr>
          <w:rFonts w:hint="eastAsia" w:ascii="Times New Roman"/>
          <w:kern w:val="21"/>
          <w:szCs w:val="21"/>
        </w:rPr>
        <w:t>⑤</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7 \* GB3 \* MERGEFORMAT </w:instrText>
      </w:r>
      <w:r>
        <w:rPr>
          <w:rFonts w:ascii="Times New Roman"/>
          <w:snapToGrid w:val="0"/>
          <w:kern w:val="21"/>
          <w:szCs w:val="21"/>
        </w:rPr>
        <w:fldChar w:fldCharType="separate"/>
      </w:r>
      <w:r>
        <w:rPr>
          <w:rFonts w:hint="eastAsia" w:ascii="Times New Roman"/>
          <w:kern w:val="21"/>
          <w:szCs w:val="21"/>
        </w:rPr>
        <w:t>⑦</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6 \* GB3 \* MERGEFORMAT </w:instrText>
      </w:r>
      <w:r>
        <w:rPr>
          <w:rFonts w:ascii="Times New Roman"/>
          <w:snapToGrid w:val="0"/>
          <w:kern w:val="21"/>
          <w:szCs w:val="21"/>
        </w:rPr>
        <w:fldChar w:fldCharType="separate"/>
      </w:r>
      <w:r>
        <w:rPr>
          <w:rFonts w:hint="eastAsia" w:ascii="Times New Roman"/>
          <w:kern w:val="21"/>
          <w:szCs w:val="21"/>
        </w:rPr>
        <w:t>⑥</w:t>
      </w:r>
      <w:r>
        <w:rPr>
          <w:rFonts w:ascii="Times New Roman"/>
          <w:snapToGrid w:val="0"/>
          <w:kern w:val="21"/>
          <w:szCs w:val="21"/>
        </w:rPr>
        <w:fldChar w:fldCharType="end"/>
      </w:r>
      <w:r>
        <w:rPr>
          <w:rFonts w:ascii="Times New Roman"/>
          <w:snapToGrid w:val="0"/>
          <w:kern w:val="21"/>
          <w:szCs w:val="21"/>
        </w:rPr>
        <w:t>-</w:t>
      </w:r>
      <w:r>
        <w:rPr>
          <w:rFonts w:ascii="Times New Roman"/>
          <w:snapToGrid w:val="0"/>
          <w:kern w:val="21"/>
          <w:szCs w:val="21"/>
        </w:rPr>
        <w:fldChar w:fldCharType="begin"/>
      </w:r>
      <w:r>
        <w:rPr>
          <w:rFonts w:ascii="Times New Roman"/>
          <w:snapToGrid w:val="0"/>
          <w:kern w:val="21"/>
          <w:szCs w:val="21"/>
        </w:rPr>
        <w:instrText xml:space="preserve"> = 1 \* GB3 \* MERGEFORMAT </w:instrText>
      </w:r>
      <w:r>
        <w:rPr>
          <w:rFonts w:ascii="Times New Roman"/>
          <w:snapToGrid w:val="0"/>
          <w:kern w:val="21"/>
          <w:szCs w:val="21"/>
        </w:rPr>
        <w:fldChar w:fldCharType="separate"/>
      </w:r>
      <w:r>
        <w:rPr>
          <w:rFonts w:hint="eastAsia" w:ascii="Times New Roman"/>
          <w:kern w:val="21"/>
          <w:szCs w:val="21"/>
        </w:rPr>
        <w:t>①</w:t>
      </w:r>
      <w:r>
        <w:rPr>
          <w:rFonts w:ascii="Times New Roman"/>
          <w:snapToGrid w:val="0"/>
          <w:kern w:val="21"/>
          <w:szCs w:val="21"/>
        </w:rPr>
        <w:fldChar w:fldCharType="end"/>
      </w:r>
    </w:p>
    <w:sectPr>
      <w:footerReference r:id="rId8"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Impact">
    <w:panose1 w:val="020B080603090205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jc w:val="center"/>
      <w:rPr>
        <w:rStyle w:val="24"/>
        <w:rFonts w:ascii="宋体" w:hAnsi="宋体"/>
        <w:sz w:val="28"/>
        <w:szCs w:val="28"/>
      </w:rPr>
    </w:pPr>
    <w:r>
      <w:rPr>
        <w:rStyle w:val="24"/>
        <w:rFonts w:hint="eastAsia" w:ascii="宋体" w:hAnsi="宋体"/>
        <w:sz w:val="28"/>
        <w:szCs w:val="28"/>
      </w:rPr>
      <w:t>—</w:t>
    </w:r>
    <w:r>
      <w:rPr>
        <w:rStyle w:val="24"/>
        <w:rFonts w:hint="eastAsia" w:ascii="宋体" w:hAnsi="宋体"/>
        <w:sz w:val="20"/>
      </w:rPr>
      <w:t xml:space="preserve">  </w:t>
    </w:r>
    <w:r>
      <w:rPr>
        <w:rFonts w:ascii="宋体" w:hAnsi="宋体"/>
        <w:sz w:val="26"/>
        <w:szCs w:val="26"/>
      </w:rPr>
      <w:fldChar w:fldCharType="begin"/>
    </w:r>
    <w:r>
      <w:rPr>
        <w:rStyle w:val="24"/>
        <w:rFonts w:ascii="宋体" w:hAnsi="宋体"/>
        <w:sz w:val="26"/>
        <w:szCs w:val="26"/>
      </w:rPr>
      <w:instrText xml:space="preserve">PAGE  </w:instrText>
    </w:r>
    <w:r>
      <w:rPr>
        <w:rFonts w:ascii="宋体" w:hAnsi="宋体"/>
        <w:sz w:val="26"/>
        <w:szCs w:val="26"/>
      </w:rPr>
      <w:fldChar w:fldCharType="separate"/>
    </w:r>
    <w:r>
      <w:rPr>
        <w:rStyle w:val="24"/>
        <w:rFonts w:ascii="宋体" w:hAnsi="宋体"/>
        <w:sz w:val="26"/>
        <w:szCs w:val="26"/>
      </w:rPr>
      <w:t>19</w:t>
    </w:r>
    <w:r>
      <w:rPr>
        <w:rFonts w:ascii="宋体" w:hAnsi="宋体"/>
        <w:sz w:val="26"/>
        <w:szCs w:val="26"/>
      </w:rPr>
      <w:fldChar w:fldCharType="end"/>
    </w:r>
    <w:r>
      <w:rPr>
        <w:rStyle w:val="24"/>
        <w:rFonts w:hint="eastAsia" w:ascii="宋体" w:hAnsi="宋体"/>
        <w:sz w:val="20"/>
      </w:rPr>
      <w:t xml:space="preserve">  </w:t>
    </w:r>
    <w:r>
      <w:rPr>
        <w:rStyle w:val="24"/>
        <w:rFonts w:hint="eastAsia" w:ascii="宋体" w:hAnsi="宋体"/>
        <w:sz w:val="28"/>
        <w:szCs w:val="28"/>
      </w:rPr>
      <w:t>—</w:t>
    </w:r>
  </w:p>
  <w:p>
    <w:pPr>
      <w:pStyle w:val="12"/>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4"/>
        <w:rFonts w:ascii="宋体" w:hAnsi="宋体"/>
        <w:sz w:val="28"/>
        <w:szCs w:val="28"/>
      </w:rPr>
    </w:pPr>
    <w:r>
      <w:rPr>
        <w:rStyle w:val="24"/>
        <w:rFonts w:hint="eastAsia" w:ascii="宋体" w:hAnsi="宋体"/>
        <w:sz w:val="28"/>
        <w:szCs w:val="28"/>
      </w:rPr>
      <w:t>—</w:t>
    </w:r>
    <w:r>
      <w:rPr>
        <w:rStyle w:val="24"/>
        <w:rFonts w:hint="eastAsia" w:ascii="宋体" w:hAnsi="宋体"/>
        <w:sz w:val="20"/>
      </w:rPr>
      <w:t xml:space="preserve">  </w:t>
    </w:r>
    <w:r>
      <w:rPr>
        <w:rFonts w:ascii="宋体" w:hAnsi="宋体"/>
        <w:sz w:val="26"/>
        <w:szCs w:val="26"/>
      </w:rPr>
      <w:fldChar w:fldCharType="begin"/>
    </w:r>
    <w:r>
      <w:rPr>
        <w:rStyle w:val="24"/>
        <w:rFonts w:ascii="宋体" w:hAnsi="宋体"/>
        <w:sz w:val="26"/>
        <w:szCs w:val="26"/>
      </w:rPr>
      <w:instrText xml:space="preserve">PAGE  </w:instrText>
    </w:r>
    <w:r>
      <w:rPr>
        <w:rFonts w:ascii="宋体" w:hAnsi="宋体"/>
        <w:sz w:val="26"/>
        <w:szCs w:val="26"/>
      </w:rPr>
      <w:fldChar w:fldCharType="separate"/>
    </w:r>
    <w:r>
      <w:rPr>
        <w:rStyle w:val="24"/>
        <w:rFonts w:ascii="宋体" w:hAnsi="宋体"/>
        <w:sz w:val="26"/>
        <w:szCs w:val="26"/>
      </w:rPr>
      <w:t>47</w:t>
    </w:r>
    <w:r>
      <w:rPr>
        <w:rFonts w:ascii="宋体" w:hAnsi="宋体"/>
        <w:sz w:val="26"/>
        <w:szCs w:val="26"/>
      </w:rPr>
      <w:fldChar w:fldCharType="end"/>
    </w:r>
    <w:r>
      <w:rPr>
        <w:rStyle w:val="24"/>
        <w:rFonts w:hint="eastAsia" w:ascii="宋体" w:hAnsi="宋体"/>
        <w:sz w:val="20"/>
      </w:rPr>
      <w:t xml:space="preserve">  </w:t>
    </w:r>
    <w:r>
      <w:rPr>
        <w:rStyle w:val="24"/>
        <w:rFonts w:hint="eastAsia" w:ascii="宋体" w:hAnsi="宋体"/>
        <w:sz w:val="28"/>
        <w:szCs w:val="28"/>
      </w:rPr>
      <w:t>—</w:t>
    </w:r>
  </w:p>
  <w:p>
    <w:pPr>
      <w:pStyle w:val="12"/>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5D9F5"/>
    <w:multiLevelType w:val="multilevel"/>
    <w:tmpl w:val="F4B5D9F5"/>
    <w:lvl w:ilvl="0" w:tentative="0">
      <w:start w:val="1"/>
      <w:numFmt w:val="decimal"/>
      <w:lvlText w:val="（%1）"/>
      <w:lvlJc w:val="left"/>
      <w:pPr>
        <w:ind w:left="119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6" w:hanging="601"/>
      </w:pPr>
      <w:rPr>
        <w:rFonts w:hint="default"/>
        <w:lang w:val="zh-CN" w:eastAsia="zh-CN" w:bidi="zh-CN"/>
      </w:rPr>
    </w:lvl>
    <w:lvl w:ilvl="2" w:tentative="0">
      <w:start w:val="0"/>
      <w:numFmt w:val="bullet"/>
      <w:lvlText w:val="•"/>
      <w:lvlJc w:val="left"/>
      <w:pPr>
        <w:ind w:left="2613" w:hanging="601"/>
      </w:pPr>
      <w:rPr>
        <w:rFonts w:hint="default"/>
        <w:lang w:val="zh-CN" w:eastAsia="zh-CN" w:bidi="zh-CN"/>
      </w:rPr>
    </w:lvl>
    <w:lvl w:ilvl="3" w:tentative="0">
      <w:start w:val="0"/>
      <w:numFmt w:val="bullet"/>
      <w:lvlText w:val="•"/>
      <w:lvlJc w:val="left"/>
      <w:pPr>
        <w:ind w:left="3320" w:hanging="601"/>
      </w:pPr>
      <w:rPr>
        <w:rFonts w:hint="default"/>
        <w:lang w:val="zh-CN" w:eastAsia="zh-CN" w:bidi="zh-CN"/>
      </w:rPr>
    </w:lvl>
    <w:lvl w:ilvl="4" w:tentative="0">
      <w:start w:val="0"/>
      <w:numFmt w:val="bullet"/>
      <w:lvlText w:val="•"/>
      <w:lvlJc w:val="left"/>
      <w:pPr>
        <w:ind w:left="4027" w:hanging="601"/>
      </w:pPr>
      <w:rPr>
        <w:rFonts w:hint="default"/>
        <w:lang w:val="zh-CN" w:eastAsia="zh-CN" w:bidi="zh-CN"/>
      </w:rPr>
    </w:lvl>
    <w:lvl w:ilvl="5" w:tentative="0">
      <w:start w:val="0"/>
      <w:numFmt w:val="bullet"/>
      <w:lvlText w:val="•"/>
      <w:lvlJc w:val="left"/>
      <w:pPr>
        <w:ind w:left="4734" w:hanging="601"/>
      </w:pPr>
      <w:rPr>
        <w:rFonts w:hint="default"/>
        <w:lang w:val="zh-CN" w:eastAsia="zh-CN" w:bidi="zh-CN"/>
      </w:rPr>
    </w:lvl>
    <w:lvl w:ilvl="6" w:tentative="0">
      <w:start w:val="0"/>
      <w:numFmt w:val="bullet"/>
      <w:lvlText w:val="•"/>
      <w:lvlJc w:val="left"/>
      <w:pPr>
        <w:ind w:left="5441" w:hanging="601"/>
      </w:pPr>
      <w:rPr>
        <w:rFonts w:hint="default"/>
        <w:lang w:val="zh-CN" w:eastAsia="zh-CN" w:bidi="zh-CN"/>
      </w:rPr>
    </w:lvl>
    <w:lvl w:ilvl="7" w:tentative="0">
      <w:start w:val="0"/>
      <w:numFmt w:val="bullet"/>
      <w:lvlText w:val="•"/>
      <w:lvlJc w:val="left"/>
      <w:pPr>
        <w:ind w:left="6148" w:hanging="601"/>
      </w:pPr>
      <w:rPr>
        <w:rFonts w:hint="default"/>
        <w:lang w:val="zh-CN" w:eastAsia="zh-CN" w:bidi="zh-CN"/>
      </w:rPr>
    </w:lvl>
    <w:lvl w:ilvl="8" w:tentative="0">
      <w:start w:val="0"/>
      <w:numFmt w:val="bullet"/>
      <w:lvlText w:val="•"/>
      <w:lvlJc w:val="left"/>
      <w:pPr>
        <w:ind w:left="6855" w:hanging="601"/>
      </w:pPr>
      <w:rPr>
        <w:rFonts w:hint="default"/>
        <w:lang w:val="zh-CN" w:eastAsia="zh-CN" w:bidi="zh-CN"/>
      </w:rPr>
    </w:lvl>
  </w:abstractNum>
  <w:abstractNum w:abstractNumId="1">
    <w:nsid w:val="0A2A83E4"/>
    <w:multiLevelType w:val="singleLevel"/>
    <w:tmpl w:val="0A2A83E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EyMjRhZjNlYjFhODg2N2U4YWEyNWEwZTBlYWE5NTkifQ=="/>
  </w:docVars>
  <w:rsids>
    <w:rsidRoot w:val="00A14947"/>
    <w:rsid w:val="000060B3"/>
    <w:rsid w:val="0004364B"/>
    <w:rsid w:val="00061B1F"/>
    <w:rsid w:val="000733C4"/>
    <w:rsid w:val="00074783"/>
    <w:rsid w:val="0008070B"/>
    <w:rsid w:val="000810AC"/>
    <w:rsid w:val="00081A02"/>
    <w:rsid w:val="00082231"/>
    <w:rsid w:val="00091847"/>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28DE"/>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05EB"/>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84003"/>
    <w:rsid w:val="00594D77"/>
    <w:rsid w:val="005969E4"/>
    <w:rsid w:val="005A06B7"/>
    <w:rsid w:val="005A1759"/>
    <w:rsid w:val="005A68A7"/>
    <w:rsid w:val="005D36AB"/>
    <w:rsid w:val="005D3E27"/>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03AE4"/>
    <w:rsid w:val="0081293E"/>
    <w:rsid w:val="00815465"/>
    <w:rsid w:val="00817E9A"/>
    <w:rsid w:val="008306BD"/>
    <w:rsid w:val="00831A80"/>
    <w:rsid w:val="00833743"/>
    <w:rsid w:val="008340A4"/>
    <w:rsid w:val="00850851"/>
    <w:rsid w:val="0087135F"/>
    <w:rsid w:val="00872D94"/>
    <w:rsid w:val="008776C8"/>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1B39"/>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476BE"/>
    <w:rsid w:val="00A53EC6"/>
    <w:rsid w:val="00A55C0F"/>
    <w:rsid w:val="00A8713F"/>
    <w:rsid w:val="00A90BA1"/>
    <w:rsid w:val="00A97A9A"/>
    <w:rsid w:val="00AA0671"/>
    <w:rsid w:val="00AA20A7"/>
    <w:rsid w:val="00AA2531"/>
    <w:rsid w:val="00AB1E09"/>
    <w:rsid w:val="00AB5330"/>
    <w:rsid w:val="00AB7747"/>
    <w:rsid w:val="00AC14CE"/>
    <w:rsid w:val="00AC2A56"/>
    <w:rsid w:val="00AD055E"/>
    <w:rsid w:val="00AD47A7"/>
    <w:rsid w:val="00AE4323"/>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0E4B"/>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3CEE"/>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2470"/>
    <w:rsid w:val="00D0364F"/>
    <w:rsid w:val="00D06834"/>
    <w:rsid w:val="00D21B48"/>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C4238"/>
    <w:rsid w:val="00ED0639"/>
    <w:rsid w:val="00EF4755"/>
    <w:rsid w:val="00EF7135"/>
    <w:rsid w:val="00F027DB"/>
    <w:rsid w:val="00F14A7A"/>
    <w:rsid w:val="00F22985"/>
    <w:rsid w:val="00F22F9D"/>
    <w:rsid w:val="00F3383E"/>
    <w:rsid w:val="00F42892"/>
    <w:rsid w:val="00F465A7"/>
    <w:rsid w:val="00F50B7C"/>
    <w:rsid w:val="00F550E6"/>
    <w:rsid w:val="00F60219"/>
    <w:rsid w:val="00F74345"/>
    <w:rsid w:val="00F80A0A"/>
    <w:rsid w:val="00F82B19"/>
    <w:rsid w:val="00F9212D"/>
    <w:rsid w:val="00F965DA"/>
    <w:rsid w:val="00FA406A"/>
    <w:rsid w:val="00FB503A"/>
    <w:rsid w:val="00FB516C"/>
    <w:rsid w:val="00FD0236"/>
    <w:rsid w:val="00FD18F4"/>
    <w:rsid w:val="00FD54DB"/>
    <w:rsid w:val="00FD619F"/>
    <w:rsid w:val="01290F7E"/>
    <w:rsid w:val="012D2A2A"/>
    <w:rsid w:val="0150576A"/>
    <w:rsid w:val="015D1E09"/>
    <w:rsid w:val="01C90AD0"/>
    <w:rsid w:val="02697903"/>
    <w:rsid w:val="02E13BEE"/>
    <w:rsid w:val="02F96569"/>
    <w:rsid w:val="03190CB5"/>
    <w:rsid w:val="03892081"/>
    <w:rsid w:val="03A367D0"/>
    <w:rsid w:val="03D80E62"/>
    <w:rsid w:val="03EA7B21"/>
    <w:rsid w:val="04D74983"/>
    <w:rsid w:val="04E35A1E"/>
    <w:rsid w:val="05A6683B"/>
    <w:rsid w:val="05F83EAE"/>
    <w:rsid w:val="060905E2"/>
    <w:rsid w:val="063E7D85"/>
    <w:rsid w:val="06744454"/>
    <w:rsid w:val="07293586"/>
    <w:rsid w:val="07295285"/>
    <w:rsid w:val="074B048D"/>
    <w:rsid w:val="07636392"/>
    <w:rsid w:val="07770C56"/>
    <w:rsid w:val="07D17E53"/>
    <w:rsid w:val="085E7D53"/>
    <w:rsid w:val="08747469"/>
    <w:rsid w:val="08E441FB"/>
    <w:rsid w:val="092217DD"/>
    <w:rsid w:val="093A7294"/>
    <w:rsid w:val="093D0EAB"/>
    <w:rsid w:val="09880BAD"/>
    <w:rsid w:val="09CF2ED2"/>
    <w:rsid w:val="0A1507AE"/>
    <w:rsid w:val="0A263993"/>
    <w:rsid w:val="0A2D3AC2"/>
    <w:rsid w:val="0AA755DF"/>
    <w:rsid w:val="0B120D44"/>
    <w:rsid w:val="0B3B3792"/>
    <w:rsid w:val="0B940E9E"/>
    <w:rsid w:val="0BD27BF6"/>
    <w:rsid w:val="0C3B3C7D"/>
    <w:rsid w:val="0C450D6C"/>
    <w:rsid w:val="0CAB2EAE"/>
    <w:rsid w:val="0CAD06C0"/>
    <w:rsid w:val="0D033824"/>
    <w:rsid w:val="0D621C7D"/>
    <w:rsid w:val="0D75742F"/>
    <w:rsid w:val="0DFA2475"/>
    <w:rsid w:val="0E5E7EC3"/>
    <w:rsid w:val="0E73034D"/>
    <w:rsid w:val="0EBE026D"/>
    <w:rsid w:val="0F13775A"/>
    <w:rsid w:val="0F1C1AE3"/>
    <w:rsid w:val="0F225B97"/>
    <w:rsid w:val="0F5F45FE"/>
    <w:rsid w:val="0F9056D8"/>
    <w:rsid w:val="0F95746B"/>
    <w:rsid w:val="0F9A112B"/>
    <w:rsid w:val="0FF454C3"/>
    <w:rsid w:val="106D2F64"/>
    <w:rsid w:val="107B4817"/>
    <w:rsid w:val="10B63710"/>
    <w:rsid w:val="10F10820"/>
    <w:rsid w:val="11021A8D"/>
    <w:rsid w:val="111C2F7A"/>
    <w:rsid w:val="11665CA1"/>
    <w:rsid w:val="116F3546"/>
    <w:rsid w:val="118E3768"/>
    <w:rsid w:val="11936616"/>
    <w:rsid w:val="11A0288F"/>
    <w:rsid w:val="11B05C29"/>
    <w:rsid w:val="136B24C6"/>
    <w:rsid w:val="138B1CBD"/>
    <w:rsid w:val="13951726"/>
    <w:rsid w:val="141A2ADF"/>
    <w:rsid w:val="14396509"/>
    <w:rsid w:val="147E4E1C"/>
    <w:rsid w:val="14891A12"/>
    <w:rsid w:val="14AA5A3C"/>
    <w:rsid w:val="14BA600C"/>
    <w:rsid w:val="14DD2C3C"/>
    <w:rsid w:val="1511522C"/>
    <w:rsid w:val="152D1D50"/>
    <w:rsid w:val="15B82DBA"/>
    <w:rsid w:val="15C9656A"/>
    <w:rsid w:val="16041350"/>
    <w:rsid w:val="16087E1D"/>
    <w:rsid w:val="16302145"/>
    <w:rsid w:val="165A0ADD"/>
    <w:rsid w:val="16842303"/>
    <w:rsid w:val="16962652"/>
    <w:rsid w:val="16A82F88"/>
    <w:rsid w:val="16C86822"/>
    <w:rsid w:val="16FA3301"/>
    <w:rsid w:val="17701D14"/>
    <w:rsid w:val="17735226"/>
    <w:rsid w:val="17B572CF"/>
    <w:rsid w:val="17E7717C"/>
    <w:rsid w:val="180A4C18"/>
    <w:rsid w:val="189F624C"/>
    <w:rsid w:val="198471E3"/>
    <w:rsid w:val="19965E43"/>
    <w:rsid w:val="1A1C66C0"/>
    <w:rsid w:val="1A386653"/>
    <w:rsid w:val="1A42393B"/>
    <w:rsid w:val="1A785AAB"/>
    <w:rsid w:val="1AAD45DE"/>
    <w:rsid w:val="1AB36E46"/>
    <w:rsid w:val="1AEB0ED0"/>
    <w:rsid w:val="1B046F80"/>
    <w:rsid w:val="1B1C0922"/>
    <w:rsid w:val="1B325A5D"/>
    <w:rsid w:val="1B3267B5"/>
    <w:rsid w:val="1B354240"/>
    <w:rsid w:val="1B40161D"/>
    <w:rsid w:val="1B441859"/>
    <w:rsid w:val="1B6606B1"/>
    <w:rsid w:val="1BA84A19"/>
    <w:rsid w:val="1BBB2100"/>
    <w:rsid w:val="1BDB0DA5"/>
    <w:rsid w:val="1BE136A3"/>
    <w:rsid w:val="1C5E7925"/>
    <w:rsid w:val="1CE03DCA"/>
    <w:rsid w:val="1CFD070F"/>
    <w:rsid w:val="1CFD1FFB"/>
    <w:rsid w:val="1D5F6196"/>
    <w:rsid w:val="1D6132A5"/>
    <w:rsid w:val="1D8E56D5"/>
    <w:rsid w:val="1DC93146"/>
    <w:rsid w:val="1DDD7D99"/>
    <w:rsid w:val="1E7A43DA"/>
    <w:rsid w:val="1E900C2C"/>
    <w:rsid w:val="1EE2069D"/>
    <w:rsid w:val="1F1957A0"/>
    <w:rsid w:val="1F25404E"/>
    <w:rsid w:val="1FD9384E"/>
    <w:rsid w:val="1FE7539E"/>
    <w:rsid w:val="202251F5"/>
    <w:rsid w:val="205E3D53"/>
    <w:rsid w:val="20671BE0"/>
    <w:rsid w:val="20963CB8"/>
    <w:rsid w:val="20A81A1B"/>
    <w:rsid w:val="20B07FB6"/>
    <w:rsid w:val="20B646FB"/>
    <w:rsid w:val="213B74B1"/>
    <w:rsid w:val="215A2310"/>
    <w:rsid w:val="21930F7F"/>
    <w:rsid w:val="21D27FE9"/>
    <w:rsid w:val="21DE318A"/>
    <w:rsid w:val="21E843D7"/>
    <w:rsid w:val="21EF5B80"/>
    <w:rsid w:val="22576990"/>
    <w:rsid w:val="22AC1FCB"/>
    <w:rsid w:val="22DE117B"/>
    <w:rsid w:val="22F47480"/>
    <w:rsid w:val="22F75D7A"/>
    <w:rsid w:val="23A567A7"/>
    <w:rsid w:val="23BD5497"/>
    <w:rsid w:val="23DE1C48"/>
    <w:rsid w:val="240210CD"/>
    <w:rsid w:val="241A61E3"/>
    <w:rsid w:val="24BF09F7"/>
    <w:rsid w:val="24DB3BC4"/>
    <w:rsid w:val="24F1681E"/>
    <w:rsid w:val="252D53FE"/>
    <w:rsid w:val="2570357F"/>
    <w:rsid w:val="25943CEA"/>
    <w:rsid w:val="25EC2D81"/>
    <w:rsid w:val="26031625"/>
    <w:rsid w:val="261572F6"/>
    <w:rsid w:val="26393298"/>
    <w:rsid w:val="26D73AA9"/>
    <w:rsid w:val="26FE3B9A"/>
    <w:rsid w:val="273C35D0"/>
    <w:rsid w:val="277057A2"/>
    <w:rsid w:val="28335AC5"/>
    <w:rsid w:val="28430DFE"/>
    <w:rsid w:val="286B1BB5"/>
    <w:rsid w:val="28BC00F7"/>
    <w:rsid w:val="28D34ADD"/>
    <w:rsid w:val="291361F7"/>
    <w:rsid w:val="29206EB8"/>
    <w:rsid w:val="29233960"/>
    <w:rsid w:val="29595666"/>
    <w:rsid w:val="297113B9"/>
    <w:rsid w:val="29874881"/>
    <w:rsid w:val="29E325E0"/>
    <w:rsid w:val="2A452503"/>
    <w:rsid w:val="2A45762F"/>
    <w:rsid w:val="2B3272FF"/>
    <w:rsid w:val="2BA2368E"/>
    <w:rsid w:val="2BA936A8"/>
    <w:rsid w:val="2BE64C53"/>
    <w:rsid w:val="2C181CE7"/>
    <w:rsid w:val="2C315A5A"/>
    <w:rsid w:val="2C4B1C25"/>
    <w:rsid w:val="2C504E98"/>
    <w:rsid w:val="2D327F4B"/>
    <w:rsid w:val="2D9E56F5"/>
    <w:rsid w:val="2DEA6D11"/>
    <w:rsid w:val="2E667F96"/>
    <w:rsid w:val="2E8226AB"/>
    <w:rsid w:val="2EC50437"/>
    <w:rsid w:val="2F263151"/>
    <w:rsid w:val="2F302E46"/>
    <w:rsid w:val="2FD065E6"/>
    <w:rsid w:val="2FD96870"/>
    <w:rsid w:val="2FF75719"/>
    <w:rsid w:val="30112B90"/>
    <w:rsid w:val="302C4226"/>
    <w:rsid w:val="30580BC9"/>
    <w:rsid w:val="309646AE"/>
    <w:rsid w:val="309D2AE4"/>
    <w:rsid w:val="30A423FB"/>
    <w:rsid w:val="30D54CEC"/>
    <w:rsid w:val="30F11291"/>
    <w:rsid w:val="311E2ED7"/>
    <w:rsid w:val="315619EE"/>
    <w:rsid w:val="315C449C"/>
    <w:rsid w:val="31623E54"/>
    <w:rsid w:val="317031EF"/>
    <w:rsid w:val="31B82709"/>
    <w:rsid w:val="31D05482"/>
    <w:rsid w:val="32400B34"/>
    <w:rsid w:val="325B23B5"/>
    <w:rsid w:val="326A2A2B"/>
    <w:rsid w:val="3298038B"/>
    <w:rsid w:val="329E6876"/>
    <w:rsid w:val="32F04CDF"/>
    <w:rsid w:val="330D3AE3"/>
    <w:rsid w:val="333015F2"/>
    <w:rsid w:val="3333454B"/>
    <w:rsid w:val="334B6320"/>
    <w:rsid w:val="33D934D4"/>
    <w:rsid w:val="33FE2F6A"/>
    <w:rsid w:val="340E07E5"/>
    <w:rsid w:val="34232E92"/>
    <w:rsid w:val="34235BF7"/>
    <w:rsid w:val="3434509F"/>
    <w:rsid w:val="345A1B01"/>
    <w:rsid w:val="350F3D9C"/>
    <w:rsid w:val="35352E7D"/>
    <w:rsid w:val="358C5FA8"/>
    <w:rsid w:val="35A20F8A"/>
    <w:rsid w:val="35AD335B"/>
    <w:rsid w:val="35C15DF1"/>
    <w:rsid w:val="36074A7F"/>
    <w:rsid w:val="366E2C54"/>
    <w:rsid w:val="36923549"/>
    <w:rsid w:val="36B75FBF"/>
    <w:rsid w:val="36BD0C45"/>
    <w:rsid w:val="36E54D34"/>
    <w:rsid w:val="374E46CA"/>
    <w:rsid w:val="375462C3"/>
    <w:rsid w:val="37AF6474"/>
    <w:rsid w:val="37E00298"/>
    <w:rsid w:val="38022BDC"/>
    <w:rsid w:val="383F58ED"/>
    <w:rsid w:val="384A0EEA"/>
    <w:rsid w:val="38A5089C"/>
    <w:rsid w:val="38B22A36"/>
    <w:rsid w:val="38B302F9"/>
    <w:rsid w:val="38B60571"/>
    <w:rsid w:val="38CD0F8C"/>
    <w:rsid w:val="38F12CD3"/>
    <w:rsid w:val="38F94775"/>
    <w:rsid w:val="391B29E2"/>
    <w:rsid w:val="392971ED"/>
    <w:rsid w:val="39325651"/>
    <w:rsid w:val="39561614"/>
    <w:rsid w:val="3A550FAE"/>
    <w:rsid w:val="3A872856"/>
    <w:rsid w:val="3AB75076"/>
    <w:rsid w:val="3ABB3E24"/>
    <w:rsid w:val="3B3763D1"/>
    <w:rsid w:val="3B48408B"/>
    <w:rsid w:val="3BDB3FCC"/>
    <w:rsid w:val="3C110C2B"/>
    <w:rsid w:val="3C2F4ACA"/>
    <w:rsid w:val="3C2F6E1E"/>
    <w:rsid w:val="3C460CB6"/>
    <w:rsid w:val="3C4F64BA"/>
    <w:rsid w:val="3C614F2B"/>
    <w:rsid w:val="3CB6466C"/>
    <w:rsid w:val="3CD770EA"/>
    <w:rsid w:val="3CDA245A"/>
    <w:rsid w:val="3D1E06B7"/>
    <w:rsid w:val="3D4E3128"/>
    <w:rsid w:val="3DDD6FC1"/>
    <w:rsid w:val="3E12701C"/>
    <w:rsid w:val="3E4660FB"/>
    <w:rsid w:val="3EDA0523"/>
    <w:rsid w:val="3EE30312"/>
    <w:rsid w:val="3F027655"/>
    <w:rsid w:val="3F7E3AD1"/>
    <w:rsid w:val="3FF028B0"/>
    <w:rsid w:val="40081AB2"/>
    <w:rsid w:val="40497442"/>
    <w:rsid w:val="4061721C"/>
    <w:rsid w:val="407A6407"/>
    <w:rsid w:val="410635DC"/>
    <w:rsid w:val="41AF7644"/>
    <w:rsid w:val="41B9630E"/>
    <w:rsid w:val="4200449D"/>
    <w:rsid w:val="421A625B"/>
    <w:rsid w:val="42270CEC"/>
    <w:rsid w:val="423A3BCC"/>
    <w:rsid w:val="424E57D2"/>
    <w:rsid w:val="425A6618"/>
    <w:rsid w:val="42B26C49"/>
    <w:rsid w:val="42BE290D"/>
    <w:rsid w:val="42D24401"/>
    <w:rsid w:val="432A7D99"/>
    <w:rsid w:val="433A6FE6"/>
    <w:rsid w:val="43480868"/>
    <w:rsid w:val="4350713C"/>
    <w:rsid w:val="435B703A"/>
    <w:rsid w:val="436653E0"/>
    <w:rsid w:val="436F40B0"/>
    <w:rsid w:val="43C4431A"/>
    <w:rsid w:val="43EB759C"/>
    <w:rsid w:val="44780FD8"/>
    <w:rsid w:val="44B951CC"/>
    <w:rsid w:val="44BC0A28"/>
    <w:rsid w:val="44CD14E0"/>
    <w:rsid w:val="44D426B2"/>
    <w:rsid w:val="44F20B0B"/>
    <w:rsid w:val="452E5F4C"/>
    <w:rsid w:val="45612018"/>
    <w:rsid w:val="458946E9"/>
    <w:rsid w:val="45A47C0E"/>
    <w:rsid w:val="45B80234"/>
    <w:rsid w:val="463A328D"/>
    <w:rsid w:val="4650200F"/>
    <w:rsid w:val="46577FD6"/>
    <w:rsid w:val="46D06EA9"/>
    <w:rsid w:val="46D955A7"/>
    <w:rsid w:val="47133957"/>
    <w:rsid w:val="47433201"/>
    <w:rsid w:val="475349F2"/>
    <w:rsid w:val="47730467"/>
    <w:rsid w:val="47A07E0C"/>
    <w:rsid w:val="481C620A"/>
    <w:rsid w:val="4870272E"/>
    <w:rsid w:val="489C0675"/>
    <w:rsid w:val="48A709C8"/>
    <w:rsid w:val="494B2AF1"/>
    <w:rsid w:val="496A3954"/>
    <w:rsid w:val="49A87C69"/>
    <w:rsid w:val="49C32CF5"/>
    <w:rsid w:val="49DC7715"/>
    <w:rsid w:val="49F64E79"/>
    <w:rsid w:val="4A023139"/>
    <w:rsid w:val="4A0D22AA"/>
    <w:rsid w:val="4A101CB4"/>
    <w:rsid w:val="4A520A07"/>
    <w:rsid w:val="4A6E6CA4"/>
    <w:rsid w:val="4A7B576F"/>
    <w:rsid w:val="4ABB0F86"/>
    <w:rsid w:val="4AC60109"/>
    <w:rsid w:val="4AF561A9"/>
    <w:rsid w:val="4BBD742C"/>
    <w:rsid w:val="4C4225EB"/>
    <w:rsid w:val="4C497552"/>
    <w:rsid w:val="4C4A0649"/>
    <w:rsid w:val="4C7E5ECA"/>
    <w:rsid w:val="4C876AA5"/>
    <w:rsid w:val="4CD15729"/>
    <w:rsid w:val="4CFD5989"/>
    <w:rsid w:val="4CFE5328"/>
    <w:rsid w:val="4D0E00FB"/>
    <w:rsid w:val="4D176606"/>
    <w:rsid w:val="4D2915B7"/>
    <w:rsid w:val="4D59036B"/>
    <w:rsid w:val="4DEC4FB0"/>
    <w:rsid w:val="4E061402"/>
    <w:rsid w:val="4E075D8A"/>
    <w:rsid w:val="4E745D37"/>
    <w:rsid w:val="4EA8070C"/>
    <w:rsid w:val="4EBB043F"/>
    <w:rsid w:val="4EC00FAD"/>
    <w:rsid w:val="4F9843DC"/>
    <w:rsid w:val="4FB04C8D"/>
    <w:rsid w:val="4FC62A8C"/>
    <w:rsid w:val="4FE20F0D"/>
    <w:rsid w:val="4FE51552"/>
    <w:rsid w:val="50504C4B"/>
    <w:rsid w:val="50655058"/>
    <w:rsid w:val="507A5CF2"/>
    <w:rsid w:val="509C6E7C"/>
    <w:rsid w:val="50C76EAB"/>
    <w:rsid w:val="5162104E"/>
    <w:rsid w:val="519149D8"/>
    <w:rsid w:val="51BD6E52"/>
    <w:rsid w:val="51CA6F02"/>
    <w:rsid w:val="52303ABE"/>
    <w:rsid w:val="52934605"/>
    <w:rsid w:val="52994D0A"/>
    <w:rsid w:val="532D11DF"/>
    <w:rsid w:val="539241F5"/>
    <w:rsid w:val="53A039CC"/>
    <w:rsid w:val="53A1505A"/>
    <w:rsid w:val="53AD703B"/>
    <w:rsid w:val="54063E08"/>
    <w:rsid w:val="543437E8"/>
    <w:rsid w:val="54A749AC"/>
    <w:rsid w:val="54F73313"/>
    <w:rsid w:val="54F80955"/>
    <w:rsid w:val="555170A7"/>
    <w:rsid w:val="55734E19"/>
    <w:rsid w:val="55785589"/>
    <w:rsid w:val="5587536D"/>
    <w:rsid w:val="559B174B"/>
    <w:rsid w:val="55CE0CF4"/>
    <w:rsid w:val="55D61BAC"/>
    <w:rsid w:val="56A93273"/>
    <w:rsid w:val="56B22A9C"/>
    <w:rsid w:val="57B72A76"/>
    <w:rsid w:val="57C3426C"/>
    <w:rsid w:val="57CE1F93"/>
    <w:rsid w:val="588743D1"/>
    <w:rsid w:val="5887701A"/>
    <w:rsid w:val="5889510A"/>
    <w:rsid w:val="59C0439F"/>
    <w:rsid w:val="5ABE2233"/>
    <w:rsid w:val="5B3B58B6"/>
    <w:rsid w:val="5BDF5D95"/>
    <w:rsid w:val="5BFE7528"/>
    <w:rsid w:val="5C9D45EC"/>
    <w:rsid w:val="5CCD74F1"/>
    <w:rsid w:val="5CE46DB3"/>
    <w:rsid w:val="5D5C1E17"/>
    <w:rsid w:val="5D717DEF"/>
    <w:rsid w:val="5DF474C9"/>
    <w:rsid w:val="5E2467F1"/>
    <w:rsid w:val="5E273154"/>
    <w:rsid w:val="5E4F0709"/>
    <w:rsid w:val="5E965375"/>
    <w:rsid w:val="5F1A2B43"/>
    <w:rsid w:val="5F6146EB"/>
    <w:rsid w:val="5F6664B4"/>
    <w:rsid w:val="5FB837BB"/>
    <w:rsid w:val="5FE91459"/>
    <w:rsid w:val="60630DE6"/>
    <w:rsid w:val="60C84CB3"/>
    <w:rsid w:val="60CC405A"/>
    <w:rsid w:val="610F6AD4"/>
    <w:rsid w:val="6138446C"/>
    <w:rsid w:val="61E215D8"/>
    <w:rsid w:val="621B3775"/>
    <w:rsid w:val="62364782"/>
    <w:rsid w:val="623F023C"/>
    <w:rsid w:val="62637551"/>
    <w:rsid w:val="629F6FB6"/>
    <w:rsid w:val="6394356A"/>
    <w:rsid w:val="63C61B2C"/>
    <w:rsid w:val="63D40BE9"/>
    <w:rsid w:val="64102431"/>
    <w:rsid w:val="64177A6E"/>
    <w:rsid w:val="641B7CD8"/>
    <w:rsid w:val="6429154F"/>
    <w:rsid w:val="648C0618"/>
    <w:rsid w:val="64A5243A"/>
    <w:rsid w:val="64F531DE"/>
    <w:rsid w:val="65373578"/>
    <w:rsid w:val="65A75ABB"/>
    <w:rsid w:val="6648504B"/>
    <w:rsid w:val="665E1984"/>
    <w:rsid w:val="667258CB"/>
    <w:rsid w:val="669B4986"/>
    <w:rsid w:val="66C7577B"/>
    <w:rsid w:val="66D92B01"/>
    <w:rsid w:val="671F124A"/>
    <w:rsid w:val="677A33C6"/>
    <w:rsid w:val="681F6961"/>
    <w:rsid w:val="68556443"/>
    <w:rsid w:val="68610A2F"/>
    <w:rsid w:val="68805514"/>
    <w:rsid w:val="68B44968"/>
    <w:rsid w:val="690C3919"/>
    <w:rsid w:val="69316E2F"/>
    <w:rsid w:val="694E2071"/>
    <w:rsid w:val="69766163"/>
    <w:rsid w:val="697A3B33"/>
    <w:rsid w:val="69D44760"/>
    <w:rsid w:val="69DD49C8"/>
    <w:rsid w:val="6A520EC7"/>
    <w:rsid w:val="6A651910"/>
    <w:rsid w:val="6A84533B"/>
    <w:rsid w:val="6A8D0A8A"/>
    <w:rsid w:val="6AF87E20"/>
    <w:rsid w:val="6B235F2E"/>
    <w:rsid w:val="6B2D54C2"/>
    <w:rsid w:val="6B322639"/>
    <w:rsid w:val="6B4622EA"/>
    <w:rsid w:val="6BA106D7"/>
    <w:rsid w:val="6BCE2E4D"/>
    <w:rsid w:val="6BF121F9"/>
    <w:rsid w:val="6C1E0D54"/>
    <w:rsid w:val="6C636C38"/>
    <w:rsid w:val="6C7517D5"/>
    <w:rsid w:val="6DB34098"/>
    <w:rsid w:val="6DB545B6"/>
    <w:rsid w:val="6DE02FB4"/>
    <w:rsid w:val="6DEE04E9"/>
    <w:rsid w:val="6E514CED"/>
    <w:rsid w:val="6EB563D5"/>
    <w:rsid w:val="6EC12E29"/>
    <w:rsid w:val="6ED92677"/>
    <w:rsid w:val="6F225983"/>
    <w:rsid w:val="6F350BD1"/>
    <w:rsid w:val="6F63625D"/>
    <w:rsid w:val="6FC47668"/>
    <w:rsid w:val="6FD361E7"/>
    <w:rsid w:val="6FFC5590"/>
    <w:rsid w:val="700953A5"/>
    <w:rsid w:val="705D39B8"/>
    <w:rsid w:val="706D1DD0"/>
    <w:rsid w:val="707A1AB0"/>
    <w:rsid w:val="70856B87"/>
    <w:rsid w:val="70986E39"/>
    <w:rsid w:val="70D527EE"/>
    <w:rsid w:val="71115DBA"/>
    <w:rsid w:val="71227302"/>
    <w:rsid w:val="715B5300"/>
    <w:rsid w:val="71940C37"/>
    <w:rsid w:val="71D27F8A"/>
    <w:rsid w:val="71F74F7A"/>
    <w:rsid w:val="72553024"/>
    <w:rsid w:val="725F0F5E"/>
    <w:rsid w:val="729C7BD1"/>
    <w:rsid w:val="72C66C8F"/>
    <w:rsid w:val="730218E9"/>
    <w:rsid w:val="73122968"/>
    <w:rsid w:val="731F5D5E"/>
    <w:rsid w:val="733C304D"/>
    <w:rsid w:val="73C51AD5"/>
    <w:rsid w:val="73D83E6F"/>
    <w:rsid w:val="740873D3"/>
    <w:rsid w:val="7419338E"/>
    <w:rsid w:val="741E793C"/>
    <w:rsid w:val="74216636"/>
    <w:rsid w:val="743D2B70"/>
    <w:rsid w:val="745E3944"/>
    <w:rsid w:val="74FC2C3C"/>
    <w:rsid w:val="7635099D"/>
    <w:rsid w:val="769C0012"/>
    <w:rsid w:val="76AD110F"/>
    <w:rsid w:val="775B7475"/>
    <w:rsid w:val="776E5840"/>
    <w:rsid w:val="77762421"/>
    <w:rsid w:val="77A90757"/>
    <w:rsid w:val="77B358A8"/>
    <w:rsid w:val="77B56B1F"/>
    <w:rsid w:val="77BF1E80"/>
    <w:rsid w:val="77FE4D75"/>
    <w:rsid w:val="780F09F4"/>
    <w:rsid w:val="78171D1F"/>
    <w:rsid w:val="781C51FB"/>
    <w:rsid w:val="78997A19"/>
    <w:rsid w:val="78A90480"/>
    <w:rsid w:val="78CC3AA4"/>
    <w:rsid w:val="79A8143C"/>
    <w:rsid w:val="7A0B3779"/>
    <w:rsid w:val="7A364017"/>
    <w:rsid w:val="7A8265E1"/>
    <w:rsid w:val="7A88509C"/>
    <w:rsid w:val="7AC51B7A"/>
    <w:rsid w:val="7B451E91"/>
    <w:rsid w:val="7B686D42"/>
    <w:rsid w:val="7B841746"/>
    <w:rsid w:val="7B851459"/>
    <w:rsid w:val="7C232FFC"/>
    <w:rsid w:val="7C6C58C7"/>
    <w:rsid w:val="7C6C5AC7"/>
    <w:rsid w:val="7CC6544B"/>
    <w:rsid w:val="7CCA791B"/>
    <w:rsid w:val="7CE81B50"/>
    <w:rsid w:val="7D0239FF"/>
    <w:rsid w:val="7D5E40CD"/>
    <w:rsid w:val="7D5E5AE8"/>
    <w:rsid w:val="7D973746"/>
    <w:rsid w:val="7DCB7B82"/>
    <w:rsid w:val="7DCD56F2"/>
    <w:rsid w:val="7E01111B"/>
    <w:rsid w:val="7E9E7872"/>
    <w:rsid w:val="7EA56700"/>
    <w:rsid w:val="7F001CE7"/>
    <w:rsid w:val="7F120A41"/>
    <w:rsid w:val="7F241346"/>
    <w:rsid w:val="7F8F40DF"/>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3"/>
        <o:r id="V:Rule2" type="connector" idref="#直接箭头连接符 25"/>
        <o:r id="V:Rule3" type="connector" idref="#直接箭头连接符 18"/>
        <o:r id="V:Rule4" type="connector" idref="#直接箭头连接符 20"/>
        <o:r id="V:Rule5" type="connector" idref="#直接箭头连接符 16"/>
        <o:r id="V:Rule6" type="connector" idref="#直接箭头连接符 14"/>
        <o:r id="V:Rule7" type="connector" idref="#直接箭头连接符 12"/>
        <o:r id="V:Rule8" type="connector" idref="#直接箭头连接符 11"/>
        <o:r id="V:Rule9" type="connector" idref="#直接箭头连接符 7"/>
        <o:r id="V:Rule10" type="connector" idref="#直接箭头连接符 4"/>
        <o:r id="V:Rule11" type="connector" idref="#直接箭头连接符 8"/>
      </o:rules>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iPriority="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99"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2"/>
    <w:basedOn w:val="1"/>
    <w:next w:val="1"/>
    <w:qFormat/>
    <w:locked/>
    <w:uiPriority w:val="0"/>
    <w:pPr>
      <w:keepNext/>
      <w:keepLines/>
      <w:spacing w:before="260" w:after="260" w:line="413" w:lineRule="auto"/>
      <w:outlineLvl w:val="1"/>
    </w:pPr>
    <w:rPr>
      <w:rFonts w:ascii="Arial" w:hAnsi="Arial" w:eastAsia="黑体"/>
      <w:b/>
      <w:bCs/>
      <w:sz w:val="32"/>
      <w:szCs w:val="32"/>
    </w:rPr>
  </w:style>
  <w:style w:type="paragraph" w:styleId="5">
    <w:name w:val="heading 4"/>
    <w:basedOn w:val="1"/>
    <w:next w:val="1"/>
    <w:unhideWhenUsed/>
    <w:qFormat/>
    <w:locked/>
    <w:uiPriority w:val="9"/>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1"/>
    <w:qFormat/>
    <w:uiPriority w:val="0"/>
    <w:pPr>
      <w:widowControl/>
      <w:snapToGrid w:val="0"/>
      <w:spacing w:before="60" w:after="160" w:line="259" w:lineRule="auto"/>
      <w:ind w:right="113"/>
    </w:pPr>
    <w:rPr>
      <w:kern w:val="0"/>
      <w:sz w:val="18"/>
      <w:szCs w:val="20"/>
    </w:rPr>
  </w:style>
  <w:style w:type="paragraph" w:styleId="6">
    <w:name w:val="annotation text"/>
    <w:basedOn w:val="1"/>
    <w:link w:val="32"/>
    <w:semiHidden/>
    <w:qFormat/>
    <w:uiPriority w:val="0"/>
    <w:pPr>
      <w:jc w:val="left"/>
    </w:pPr>
    <w:rPr>
      <w:kern w:val="0"/>
      <w:sz w:val="24"/>
      <w:szCs w:val="20"/>
    </w:rPr>
  </w:style>
  <w:style w:type="paragraph" w:styleId="7">
    <w:name w:val="Body Text Indent"/>
    <w:basedOn w:val="1"/>
    <w:next w:val="8"/>
    <w:link w:val="33"/>
    <w:qFormat/>
    <w:uiPriority w:val="0"/>
    <w:pPr>
      <w:spacing w:after="120"/>
      <w:ind w:left="420" w:leftChars="200"/>
    </w:pPr>
    <w:rPr>
      <w:kern w:val="0"/>
      <w:sz w:val="24"/>
      <w:szCs w:val="20"/>
    </w:rPr>
  </w:style>
  <w:style w:type="paragraph" w:styleId="8">
    <w:name w:val="Body Text Indent 2"/>
    <w:basedOn w:val="1"/>
    <w:next w:val="1"/>
    <w:qFormat/>
    <w:locked/>
    <w:uiPriority w:val="0"/>
    <w:pPr>
      <w:spacing w:after="120" w:line="480" w:lineRule="auto"/>
      <w:ind w:left="420" w:leftChars="200"/>
    </w:pPr>
  </w:style>
  <w:style w:type="paragraph" w:styleId="9">
    <w:name w:val="Plain Text"/>
    <w:basedOn w:val="1"/>
    <w:qFormat/>
    <w:locked/>
    <w:uiPriority w:val="0"/>
    <w:rPr>
      <w:rFonts w:ascii="宋体" w:hAnsi="Courier New"/>
    </w:rPr>
  </w:style>
  <w:style w:type="paragraph" w:styleId="10">
    <w:name w:val="Date"/>
    <w:basedOn w:val="1"/>
    <w:next w:val="1"/>
    <w:link w:val="34"/>
    <w:qFormat/>
    <w:uiPriority w:val="0"/>
    <w:pPr>
      <w:ind w:left="100" w:leftChars="2500"/>
    </w:pPr>
    <w:rPr>
      <w:kern w:val="0"/>
      <w:sz w:val="24"/>
      <w:szCs w:val="20"/>
    </w:rPr>
  </w:style>
  <w:style w:type="paragraph" w:styleId="11">
    <w:name w:val="Balloon Text"/>
    <w:basedOn w:val="1"/>
    <w:link w:val="35"/>
    <w:semiHidden/>
    <w:qFormat/>
    <w:uiPriority w:val="0"/>
    <w:rPr>
      <w:kern w:val="0"/>
      <w:sz w:val="18"/>
      <w:szCs w:val="20"/>
    </w:rPr>
  </w:style>
  <w:style w:type="paragraph" w:styleId="12">
    <w:name w:val="footer"/>
    <w:basedOn w:val="1"/>
    <w:link w:val="36"/>
    <w:qFormat/>
    <w:uiPriority w:val="99"/>
    <w:pPr>
      <w:tabs>
        <w:tab w:val="center" w:pos="4153"/>
        <w:tab w:val="right" w:pos="8306"/>
      </w:tabs>
      <w:snapToGrid w:val="0"/>
      <w:jc w:val="left"/>
    </w:pPr>
    <w:rPr>
      <w:kern w:val="0"/>
      <w:sz w:val="18"/>
      <w:szCs w:val="20"/>
    </w:rPr>
  </w:style>
  <w:style w:type="paragraph" w:styleId="13">
    <w:name w:val="header"/>
    <w:basedOn w:val="1"/>
    <w:link w:val="37"/>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qFormat/>
    <w:locked/>
    <w:uiPriority w:val="0"/>
  </w:style>
  <w:style w:type="paragraph" w:styleId="15">
    <w:name w:val="index heading"/>
    <w:basedOn w:val="1"/>
    <w:next w:val="16"/>
    <w:qFormat/>
    <w:locked/>
    <w:uiPriority w:val="99"/>
    <w:rPr>
      <w:szCs w:val="20"/>
    </w:rPr>
  </w:style>
  <w:style w:type="paragraph" w:styleId="16">
    <w:name w:val="index 1"/>
    <w:basedOn w:val="1"/>
    <w:next w:val="1"/>
    <w:unhideWhenUsed/>
    <w:qFormat/>
    <w:locked/>
    <w:uiPriority w:val="0"/>
  </w:style>
  <w:style w:type="paragraph" w:styleId="17">
    <w:name w:val="Normal (Web)"/>
    <w:basedOn w:val="1"/>
    <w:link w:val="38"/>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6"/>
    <w:next w:val="6"/>
    <w:link w:val="39"/>
    <w:semiHidden/>
    <w:qFormat/>
    <w:uiPriority w:val="0"/>
    <w:rPr>
      <w:b/>
    </w:rPr>
  </w:style>
  <w:style w:type="paragraph" w:styleId="19">
    <w:name w:val="Body Text First Indent"/>
    <w:basedOn w:val="2"/>
    <w:next w:val="1"/>
    <w:qFormat/>
    <w:locked/>
    <w:uiPriority w:val="0"/>
    <w:pPr>
      <w:widowControl w:val="0"/>
      <w:snapToGrid/>
      <w:spacing w:before="0" w:after="120" w:line="240" w:lineRule="auto"/>
      <w:ind w:right="0" w:firstLine="420" w:firstLineChars="100"/>
    </w:pPr>
    <w:rPr>
      <w:kern w:val="2"/>
      <w:sz w:val="21"/>
      <w:szCs w:val="24"/>
    </w:rPr>
  </w:style>
  <w:style w:type="paragraph" w:styleId="20">
    <w:name w:val="Body Text First Indent 2"/>
    <w:basedOn w:val="7"/>
    <w:next w:val="1"/>
    <w:qFormat/>
    <w:locked/>
    <w:uiPriority w:val="0"/>
    <w:pPr>
      <w:ind w:firstLine="420" w:firstLineChars="200"/>
    </w:pPr>
    <w:rPr>
      <w:kern w:val="2"/>
      <w:sz w:val="21"/>
      <w:szCs w:val="24"/>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locked/>
    <w:uiPriority w:val="0"/>
  </w:style>
  <w:style w:type="character" w:styleId="25">
    <w:name w:val="Hyperlink"/>
    <w:qFormat/>
    <w:locked/>
    <w:uiPriority w:val="0"/>
    <w:rPr>
      <w:color w:val="0000FF"/>
      <w:u w:val="single"/>
    </w:rPr>
  </w:style>
  <w:style w:type="character" w:styleId="26">
    <w:name w:val="annotation reference"/>
    <w:semiHidden/>
    <w:qFormat/>
    <w:uiPriority w:val="0"/>
    <w:rPr>
      <w:sz w:val="21"/>
    </w:rPr>
  </w:style>
  <w:style w:type="paragraph" w:customStyle="1" w:styleId="27">
    <w:name w:val="Default"/>
    <w:basedOn w:val="28"/>
    <w:next w:val="29"/>
    <w:qFormat/>
    <w:uiPriority w:val="0"/>
    <w:pPr>
      <w:autoSpaceDE w:val="0"/>
      <w:autoSpaceDN w:val="0"/>
      <w:adjustRightInd w:val="0"/>
      <w:jc w:val="left"/>
    </w:pPr>
    <w:rPr>
      <w:rFonts w:hAnsi="宋体" w:cs="宋体"/>
      <w:color w:val="000000"/>
      <w:kern w:val="0"/>
      <w:sz w:val="24"/>
    </w:rPr>
  </w:style>
  <w:style w:type="paragraph" w:customStyle="1" w:styleId="28">
    <w:name w:val="纯文本1"/>
    <w:basedOn w:val="1"/>
    <w:qFormat/>
    <w:uiPriority w:val="0"/>
    <w:rPr>
      <w:rFonts w:ascii="宋体" w:hAnsi="Courier New"/>
    </w:rPr>
  </w:style>
  <w:style w:type="paragraph" w:customStyle="1" w:styleId="29">
    <w:name w:val="样式1"/>
    <w:basedOn w:val="15"/>
    <w:next w:val="1"/>
    <w:qFormat/>
    <w:uiPriority w:val="0"/>
    <w:pPr>
      <w:spacing w:beforeLines="50" w:line="440" w:lineRule="exact"/>
      <w:ind w:left="100" w:leftChars="100"/>
    </w:pPr>
    <w:rPr>
      <w:rFonts w:ascii="宋体" w:hAnsi="宋体"/>
    </w:rPr>
  </w:style>
  <w:style w:type="paragraph" w:customStyle="1" w:styleId="30">
    <w:name w:val="xl27"/>
    <w:basedOn w:val="1"/>
    <w:next w:val="8"/>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eastAsia="新宋体-18030" w:cs="新宋体-18030"/>
      <w:kern w:val="0"/>
      <w:sz w:val="24"/>
    </w:rPr>
  </w:style>
  <w:style w:type="character" w:customStyle="1" w:styleId="31">
    <w:name w:val="正文文本 Char"/>
    <w:link w:val="2"/>
    <w:qFormat/>
    <w:locked/>
    <w:uiPriority w:val="0"/>
    <w:rPr>
      <w:sz w:val="18"/>
    </w:rPr>
  </w:style>
  <w:style w:type="character" w:customStyle="1" w:styleId="32">
    <w:name w:val="批注文字 Char"/>
    <w:link w:val="6"/>
    <w:qFormat/>
    <w:locked/>
    <w:uiPriority w:val="0"/>
    <w:rPr>
      <w:rFonts w:ascii="Times New Roman" w:hAnsi="Times New Roman" w:eastAsia="宋体"/>
      <w:sz w:val="24"/>
    </w:rPr>
  </w:style>
  <w:style w:type="character" w:customStyle="1" w:styleId="33">
    <w:name w:val="正文文本缩进 Char"/>
    <w:link w:val="7"/>
    <w:semiHidden/>
    <w:qFormat/>
    <w:locked/>
    <w:uiPriority w:val="0"/>
    <w:rPr>
      <w:rFonts w:ascii="Times New Roman" w:hAnsi="Times New Roman" w:eastAsia="宋体"/>
      <w:sz w:val="24"/>
    </w:rPr>
  </w:style>
  <w:style w:type="character" w:customStyle="1" w:styleId="34">
    <w:name w:val="日期 Char"/>
    <w:link w:val="10"/>
    <w:qFormat/>
    <w:locked/>
    <w:uiPriority w:val="0"/>
    <w:rPr>
      <w:rFonts w:ascii="Times New Roman" w:hAnsi="Times New Roman" w:eastAsia="宋体"/>
      <w:sz w:val="24"/>
    </w:rPr>
  </w:style>
  <w:style w:type="character" w:customStyle="1" w:styleId="35">
    <w:name w:val="批注框文本 Char"/>
    <w:link w:val="11"/>
    <w:semiHidden/>
    <w:qFormat/>
    <w:locked/>
    <w:uiPriority w:val="0"/>
    <w:rPr>
      <w:rFonts w:ascii="Times New Roman" w:hAnsi="Times New Roman" w:eastAsia="宋体"/>
      <w:sz w:val="18"/>
    </w:rPr>
  </w:style>
  <w:style w:type="character" w:customStyle="1" w:styleId="36">
    <w:name w:val="页脚 Char"/>
    <w:link w:val="12"/>
    <w:qFormat/>
    <w:locked/>
    <w:uiPriority w:val="99"/>
    <w:rPr>
      <w:sz w:val="18"/>
    </w:rPr>
  </w:style>
  <w:style w:type="character" w:customStyle="1" w:styleId="37">
    <w:name w:val="页眉 Char"/>
    <w:link w:val="13"/>
    <w:qFormat/>
    <w:locked/>
    <w:uiPriority w:val="0"/>
    <w:rPr>
      <w:sz w:val="18"/>
    </w:rPr>
  </w:style>
  <w:style w:type="character" w:customStyle="1" w:styleId="38">
    <w:name w:val="普通(网站) Char"/>
    <w:link w:val="17"/>
    <w:qFormat/>
    <w:locked/>
    <w:uiPriority w:val="0"/>
    <w:rPr>
      <w:rFonts w:ascii="宋体" w:hAnsi="宋体" w:eastAsia="宋体"/>
      <w:sz w:val="24"/>
    </w:rPr>
  </w:style>
  <w:style w:type="character" w:customStyle="1" w:styleId="39">
    <w:name w:val="批注主题 Char"/>
    <w:link w:val="18"/>
    <w:semiHidden/>
    <w:qFormat/>
    <w:locked/>
    <w:uiPriority w:val="0"/>
    <w:rPr>
      <w:rFonts w:ascii="Times New Roman" w:hAnsi="Times New Roman" w:eastAsia="宋体"/>
      <w:b/>
      <w:kern w:val="2"/>
      <w:sz w:val="24"/>
    </w:rPr>
  </w:style>
  <w:style w:type="character" w:customStyle="1" w:styleId="40">
    <w:name w:val="批注文字 字符1"/>
    <w:semiHidden/>
    <w:qFormat/>
    <w:uiPriority w:val="0"/>
    <w:rPr>
      <w:rFonts w:ascii="Times New Roman" w:hAnsi="Times New Roman" w:eastAsia="宋体"/>
      <w:sz w:val="24"/>
    </w:rPr>
  </w:style>
  <w:style w:type="character" w:customStyle="1" w:styleId="41">
    <w:name w:val="页脚 字符"/>
    <w:basedOn w:val="23"/>
    <w:qFormat/>
    <w:uiPriority w:val="99"/>
  </w:style>
  <w:style w:type="character" w:customStyle="1" w:styleId="42">
    <w:name w:val="正文文本 字符1"/>
    <w:semiHidden/>
    <w:qFormat/>
    <w:uiPriority w:val="0"/>
    <w:rPr>
      <w:rFonts w:ascii="Times New Roman" w:hAnsi="Times New Roman" w:eastAsia="宋体"/>
      <w:sz w:val="24"/>
    </w:rPr>
  </w:style>
  <w:style w:type="character" w:customStyle="1" w:styleId="43">
    <w:name w:val="表格 Char"/>
    <w:link w:val="44"/>
    <w:qFormat/>
    <w:locked/>
    <w:uiPriority w:val="0"/>
    <w:rPr>
      <w:rFonts w:ascii="宋体"/>
      <w:sz w:val="21"/>
    </w:rPr>
  </w:style>
  <w:style w:type="paragraph" w:customStyle="1" w:styleId="44">
    <w:name w:val="表格"/>
    <w:basedOn w:val="1"/>
    <w:next w:val="1"/>
    <w:link w:val="43"/>
    <w:qFormat/>
    <w:uiPriority w:val="0"/>
    <w:pPr>
      <w:adjustRightInd w:val="0"/>
      <w:snapToGrid w:val="0"/>
      <w:spacing w:beforeLines="10" w:afterLines="10" w:line="259" w:lineRule="auto"/>
      <w:jc w:val="center"/>
    </w:pPr>
    <w:rPr>
      <w:rFonts w:ascii="宋体"/>
      <w:kern w:val="0"/>
      <w:szCs w:val="20"/>
    </w:rPr>
  </w:style>
  <w:style w:type="character" w:customStyle="1" w:styleId="45">
    <w:name w:val="日期 字符"/>
    <w:semiHidden/>
    <w:qFormat/>
    <w:uiPriority w:val="0"/>
    <w:rPr>
      <w:rFonts w:ascii="Times New Roman" w:hAnsi="Times New Roman" w:eastAsia="宋体"/>
      <w:sz w:val="24"/>
    </w:rPr>
  </w:style>
  <w:style w:type="paragraph" w:customStyle="1" w:styleId="46">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普通(网站)2"/>
    <w:basedOn w:val="1"/>
    <w:qFormat/>
    <w:uiPriority w:val="0"/>
    <w:pPr>
      <w:widowControl/>
      <w:spacing w:before="100" w:beforeAutospacing="1" w:after="100" w:afterAutospacing="1"/>
      <w:jc w:val="left"/>
    </w:pPr>
    <w:rPr>
      <w:rFonts w:ascii="宋体" w:hAnsi="宋体"/>
      <w:sz w:val="24"/>
      <w:szCs w:val="20"/>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正文缩进2"/>
    <w:basedOn w:val="1"/>
    <w:qFormat/>
    <w:uiPriority w:val="0"/>
    <w:pPr>
      <w:ind w:firstLine="420"/>
    </w:pPr>
    <w:rPr>
      <w:sz w:val="24"/>
    </w:rPr>
  </w:style>
  <w:style w:type="paragraph" w:customStyle="1" w:styleId="50">
    <w:name w:val="表格 32"/>
    <w:basedOn w:val="1"/>
    <w:qFormat/>
    <w:uiPriority w:val="0"/>
    <w:pPr>
      <w:autoSpaceDE w:val="0"/>
      <w:autoSpaceDN w:val="0"/>
      <w:adjustRightInd w:val="0"/>
      <w:jc w:val="center"/>
      <w:textAlignment w:val="baseline"/>
    </w:pPr>
    <w:rPr>
      <w:rFonts w:ascii="宋体" w:hAnsi="Impact"/>
      <w:kern w:val="24"/>
      <w:sz w:val="24"/>
      <w:szCs w:val="20"/>
    </w:rPr>
  </w:style>
  <w:style w:type="paragraph" w:customStyle="1" w:styleId="51">
    <w:name w:val="标准正文"/>
    <w:basedOn w:val="1"/>
    <w:qFormat/>
    <w:uiPriority w:val="0"/>
    <w:pPr>
      <w:spacing w:line="360" w:lineRule="auto"/>
      <w:ind w:firstLine="480" w:firstLineChars="200"/>
    </w:pPr>
    <w:rPr>
      <w:sz w:val="24"/>
    </w:rPr>
  </w:style>
  <w:style w:type="paragraph" w:customStyle="1" w:styleId="52">
    <w:name w:val="永环图标标题格式"/>
    <w:basedOn w:val="1"/>
    <w:qFormat/>
    <w:uiPriority w:val="0"/>
    <w:pPr>
      <w:spacing w:beforeLines="20" w:afterLines="20" w:line="560" w:lineRule="exact"/>
      <w:jc w:val="center"/>
    </w:pPr>
    <w:rPr>
      <w:rFonts w:eastAsia="黑体"/>
      <w:bCs/>
      <w:sz w:val="24"/>
    </w:rPr>
  </w:style>
  <w:style w:type="paragraph" w:customStyle="1" w:styleId="53">
    <w:name w:val="Default2"/>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4">
    <w:name w:val="Char1"/>
    <w:basedOn w:val="1"/>
    <w:qFormat/>
    <w:uiPriority w:val="0"/>
    <w:rPr>
      <w:sz w:val="24"/>
    </w:rPr>
  </w:style>
  <w:style w:type="paragraph" w:customStyle="1" w:styleId="55">
    <w:name w:val="文章正文样式"/>
    <w:basedOn w:val="1"/>
    <w:qFormat/>
    <w:uiPriority w:val="0"/>
    <w:pPr>
      <w:spacing w:line="520" w:lineRule="exact"/>
      <w:ind w:firstLine="480" w:firstLineChars="200"/>
      <w:jc w:val="left"/>
    </w:pPr>
    <w:rPr>
      <w:rFonts w:ascii="宋体" w:hAnsi="宋体"/>
      <w:sz w:val="24"/>
    </w:rPr>
  </w:style>
  <w:style w:type="paragraph" w:styleId="56">
    <w:name w:val="List Paragraph"/>
    <w:basedOn w:val="1"/>
    <w:qFormat/>
    <w:uiPriority w:val="99"/>
    <w:pPr>
      <w:ind w:firstLine="420" w:firstLineChars="200"/>
    </w:pPr>
  </w:style>
  <w:style w:type="paragraph" w:customStyle="1" w:styleId="57">
    <w:name w:val="表格文字"/>
    <w:basedOn w:val="19"/>
    <w:qFormat/>
    <w:uiPriority w:val="0"/>
    <w:pPr>
      <w:adjustRightInd w:val="0"/>
      <w:snapToGrid w:val="0"/>
      <w:spacing w:beforeLines="50" w:after="0" w:line="360" w:lineRule="auto"/>
      <w:ind w:firstLine="200" w:firstLineChars="200"/>
      <w:jc w:val="center"/>
      <w:textAlignment w:val="center"/>
    </w:pPr>
  </w:style>
  <w:style w:type="paragraph" w:customStyle="1" w:styleId="58">
    <w:name w:val="样式 样式 首行缩进:  2 字符 + 首行缩进:  2 字符"/>
    <w:basedOn w:val="1"/>
    <w:next w:val="14"/>
    <w:qFormat/>
    <w:uiPriority w:val="0"/>
    <w:pPr>
      <w:snapToGrid w:val="0"/>
      <w:spacing w:line="360" w:lineRule="auto"/>
      <w:ind w:firstLine="560" w:firstLineChars="200"/>
    </w:pPr>
    <w:rPr>
      <w:sz w:val="28"/>
    </w:rPr>
  </w:style>
  <w:style w:type="paragraph" w:customStyle="1" w:styleId="59">
    <w:name w:val="Table Paragraph"/>
    <w:basedOn w:val="1"/>
    <w:qFormat/>
    <w:uiPriority w:val="1"/>
    <w:rPr>
      <w:rFonts w:ascii="宋体" w:hAnsi="宋体" w:cs="宋体"/>
      <w:lang w:val="zh-CN" w:bidi="zh-CN"/>
    </w:rPr>
  </w:style>
  <w:style w:type="paragraph" w:customStyle="1" w:styleId="60">
    <w:name w:val="p0"/>
    <w:basedOn w:val="1"/>
    <w:qFormat/>
    <w:uiPriority w:val="0"/>
    <w:pPr>
      <w:widowControl/>
    </w:pPr>
    <w:rPr>
      <w:kern w:val="0"/>
      <w:sz w:val="21"/>
      <w:szCs w:val="21"/>
    </w:rPr>
  </w:style>
  <w:style w:type="paragraph" w:customStyle="1" w:styleId="61">
    <w:name w:val="表头"/>
    <w:basedOn w:val="1"/>
    <w:qFormat/>
    <w:uiPriority w:val="1"/>
    <w:pPr>
      <w:spacing w:line="240" w:lineRule="auto"/>
      <w:ind w:firstLine="0" w:firstLineChars="0"/>
      <w:jc w:val="center"/>
      <w:outlineLvl w:val="3"/>
    </w:pPr>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49"/>
    <customShpInfo spid="_x0000_s1055"/>
    <customShpInfo spid="_x0000_s1050"/>
    <customShpInfo spid="_x0000_s1051"/>
    <customShpInfo spid="_x0000_s1052"/>
    <customShpInfo spid="_x0000_s1056"/>
    <customShpInfo spid="_x0000_s1071"/>
    <customShpInfo spid="_x0000_s1063"/>
    <customShpInfo spid="_x0000_s1070"/>
    <customShpInfo spid="_x0000_s1069"/>
    <customShpInfo spid="_x0000_s1065"/>
    <customShpInfo spid="_x0000_s1067"/>
    <customShpInfo spid="_x0000_s1064"/>
    <customShpInfo spid="_x0000_s1068"/>
    <customShpInfo spid="_x0000_s1066"/>
    <customShpInfo spid="_x0000_s1062"/>
    <customShpInfo spid="_x0000_s1059"/>
    <customShpInfo spid="_x0000_s1058"/>
    <customShpInfo spid="_x0000_s1061"/>
    <customShpInfo spid="_x0000_s1054"/>
    <customShpInfo spid="_x0000_s1057"/>
    <customShpInfo spid="_x0000_s1053"/>
    <customShpInfo spid="_x0000_s1060"/>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56</Pages>
  <Words>32402</Words>
  <Characters>36579</Characters>
  <Lines>228</Lines>
  <Paragraphs>64</Paragraphs>
  <TotalTime>5</TotalTime>
  <ScaleCrop>false</ScaleCrop>
  <LinksUpToDate>false</LinksUpToDate>
  <CharactersWithSpaces>37155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Administrator</dc:creator>
  <cp:lastModifiedBy>Administrator</cp:lastModifiedBy>
  <cp:lastPrinted>2022-12-07T00:47:00Z</cp:lastPrinted>
  <dcterms:modified xsi:type="dcterms:W3CDTF">2023-04-10T03:36:25Z</dcterms:modified>
  <dc:title>建设项目环境影响报告表（污染影响类-填写指南）</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F8CD8E36770D4DD5BDF8CCD898B51723</vt:lpwstr>
  </property>
</Properties>
</file>