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2021年度益阳市生态环境保护综合行政</w:t>
      </w: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执法支队整体支出绩效自评报告</w:t>
      </w:r>
    </w:p>
    <w:p>
      <w:pPr>
        <w:keepNext w:val="0"/>
        <w:keepLines w:val="0"/>
        <w:pageBreakBefore w:val="0"/>
        <w:widowControl w:val="0"/>
        <w:kinsoku/>
        <w:wordWrap/>
        <w:overflowPunct/>
        <w:topLinePunct w:val="0"/>
        <w:autoSpaceDE/>
        <w:autoSpaceDN/>
        <w:bidi w:val="0"/>
        <w:adjustRightInd w:val="0"/>
        <w:snapToGrid w:val="0"/>
        <w:spacing w:line="700" w:lineRule="exact"/>
        <w:textAlignment w:val="auto"/>
        <w:rPr>
          <w:rFonts w:hint="default" w:ascii="Times New Roman" w:hAnsi="Times New Roman" w:eastAsia="仿宋" w:cs="Times New Roman"/>
          <w:sz w:val="36"/>
          <w:szCs w:val="36"/>
        </w:rPr>
      </w:pPr>
    </w:p>
    <w:p>
      <w:pPr>
        <w:keepNext w:val="0"/>
        <w:keepLines w:val="0"/>
        <w:pageBreakBefore w:val="0"/>
        <w:numPr>
          <w:ilvl w:val="0"/>
          <w:numId w:val="1"/>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szCs w:val="32"/>
        </w:rPr>
      </w:pPr>
      <w:r>
        <w:rPr>
          <w:rFonts w:hint="default" w:ascii="Times New Roman" w:hAnsi="Times New Roman" w:eastAsia="黑体" w:cs="Times New Roman"/>
          <w:szCs w:val="32"/>
        </w:rPr>
        <w:t>部门（单位）基本情况</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楷体" w:cs="Times New Roman"/>
          <w:szCs w:val="32"/>
        </w:rPr>
      </w:pPr>
      <w:r>
        <w:rPr>
          <w:rFonts w:hint="default" w:ascii="Times New Roman" w:hAnsi="Times New Roman" w:eastAsia="楷体" w:cs="Times New Roman"/>
          <w:szCs w:val="32"/>
        </w:rPr>
        <w:t>（一）主要职能</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Cs w:val="32"/>
        </w:rPr>
      </w:pPr>
      <w:r>
        <w:rPr>
          <w:rFonts w:hint="default" w:ascii="Times New Roman" w:hAnsi="Times New Roman" w:eastAsia="仿宋" w:cs="Times New Roman"/>
          <w:szCs w:val="32"/>
        </w:rPr>
        <w:t>益阳市生态环境保护综合行政执法支队以市生态环境局名依法统一行使污染防治、生态保护、核与辐射安全的行政处罚权以及与行政处罚相关的行政检查、行政强制权等执法职能。负责全市生态环境保护执法业务指导、组织协调和考核评价;负责制定执法标准规范,开展执法稽查和培训;负责全市重点污染源在线监控系统现场监督管理;负责受理生态环境保护举报(信访)和管理“12369”环保热线,转办、督办生态环境保护举报(信访)案件,组织对较大信访维稳事件的现场调查处置工作;负责生态环境市级执法事项和全市重大违法案件、跨区县(市)违法案件调查处理;负责组织协调生态环境保护跨部门联合执法行动;负责资阳区、赫山区、益阳高新区辖区生态环境违法案件调查处理。</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楷体" w:cs="Times New Roman"/>
          <w:szCs w:val="32"/>
        </w:rPr>
      </w:pPr>
      <w:r>
        <w:rPr>
          <w:rFonts w:hint="default" w:ascii="Times New Roman" w:hAnsi="Times New Roman" w:eastAsia="楷体" w:cs="Times New Roman"/>
          <w:szCs w:val="32"/>
        </w:rPr>
        <w:t>（二）人员情况</w:t>
      </w:r>
    </w:p>
    <w:p>
      <w:pPr>
        <w:pStyle w:val="2"/>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rPr>
      </w:pPr>
      <w:r>
        <w:rPr>
          <w:rFonts w:hint="default" w:ascii="Times New Roman" w:hAnsi="Times New Roman" w:eastAsia="仿宋" w:cs="Times New Roman"/>
        </w:rPr>
        <w:t>截至2021年12月31日，我单位编制人数76人，在职人数76人，退休人数15人。</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楷体" w:cs="Times New Roman"/>
          <w:szCs w:val="32"/>
        </w:rPr>
      </w:pPr>
      <w:r>
        <w:rPr>
          <w:rFonts w:hint="default" w:ascii="Times New Roman" w:hAnsi="Times New Roman" w:eastAsia="楷体" w:cs="Times New Roman"/>
          <w:szCs w:val="32"/>
        </w:rPr>
        <w:t>（三）内设机构情况</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Cs w:val="32"/>
        </w:rPr>
      </w:pPr>
      <w:r>
        <w:rPr>
          <w:rFonts w:hint="default" w:ascii="Times New Roman" w:hAnsi="Times New Roman" w:eastAsia="仿宋" w:cs="Times New Roman"/>
          <w:szCs w:val="32"/>
        </w:rPr>
        <w:t>益阳市生态环境保护综合行政执法支队设9个内设机构（均为副科级）：办公室、信访科、执法监督科、技术装备科、直属一大队、直属二大队、资阳大队、赫山大队、高新区大队。其中:资阳大队、赫山大队、高新区大队实行市生态环境保护综合行政执法支队和市生态环境局城区分局双重管理,以市生态环境保护综合行政执法支队管理为主的体制,驻市生态环境局城区分局办公。</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szCs w:val="32"/>
        </w:rPr>
      </w:pPr>
      <w:r>
        <w:rPr>
          <w:rFonts w:hint="default" w:ascii="Times New Roman" w:hAnsi="Times New Roman" w:eastAsia="黑体" w:cs="Times New Roman"/>
          <w:szCs w:val="32"/>
        </w:rPr>
        <w:t>二、一般公共预算支出情况</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楷体" w:cs="Times New Roman"/>
          <w:szCs w:val="32"/>
        </w:rPr>
      </w:pPr>
      <w:r>
        <w:rPr>
          <w:rFonts w:hint="default" w:ascii="Times New Roman" w:hAnsi="Times New Roman" w:eastAsia="楷体" w:cs="Times New Roman"/>
          <w:szCs w:val="32"/>
        </w:rPr>
        <w:t>（一）基本支出情况</w:t>
      </w:r>
    </w:p>
    <w:p>
      <w:pPr>
        <w:pStyle w:val="2"/>
        <w:keepNext w:val="0"/>
        <w:keepLines w:val="0"/>
        <w:pageBreakBefore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szCs w:val="32"/>
        </w:rPr>
      </w:pPr>
      <w:r>
        <w:rPr>
          <w:rFonts w:hint="default" w:ascii="Times New Roman" w:hAnsi="Times New Roman" w:eastAsia="仿宋" w:cs="Times New Roman"/>
          <w:szCs w:val="32"/>
        </w:rPr>
        <w:t xml:space="preserve"> </w:t>
      </w:r>
      <w:r>
        <w:rPr>
          <w:rFonts w:hint="default" w:ascii="Times New Roman" w:hAnsi="Times New Roman" w:eastAsia="仿宋" w:cs="Times New Roman"/>
          <w:szCs w:val="32"/>
          <w:lang w:val="en-US" w:eastAsia="zh-CN"/>
        </w:rPr>
        <w:t xml:space="preserve">   </w:t>
      </w:r>
      <w:r>
        <w:rPr>
          <w:rFonts w:hint="default" w:ascii="Times New Roman" w:hAnsi="Times New Roman" w:eastAsia="仿宋" w:cs="Times New Roman"/>
          <w:szCs w:val="32"/>
          <w:lang w:val="en-US" w:eastAsia="zh-CN"/>
        </w:rPr>
        <w:t xml:space="preserve"> </w:t>
      </w:r>
      <w:r>
        <w:rPr>
          <w:rFonts w:hint="default" w:ascii="Times New Roman" w:hAnsi="Times New Roman" w:eastAsia="仿宋" w:cs="Times New Roman"/>
          <w:szCs w:val="32"/>
        </w:rPr>
        <w:t>2021年度一般公共预算的基本支出为1059.01万元，其中人员经费847.72万元占基本支出80.04%，主要包括工资、机关养老保险缴费、职工医疗保险费、其他社会保障缴费、住房公积金等；日常公用经费211.29万元占基本支出的19.96%，主要包括办公费、印刷费、水电费、邮电费、物业管理费、差旅费、维修（护）费、培训费、公务接待费、劳务费、工会经费等。</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楷体" w:cs="Times New Roman"/>
          <w:szCs w:val="32"/>
        </w:rPr>
      </w:pPr>
      <w:r>
        <w:rPr>
          <w:rFonts w:hint="default" w:ascii="Times New Roman" w:hAnsi="Times New Roman" w:eastAsia="楷体" w:cs="Times New Roman"/>
          <w:szCs w:val="32"/>
          <w:lang w:eastAsia="zh-CN"/>
        </w:rPr>
        <w:t>（</w:t>
      </w:r>
      <w:r>
        <w:rPr>
          <w:rFonts w:hint="default" w:ascii="Times New Roman" w:hAnsi="Times New Roman" w:eastAsia="楷体" w:cs="Times New Roman"/>
          <w:szCs w:val="32"/>
          <w:lang w:val="en-US" w:eastAsia="zh-CN"/>
        </w:rPr>
        <w:t>二）</w:t>
      </w:r>
      <w:r>
        <w:rPr>
          <w:rFonts w:hint="default" w:ascii="Times New Roman" w:hAnsi="Times New Roman" w:eastAsia="楷体" w:cs="Times New Roman"/>
          <w:szCs w:val="32"/>
        </w:rPr>
        <w:t>项目支出情况</w:t>
      </w:r>
    </w:p>
    <w:p>
      <w:pPr>
        <w:pStyle w:val="2"/>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Cs w:val="32"/>
        </w:rPr>
      </w:pPr>
      <w:r>
        <w:rPr>
          <w:rFonts w:hint="default" w:ascii="Times New Roman" w:hAnsi="Times New Roman" w:eastAsia="仿宋" w:cs="Times New Roman"/>
          <w:szCs w:val="32"/>
        </w:rPr>
        <w:t>2021年度一般公共预算的项目总支出53.5万元,其中：节能环保工作经费支出9.01万元，污染防治工作经费支出0.43万元，生态环境执法监察工作经费支出34.06万元，环保工作经费支出10万元。以上项目经费主要用于开展专项业务工作经费支出。</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黑体" w:cs="Times New Roman"/>
          <w:szCs w:val="32"/>
        </w:rPr>
      </w:pPr>
      <w:r>
        <w:rPr>
          <w:rFonts w:hint="default" w:ascii="Times New Roman" w:hAnsi="Times New Roman" w:eastAsia="黑体" w:cs="Times New Roman"/>
          <w:szCs w:val="32"/>
        </w:rPr>
        <w:t>三、政府性基金预算支出情况</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仿宋" w:cs="Times New Roman"/>
          <w:szCs w:val="32"/>
        </w:rPr>
      </w:pPr>
      <w:r>
        <w:rPr>
          <w:rFonts w:hint="default" w:ascii="Times New Roman" w:hAnsi="Times New Roman" w:eastAsia="仿宋" w:cs="Times New Roman"/>
          <w:szCs w:val="32"/>
        </w:rPr>
        <w:t>本单位2021年无政府性基金预算支出。</w:t>
      </w:r>
    </w:p>
    <w:p>
      <w:pPr>
        <w:keepNext w:val="0"/>
        <w:keepLines w:val="0"/>
        <w:pageBreakBefore w:val="0"/>
        <w:widowControl/>
        <w:numPr>
          <w:ilvl w:val="0"/>
          <w:numId w:val="2"/>
        </w:numPr>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黑体" w:cs="Times New Roman"/>
          <w:szCs w:val="32"/>
        </w:rPr>
      </w:pPr>
      <w:r>
        <w:rPr>
          <w:rFonts w:hint="default" w:ascii="Times New Roman" w:hAnsi="Times New Roman" w:eastAsia="黑体" w:cs="Times New Roman"/>
          <w:szCs w:val="32"/>
        </w:rPr>
        <w:t>国有资本经营预算支出情况</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黑体" w:cs="Times New Roman"/>
          <w:szCs w:val="32"/>
        </w:rPr>
      </w:pPr>
      <w:r>
        <w:rPr>
          <w:rFonts w:hint="default" w:ascii="Times New Roman" w:hAnsi="Times New Roman" w:eastAsia="仿宋" w:cs="Times New Roman"/>
          <w:szCs w:val="32"/>
        </w:rPr>
        <w:t>本单位2021年无国有资本经营预算支出。</w:t>
      </w:r>
    </w:p>
    <w:p>
      <w:pPr>
        <w:keepNext w:val="0"/>
        <w:keepLines w:val="0"/>
        <w:pageBreakBefore w:val="0"/>
        <w:widowControl/>
        <w:numPr>
          <w:ilvl w:val="0"/>
          <w:numId w:val="2"/>
        </w:numPr>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黑体" w:cs="Times New Roman"/>
          <w:szCs w:val="32"/>
        </w:rPr>
      </w:pPr>
      <w:r>
        <w:rPr>
          <w:rFonts w:hint="default" w:ascii="Times New Roman" w:hAnsi="Times New Roman" w:eastAsia="黑体" w:cs="Times New Roman"/>
          <w:szCs w:val="32"/>
        </w:rPr>
        <w:t>社会保险基金预算支出情况</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仿宋" w:cs="Times New Roman"/>
          <w:szCs w:val="32"/>
        </w:rPr>
      </w:pPr>
      <w:r>
        <w:rPr>
          <w:rFonts w:hint="default" w:ascii="Times New Roman" w:hAnsi="Times New Roman" w:eastAsia="仿宋" w:cs="Times New Roman"/>
          <w:szCs w:val="32"/>
        </w:rPr>
        <w:t>本单位2021年无社会保险基金预算支出。</w:t>
      </w:r>
    </w:p>
    <w:p>
      <w:pPr>
        <w:keepNext w:val="0"/>
        <w:keepLines w:val="0"/>
        <w:pageBreakBefore w:val="0"/>
        <w:widowControl/>
        <w:numPr>
          <w:ilvl w:val="0"/>
          <w:numId w:val="2"/>
        </w:numPr>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黑体" w:cs="Times New Roman"/>
          <w:szCs w:val="32"/>
        </w:rPr>
      </w:pPr>
      <w:r>
        <w:rPr>
          <w:rFonts w:hint="default" w:ascii="Times New Roman" w:hAnsi="Times New Roman" w:eastAsia="黑体" w:cs="Times New Roman"/>
          <w:szCs w:val="32"/>
        </w:rPr>
        <w:t>部门整体支出绩效情况</w:t>
      </w:r>
    </w:p>
    <w:p>
      <w:pPr>
        <w:pStyle w:val="2"/>
        <w:keepNext w:val="0"/>
        <w:keepLines w:val="0"/>
        <w:pageBreakBefore w:val="0"/>
        <w:numPr>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楷体" w:cs="Times New Roman"/>
        </w:rPr>
      </w:pPr>
      <w:r>
        <w:rPr>
          <w:rFonts w:hint="default" w:ascii="Times New Roman" w:hAnsi="Times New Roman" w:eastAsia="楷体" w:cs="Times New Roman"/>
          <w:lang w:eastAsia="zh-CN"/>
        </w:rPr>
        <w:t>（</w:t>
      </w:r>
      <w:r>
        <w:rPr>
          <w:rFonts w:hint="default" w:ascii="Times New Roman" w:hAnsi="Times New Roman" w:eastAsia="楷体" w:cs="Times New Roman"/>
          <w:lang w:val="en-US" w:eastAsia="zh-CN"/>
        </w:rPr>
        <w:t>一）</w:t>
      </w:r>
      <w:r>
        <w:rPr>
          <w:rFonts w:hint="default" w:ascii="Times New Roman" w:hAnsi="Times New Roman" w:eastAsia="楷体" w:cs="Times New Roman"/>
        </w:rPr>
        <w:t>收入支出预算执行情况</w:t>
      </w:r>
    </w:p>
    <w:p>
      <w:pPr>
        <w:keepNext w:val="0"/>
        <w:keepLines w:val="0"/>
        <w:pageBreakBefore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rPr>
      </w:pPr>
      <w:r>
        <w:rPr>
          <w:rFonts w:hint="default" w:ascii="Times New Roman" w:hAnsi="Times New Roman" w:cs="Times New Roman"/>
        </w:rPr>
        <w:t xml:space="preserve">   </w:t>
      </w:r>
      <w:r>
        <w:rPr>
          <w:rFonts w:hint="default" w:ascii="Times New Roman" w:hAnsi="Times New Roman" w:eastAsia="仿宋" w:cs="Times New Roman"/>
        </w:rPr>
        <w:t xml:space="preserve"> 2021年收入实际完成1112.51万元，其中：一般公共预算财政拨款收入完成1112.51万元，政府性基金财政拨款收入完成0万元，上级补助收入完成0万元，事业收入完成0万元，经营收入完成0万元，附属单位上缴收入完成0万元，其他收入完成0万元。</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rPr>
      </w:pPr>
      <w:r>
        <w:rPr>
          <w:rFonts w:hint="default" w:ascii="Times New Roman" w:hAnsi="Times New Roman" w:eastAsia="仿宋" w:cs="Times New Roman"/>
        </w:rPr>
        <w:t>2021年，本部门支出1112.51万元，其中：基本支出完成</w:t>
      </w:r>
      <w:r>
        <w:rPr>
          <w:rFonts w:hint="default" w:ascii="Times New Roman" w:hAnsi="Times New Roman" w:eastAsia="仿宋" w:cs="Times New Roman"/>
          <w:szCs w:val="32"/>
        </w:rPr>
        <w:t>1059.01</w:t>
      </w:r>
      <w:r>
        <w:rPr>
          <w:rFonts w:hint="default" w:ascii="Times New Roman" w:hAnsi="Times New Roman" w:eastAsia="仿宋" w:cs="Times New Roman"/>
        </w:rPr>
        <w:t>万元，项目支出52.53万元。人员经费完成857.11万元，公用经费完成202.87万元。</w:t>
      </w:r>
    </w:p>
    <w:p>
      <w:pPr>
        <w:pStyle w:val="2"/>
        <w:keepNext w:val="0"/>
        <w:keepLines w:val="0"/>
        <w:pageBreakBefore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eastAsia="仿宋" w:cs="Times New Roman"/>
        </w:rPr>
      </w:pPr>
      <w:r>
        <w:rPr>
          <w:rFonts w:hint="default" w:ascii="Times New Roman" w:hAnsi="Times New Roman" w:eastAsia="仿宋" w:cs="Times New Roman"/>
        </w:rPr>
        <w:t>2021年，本单位收入支出平衡，预算执行率达到100%。</w:t>
      </w:r>
    </w:p>
    <w:p>
      <w:pPr>
        <w:keepNext w:val="0"/>
        <w:keepLines w:val="0"/>
        <w:pageBreakBefore w:val="0"/>
        <w:numPr>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楷体" w:cs="Times New Roman"/>
        </w:rPr>
      </w:pPr>
      <w:r>
        <w:rPr>
          <w:rFonts w:hint="default" w:ascii="Times New Roman" w:hAnsi="Times New Roman" w:eastAsia="楷体" w:cs="Times New Roman"/>
          <w:lang w:eastAsia="zh-CN"/>
        </w:rPr>
        <w:t>（</w:t>
      </w:r>
      <w:r>
        <w:rPr>
          <w:rFonts w:hint="default" w:ascii="Times New Roman" w:hAnsi="Times New Roman" w:eastAsia="楷体" w:cs="Times New Roman"/>
          <w:lang w:val="en-US" w:eastAsia="zh-CN"/>
        </w:rPr>
        <w:t>二）</w:t>
      </w:r>
      <w:r>
        <w:rPr>
          <w:rFonts w:hint="default" w:ascii="Times New Roman" w:hAnsi="Times New Roman" w:eastAsia="楷体" w:cs="Times New Roman"/>
        </w:rPr>
        <w:t>“三公”经费支出情况</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rPr>
      </w:pPr>
      <w:r>
        <w:rPr>
          <w:rFonts w:hint="default" w:ascii="Times New Roman" w:hAnsi="Times New Roman" w:eastAsia="仿宋" w:cs="Times New Roman"/>
        </w:rPr>
        <w:t>2021年，“三公”经费完成3.04万元，比上年减少1.22万元，下降28.67%，变化的主要原因是：严控“三公”经费，厉行勤俭节约。其中：因公出国（境）费完成0元，单位本年度未安排因公出国工作；公务接待费完成0.11万元，比上年减少0.84万元，下降88.24%，变化的主要原因是：本单位2021年仅接待湘潭市相关环境保护部门来益进行交叉执法工作公务餐一次，因此相较于2020年公务接待费有所减少；公务用车购置及运行维护费完成2.92万元，比上年减少0.38万元，下降11.48%，变化的主要原因是：严控“三公”经费，厉行勤俭节约。</w:t>
      </w:r>
    </w:p>
    <w:p>
      <w:pPr>
        <w:pStyle w:val="2"/>
        <w:keepNext w:val="0"/>
        <w:keepLines w:val="0"/>
        <w:pageBreakBefore w:val="0"/>
        <w:kinsoku/>
        <w:wordWrap/>
        <w:overflowPunct/>
        <w:topLinePunct w:val="0"/>
        <w:autoSpaceDE/>
        <w:autoSpaceDN/>
        <w:bidi w:val="0"/>
        <w:adjustRightInd w:val="0"/>
        <w:snapToGrid w:val="0"/>
        <w:spacing w:line="600" w:lineRule="exact"/>
        <w:ind w:firstLine="630"/>
        <w:textAlignment w:val="auto"/>
        <w:rPr>
          <w:rFonts w:hint="default" w:ascii="Times New Roman" w:hAnsi="Times New Roman" w:eastAsia="楷体" w:cs="Times New Roman"/>
        </w:rPr>
      </w:pPr>
      <w:r>
        <w:rPr>
          <w:rFonts w:hint="default" w:ascii="Times New Roman" w:hAnsi="Times New Roman" w:eastAsia="楷体" w:cs="Times New Roman"/>
        </w:rPr>
        <w:t>（三）资产管理情况</w:t>
      </w:r>
    </w:p>
    <w:p>
      <w:pPr>
        <w:keepNext w:val="0"/>
        <w:keepLines w:val="0"/>
        <w:pageBreakBefore w:val="0"/>
        <w:kinsoku/>
        <w:wordWrap/>
        <w:overflowPunct/>
        <w:topLinePunct w:val="0"/>
        <w:autoSpaceDE/>
        <w:autoSpaceDN/>
        <w:bidi w:val="0"/>
        <w:adjustRightInd w:val="0"/>
        <w:snapToGrid w:val="0"/>
        <w:spacing w:line="600" w:lineRule="exact"/>
        <w:ind w:firstLine="630"/>
        <w:textAlignment w:val="auto"/>
        <w:rPr>
          <w:rFonts w:hint="default" w:ascii="Times New Roman" w:hAnsi="Times New Roman" w:eastAsia="仿宋" w:cs="Times New Roman"/>
        </w:rPr>
      </w:pPr>
      <w:r>
        <w:rPr>
          <w:rFonts w:hint="default" w:ascii="Times New Roman" w:hAnsi="Times New Roman" w:eastAsia="仿宋" w:cs="Times New Roman"/>
        </w:rPr>
        <w:t>本单位按时完成资产月报表及固定资产年报的上报工作，财务上及时对固定资产进行入账，并录入固定资产系统。安排专人对固定资产进行管理，制定固定资产管理制度，并严格执行。2021年，本单位新购固定资产 万元，主要是执法设备及新遴选公务员办公设备购置，截止2021年12月31日，固定资产原值87.1万元，固定资产累计折旧14.49万元，固定资产净值72.61万元。</w:t>
      </w:r>
    </w:p>
    <w:p>
      <w:pPr>
        <w:pStyle w:val="2"/>
        <w:keepNext w:val="0"/>
        <w:keepLines w:val="0"/>
        <w:pageBreakBefore w:val="0"/>
        <w:kinsoku/>
        <w:wordWrap/>
        <w:overflowPunct/>
        <w:topLinePunct w:val="0"/>
        <w:autoSpaceDE/>
        <w:autoSpaceDN/>
        <w:bidi w:val="0"/>
        <w:adjustRightInd w:val="0"/>
        <w:snapToGrid w:val="0"/>
        <w:spacing w:line="600" w:lineRule="exact"/>
        <w:textAlignment w:val="auto"/>
        <w:rPr>
          <w:rFonts w:hint="default" w:ascii="Times New Roman" w:hAnsi="Times New Roman" w:cs="Times New Roman"/>
        </w:rPr>
      </w:pPr>
      <w:r>
        <w:rPr>
          <w:rFonts w:hint="default" w:ascii="Times New Roman" w:hAnsi="Times New Roman" w:cs="Times New Roman"/>
        </w:rPr>
        <w:t xml:space="preserve">    </w:t>
      </w:r>
      <w:r>
        <w:rPr>
          <w:rFonts w:hint="default" w:ascii="Times New Roman" w:hAnsi="Times New Roman" w:eastAsia="楷体" w:cs="Times New Roman"/>
        </w:rPr>
        <w:t>（四）工作开展情况</w:t>
      </w:r>
    </w:p>
    <w:p>
      <w:pPr>
        <w:keepNext w:val="0"/>
        <w:keepLines w:val="0"/>
        <w:pageBreakBefore w:val="0"/>
        <w:kinsoku/>
        <w:wordWrap/>
        <w:overflowPunct/>
        <w:topLinePunct w:val="0"/>
        <w:autoSpaceDE/>
        <w:autoSpaceDN/>
        <w:bidi w:val="0"/>
        <w:adjustRightInd w:val="0"/>
        <w:snapToGrid w:val="0"/>
        <w:spacing w:line="600" w:lineRule="exact"/>
        <w:ind w:firstLine="640"/>
        <w:jc w:val="left"/>
        <w:textAlignment w:val="auto"/>
        <w:rPr>
          <w:rFonts w:hint="default" w:ascii="Times New Roman" w:hAnsi="Times New Roman" w:eastAsia="仿宋" w:cs="Times New Roman"/>
          <w:color w:val="000000"/>
          <w:szCs w:val="32"/>
        </w:rPr>
      </w:pPr>
      <w:r>
        <w:rPr>
          <w:rFonts w:hint="default" w:ascii="Times New Roman" w:hAnsi="Times New Roman" w:eastAsia="仿宋" w:cs="Times New Roman"/>
          <w:szCs w:val="32"/>
        </w:rPr>
        <w:t>1.</w:t>
      </w:r>
      <w:r>
        <w:rPr>
          <w:rFonts w:hint="default" w:ascii="Times New Roman" w:hAnsi="Times New Roman" w:eastAsia="仿宋" w:cs="Times New Roman"/>
          <w:color w:val="000000"/>
          <w:szCs w:val="32"/>
        </w:rPr>
        <w:t>重视抓好党建工作，提升支部凝聚力和战斗力</w:t>
      </w:r>
    </w:p>
    <w:p>
      <w:pPr>
        <w:pStyle w:val="2"/>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rPr>
      </w:pPr>
      <w:r>
        <w:rPr>
          <w:rFonts w:hint="default" w:ascii="Times New Roman" w:hAnsi="Times New Roman" w:eastAsia="仿宋" w:cs="Times New Roman"/>
          <w:color w:val="000000"/>
          <w:szCs w:val="32"/>
        </w:rPr>
        <w:t>（1）加强支部班子建设。2021年年初，为进一步调整优化支部班子，确保支部运转有序、保障有力，支部及时</w:t>
      </w:r>
      <w:r>
        <w:rPr>
          <w:rStyle w:val="9"/>
          <w:rFonts w:hint="default" w:ascii="Times New Roman" w:hAnsi="Times New Roman" w:eastAsia="仿宋" w:cs="Times New Roman"/>
          <w:szCs w:val="32"/>
        </w:rPr>
        <w:t>召开党员大会，改选产生了由支队长任书记，纪检员任副书记的新一任支部班子，对各支部委员的职责进行了重新明确。在支部班子的坚强领导下，党建工作取得长足的进步。</w:t>
      </w:r>
    </w:p>
    <w:p>
      <w:pPr>
        <w:keepNext w:val="0"/>
        <w:keepLines w:val="0"/>
        <w:pageBreakBefore w:val="0"/>
        <w:kinsoku/>
        <w:wordWrap/>
        <w:overflowPunct/>
        <w:topLinePunct w:val="0"/>
        <w:autoSpaceDE/>
        <w:autoSpaceDN/>
        <w:bidi w:val="0"/>
        <w:adjustRightInd w:val="0"/>
        <w:snapToGrid w:val="0"/>
        <w:spacing w:line="600" w:lineRule="exact"/>
        <w:ind w:firstLine="640"/>
        <w:jc w:val="left"/>
        <w:textAlignment w:val="auto"/>
        <w:rPr>
          <w:rFonts w:hint="default" w:ascii="Times New Roman" w:hAnsi="Times New Roman" w:eastAsia="仿宋" w:cs="Times New Roman"/>
          <w:color w:val="000000"/>
          <w:szCs w:val="32"/>
        </w:rPr>
      </w:pPr>
      <w:r>
        <w:rPr>
          <w:rFonts w:hint="default" w:ascii="Times New Roman" w:hAnsi="Times New Roman" w:eastAsia="仿宋" w:cs="Times New Roman"/>
          <w:b w:val="0"/>
          <w:bCs w:val="0"/>
          <w:color w:val="000000"/>
          <w:szCs w:val="32"/>
        </w:rPr>
        <w:t>（2）深入开展党史学习教育活动。</w:t>
      </w:r>
      <w:r>
        <w:rPr>
          <w:rFonts w:hint="default" w:ascii="Times New Roman" w:hAnsi="Times New Roman" w:eastAsia="仿宋" w:cs="Times New Roman"/>
          <w:color w:val="000000"/>
          <w:szCs w:val="32"/>
        </w:rPr>
        <w:t>召开专题会议，进行动员部署。结合</w:t>
      </w:r>
      <w:r>
        <w:rPr>
          <w:rFonts w:hint="default" w:ascii="Times New Roman" w:hAnsi="Times New Roman" w:eastAsia="仿宋" w:cs="Times New Roman"/>
          <w:szCs w:val="32"/>
        </w:rPr>
        <w:t>“三会一课”和主题党日活动等形式，相继组织党员开展“学史明理”“学史增信”“学史崇德”“学史力行”四个专题的学习研讨，撰写学习心得，积极发动党员参加“百舸争流 千帆竞发”党史知识网络竞赛。支部书记、副书记为党员们上党课，开展专题党史辅导</w:t>
      </w:r>
      <w:r>
        <w:rPr>
          <w:rFonts w:hint="default" w:ascii="Times New Roman" w:hAnsi="Times New Roman" w:eastAsia="仿宋" w:cs="Times New Roman"/>
          <w:color w:val="000000"/>
          <w:szCs w:val="32"/>
        </w:rPr>
        <w:t>。</w:t>
      </w:r>
    </w:p>
    <w:p>
      <w:pPr>
        <w:keepNext w:val="0"/>
        <w:keepLines w:val="0"/>
        <w:pageBreakBefore w:val="0"/>
        <w:kinsoku/>
        <w:wordWrap/>
        <w:overflowPunct/>
        <w:topLinePunct w:val="0"/>
        <w:autoSpaceDE/>
        <w:autoSpaceDN/>
        <w:bidi w:val="0"/>
        <w:adjustRightInd w:val="0"/>
        <w:snapToGrid w:val="0"/>
        <w:spacing w:line="600" w:lineRule="exact"/>
        <w:ind w:firstLine="640"/>
        <w:jc w:val="left"/>
        <w:textAlignment w:val="auto"/>
        <w:rPr>
          <w:rFonts w:hint="default" w:ascii="Times New Roman" w:hAnsi="Times New Roman" w:eastAsia="仿宋" w:cs="Times New Roman"/>
          <w:szCs w:val="32"/>
        </w:rPr>
      </w:pPr>
      <w:r>
        <w:rPr>
          <w:rFonts w:hint="default" w:ascii="Times New Roman" w:hAnsi="Times New Roman" w:eastAsia="仿宋" w:cs="Times New Roman"/>
          <w:b w:val="0"/>
          <w:bCs w:val="0"/>
          <w:color w:val="000000"/>
          <w:szCs w:val="32"/>
        </w:rPr>
        <w:t>（3）积极开展形式多样的主题活动。</w:t>
      </w:r>
      <w:r>
        <w:rPr>
          <w:rFonts w:hint="default" w:ascii="Times New Roman" w:hAnsi="Times New Roman" w:eastAsia="仿宋" w:cs="Times New Roman"/>
          <w:color w:val="000000"/>
          <w:szCs w:val="32"/>
        </w:rPr>
        <w:t>积极组织党员</w:t>
      </w:r>
      <w:r>
        <w:rPr>
          <w:rFonts w:hint="default" w:ascii="Times New Roman" w:hAnsi="Times New Roman" w:eastAsia="仿宋" w:cs="Times New Roman"/>
          <w:szCs w:val="32"/>
        </w:rPr>
        <w:t>参加庆祝建党100周年歌唱比赛排练、马良社区疫情防控、“美丽中国、我是行动者”植绿护绿公益、“雷锋家乡学雷锋”主题志愿服务、“学党史 践初心 办实事”、重走青年毛泽东游学社会调查红色旅游线路体验、平安“益”起来志愿服务等活动，进一步增强了支部的战斗力和凝聚力。</w:t>
      </w:r>
    </w:p>
    <w:p>
      <w:pPr>
        <w:keepNext w:val="0"/>
        <w:keepLines w:val="0"/>
        <w:pageBreakBefore w:val="0"/>
        <w:kinsoku/>
        <w:wordWrap/>
        <w:overflowPunct/>
        <w:topLinePunct w:val="0"/>
        <w:autoSpaceDE/>
        <w:autoSpaceDN/>
        <w:bidi w:val="0"/>
        <w:adjustRightInd w:val="0"/>
        <w:snapToGrid w:val="0"/>
        <w:spacing w:line="600" w:lineRule="exact"/>
        <w:ind w:firstLine="640"/>
        <w:jc w:val="left"/>
        <w:textAlignment w:val="auto"/>
        <w:rPr>
          <w:rFonts w:hint="default" w:ascii="Times New Roman" w:hAnsi="Times New Roman" w:eastAsia="仿宋" w:cs="Times New Roman"/>
          <w:color w:val="000000"/>
          <w:szCs w:val="32"/>
          <w:shd w:val="clear" w:color="auto" w:fill="FFFFFF"/>
        </w:rPr>
      </w:pPr>
      <w:r>
        <w:rPr>
          <w:rFonts w:hint="default" w:ascii="Times New Roman" w:hAnsi="Times New Roman" w:eastAsia="仿宋" w:cs="Times New Roman"/>
          <w:b w:val="0"/>
          <w:bCs w:val="0"/>
          <w:szCs w:val="32"/>
        </w:rPr>
        <w:t>（4）</w:t>
      </w:r>
      <w:r>
        <w:rPr>
          <w:rFonts w:hint="default" w:ascii="Times New Roman" w:hAnsi="Times New Roman" w:eastAsia="仿宋" w:cs="Times New Roman"/>
          <w:b w:val="0"/>
          <w:bCs w:val="0"/>
          <w:color w:val="000000"/>
          <w:szCs w:val="32"/>
        </w:rPr>
        <w:t>严格党内组织生活。</w:t>
      </w:r>
      <w:r>
        <w:rPr>
          <w:rFonts w:hint="default" w:ascii="Times New Roman" w:hAnsi="Times New Roman" w:eastAsia="仿宋" w:cs="Times New Roman"/>
          <w:color w:val="000000"/>
          <w:szCs w:val="32"/>
        </w:rPr>
        <w:t>按要求</w:t>
      </w:r>
      <w:r>
        <w:rPr>
          <w:rFonts w:hint="default" w:ascii="Times New Roman" w:hAnsi="Times New Roman" w:eastAsia="仿宋" w:cs="Times New Roman"/>
          <w:szCs w:val="32"/>
        </w:rPr>
        <w:t>认真落实“三会一课”、组织生活会、民主评议党员等党内生活制度。组织开展违规违规吃喝问题专项整治</w:t>
      </w:r>
      <w:r>
        <w:rPr>
          <w:rFonts w:hint="default" w:ascii="Times New Roman" w:hAnsi="Times New Roman" w:eastAsia="仿宋" w:cs="Times New Roman"/>
          <w:color w:val="000000"/>
          <w:szCs w:val="32"/>
          <w:shd w:val="clear" w:color="auto" w:fill="FFFFFF"/>
        </w:rPr>
        <w:t>专题组织生活会。会上，</w:t>
      </w:r>
      <w:r>
        <w:rPr>
          <w:rFonts w:hint="default" w:ascii="Times New Roman" w:hAnsi="Times New Roman" w:eastAsia="仿宋" w:cs="Times New Roman"/>
          <w:color w:val="000000"/>
          <w:szCs w:val="32"/>
        </w:rPr>
        <w:t>每名党员围绕“吃喝风里到底潜藏着哪些危害”“如何杜绝违规吃喝行为”等问题深入剖析，查摆问题，</w:t>
      </w:r>
      <w:r>
        <w:rPr>
          <w:rFonts w:hint="default" w:ascii="Times New Roman" w:hAnsi="Times New Roman" w:eastAsia="仿宋" w:cs="Times New Roman"/>
          <w:color w:val="000000"/>
          <w:szCs w:val="32"/>
          <w:shd w:val="clear" w:color="auto" w:fill="FFFFFF"/>
        </w:rPr>
        <w:t>开展批评与自我批评。</w:t>
      </w:r>
    </w:p>
    <w:p>
      <w:pPr>
        <w:keepNext w:val="0"/>
        <w:keepLines w:val="0"/>
        <w:pageBreakBefore w:val="0"/>
        <w:kinsoku/>
        <w:wordWrap/>
        <w:overflowPunct/>
        <w:topLinePunct w:val="0"/>
        <w:autoSpaceDE/>
        <w:autoSpaceDN/>
        <w:bidi w:val="0"/>
        <w:adjustRightInd w:val="0"/>
        <w:snapToGrid w:val="0"/>
        <w:spacing w:line="600" w:lineRule="exact"/>
        <w:ind w:firstLine="645"/>
        <w:textAlignment w:val="auto"/>
        <w:rPr>
          <w:rFonts w:hint="default" w:ascii="Times New Roman" w:hAnsi="Times New Roman" w:eastAsia="仿宋" w:cs="Times New Roman"/>
          <w:szCs w:val="32"/>
        </w:rPr>
      </w:pPr>
      <w:r>
        <w:rPr>
          <w:rFonts w:hint="default" w:ascii="Times New Roman" w:hAnsi="Times New Roman" w:eastAsia="仿宋" w:cs="Times New Roman"/>
          <w:b w:val="0"/>
          <w:bCs w:val="0"/>
          <w:color w:val="000000"/>
          <w:szCs w:val="32"/>
          <w:shd w:val="clear" w:color="auto" w:fill="FFFFFF"/>
        </w:rPr>
        <w:t>（5）深入</w:t>
      </w:r>
      <w:r>
        <w:rPr>
          <w:rFonts w:hint="default" w:ascii="Times New Roman" w:hAnsi="Times New Roman" w:eastAsia="仿宋" w:cs="Times New Roman"/>
          <w:b w:val="0"/>
          <w:bCs w:val="0"/>
          <w:color w:val="000000"/>
          <w:szCs w:val="32"/>
        </w:rPr>
        <w:t>推进党风廉政建设。</w:t>
      </w:r>
      <w:r>
        <w:rPr>
          <w:rFonts w:hint="default" w:ascii="Times New Roman" w:hAnsi="Times New Roman" w:eastAsia="仿宋" w:cs="Times New Roman"/>
          <w:color w:val="000000"/>
          <w:szCs w:val="32"/>
        </w:rPr>
        <w:t>为进一步规范执法人员行为，制定出台《益阳市生态环境局生态环境执法人员行为规范（试行）》，对生态环境执法过程中的一般行为、现场检查行为、案件调查行为、督查行为等做了严格的规定；</w:t>
      </w:r>
      <w:r>
        <w:rPr>
          <w:rFonts w:hint="default" w:ascii="Times New Roman" w:hAnsi="Times New Roman" w:eastAsia="仿宋" w:cs="Times New Roman"/>
          <w:szCs w:val="32"/>
        </w:rPr>
        <w:t>实行检查报备、监测报告和办案免扰制度（即“两报一免”制</w:t>
      </w:r>
      <w:r>
        <w:rPr>
          <w:rFonts w:hint="default" w:ascii="Times New Roman" w:hAnsi="Times New Roman" w:eastAsia="仿宋" w:cs="Times New Roman"/>
          <w:bCs/>
          <w:szCs w:val="32"/>
        </w:rPr>
        <w:t>度），要求执法人员在每次实施执法检查、采样监测时履行报告手续，在办案过程中公正执法，</w:t>
      </w:r>
      <w:r>
        <w:rPr>
          <w:rFonts w:hint="default" w:ascii="Times New Roman" w:hAnsi="Times New Roman" w:eastAsia="仿宋" w:cs="Times New Roman"/>
          <w:szCs w:val="32"/>
        </w:rPr>
        <w:t>不徇私情；进一步严明工作纪律，要求干部职工严格执行上下班纪律、考勤制度和集体活动签到制度。由纪检员牵头，每月对上下班纪律执行情况组织开展三次以上检查；</w:t>
      </w:r>
      <w:r>
        <w:rPr>
          <w:rFonts w:hint="default" w:ascii="Times New Roman" w:hAnsi="Times New Roman" w:eastAsia="仿宋" w:cs="Times New Roman"/>
          <w:color w:val="000000"/>
          <w:szCs w:val="32"/>
        </w:rPr>
        <w:t>坚持开展警示教育。在每次支队班子会、队务会或干职工大会上强调廉洁纪律。</w:t>
      </w:r>
      <w:r>
        <w:rPr>
          <w:rFonts w:hint="default" w:ascii="Times New Roman" w:hAnsi="Times New Roman" w:eastAsia="仿宋" w:cs="Times New Roman"/>
          <w:szCs w:val="32"/>
        </w:rPr>
        <w:t>组织观看警示教育片，对新任干部、交流人员开展岗前廉洁教育，在专项执法、交叉执法行前进行廉政谈话。</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Cs w:val="32"/>
        </w:rPr>
      </w:pPr>
      <w:r>
        <w:rPr>
          <w:rFonts w:hint="default" w:ascii="Times New Roman" w:hAnsi="Times New Roman" w:eastAsia="仿宋" w:cs="Times New Roman"/>
          <w:szCs w:val="32"/>
        </w:rPr>
        <w:t>2.推进执法能力建设，开展执法大练兵，锻造生态环境铁军</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Cs w:val="32"/>
        </w:rPr>
      </w:pPr>
      <w:r>
        <w:rPr>
          <w:rFonts w:hint="default" w:ascii="Times New Roman" w:hAnsi="Times New Roman" w:eastAsia="仿宋" w:cs="Times New Roman"/>
          <w:szCs w:val="32"/>
        </w:rPr>
        <w:t>（1）组织开展业务培训。支队在年初牵头组织在长沙开展为期五天的全市生态环境执法干部业务培训，重点讲授生态环境执法相关法律、环境违法案件移送、生态环境执法实务热点与难点问题解析等方面的知识。新《行政处罚法》实施后，邀请司法局专家、法律顾问进行宣讲辅导，帮助执法人员做到与新旧《行政处罚法》无缝衔接。同时，积极选派执法人员参加省、部级各类业务培训。在去年省厅开展的执法大比武活动中，支队获得辐射类团体奖和个人组合奖。</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Cs w:val="32"/>
        </w:rPr>
      </w:pPr>
      <w:r>
        <w:rPr>
          <w:rFonts w:hint="default" w:ascii="Times New Roman" w:hAnsi="Times New Roman" w:eastAsia="仿宋" w:cs="Times New Roman"/>
          <w:szCs w:val="32"/>
        </w:rPr>
        <w:t>（2）组织汇编执法工具书。在广泛征集意见、反复组织讨论的基础上，支队汇编印制《生态环境保护常用法律法规规章汇编》250本，全书共收集常用法律法规规章34部，下发使用后，得到了广大执法人员和兄弟单位的一致好评，为对进一步规范行政执法和提高办理处罚案件质量起到了积极的促进作用。</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Cs w:val="32"/>
        </w:rPr>
      </w:pPr>
      <w:r>
        <w:rPr>
          <w:rFonts w:hint="default" w:ascii="Times New Roman" w:hAnsi="Times New Roman" w:eastAsia="仿宋" w:cs="Times New Roman"/>
          <w:szCs w:val="32"/>
        </w:rPr>
        <w:t>（3）严格落实“双随机、一公开”监管制度。按要求使用湖南省“双随机、一公开”监管平台统一实施日常执法抽查，动态更新了一单两库并制定了随机抽查计划情况，及时对双随机”执法信息公开，全年共对646家对象进行了抽查，抽查结果均在监管平台进行了公示。联合农业农村部门和住房和城乡建设部门，分别开展了规模化畜禽养猪场、垃圾填埋场的联合检查，并配合市场监督管理局开展了对检测机构的联合双随机抽查。</w:t>
      </w:r>
    </w:p>
    <w:p>
      <w:pPr>
        <w:pStyle w:val="2"/>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rPr>
      </w:pPr>
      <w:r>
        <w:rPr>
          <w:rFonts w:hint="default" w:ascii="Times New Roman" w:hAnsi="Times New Roman" w:eastAsia="仿宋" w:cs="Times New Roman"/>
          <w:szCs w:val="32"/>
        </w:rPr>
        <w:t>（4）</w:t>
      </w:r>
      <w:r>
        <w:rPr>
          <w:rFonts w:hint="default" w:ascii="Times New Roman" w:hAnsi="Times New Roman" w:eastAsia="仿宋" w:cs="Times New Roman"/>
          <w:color w:val="000000"/>
          <w:szCs w:val="32"/>
        </w:rPr>
        <w:t>支队组织开展涉铊、涉气、涉VOCS等专项交叉检查，抽调各区县（市）分局执法人员参与。</w:t>
      </w:r>
      <w:r>
        <w:rPr>
          <w:rFonts w:hint="default" w:ascii="Times New Roman" w:hAnsi="Times New Roman" w:eastAsia="仿宋" w:cs="Times New Roman"/>
        </w:rPr>
        <w:t>派员参加生态环境部组织的</w:t>
      </w:r>
      <w:r>
        <w:rPr>
          <w:rFonts w:hint="default" w:ascii="Times New Roman" w:hAnsi="Times New Roman" w:eastAsia="仿宋" w:cs="Times New Roman"/>
          <w:color w:val="000000"/>
          <w:szCs w:val="32"/>
        </w:rPr>
        <w:t>2020—2021年重点区域空气质量改善监督帮扶、省厅组织的涉铊交叉检查，派出人员积极开展工作。</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Cs w:val="32"/>
        </w:rPr>
      </w:pPr>
      <w:r>
        <w:rPr>
          <w:rFonts w:hint="default" w:ascii="Times New Roman" w:hAnsi="Times New Roman" w:eastAsia="仿宋" w:cs="Times New Roman"/>
          <w:szCs w:val="32"/>
        </w:rPr>
        <w:t>3.加强监管执法，持续保持生态环境保护的高压态势</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Cs w:val="32"/>
        </w:rPr>
      </w:pPr>
      <w:r>
        <w:rPr>
          <w:rFonts w:hint="default" w:ascii="Times New Roman" w:hAnsi="Times New Roman" w:eastAsia="仿宋" w:cs="Times New Roman"/>
          <w:szCs w:val="32"/>
        </w:rPr>
        <w:t>（1）大力开展执法专项行动。根据省厅的有关文件精神，支队坚持问题导向，聚焦重点行业、重点领域，制定行动方案，采取明查暗访、日查夜查相结合的方式，组织开展涉危废、涉铊、涉锑、涉ODS、涉VOCs、乡镇级千人以上饮用水水源地生态环境问题整治、医疗废物废水等专项执法检查。对排查发现的问题，执法人员督促企业立即进行整改。对涉嫌违法的，及时开展立案查处。</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Cs w:val="32"/>
        </w:rPr>
      </w:pPr>
      <w:r>
        <w:rPr>
          <w:rFonts w:hint="default" w:ascii="Times New Roman" w:hAnsi="Times New Roman" w:eastAsia="仿宋" w:cs="Times New Roman"/>
          <w:szCs w:val="32"/>
        </w:rPr>
        <w:t>（2）严厉打击各类环境违法行为。坚持严的主基调，严厉查处各类环境违法行为，加大对违法企业的行政处罚力度。2021年以来累计办理行政处罚案件157件（去年135件）,处罚金额2093.0471万（去年1029.4631万），行政拘留案件20件拘留20人，环境犯罪案件2件2人,查封扣押案件5件，限产停产案件1件。相较去年，执法办案数量、罚款金额分别同比增长103.3%、16.3%。</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Cs w:val="32"/>
        </w:rPr>
      </w:pPr>
      <w:r>
        <w:rPr>
          <w:rFonts w:hint="default" w:ascii="Times New Roman" w:hAnsi="Times New Roman" w:eastAsia="仿宋" w:cs="Times New Roman"/>
          <w:szCs w:val="32"/>
        </w:rPr>
        <w:t>（3）加强执法监督。一是强化行政处罚案件的审核。全年共审核行政处罚案件52余件，各类文书260多份，支队办理的案件没有出现错案和案件败诉的情况；二是组织涉企检查备案工作。对涉企的检查施行事后报备工作，对10万元以上的重大行政处罚案件，每月上报至优办备案；三是组织案卷评查。联合市人民检察院、市司法局组织对全市生态环境执法工作进行监督检查，对8个区县（市）生态环境分局、执法支队办理的159份执法案卷，依据评查细则逐份进行审查，一份案卷一张问题清单。</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Cs w:val="32"/>
        </w:rPr>
      </w:pPr>
      <w:r>
        <w:rPr>
          <w:rFonts w:hint="default" w:ascii="Times New Roman" w:hAnsi="Times New Roman" w:eastAsia="仿宋" w:cs="Times New Roman"/>
          <w:szCs w:val="32"/>
        </w:rPr>
        <w:t>4.加大信访处置力度，维护群众环境权益</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Cs w:val="32"/>
        </w:rPr>
      </w:pPr>
      <w:r>
        <w:rPr>
          <w:rFonts w:hint="default" w:ascii="Times New Roman" w:hAnsi="Times New Roman" w:eastAsia="仿宋" w:cs="Times New Roman"/>
          <w:szCs w:val="32"/>
        </w:rPr>
        <w:t>加大环境信访处置力度，积极回应群众诉求，妥善处理各类环境信访问题，切实解决群众急难愁盼的环境问题。今年以来，市本级共受理环境信访854件，与去年同期相比下降了12.6%，其中受理电话举报593件，来信13件，来访12批61人次，微信122件，网络83件，市长信箱4件、网络舆情2件，省厅直接交办21件、部交办4件。年底办结811件，办结率达95%。</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Cs w:val="32"/>
        </w:rPr>
      </w:pPr>
      <w:r>
        <w:rPr>
          <w:rFonts w:hint="default" w:ascii="Times New Roman" w:hAnsi="Times New Roman" w:eastAsia="仿宋" w:cs="Times New Roman"/>
          <w:szCs w:val="32"/>
        </w:rPr>
        <w:t>5.强化环境应急管理，切实提升突发环境事件防范和应对能力</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Cs w:val="32"/>
        </w:rPr>
      </w:pPr>
      <w:r>
        <w:rPr>
          <w:rFonts w:hint="default" w:ascii="Times New Roman" w:hAnsi="Times New Roman" w:eastAsia="仿宋" w:cs="Times New Roman"/>
          <w:szCs w:val="32"/>
        </w:rPr>
        <w:t>（1）加强突发环境事件应急预案编制的备案管理工作。去年，全市应急预案备案数302个，其中较大风险级别的12个、一般的290个。委托第三方机构编制了市生态环境局突发环境事件应急预案，已通过审查并备案。</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Cs w:val="32"/>
        </w:rPr>
      </w:pPr>
      <w:r>
        <w:rPr>
          <w:rFonts w:hint="default" w:ascii="Times New Roman" w:hAnsi="Times New Roman" w:eastAsia="仿宋" w:cs="Times New Roman"/>
          <w:szCs w:val="32"/>
        </w:rPr>
        <w:t>（2）贴近实战开展应急演练和处置。联合高新分局、高新区社会事务管理局、区应急局等单位开展湖南省益腾环保科技有限公司突发盐酸泄露应急演练。指导安化经开区开展应急演练，并指导赫山分局及时处置突发漏油事件，配合高新区分局对志溪河流域铁锰超标进行了应急排查。针对高新区浩森胶业突发火灾事件，及时采取断源，拦截、收集及安全处置措施，成功避免一起因火灾引发的次生环境污染事件。9月初针对娄底上游来水导致干流益阳段锑浓度异常问题，开展了长达三个月的应急处置。</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楷体" w:cs="Times New Roman"/>
          <w:szCs w:val="32"/>
        </w:rPr>
      </w:pPr>
      <w:r>
        <w:rPr>
          <w:rFonts w:hint="default" w:ascii="Times New Roman" w:hAnsi="Times New Roman" w:eastAsia="楷体" w:cs="Times New Roman"/>
          <w:szCs w:val="32"/>
        </w:rPr>
        <w:t>（五）工作获得的成效</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Cs w:val="32"/>
        </w:rPr>
      </w:pPr>
      <w:r>
        <w:rPr>
          <w:rFonts w:hint="default" w:ascii="Times New Roman" w:hAnsi="Times New Roman" w:eastAsia="仿宋" w:cs="Times New Roman"/>
          <w:szCs w:val="32"/>
        </w:rPr>
        <w:t>1.圆满完成省厅对市州生态环境局领导班子绩效考核中涉及支队牵头的工作。在体制机制改革方面，加强配备执法装备，按要求完成市县综合执法改革任务，将生态环境保护执法机构纳入执法保障序列；在信访投诉举报办理方面，积极配合上级信访部门工作，按规定及时受理、办理信访事项，严格落实诉访分离制度，开展依法分类处理信访事项的，未引发规模集体上访或造成恶性事件，及时办结中央和省级交（督）办件。2021年，我市环境信访工作多次被部里通报表扬，年底被省厅作为先进单位推荐到部里；在监管执法方面，移动执法系统已经全覆盖,已按要求使用“双随机、一公开”监管平台实施日常执法抽查,已动态更新了一单两库并制定了随机抽查计划情况。加强两法衔接，加大对环境违法犯罪行为打击力度。每月按要求督促各区县（市）将已下达行政处罚决定书的案件信息录入案件办理信息系统。按要求开展涉铊、涉危废等专项执法检查，并认真完成帮扶任务。</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Cs w:val="32"/>
        </w:rPr>
      </w:pPr>
      <w:r>
        <w:rPr>
          <w:rFonts w:hint="default" w:ascii="Times New Roman" w:hAnsi="Times New Roman" w:eastAsia="仿宋" w:cs="Times New Roman"/>
          <w:szCs w:val="32"/>
        </w:rPr>
        <w:t>2.圆满完成市对局绩效评估指标考核涉及支队负责的工作。在高质量发展综合绩效测评方面，今年未发生重大环境污染事件和重大生态环境破坏事件，因此指标任务考核未减分；在平安建设（综治工作）方面，支队扎实开展政治安全、社会稳定等工作，年底被评为市平安建设先进单位。在安全生产和消防工作方面，支队大力组织开展打非治违、危险废物、百日攻坚、百日大会战行动等安全整治工作，被市委市政府评为优秀单位；在污染防治工作方面，积极推进资江干流、洞庭湖干支流入河排污口排查整治，乡镇级“千人以上”集中式饮用水水源保护区环境问题排查整治工作被省厅评为先进，群众对我市生态环境质量满意度进一步提升。</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szCs w:val="32"/>
        </w:rPr>
      </w:pPr>
      <w:r>
        <w:rPr>
          <w:rFonts w:hint="default" w:ascii="Times New Roman" w:hAnsi="Times New Roman" w:eastAsia="黑体" w:cs="Times New Roman"/>
          <w:szCs w:val="32"/>
        </w:rPr>
        <w:t>七、存在的问题及原因分析</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Cs w:val="32"/>
        </w:rPr>
      </w:pPr>
      <w:r>
        <w:rPr>
          <w:rFonts w:hint="default" w:ascii="Times New Roman" w:hAnsi="Times New Roman" w:eastAsia="仿宋" w:cs="Times New Roman"/>
          <w:szCs w:val="32"/>
        </w:rPr>
        <w:t>部门整体支出绩效管理工作意识淡薄，主要体现在：一是部门年度预算编制当中绩效目标意识不够；二是对部门整体支出绩效评价结果利用欠充分。</w:t>
      </w:r>
    </w:p>
    <w:p>
      <w:pPr>
        <w:keepNext w:val="0"/>
        <w:keepLines w:val="0"/>
        <w:pageBreakBefore w:val="0"/>
        <w:widowControl/>
        <w:numPr>
          <w:ilvl w:val="0"/>
          <w:numId w:val="3"/>
        </w:numPr>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szCs w:val="32"/>
        </w:rPr>
      </w:pPr>
      <w:r>
        <w:rPr>
          <w:rFonts w:hint="default" w:ascii="Times New Roman" w:hAnsi="Times New Roman" w:eastAsia="黑体" w:cs="Times New Roman"/>
          <w:szCs w:val="32"/>
        </w:rPr>
        <w:t>下一步改进措施</w:t>
      </w:r>
    </w:p>
    <w:p>
      <w:pPr>
        <w:keepNext w:val="0"/>
        <w:keepLines w:val="0"/>
        <w:pageBreakBefore w:val="0"/>
        <w:widowControl/>
        <w:numPr>
          <w:ilvl w:val="0"/>
          <w:numId w:val="4"/>
        </w:numPr>
        <w:kinsoku/>
        <w:wordWrap/>
        <w:overflowPunct/>
        <w:topLinePunct w:val="0"/>
        <w:autoSpaceDE/>
        <w:autoSpaceDN/>
        <w:bidi w:val="0"/>
        <w:adjustRightInd w:val="0"/>
        <w:snapToGrid w:val="0"/>
        <w:spacing w:line="600" w:lineRule="exact"/>
        <w:textAlignment w:val="auto"/>
        <w:rPr>
          <w:rFonts w:hint="default" w:ascii="Times New Roman" w:hAnsi="Times New Roman" w:eastAsia="仿宋" w:cs="Times New Roman"/>
          <w:szCs w:val="32"/>
        </w:rPr>
      </w:pPr>
      <w:r>
        <w:rPr>
          <w:rFonts w:hint="default" w:ascii="Times New Roman" w:hAnsi="Times New Roman" w:eastAsia="仿宋" w:cs="Times New Roman"/>
          <w:szCs w:val="32"/>
        </w:rPr>
        <w:t>完善绩效评价体系，加强监督检查和考核工作</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Cs w:val="32"/>
        </w:rPr>
      </w:pPr>
      <w:r>
        <w:rPr>
          <w:rFonts w:hint="default" w:ascii="Times New Roman" w:hAnsi="Times New Roman" w:eastAsia="仿宋" w:cs="Times New Roman"/>
          <w:szCs w:val="32"/>
        </w:rPr>
        <w:t>进一步探索完善项目绩效评价指标体系，研究、关注绩效管理理论与实践发展的新思路、新动向，进一步完善项目绩效评价指标体系，增强绩效评价结果的可比性、可信度。加强对绩效管理工作的跟踪督查，做到绩效管理有依据、按程序、有奖惩，实现绩效管理的规范化、常态化。</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Cs w:val="32"/>
        </w:rPr>
      </w:pPr>
      <w:r>
        <w:rPr>
          <w:rFonts w:hint="default" w:ascii="Times New Roman" w:hAnsi="Times New Roman" w:eastAsia="仿宋" w:cs="Times New Roman"/>
          <w:szCs w:val="32"/>
        </w:rPr>
        <w:t>（二）提高认识，加强部门整体支出绩效评价工作</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 w:cs="Times New Roman"/>
          <w:szCs w:val="32"/>
        </w:rPr>
      </w:pPr>
      <w:r>
        <w:rPr>
          <w:rFonts w:hint="default" w:ascii="Times New Roman" w:hAnsi="Times New Roman" w:eastAsia="仿宋" w:cs="Times New Roman"/>
          <w:szCs w:val="32"/>
        </w:rPr>
        <w:t>单位全体干职工要提升部门整体支出绩效管理意识，将绩效理念贯穿于预算编制与执行的全过程。对每个部门以及项目都分别制定相应的绩效指标，将部门整体支出绩效评价工作落实到每一笔费用支出当中，科学合理地对财政支出进行管理。一是合理安排收支预算，严格预算管理；二是重视日常财务收支管理工作；三是完善各项财务管理制度；四是科学调度，厉行节约。</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szCs w:val="32"/>
        </w:rPr>
      </w:pPr>
      <w:r>
        <w:rPr>
          <w:rFonts w:hint="default" w:ascii="Times New Roman" w:hAnsi="Times New Roman" w:eastAsia="黑体" w:cs="Times New Roman"/>
          <w:szCs w:val="32"/>
        </w:rPr>
        <w:t>九、部门整体支出绩效自评结果拟应用和公开情况</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仿宋" w:cs="Times New Roman"/>
          <w:szCs w:val="32"/>
        </w:rPr>
      </w:pPr>
      <w:r>
        <w:rPr>
          <w:rFonts w:hint="default" w:ascii="Times New Roman" w:hAnsi="Times New Roman" w:eastAsia="仿宋" w:cs="Times New Roman"/>
          <w:szCs w:val="32"/>
        </w:rPr>
        <w:t>其他需要说明的情况</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仿宋" w:cs="Times New Roman"/>
          <w:szCs w:val="32"/>
        </w:rPr>
      </w:pPr>
      <w:r>
        <w:rPr>
          <w:rFonts w:hint="default" w:ascii="Times New Roman" w:hAnsi="Times New Roman" w:eastAsia="仿宋" w:cs="Times New Roman"/>
          <w:szCs w:val="32"/>
        </w:rPr>
        <w:t>报告需要以下附件：</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仿宋" w:cs="Times New Roman"/>
          <w:szCs w:val="32"/>
        </w:rPr>
      </w:pPr>
      <w:r>
        <w:rPr>
          <w:rFonts w:hint="default" w:ascii="Times New Roman" w:hAnsi="Times New Roman" w:eastAsia="仿宋" w:cs="Times New Roman"/>
          <w:szCs w:val="32"/>
        </w:rPr>
        <w:t>1、部门整体支出绩效评价基础数据表</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仿宋" w:cs="Times New Roman"/>
          <w:szCs w:val="32"/>
        </w:rPr>
      </w:pPr>
      <w:r>
        <w:rPr>
          <w:rFonts w:hint="default" w:ascii="Times New Roman" w:hAnsi="Times New Roman" w:eastAsia="仿宋" w:cs="Times New Roman"/>
          <w:szCs w:val="32"/>
        </w:rPr>
        <w:t>2、部门整体支出绩效自评表</w:t>
      </w:r>
    </w:p>
    <w:p>
      <w:pPr>
        <w:widowControl/>
        <w:spacing w:line="400" w:lineRule="exact"/>
        <w:ind w:leftChars="-134" w:hanging="294" w:hangingChars="134"/>
        <w:jc w:val="left"/>
        <w:rPr>
          <w:rFonts w:ascii="黑体" w:hAnsi="黑体" w:eastAsia="黑体"/>
          <w:szCs w:val="32"/>
        </w:rPr>
      </w:pPr>
      <w:r>
        <w:rPr>
          <w:rFonts w:ascii="Times New Roman" w:hAnsi="Times New Roman"/>
          <w:kern w:val="0"/>
          <w:sz w:val="22"/>
          <w:szCs w:val="24"/>
        </w:rPr>
        <w:br w:type="page"/>
      </w:r>
      <w:r>
        <w:rPr>
          <w:rFonts w:ascii="黑体" w:hAnsi="黑体" w:eastAsia="黑体"/>
          <w:szCs w:val="32"/>
        </w:rPr>
        <w:t>附件</w:t>
      </w:r>
      <w:r>
        <w:rPr>
          <w:rFonts w:hint="eastAsia" w:ascii="黑体" w:hAnsi="黑体" w:eastAsia="黑体"/>
          <w:szCs w:val="32"/>
        </w:rPr>
        <w:t>1</w:t>
      </w:r>
    </w:p>
    <w:p>
      <w:pPr>
        <w:spacing w:line="600" w:lineRule="exact"/>
        <w:jc w:val="center"/>
        <w:rPr>
          <w:rFonts w:ascii="方正小标宋简体" w:eastAsia="方正小标宋简体"/>
          <w:kern w:val="0"/>
          <w:sz w:val="36"/>
          <w:szCs w:val="36"/>
        </w:rPr>
      </w:pPr>
      <w:r>
        <w:rPr>
          <w:rFonts w:hint="eastAsia" w:ascii="方正小标宋简体" w:eastAsia="方正小标宋简体"/>
          <w:kern w:val="0"/>
          <w:sz w:val="36"/>
          <w:szCs w:val="36"/>
        </w:rPr>
        <w:t>2021年度部门整体支出绩效评价基础数据表</w:t>
      </w:r>
    </w:p>
    <w:tbl>
      <w:tblPr>
        <w:tblStyle w:val="5"/>
        <w:tblW w:w="9695" w:type="dxa"/>
        <w:jc w:val="center"/>
        <w:tblLayout w:type="fixed"/>
        <w:tblCellMar>
          <w:top w:w="0" w:type="dxa"/>
          <w:left w:w="108" w:type="dxa"/>
          <w:bottom w:w="0" w:type="dxa"/>
          <w:right w:w="108" w:type="dxa"/>
        </w:tblCellMar>
      </w:tblPr>
      <w:tblGrid>
        <w:gridCol w:w="3214"/>
        <w:gridCol w:w="1200"/>
        <w:gridCol w:w="1125"/>
        <w:gridCol w:w="1080"/>
        <w:gridCol w:w="1140"/>
        <w:gridCol w:w="960"/>
        <w:gridCol w:w="976"/>
      </w:tblGrid>
      <w:tr>
        <w:tblPrEx>
          <w:tblCellMar>
            <w:top w:w="0" w:type="dxa"/>
            <w:left w:w="108" w:type="dxa"/>
            <w:bottom w:w="0" w:type="dxa"/>
            <w:right w:w="108" w:type="dxa"/>
          </w:tblCellMar>
        </w:tblPrEx>
        <w:trPr>
          <w:trHeight w:val="397" w:hRule="atLeast"/>
          <w:jc w:val="center"/>
        </w:trPr>
        <w:tc>
          <w:tcPr>
            <w:tcW w:w="321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 w:val="21"/>
                <w:szCs w:val="21"/>
              </w:rPr>
            </w:pPr>
            <w:r>
              <w:rPr>
                <w:rFonts w:ascii="Times New Roman" w:hAnsi="Times New Roman"/>
                <w:kern w:val="0"/>
                <w:sz w:val="21"/>
                <w:szCs w:val="21"/>
              </w:rPr>
              <w:t>财政供养人员情况（人）</w:t>
            </w:r>
          </w:p>
        </w:tc>
        <w:tc>
          <w:tcPr>
            <w:tcW w:w="2325" w:type="dxa"/>
            <w:gridSpan w:val="2"/>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b/>
                <w:bCs/>
                <w:kern w:val="0"/>
                <w:sz w:val="21"/>
                <w:szCs w:val="21"/>
              </w:rPr>
            </w:pPr>
            <w:r>
              <w:rPr>
                <w:rFonts w:ascii="Times New Roman" w:hAnsi="Times New Roman"/>
                <w:b/>
                <w:bCs/>
                <w:kern w:val="0"/>
                <w:sz w:val="21"/>
                <w:szCs w:val="21"/>
              </w:rPr>
              <w:t>编制数</w:t>
            </w:r>
          </w:p>
        </w:tc>
        <w:tc>
          <w:tcPr>
            <w:tcW w:w="2220" w:type="dxa"/>
            <w:gridSpan w:val="2"/>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b/>
                <w:bCs/>
                <w:kern w:val="0"/>
                <w:sz w:val="21"/>
                <w:szCs w:val="21"/>
              </w:rPr>
            </w:pPr>
            <w:r>
              <w:rPr>
                <w:rFonts w:ascii="Times New Roman" w:hAnsi="Times New Roman"/>
                <w:b/>
                <w:bCs/>
                <w:kern w:val="0"/>
                <w:sz w:val="21"/>
                <w:szCs w:val="21"/>
              </w:rPr>
              <w:t>202</w:t>
            </w:r>
            <w:r>
              <w:rPr>
                <w:rFonts w:hint="eastAsia" w:ascii="Times New Roman" w:hAnsi="Times New Roman"/>
                <w:b/>
                <w:bCs/>
                <w:kern w:val="0"/>
                <w:sz w:val="21"/>
                <w:szCs w:val="21"/>
              </w:rPr>
              <w:t>1</w:t>
            </w:r>
            <w:r>
              <w:rPr>
                <w:rFonts w:ascii="Times New Roman" w:hAnsi="Times New Roman"/>
                <w:b/>
                <w:bCs/>
                <w:kern w:val="0"/>
                <w:sz w:val="21"/>
                <w:szCs w:val="21"/>
              </w:rPr>
              <w:t>年实际在职人数</w:t>
            </w:r>
          </w:p>
        </w:tc>
        <w:tc>
          <w:tcPr>
            <w:tcW w:w="1936" w:type="dxa"/>
            <w:gridSpan w:val="2"/>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b/>
                <w:bCs/>
                <w:kern w:val="0"/>
                <w:sz w:val="21"/>
                <w:szCs w:val="21"/>
              </w:rPr>
            </w:pPr>
            <w:r>
              <w:rPr>
                <w:rFonts w:ascii="Times New Roman" w:hAnsi="Times New Roman"/>
                <w:b/>
                <w:bCs/>
                <w:kern w:val="0"/>
                <w:sz w:val="21"/>
                <w:szCs w:val="21"/>
              </w:rPr>
              <w:t>控制率</w:t>
            </w:r>
          </w:p>
        </w:tc>
      </w:tr>
      <w:tr>
        <w:tblPrEx>
          <w:tblCellMar>
            <w:top w:w="0" w:type="dxa"/>
            <w:left w:w="108" w:type="dxa"/>
            <w:bottom w:w="0" w:type="dxa"/>
            <w:right w:w="108" w:type="dxa"/>
          </w:tblCellMar>
        </w:tblPrEx>
        <w:trPr>
          <w:trHeight w:val="397" w:hRule="atLeast"/>
          <w:jc w:val="center"/>
        </w:trPr>
        <w:tc>
          <w:tcPr>
            <w:tcW w:w="32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kern w:val="0"/>
                <w:sz w:val="21"/>
                <w:szCs w:val="21"/>
              </w:rPr>
            </w:pPr>
          </w:p>
        </w:tc>
        <w:tc>
          <w:tcPr>
            <w:tcW w:w="2325" w:type="dxa"/>
            <w:gridSpan w:val="2"/>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kern w:val="0"/>
                <w:sz w:val="21"/>
                <w:szCs w:val="21"/>
              </w:rPr>
            </w:pPr>
            <w:r>
              <w:rPr>
                <w:rFonts w:ascii="Times New Roman" w:hAnsi="Times New Roman"/>
                <w:kern w:val="0"/>
                <w:sz w:val="21"/>
                <w:szCs w:val="21"/>
              </w:rPr>
              <w:t>　</w:t>
            </w:r>
            <w:r>
              <w:rPr>
                <w:rFonts w:hint="eastAsia" w:ascii="Times New Roman" w:hAnsi="Times New Roman"/>
                <w:kern w:val="0"/>
                <w:sz w:val="21"/>
                <w:szCs w:val="21"/>
              </w:rPr>
              <w:t>76</w:t>
            </w:r>
          </w:p>
        </w:tc>
        <w:tc>
          <w:tcPr>
            <w:tcW w:w="2220" w:type="dxa"/>
            <w:gridSpan w:val="2"/>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kern w:val="0"/>
                <w:sz w:val="21"/>
                <w:szCs w:val="21"/>
              </w:rPr>
            </w:pPr>
            <w:r>
              <w:rPr>
                <w:rFonts w:hint="eastAsia" w:ascii="Times New Roman" w:hAnsi="Times New Roman"/>
                <w:kern w:val="0"/>
                <w:sz w:val="21"/>
                <w:szCs w:val="21"/>
              </w:rPr>
              <w:t>76</w:t>
            </w:r>
            <w:r>
              <w:rPr>
                <w:rFonts w:ascii="Times New Roman" w:hAnsi="Times New Roman"/>
                <w:kern w:val="0"/>
                <w:sz w:val="21"/>
                <w:szCs w:val="21"/>
              </w:rPr>
              <w:t>　</w:t>
            </w:r>
          </w:p>
        </w:tc>
        <w:tc>
          <w:tcPr>
            <w:tcW w:w="1936" w:type="dxa"/>
            <w:gridSpan w:val="2"/>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kern w:val="0"/>
                <w:sz w:val="21"/>
                <w:szCs w:val="21"/>
              </w:rPr>
            </w:pPr>
            <w:r>
              <w:rPr>
                <w:rFonts w:hint="eastAsia" w:ascii="Times New Roman" w:hAnsi="Times New Roman"/>
                <w:kern w:val="0"/>
                <w:sz w:val="21"/>
                <w:szCs w:val="21"/>
              </w:rPr>
              <w:t>100%</w:t>
            </w:r>
            <w:r>
              <w:rPr>
                <w:rFonts w:ascii="Times New Roman" w:hAnsi="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 w:val="21"/>
                <w:szCs w:val="21"/>
              </w:rPr>
            </w:pPr>
            <w:r>
              <w:rPr>
                <w:rFonts w:ascii="Times New Roman" w:hAnsi="Times New Roman"/>
                <w:kern w:val="0"/>
                <w:sz w:val="21"/>
                <w:szCs w:val="21"/>
              </w:rPr>
              <w:t>经费控制情况（万元）</w:t>
            </w:r>
          </w:p>
        </w:tc>
        <w:tc>
          <w:tcPr>
            <w:tcW w:w="2325" w:type="dxa"/>
            <w:gridSpan w:val="2"/>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b/>
                <w:bCs/>
                <w:kern w:val="0"/>
                <w:sz w:val="21"/>
                <w:szCs w:val="21"/>
              </w:rPr>
            </w:pPr>
            <w:r>
              <w:rPr>
                <w:rFonts w:ascii="Times New Roman" w:hAnsi="Times New Roman"/>
                <w:b/>
                <w:bCs/>
                <w:kern w:val="0"/>
                <w:sz w:val="21"/>
                <w:szCs w:val="21"/>
              </w:rPr>
              <w:t>20</w:t>
            </w:r>
            <w:r>
              <w:rPr>
                <w:rFonts w:hint="eastAsia" w:ascii="Times New Roman" w:hAnsi="Times New Roman"/>
                <w:b/>
                <w:bCs/>
                <w:kern w:val="0"/>
                <w:sz w:val="21"/>
                <w:szCs w:val="21"/>
              </w:rPr>
              <w:t>20</w:t>
            </w:r>
            <w:r>
              <w:rPr>
                <w:rFonts w:ascii="Times New Roman" w:hAnsi="Times New Roman"/>
                <w:b/>
                <w:bCs/>
                <w:kern w:val="0"/>
                <w:sz w:val="21"/>
                <w:szCs w:val="21"/>
              </w:rPr>
              <w:t>年决算数</w:t>
            </w:r>
          </w:p>
        </w:tc>
        <w:tc>
          <w:tcPr>
            <w:tcW w:w="2220" w:type="dxa"/>
            <w:gridSpan w:val="2"/>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b/>
                <w:bCs/>
                <w:kern w:val="0"/>
                <w:sz w:val="21"/>
                <w:szCs w:val="21"/>
              </w:rPr>
            </w:pPr>
            <w:r>
              <w:rPr>
                <w:rFonts w:ascii="Times New Roman" w:hAnsi="Times New Roman"/>
                <w:b/>
                <w:bCs/>
                <w:kern w:val="0"/>
                <w:sz w:val="21"/>
                <w:szCs w:val="21"/>
              </w:rPr>
              <w:t>202</w:t>
            </w:r>
            <w:r>
              <w:rPr>
                <w:rFonts w:hint="eastAsia" w:ascii="Times New Roman" w:hAnsi="Times New Roman"/>
                <w:b/>
                <w:bCs/>
                <w:kern w:val="0"/>
                <w:sz w:val="21"/>
                <w:szCs w:val="21"/>
              </w:rPr>
              <w:t>1</w:t>
            </w:r>
            <w:r>
              <w:rPr>
                <w:rFonts w:ascii="Times New Roman" w:hAnsi="Times New Roman"/>
                <w:b/>
                <w:bCs/>
                <w:kern w:val="0"/>
                <w:sz w:val="21"/>
                <w:szCs w:val="21"/>
              </w:rPr>
              <w:t>年预算数</w:t>
            </w:r>
          </w:p>
        </w:tc>
        <w:tc>
          <w:tcPr>
            <w:tcW w:w="1936" w:type="dxa"/>
            <w:gridSpan w:val="2"/>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b/>
                <w:bCs/>
                <w:kern w:val="0"/>
                <w:sz w:val="21"/>
                <w:szCs w:val="21"/>
              </w:rPr>
            </w:pPr>
            <w:r>
              <w:rPr>
                <w:rFonts w:ascii="Times New Roman" w:hAnsi="Times New Roman"/>
                <w:b/>
                <w:bCs/>
                <w:kern w:val="0"/>
                <w:sz w:val="21"/>
                <w:szCs w:val="21"/>
              </w:rPr>
              <w:t>202</w:t>
            </w:r>
            <w:r>
              <w:rPr>
                <w:rFonts w:hint="eastAsia" w:ascii="Times New Roman" w:hAnsi="Times New Roman"/>
                <w:b/>
                <w:bCs/>
                <w:kern w:val="0"/>
                <w:sz w:val="21"/>
                <w:szCs w:val="21"/>
              </w:rPr>
              <w:t>1</w:t>
            </w:r>
            <w:r>
              <w:rPr>
                <w:rFonts w:ascii="Times New Roman" w:hAnsi="Times New Roman"/>
                <w:b/>
                <w:bCs/>
                <w:kern w:val="0"/>
                <w:sz w:val="21"/>
                <w:szCs w:val="21"/>
              </w:rPr>
              <w:t>年决算数</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kern w:val="0"/>
                <w:sz w:val="21"/>
                <w:szCs w:val="21"/>
              </w:rPr>
            </w:pPr>
            <w:r>
              <w:rPr>
                <w:rFonts w:hint="eastAsia" w:ascii="Times New Roman" w:hAnsi="Times New Roman"/>
                <w:kern w:val="0"/>
                <w:sz w:val="21"/>
                <w:szCs w:val="21"/>
              </w:rPr>
              <w:t>支出总额</w:t>
            </w:r>
          </w:p>
        </w:tc>
        <w:tc>
          <w:tcPr>
            <w:tcW w:w="2325" w:type="dxa"/>
            <w:gridSpan w:val="2"/>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kern w:val="0"/>
                <w:sz w:val="21"/>
                <w:szCs w:val="21"/>
              </w:rPr>
            </w:pPr>
            <w:r>
              <w:rPr>
                <w:rFonts w:hint="eastAsia" w:ascii="Times New Roman" w:hAnsi="Times New Roman"/>
                <w:kern w:val="0"/>
                <w:sz w:val="21"/>
                <w:szCs w:val="21"/>
              </w:rPr>
              <w:t>896.69</w:t>
            </w:r>
          </w:p>
        </w:tc>
        <w:tc>
          <w:tcPr>
            <w:tcW w:w="2220" w:type="dxa"/>
            <w:gridSpan w:val="2"/>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kern w:val="0"/>
                <w:sz w:val="21"/>
                <w:szCs w:val="21"/>
              </w:rPr>
            </w:pPr>
            <w:r>
              <w:rPr>
                <w:rFonts w:hint="eastAsia" w:ascii="Times New Roman" w:hAnsi="Times New Roman"/>
                <w:kern w:val="0"/>
                <w:sz w:val="21"/>
                <w:szCs w:val="21"/>
              </w:rPr>
              <w:t>1112.51</w:t>
            </w:r>
          </w:p>
        </w:tc>
        <w:tc>
          <w:tcPr>
            <w:tcW w:w="1936" w:type="dxa"/>
            <w:gridSpan w:val="2"/>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kern w:val="0"/>
                <w:sz w:val="21"/>
                <w:szCs w:val="21"/>
              </w:rPr>
            </w:pPr>
            <w:r>
              <w:rPr>
                <w:rFonts w:hint="eastAsia" w:ascii="Times New Roman" w:hAnsi="Times New Roman"/>
                <w:kern w:val="0"/>
                <w:sz w:val="21"/>
                <w:szCs w:val="21"/>
              </w:rPr>
              <w:t>1112.51</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kern w:val="0"/>
                <w:sz w:val="21"/>
                <w:szCs w:val="21"/>
              </w:rPr>
            </w:pPr>
            <w:r>
              <w:rPr>
                <w:rFonts w:hint="eastAsia" w:ascii="Times New Roman" w:hAnsi="Times New Roman"/>
                <w:kern w:val="0"/>
                <w:sz w:val="21"/>
                <w:szCs w:val="21"/>
              </w:rPr>
              <w:t>基本支出</w:t>
            </w:r>
          </w:p>
        </w:tc>
        <w:tc>
          <w:tcPr>
            <w:tcW w:w="2325" w:type="dxa"/>
            <w:gridSpan w:val="2"/>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kern w:val="0"/>
                <w:sz w:val="21"/>
                <w:szCs w:val="21"/>
              </w:rPr>
            </w:pPr>
            <w:r>
              <w:rPr>
                <w:rFonts w:hint="eastAsia" w:ascii="Times New Roman" w:hAnsi="Times New Roman"/>
                <w:kern w:val="0"/>
                <w:sz w:val="21"/>
                <w:szCs w:val="21"/>
              </w:rPr>
              <w:t>845.96</w:t>
            </w:r>
          </w:p>
        </w:tc>
        <w:tc>
          <w:tcPr>
            <w:tcW w:w="2220" w:type="dxa"/>
            <w:gridSpan w:val="2"/>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kern w:val="0"/>
                <w:sz w:val="21"/>
                <w:szCs w:val="21"/>
              </w:rPr>
            </w:pPr>
            <w:r>
              <w:rPr>
                <w:rFonts w:hint="eastAsia" w:ascii="Times New Roman" w:hAnsi="Times New Roman"/>
                <w:kern w:val="0"/>
                <w:sz w:val="21"/>
                <w:szCs w:val="21"/>
              </w:rPr>
              <w:t>1059.01</w:t>
            </w:r>
          </w:p>
        </w:tc>
        <w:tc>
          <w:tcPr>
            <w:tcW w:w="1936" w:type="dxa"/>
            <w:gridSpan w:val="2"/>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kern w:val="0"/>
                <w:sz w:val="21"/>
                <w:szCs w:val="21"/>
              </w:rPr>
            </w:pPr>
            <w:r>
              <w:rPr>
                <w:rFonts w:hint="eastAsia" w:ascii="Times New Roman" w:hAnsi="Times New Roman"/>
                <w:kern w:val="0"/>
                <w:sz w:val="21"/>
                <w:szCs w:val="21"/>
              </w:rPr>
              <w:t>1059.01</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kern w:val="0"/>
                <w:sz w:val="21"/>
                <w:szCs w:val="21"/>
              </w:rPr>
            </w:pPr>
            <w:r>
              <w:rPr>
                <w:rFonts w:hint="eastAsia" w:ascii="Times New Roman" w:hAnsi="Times New Roman"/>
                <w:kern w:val="0"/>
                <w:sz w:val="21"/>
                <w:szCs w:val="21"/>
              </w:rPr>
              <w:t xml:space="preserve">    其中：公用经费</w:t>
            </w:r>
          </w:p>
        </w:tc>
        <w:tc>
          <w:tcPr>
            <w:tcW w:w="2325" w:type="dxa"/>
            <w:gridSpan w:val="2"/>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kern w:val="0"/>
                <w:sz w:val="21"/>
                <w:szCs w:val="21"/>
              </w:rPr>
            </w:pPr>
            <w:r>
              <w:rPr>
                <w:rFonts w:hint="eastAsia" w:ascii="Times New Roman" w:hAnsi="Times New Roman"/>
                <w:kern w:val="0"/>
                <w:sz w:val="21"/>
                <w:szCs w:val="21"/>
              </w:rPr>
              <w:t>156.48</w:t>
            </w:r>
          </w:p>
        </w:tc>
        <w:tc>
          <w:tcPr>
            <w:tcW w:w="2220" w:type="dxa"/>
            <w:gridSpan w:val="2"/>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kern w:val="0"/>
                <w:sz w:val="21"/>
                <w:szCs w:val="21"/>
              </w:rPr>
            </w:pPr>
            <w:r>
              <w:rPr>
                <w:rFonts w:hint="eastAsia" w:ascii="Times New Roman" w:hAnsi="Times New Roman"/>
                <w:kern w:val="0"/>
                <w:sz w:val="21"/>
                <w:szCs w:val="21"/>
              </w:rPr>
              <w:t>211.29</w:t>
            </w:r>
          </w:p>
        </w:tc>
        <w:tc>
          <w:tcPr>
            <w:tcW w:w="1936" w:type="dxa"/>
            <w:gridSpan w:val="2"/>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kern w:val="0"/>
                <w:sz w:val="21"/>
                <w:szCs w:val="21"/>
              </w:rPr>
            </w:pPr>
            <w:r>
              <w:rPr>
                <w:rFonts w:hint="eastAsia" w:ascii="Times New Roman" w:hAnsi="Times New Roman"/>
                <w:kern w:val="0"/>
                <w:sz w:val="21"/>
                <w:szCs w:val="21"/>
              </w:rPr>
              <w:t>211.29</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kern w:val="0"/>
                <w:sz w:val="21"/>
                <w:szCs w:val="21"/>
              </w:rPr>
            </w:pPr>
            <w:r>
              <w:rPr>
                <w:rFonts w:hint="eastAsia" w:ascii="Times New Roman" w:hAnsi="Times New Roman"/>
                <w:kern w:val="0"/>
                <w:sz w:val="21"/>
                <w:szCs w:val="21"/>
              </w:rPr>
              <w:t>项目支出</w:t>
            </w:r>
          </w:p>
        </w:tc>
        <w:tc>
          <w:tcPr>
            <w:tcW w:w="2325" w:type="dxa"/>
            <w:gridSpan w:val="2"/>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kern w:val="0"/>
                <w:sz w:val="21"/>
                <w:szCs w:val="21"/>
              </w:rPr>
            </w:pPr>
            <w:r>
              <w:rPr>
                <w:rFonts w:hint="eastAsia" w:ascii="Times New Roman" w:hAnsi="Times New Roman"/>
                <w:kern w:val="0"/>
                <w:sz w:val="21"/>
                <w:szCs w:val="21"/>
              </w:rPr>
              <w:t>50.3</w:t>
            </w:r>
          </w:p>
        </w:tc>
        <w:tc>
          <w:tcPr>
            <w:tcW w:w="2220" w:type="dxa"/>
            <w:gridSpan w:val="2"/>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kern w:val="0"/>
                <w:sz w:val="21"/>
                <w:szCs w:val="21"/>
              </w:rPr>
            </w:pPr>
            <w:r>
              <w:rPr>
                <w:rFonts w:hint="eastAsia" w:ascii="Times New Roman" w:hAnsi="Times New Roman"/>
                <w:kern w:val="0"/>
                <w:sz w:val="21"/>
                <w:szCs w:val="21"/>
              </w:rPr>
              <w:t>53.5</w:t>
            </w:r>
          </w:p>
        </w:tc>
        <w:tc>
          <w:tcPr>
            <w:tcW w:w="1936" w:type="dxa"/>
            <w:gridSpan w:val="2"/>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kern w:val="0"/>
                <w:sz w:val="21"/>
                <w:szCs w:val="21"/>
              </w:rPr>
            </w:pPr>
            <w:r>
              <w:rPr>
                <w:rFonts w:hint="eastAsia" w:ascii="Times New Roman" w:hAnsi="Times New Roman"/>
                <w:kern w:val="0"/>
                <w:sz w:val="21"/>
                <w:szCs w:val="21"/>
              </w:rPr>
              <w:t>53.5</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kern w:val="0"/>
                <w:sz w:val="21"/>
                <w:szCs w:val="21"/>
              </w:rPr>
            </w:pPr>
            <w:r>
              <w:rPr>
                <w:rFonts w:hint="eastAsia" w:ascii="Times New Roman" w:hAnsi="Times New Roman"/>
                <w:kern w:val="0"/>
                <w:sz w:val="21"/>
                <w:szCs w:val="21"/>
              </w:rPr>
              <w:t xml:space="preserve">   其中：1、运行维护经费</w:t>
            </w:r>
          </w:p>
        </w:tc>
        <w:tc>
          <w:tcPr>
            <w:tcW w:w="2325" w:type="dxa"/>
            <w:gridSpan w:val="2"/>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kern w:val="0"/>
                <w:sz w:val="21"/>
                <w:szCs w:val="21"/>
              </w:rPr>
            </w:pPr>
          </w:p>
        </w:tc>
        <w:tc>
          <w:tcPr>
            <w:tcW w:w="2220" w:type="dxa"/>
            <w:gridSpan w:val="2"/>
            <w:tcBorders>
              <w:top w:val="single" w:color="auto" w:sz="4" w:space="0"/>
              <w:left w:val="nil"/>
              <w:bottom w:val="single" w:color="auto" w:sz="4" w:space="0"/>
              <w:right w:val="single" w:color="000000" w:sz="4" w:space="0"/>
            </w:tcBorders>
            <w:noWrap/>
            <w:vAlign w:val="center"/>
          </w:tcPr>
          <w:p>
            <w:pPr>
              <w:widowControl/>
              <w:rPr>
                <w:rFonts w:ascii="Times New Roman" w:hAnsi="Times New Roman"/>
                <w:kern w:val="0"/>
                <w:sz w:val="21"/>
                <w:szCs w:val="21"/>
              </w:rPr>
            </w:pPr>
          </w:p>
        </w:tc>
        <w:tc>
          <w:tcPr>
            <w:tcW w:w="1936" w:type="dxa"/>
            <w:gridSpan w:val="2"/>
            <w:tcBorders>
              <w:top w:val="single" w:color="auto" w:sz="4" w:space="0"/>
              <w:left w:val="nil"/>
              <w:bottom w:val="single" w:color="auto" w:sz="4" w:space="0"/>
              <w:right w:val="single" w:color="000000" w:sz="4" w:space="0"/>
            </w:tcBorders>
            <w:noWrap/>
            <w:vAlign w:val="center"/>
          </w:tcPr>
          <w:p>
            <w:pPr>
              <w:widowControl/>
              <w:rPr>
                <w:rFonts w:ascii="Times New Roman" w:hAnsi="Times New Roman"/>
                <w:kern w:val="0"/>
                <w:sz w:val="21"/>
                <w:szCs w:val="21"/>
              </w:rPr>
            </w:pP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ign w:val="center"/>
          </w:tcPr>
          <w:p>
            <w:pPr>
              <w:widowControl/>
              <w:numPr>
                <w:ilvl w:val="0"/>
                <w:numId w:val="5"/>
              </w:numPr>
              <w:jc w:val="left"/>
              <w:rPr>
                <w:rFonts w:ascii="Times New Roman" w:hAnsi="Times New Roman"/>
                <w:kern w:val="0"/>
                <w:sz w:val="21"/>
                <w:szCs w:val="21"/>
              </w:rPr>
            </w:pPr>
            <w:r>
              <w:rPr>
                <w:rFonts w:hint="eastAsia" w:ascii="Times New Roman" w:hAnsi="Times New Roman"/>
                <w:kern w:val="0"/>
                <w:sz w:val="21"/>
                <w:szCs w:val="21"/>
              </w:rPr>
              <w:t>专项资金</w:t>
            </w:r>
          </w:p>
        </w:tc>
        <w:tc>
          <w:tcPr>
            <w:tcW w:w="2325" w:type="dxa"/>
            <w:gridSpan w:val="2"/>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kern w:val="0"/>
                <w:sz w:val="21"/>
                <w:szCs w:val="21"/>
              </w:rPr>
            </w:pPr>
            <w:r>
              <w:rPr>
                <w:rFonts w:hint="eastAsia" w:ascii="Times New Roman" w:hAnsi="Times New Roman"/>
                <w:kern w:val="0"/>
                <w:sz w:val="21"/>
                <w:szCs w:val="21"/>
              </w:rPr>
              <w:t>50.3</w:t>
            </w:r>
          </w:p>
        </w:tc>
        <w:tc>
          <w:tcPr>
            <w:tcW w:w="2220" w:type="dxa"/>
            <w:gridSpan w:val="2"/>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kern w:val="0"/>
                <w:sz w:val="21"/>
                <w:szCs w:val="21"/>
              </w:rPr>
            </w:pPr>
            <w:r>
              <w:rPr>
                <w:rFonts w:hint="eastAsia" w:ascii="Times New Roman" w:hAnsi="Times New Roman"/>
                <w:kern w:val="0"/>
                <w:sz w:val="21"/>
                <w:szCs w:val="21"/>
              </w:rPr>
              <w:t>53.5</w:t>
            </w:r>
          </w:p>
        </w:tc>
        <w:tc>
          <w:tcPr>
            <w:tcW w:w="1936" w:type="dxa"/>
            <w:gridSpan w:val="2"/>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kern w:val="0"/>
                <w:sz w:val="21"/>
                <w:szCs w:val="21"/>
              </w:rPr>
            </w:pPr>
            <w:r>
              <w:rPr>
                <w:rFonts w:hint="eastAsia" w:ascii="Times New Roman" w:hAnsi="Times New Roman"/>
                <w:kern w:val="0"/>
                <w:sz w:val="21"/>
                <w:szCs w:val="21"/>
              </w:rPr>
              <w:t>53.5</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 w:val="21"/>
                <w:szCs w:val="21"/>
              </w:rPr>
            </w:pPr>
            <w:r>
              <w:rPr>
                <w:rFonts w:hint="eastAsia" w:ascii="Times New Roman" w:hAnsi="Times New Roman"/>
                <w:kern w:val="0"/>
                <w:sz w:val="21"/>
                <w:szCs w:val="21"/>
              </w:rPr>
              <w:t>2020年省级环保专项资金</w:t>
            </w:r>
          </w:p>
        </w:tc>
        <w:tc>
          <w:tcPr>
            <w:tcW w:w="2325" w:type="dxa"/>
            <w:gridSpan w:val="2"/>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kern w:val="0"/>
                <w:sz w:val="21"/>
                <w:szCs w:val="21"/>
              </w:rPr>
            </w:pPr>
            <w:r>
              <w:rPr>
                <w:rFonts w:hint="eastAsia" w:ascii="Times New Roman" w:hAnsi="Times New Roman"/>
                <w:kern w:val="0"/>
                <w:sz w:val="21"/>
                <w:szCs w:val="21"/>
              </w:rPr>
              <w:t>6.89</w:t>
            </w:r>
          </w:p>
        </w:tc>
        <w:tc>
          <w:tcPr>
            <w:tcW w:w="2220" w:type="dxa"/>
            <w:gridSpan w:val="2"/>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kern w:val="0"/>
                <w:sz w:val="21"/>
                <w:szCs w:val="21"/>
              </w:rPr>
            </w:pPr>
          </w:p>
        </w:tc>
        <w:tc>
          <w:tcPr>
            <w:tcW w:w="1936" w:type="dxa"/>
            <w:gridSpan w:val="2"/>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kern w:val="0"/>
                <w:sz w:val="21"/>
                <w:szCs w:val="21"/>
              </w:rPr>
            </w:pP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 w:val="21"/>
                <w:szCs w:val="21"/>
              </w:rPr>
            </w:pPr>
            <w:r>
              <w:rPr>
                <w:rFonts w:hint="eastAsia" w:ascii="Times New Roman" w:hAnsi="Times New Roman"/>
                <w:kern w:val="0"/>
                <w:sz w:val="21"/>
                <w:szCs w:val="21"/>
              </w:rPr>
              <w:t>中央土壤污染防治专项资金</w:t>
            </w:r>
          </w:p>
        </w:tc>
        <w:tc>
          <w:tcPr>
            <w:tcW w:w="2325" w:type="dxa"/>
            <w:gridSpan w:val="2"/>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kern w:val="0"/>
                <w:sz w:val="21"/>
                <w:szCs w:val="21"/>
              </w:rPr>
            </w:pPr>
            <w:r>
              <w:rPr>
                <w:rFonts w:hint="eastAsia" w:ascii="Times New Roman" w:hAnsi="Times New Roman"/>
                <w:kern w:val="0"/>
                <w:sz w:val="21"/>
                <w:szCs w:val="21"/>
              </w:rPr>
              <w:t>43.4</w:t>
            </w:r>
          </w:p>
        </w:tc>
        <w:tc>
          <w:tcPr>
            <w:tcW w:w="2220" w:type="dxa"/>
            <w:gridSpan w:val="2"/>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kern w:val="0"/>
                <w:sz w:val="21"/>
                <w:szCs w:val="21"/>
              </w:rPr>
            </w:pPr>
          </w:p>
        </w:tc>
        <w:tc>
          <w:tcPr>
            <w:tcW w:w="1936" w:type="dxa"/>
            <w:gridSpan w:val="2"/>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kern w:val="0"/>
                <w:sz w:val="21"/>
                <w:szCs w:val="21"/>
              </w:rPr>
            </w:pP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 w:val="21"/>
                <w:szCs w:val="21"/>
              </w:rPr>
            </w:pPr>
            <w:r>
              <w:rPr>
                <w:rFonts w:hint="eastAsia" w:ascii="Times New Roman" w:hAnsi="Times New Roman"/>
                <w:kern w:val="0"/>
                <w:sz w:val="21"/>
                <w:szCs w:val="21"/>
              </w:rPr>
              <w:t>节能环保工作经费支出</w:t>
            </w:r>
          </w:p>
        </w:tc>
        <w:tc>
          <w:tcPr>
            <w:tcW w:w="2325" w:type="dxa"/>
            <w:gridSpan w:val="2"/>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kern w:val="0"/>
                <w:sz w:val="21"/>
                <w:szCs w:val="21"/>
              </w:rPr>
            </w:pPr>
          </w:p>
        </w:tc>
        <w:tc>
          <w:tcPr>
            <w:tcW w:w="2220" w:type="dxa"/>
            <w:gridSpan w:val="2"/>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kern w:val="0"/>
                <w:sz w:val="21"/>
                <w:szCs w:val="21"/>
              </w:rPr>
            </w:pPr>
            <w:r>
              <w:rPr>
                <w:rFonts w:hint="eastAsia" w:ascii="Times New Roman" w:hAnsi="Times New Roman"/>
                <w:kern w:val="0"/>
                <w:sz w:val="21"/>
                <w:szCs w:val="21"/>
              </w:rPr>
              <w:t>9.01</w:t>
            </w:r>
          </w:p>
        </w:tc>
        <w:tc>
          <w:tcPr>
            <w:tcW w:w="1936" w:type="dxa"/>
            <w:gridSpan w:val="2"/>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kern w:val="0"/>
                <w:sz w:val="21"/>
                <w:szCs w:val="21"/>
              </w:rPr>
            </w:pPr>
            <w:r>
              <w:rPr>
                <w:rFonts w:hint="eastAsia" w:ascii="Times New Roman" w:hAnsi="Times New Roman"/>
                <w:kern w:val="0"/>
                <w:sz w:val="21"/>
                <w:szCs w:val="21"/>
              </w:rPr>
              <w:t>9.01</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 w:val="21"/>
                <w:szCs w:val="21"/>
              </w:rPr>
            </w:pPr>
            <w:r>
              <w:rPr>
                <w:rFonts w:hint="eastAsia" w:ascii="Times New Roman" w:hAnsi="Times New Roman"/>
                <w:kern w:val="0"/>
                <w:sz w:val="21"/>
                <w:szCs w:val="21"/>
              </w:rPr>
              <w:t>污染防治工作经费支出</w:t>
            </w:r>
          </w:p>
        </w:tc>
        <w:tc>
          <w:tcPr>
            <w:tcW w:w="2325" w:type="dxa"/>
            <w:gridSpan w:val="2"/>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kern w:val="0"/>
                <w:sz w:val="21"/>
                <w:szCs w:val="21"/>
              </w:rPr>
            </w:pPr>
          </w:p>
        </w:tc>
        <w:tc>
          <w:tcPr>
            <w:tcW w:w="2220" w:type="dxa"/>
            <w:gridSpan w:val="2"/>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kern w:val="0"/>
                <w:sz w:val="21"/>
                <w:szCs w:val="21"/>
              </w:rPr>
            </w:pPr>
            <w:r>
              <w:rPr>
                <w:rFonts w:hint="eastAsia" w:ascii="Times New Roman" w:hAnsi="Times New Roman"/>
                <w:kern w:val="0"/>
                <w:sz w:val="21"/>
                <w:szCs w:val="21"/>
              </w:rPr>
              <w:t>0.43</w:t>
            </w:r>
          </w:p>
        </w:tc>
        <w:tc>
          <w:tcPr>
            <w:tcW w:w="1936" w:type="dxa"/>
            <w:gridSpan w:val="2"/>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kern w:val="0"/>
                <w:sz w:val="21"/>
                <w:szCs w:val="21"/>
              </w:rPr>
            </w:pPr>
            <w:r>
              <w:rPr>
                <w:rFonts w:hint="eastAsia" w:ascii="Times New Roman" w:hAnsi="Times New Roman"/>
                <w:kern w:val="0"/>
                <w:sz w:val="21"/>
                <w:szCs w:val="21"/>
              </w:rPr>
              <w:t>0.43</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 w:val="21"/>
                <w:szCs w:val="21"/>
              </w:rPr>
            </w:pPr>
            <w:r>
              <w:rPr>
                <w:rFonts w:hint="eastAsia" w:ascii="Times New Roman" w:hAnsi="Times New Roman"/>
                <w:kern w:val="0"/>
                <w:sz w:val="21"/>
                <w:szCs w:val="21"/>
              </w:rPr>
              <w:t>生态环境执法监察工作经费支出</w:t>
            </w:r>
          </w:p>
        </w:tc>
        <w:tc>
          <w:tcPr>
            <w:tcW w:w="2325" w:type="dxa"/>
            <w:gridSpan w:val="2"/>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kern w:val="0"/>
                <w:sz w:val="21"/>
                <w:szCs w:val="21"/>
              </w:rPr>
            </w:pPr>
          </w:p>
        </w:tc>
        <w:tc>
          <w:tcPr>
            <w:tcW w:w="2220" w:type="dxa"/>
            <w:gridSpan w:val="2"/>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kern w:val="0"/>
                <w:sz w:val="21"/>
                <w:szCs w:val="21"/>
              </w:rPr>
            </w:pPr>
            <w:r>
              <w:rPr>
                <w:rFonts w:hint="eastAsia" w:ascii="Times New Roman" w:hAnsi="Times New Roman"/>
                <w:kern w:val="0"/>
                <w:sz w:val="21"/>
                <w:szCs w:val="21"/>
              </w:rPr>
              <w:t>34.06</w:t>
            </w:r>
          </w:p>
        </w:tc>
        <w:tc>
          <w:tcPr>
            <w:tcW w:w="1936" w:type="dxa"/>
            <w:gridSpan w:val="2"/>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kern w:val="0"/>
                <w:sz w:val="21"/>
                <w:szCs w:val="21"/>
              </w:rPr>
            </w:pPr>
            <w:r>
              <w:rPr>
                <w:rFonts w:hint="eastAsia" w:ascii="Times New Roman" w:hAnsi="Times New Roman"/>
                <w:kern w:val="0"/>
                <w:sz w:val="21"/>
                <w:szCs w:val="21"/>
              </w:rPr>
              <w:t>34.06</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 w:val="21"/>
                <w:szCs w:val="21"/>
              </w:rPr>
            </w:pPr>
            <w:r>
              <w:rPr>
                <w:rFonts w:hint="eastAsia" w:ascii="Times New Roman" w:hAnsi="Times New Roman"/>
                <w:kern w:val="0"/>
                <w:sz w:val="21"/>
                <w:szCs w:val="21"/>
              </w:rPr>
              <w:t>环保工作经费支出</w:t>
            </w:r>
          </w:p>
        </w:tc>
        <w:tc>
          <w:tcPr>
            <w:tcW w:w="2325" w:type="dxa"/>
            <w:gridSpan w:val="2"/>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kern w:val="0"/>
                <w:sz w:val="21"/>
                <w:szCs w:val="21"/>
              </w:rPr>
            </w:pPr>
          </w:p>
        </w:tc>
        <w:tc>
          <w:tcPr>
            <w:tcW w:w="2220" w:type="dxa"/>
            <w:gridSpan w:val="2"/>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kern w:val="0"/>
                <w:sz w:val="21"/>
                <w:szCs w:val="21"/>
              </w:rPr>
            </w:pPr>
            <w:r>
              <w:rPr>
                <w:rFonts w:hint="eastAsia" w:ascii="Times New Roman" w:hAnsi="Times New Roman"/>
                <w:kern w:val="0"/>
                <w:sz w:val="21"/>
                <w:szCs w:val="21"/>
              </w:rPr>
              <w:t>10</w:t>
            </w:r>
          </w:p>
        </w:tc>
        <w:tc>
          <w:tcPr>
            <w:tcW w:w="1936" w:type="dxa"/>
            <w:gridSpan w:val="2"/>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kern w:val="0"/>
                <w:sz w:val="21"/>
                <w:szCs w:val="21"/>
              </w:rPr>
            </w:pPr>
            <w:r>
              <w:rPr>
                <w:rFonts w:hint="eastAsia" w:ascii="Times New Roman" w:hAnsi="Times New Roman"/>
                <w:kern w:val="0"/>
                <w:sz w:val="21"/>
                <w:szCs w:val="21"/>
              </w:rPr>
              <w:t>10</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kern w:val="0"/>
                <w:sz w:val="21"/>
                <w:szCs w:val="21"/>
              </w:rPr>
            </w:pPr>
            <w:r>
              <w:rPr>
                <w:rFonts w:ascii="Times New Roman" w:hAnsi="Times New Roman"/>
                <w:kern w:val="0"/>
                <w:sz w:val="21"/>
                <w:szCs w:val="21"/>
              </w:rPr>
              <w:t>三公经费</w:t>
            </w:r>
          </w:p>
        </w:tc>
        <w:tc>
          <w:tcPr>
            <w:tcW w:w="2325" w:type="dxa"/>
            <w:gridSpan w:val="2"/>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kern w:val="0"/>
                <w:sz w:val="21"/>
                <w:szCs w:val="21"/>
              </w:rPr>
            </w:pPr>
            <w:r>
              <w:rPr>
                <w:rFonts w:hint="eastAsia" w:ascii="Times New Roman" w:hAnsi="Times New Roman"/>
                <w:kern w:val="0"/>
                <w:sz w:val="21"/>
                <w:szCs w:val="21"/>
              </w:rPr>
              <w:t>4.26</w:t>
            </w:r>
            <w:r>
              <w:rPr>
                <w:rFonts w:ascii="Times New Roman" w:hAnsi="Times New Roman"/>
                <w:kern w:val="0"/>
                <w:sz w:val="21"/>
                <w:szCs w:val="21"/>
              </w:rPr>
              <w:t>　</w:t>
            </w:r>
          </w:p>
        </w:tc>
        <w:tc>
          <w:tcPr>
            <w:tcW w:w="2220" w:type="dxa"/>
            <w:gridSpan w:val="2"/>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kern w:val="0"/>
                <w:sz w:val="21"/>
                <w:szCs w:val="21"/>
              </w:rPr>
            </w:pPr>
            <w:r>
              <w:rPr>
                <w:rFonts w:hint="eastAsia" w:ascii="Times New Roman" w:hAnsi="Times New Roman"/>
                <w:kern w:val="0"/>
                <w:sz w:val="21"/>
                <w:szCs w:val="21"/>
              </w:rPr>
              <w:t>3.04</w:t>
            </w:r>
            <w:r>
              <w:rPr>
                <w:rFonts w:ascii="Times New Roman" w:hAnsi="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kern w:val="0"/>
                <w:sz w:val="21"/>
                <w:szCs w:val="21"/>
              </w:rPr>
            </w:pPr>
            <w:r>
              <w:rPr>
                <w:rFonts w:hint="eastAsia" w:ascii="Times New Roman" w:hAnsi="Times New Roman"/>
                <w:kern w:val="0"/>
                <w:sz w:val="21"/>
                <w:szCs w:val="21"/>
              </w:rPr>
              <w:t>3.04</w:t>
            </w:r>
            <w:r>
              <w:rPr>
                <w:rFonts w:ascii="Times New Roman" w:hAnsi="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kern w:val="0"/>
                <w:sz w:val="21"/>
                <w:szCs w:val="21"/>
              </w:rPr>
            </w:pPr>
            <w:r>
              <w:rPr>
                <w:rFonts w:ascii="Times New Roman" w:hAnsi="Times New Roman"/>
                <w:kern w:val="0"/>
                <w:sz w:val="21"/>
                <w:szCs w:val="21"/>
              </w:rPr>
              <w:t xml:space="preserve">   1、公务用车购置和维护经费</w:t>
            </w:r>
          </w:p>
        </w:tc>
        <w:tc>
          <w:tcPr>
            <w:tcW w:w="2325" w:type="dxa"/>
            <w:gridSpan w:val="2"/>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kern w:val="0"/>
                <w:sz w:val="21"/>
                <w:szCs w:val="21"/>
              </w:rPr>
            </w:pPr>
            <w:r>
              <w:rPr>
                <w:rFonts w:hint="eastAsia" w:ascii="Times New Roman" w:hAnsi="Times New Roman"/>
                <w:kern w:val="0"/>
                <w:sz w:val="21"/>
                <w:szCs w:val="21"/>
              </w:rPr>
              <w:t>3.3</w:t>
            </w:r>
            <w:r>
              <w:rPr>
                <w:rFonts w:ascii="Times New Roman" w:hAnsi="Times New Roman"/>
                <w:kern w:val="0"/>
                <w:sz w:val="21"/>
                <w:szCs w:val="21"/>
              </w:rPr>
              <w:t>　</w:t>
            </w:r>
          </w:p>
        </w:tc>
        <w:tc>
          <w:tcPr>
            <w:tcW w:w="2220" w:type="dxa"/>
            <w:gridSpan w:val="2"/>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kern w:val="0"/>
                <w:sz w:val="21"/>
                <w:szCs w:val="21"/>
              </w:rPr>
            </w:pPr>
            <w:r>
              <w:rPr>
                <w:rFonts w:hint="eastAsia" w:ascii="Times New Roman" w:hAnsi="Times New Roman"/>
                <w:kern w:val="0"/>
                <w:sz w:val="21"/>
                <w:szCs w:val="21"/>
              </w:rPr>
              <w:t>2.92</w:t>
            </w:r>
            <w:r>
              <w:rPr>
                <w:rFonts w:ascii="Times New Roman" w:hAnsi="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kern w:val="0"/>
                <w:sz w:val="21"/>
                <w:szCs w:val="21"/>
              </w:rPr>
            </w:pPr>
            <w:r>
              <w:rPr>
                <w:rFonts w:hint="eastAsia" w:ascii="Times New Roman" w:hAnsi="Times New Roman"/>
                <w:kern w:val="0"/>
                <w:sz w:val="21"/>
                <w:szCs w:val="21"/>
              </w:rPr>
              <w:t>2.92</w:t>
            </w:r>
            <w:r>
              <w:rPr>
                <w:rFonts w:ascii="Times New Roman" w:hAnsi="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kern w:val="0"/>
                <w:sz w:val="21"/>
                <w:szCs w:val="21"/>
              </w:rPr>
            </w:pPr>
            <w:r>
              <w:rPr>
                <w:rFonts w:ascii="Times New Roman" w:hAnsi="Times New Roman"/>
                <w:kern w:val="0"/>
                <w:sz w:val="21"/>
                <w:szCs w:val="21"/>
              </w:rPr>
              <w:t xml:space="preserve">       其中：公车购置</w:t>
            </w:r>
          </w:p>
        </w:tc>
        <w:tc>
          <w:tcPr>
            <w:tcW w:w="2325" w:type="dxa"/>
            <w:gridSpan w:val="2"/>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kern w:val="0"/>
                <w:sz w:val="21"/>
                <w:szCs w:val="21"/>
              </w:rPr>
            </w:pPr>
            <w:r>
              <w:rPr>
                <w:rFonts w:hint="eastAsia" w:ascii="Times New Roman" w:hAnsi="Times New Roman"/>
                <w:kern w:val="0"/>
                <w:sz w:val="21"/>
                <w:szCs w:val="21"/>
              </w:rPr>
              <w:t>0</w:t>
            </w:r>
            <w:r>
              <w:rPr>
                <w:rFonts w:ascii="Times New Roman" w:hAnsi="Times New Roman"/>
                <w:kern w:val="0"/>
                <w:sz w:val="21"/>
                <w:szCs w:val="21"/>
              </w:rPr>
              <w:t>　</w:t>
            </w:r>
          </w:p>
        </w:tc>
        <w:tc>
          <w:tcPr>
            <w:tcW w:w="2220" w:type="dxa"/>
            <w:gridSpan w:val="2"/>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kern w:val="0"/>
                <w:sz w:val="21"/>
                <w:szCs w:val="21"/>
              </w:rPr>
            </w:pPr>
            <w:r>
              <w:rPr>
                <w:rFonts w:ascii="Times New Roman" w:hAnsi="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kern w:val="0"/>
                <w:sz w:val="21"/>
                <w:szCs w:val="21"/>
              </w:rPr>
            </w:pPr>
            <w:r>
              <w:rPr>
                <w:rFonts w:ascii="Times New Roman" w:hAnsi="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kern w:val="0"/>
                <w:sz w:val="21"/>
                <w:szCs w:val="21"/>
              </w:rPr>
            </w:pPr>
            <w:r>
              <w:rPr>
                <w:rFonts w:ascii="Times New Roman" w:hAnsi="Times New Roman"/>
                <w:kern w:val="0"/>
                <w:sz w:val="21"/>
                <w:szCs w:val="21"/>
              </w:rPr>
              <w:t xml:space="preserve">             公车运行维护</w:t>
            </w:r>
          </w:p>
        </w:tc>
        <w:tc>
          <w:tcPr>
            <w:tcW w:w="2325" w:type="dxa"/>
            <w:gridSpan w:val="2"/>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kern w:val="0"/>
                <w:sz w:val="21"/>
                <w:szCs w:val="21"/>
              </w:rPr>
            </w:pPr>
            <w:r>
              <w:rPr>
                <w:rFonts w:hint="eastAsia" w:ascii="Times New Roman" w:hAnsi="Times New Roman"/>
                <w:kern w:val="0"/>
                <w:sz w:val="21"/>
                <w:szCs w:val="21"/>
              </w:rPr>
              <w:t>3.3</w:t>
            </w:r>
            <w:r>
              <w:rPr>
                <w:rFonts w:ascii="Times New Roman" w:hAnsi="Times New Roman"/>
                <w:kern w:val="0"/>
                <w:sz w:val="21"/>
                <w:szCs w:val="21"/>
              </w:rPr>
              <w:t>　</w:t>
            </w:r>
          </w:p>
        </w:tc>
        <w:tc>
          <w:tcPr>
            <w:tcW w:w="2220" w:type="dxa"/>
            <w:gridSpan w:val="2"/>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kern w:val="0"/>
                <w:sz w:val="21"/>
                <w:szCs w:val="21"/>
              </w:rPr>
            </w:pPr>
            <w:r>
              <w:rPr>
                <w:rFonts w:hint="eastAsia" w:ascii="Times New Roman" w:hAnsi="Times New Roman"/>
                <w:kern w:val="0"/>
                <w:sz w:val="21"/>
                <w:szCs w:val="21"/>
              </w:rPr>
              <w:t>2.92</w:t>
            </w:r>
            <w:r>
              <w:rPr>
                <w:rFonts w:ascii="Times New Roman" w:hAnsi="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kern w:val="0"/>
                <w:sz w:val="21"/>
                <w:szCs w:val="21"/>
              </w:rPr>
            </w:pPr>
            <w:r>
              <w:rPr>
                <w:rFonts w:hint="eastAsia" w:ascii="Times New Roman" w:hAnsi="Times New Roman"/>
                <w:kern w:val="0"/>
                <w:sz w:val="21"/>
                <w:szCs w:val="21"/>
              </w:rPr>
              <w:t>2.92</w:t>
            </w:r>
            <w:r>
              <w:rPr>
                <w:rFonts w:ascii="Times New Roman" w:hAnsi="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kern w:val="0"/>
                <w:sz w:val="21"/>
                <w:szCs w:val="21"/>
              </w:rPr>
            </w:pPr>
            <w:r>
              <w:rPr>
                <w:rFonts w:ascii="Times New Roman" w:hAnsi="Times New Roman"/>
                <w:kern w:val="0"/>
                <w:sz w:val="21"/>
                <w:szCs w:val="21"/>
              </w:rPr>
              <w:t xml:space="preserve">   2、出国经费</w:t>
            </w:r>
          </w:p>
        </w:tc>
        <w:tc>
          <w:tcPr>
            <w:tcW w:w="2325" w:type="dxa"/>
            <w:gridSpan w:val="2"/>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kern w:val="0"/>
                <w:sz w:val="21"/>
                <w:szCs w:val="21"/>
              </w:rPr>
            </w:pPr>
            <w:r>
              <w:rPr>
                <w:rFonts w:hint="eastAsia" w:ascii="Times New Roman" w:hAnsi="Times New Roman"/>
                <w:kern w:val="0"/>
                <w:sz w:val="21"/>
                <w:szCs w:val="21"/>
              </w:rPr>
              <w:t>0</w:t>
            </w:r>
            <w:r>
              <w:rPr>
                <w:rFonts w:ascii="Times New Roman" w:hAnsi="Times New Roman"/>
                <w:kern w:val="0"/>
                <w:sz w:val="21"/>
                <w:szCs w:val="21"/>
              </w:rPr>
              <w:t>　</w:t>
            </w:r>
          </w:p>
        </w:tc>
        <w:tc>
          <w:tcPr>
            <w:tcW w:w="2220" w:type="dxa"/>
            <w:gridSpan w:val="2"/>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kern w:val="0"/>
                <w:sz w:val="21"/>
                <w:szCs w:val="21"/>
              </w:rPr>
            </w:pPr>
            <w:r>
              <w:rPr>
                <w:rFonts w:ascii="Times New Roman" w:hAnsi="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kern w:val="0"/>
                <w:sz w:val="21"/>
                <w:szCs w:val="21"/>
              </w:rPr>
            </w:pPr>
            <w:r>
              <w:rPr>
                <w:rFonts w:ascii="Times New Roman" w:hAnsi="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kern w:val="0"/>
                <w:sz w:val="21"/>
                <w:szCs w:val="21"/>
              </w:rPr>
            </w:pPr>
            <w:r>
              <w:rPr>
                <w:rFonts w:ascii="Times New Roman" w:hAnsi="Times New Roman"/>
                <w:kern w:val="0"/>
                <w:sz w:val="21"/>
                <w:szCs w:val="21"/>
              </w:rPr>
              <w:t xml:space="preserve">   3、公务接待</w:t>
            </w:r>
          </w:p>
        </w:tc>
        <w:tc>
          <w:tcPr>
            <w:tcW w:w="2325" w:type="dxa"/>
            <w:gridSpan w:val="2"/>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kern w:val="0"/>
                <w:sz w:val="21"/>
                <w:szCs w:val="21"/>
              </w:rPr>
            </w:pPr>
            <w:r>
              <w:rPr>
                <w:rFonts w:hint="eastAsia" w:ascii="Times New Roman" w:hAnsi="Times New Roman"/>
                <w:kern w:val="0"/>
                <w:sz w:val="21"/>
                <w:szCs w:val="21"/>
              </w:rPr>
              <w:t>0.95</w:t>
            </w:r>
            <w:r>
              <w:rPr>
                <w:rFonts w:ascii="Times New Roman" w:hAnsi="Times New Roman"/>
                <w:kern w:val="0"/>
                <w:sz w:val="21"/>
                <w:szCs w:val="21"/>
              </w:rPr>
              <w:t>　</w:t>
            </w:r>
          </w:p>
        </w:tc>
        <w:tc>
          <w:tcPr>
            <w:tcW w:w="2220" w:type="dxa"/>
            <w:gridSpan w:val="2"/>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kern w:val="0"/>
                <w:sz w:val="21"/>
                <w:szCs w:val="21"/>
              </w:rPr>
            </w:pPr>
            <w:r>
              <w:rPr>
                <w:rFonts w:hint="eastAsia" w:ascii="Times New Roman" w:hAnsi="Times New Roman"/>
                <w:kern w:val="0"/>
                <w:sz w:val="21"/>
                <w:szCs w:val="21"/>
              </w:rPr>
              <w:t>0.13</w:t>
            </w:r>
            <w:r>
              <w:rPr>
                <w:rFonts w:ascii="Times New Roman" w:hAnsi="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kern w:val="0"/>
                <w:sz w:val="21"/>
                <w:szCs w:val="21"/>
              </w:rPr>
            </w:pPr>
            <w:r>
              <w:rPr>
                <w:rFonts w:hint="eastAsia" w:ascii="Times New Roman" w:hAnsi="Times New Roman"/>
                <w:kern w:val="0"/>
                <w:sz w:val="21"/>
                <w:szCs w:val="21"/>
              </w:rPr>
              <w:t>0.13</w:t>
            </w:r>
            <w:r>
              <w:rPr>
                <w:rFonts w:ascii="Times New Roman" w:hAnsi="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kern w:val="0"/>
                <w:sz w:val="21"/>
                <w:szCs w:val="21"/>
              </w:rPr>
            </w:pPr>
            <w:r>
              <w:rPr>
                <w:rFonts w:ascii="Times New Roman" w:hAnsi="Times New Roman"/>
                <w:kern w:val="0"/>
                <w:sz w:val="21"/>
                <w:szCs w:val="21"/>
              </w:rPr>
              <w:t>政府采购金额</w:t>
            </w:r>
          </w:p>
        </w:tc>
        <w:tc>
          <w:tcPr>
            <w:tcW w:w="2325" w:type="dxa"/>
            <w:gridSpan w:val="2"/>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kern w:val="0"/>
                <w:sz w:val="21"/>
                <w:szCs w:val="21"/>
              </w:rPr>
            </w:pPr>
            <w:r>
              <w:rPr>
                <w:rFonts w:ascii="Times New Roman" w:hAnsi="Times New Roman"/>
                <w:kern w:val="0"/>
                <w:sz w:val="21"/>
                <w:szCs w:val="21"/>
              </w:rPr>
              <w:t>——</w:t>
            </w:r>
          </w:p>
        </w:tc>
        <w:tc>
          <w:tcPr>
            <w:tcW w:w="2220" w:type="dxa"/>
            <w:gridSpan w:val="2"/>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kern w:val="0"/>
                <w:sz w:val="21"/>
                <w:szCs w:val="21"/>
              </w:rPr>
            </w:pPr>
            <w:r>
              <w:rPr>
                <w:rFonts w:ascii="Times New Roman" w:hAnsi="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kern w:val="0"/>
                <w:sz w:val="21"/>
                <w:szCs w:val="21"/>
              </w:rPr>
            </w:pPr>
            <w:r>
              <w:rPr>
                <w:rFonts w:ascii="Times New Roman" w:hAnsi="Times New Roman"/>
                <w:kern w:val="0"/>
                <w:sz w:val="21"/>
                <w:szCs w:val="21"/>
              </w:rPr>
              <w:t>　</w:t>
            </w:r>
          </w:p>
        </w:tc>
      </w:tr>
      <w:tr>
        <w:tblPrEx>
          <w:tblCellMar>
            <w:top w:w="0" w:type="dxa"/>
            <w:left w:w="108" w:type="dxa"/>
            <w:bottom w:w="0" w:type="dxa"/>
            <w:right w:w="108" w:type="dxa"/>
          </w:tblCellMar>
        </w:tblPrEx>
        <w:trPr>
          <w:trHeight w:val="630" w:hRule="atLeast"/>
          <w:jc w:val="center"/>
        </w:trPr>
        <w:tc>
          <w:tcPr>
            <w:tcW w:w="3214"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 w:val="21"/>
                <w:szCs w:val="21"/>
              </w:rPr>
            </w:pPr>
            <w:r>
              <w:rPr>
                <w:rFonts w:ascii="Times New Roman" w:hAnsi="Times New Roman"/>
                <w:kern w:val="0"/>
                <w:sz w:val="21"/>
                <w:szCs w:val="21"/>
              </w:rPr>
              <w:t>楼堂馆所控制情况</w:t>
            </w:r>
            <w:r>
              <w:rPr>
                <w:rFonts w:ascii="Times New Roman" w:hAnsi="Times New Roman"/>
                <w:kern w:val="0"/>
                <w:sz w:val="21"/>
                <w:szCs w:val="21"/>
              </w:rPr>
              <w:br w:type="textWrapping"/>
            </w:r>
            <w:r>
              <w:rPr>
                <w:rFonts w:ascii="Times New Roman" w:hAnsi="Times New Roman"/>
                <w:kern w:val="0"/>
                <w:sz w:val="21"/>
                <w:szCs w:val="21"/>
              </w:rPr>
              <w:t>（202</w:t>
            </w:r>
            <w:r>
              <w:rPr>
                <w:rFonts w:hint="eastAsia" w:ascii="Times New Roman" w:hAnsi="Times New Roman"/>
                <w:kern w:val="0"/>
                <w:sz w:val="21"/>
                <w:szCs w:val="21"/>
              </w:rPr>
              <w:t>1</w:t>
            </w:r>
            <w:r>
              <w:rPr>
                <w:rFonts w:ascii="Times New Roman" w:hAnsi="Times New Roman"/>
                <w:kern w:val="0"/>
                <w:sz w:val="21"/>
                <w:szCs w:val="21"/>
              </w:rPr>
              <w:t>年完工项目）</w:t>
            </w:r>
          </w:p>
        </w:tc>
        <w:tc>
          <w:tcPr>
            <w:tcW w:w="120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1"/>
                <w:szCs w:val="21"/>
              </w:rPr>
            </w:pPr>
            <w:r>
              <w:rPr>
                <w:rFonts w:ascii="Times New Roman" w:hAnsi="Times New Roman"/>
                <w:kern w:val="0"/>
                <w:sz w:val="21"/>
                <w:szCs w:val="21"/>
              </w:rPr>
              <w:t>批复规模</w:t>
            </w:r>
            <w:r>
              <w:rPr>
                <w:rFonts w:ascii="Times New Roman" w:hAnsi="Times New Roman"/>
                <w:kern w:val="0"/>
                <w:sz w:val="21"/>
                <w:szCs w:val="21"/>
              </w:rPr>
              <w:br w:type="textWrapping"/>
            </w:r>
            <w:r>
              <w:rPr>
                <w:rFonts w:ascii="Times New Roman" w:hAnsi="Times New Roman"/>
                <w:kern w:val="0"/>
                <w:sz w:val="21"/>
                <w:szCs w:val="21"/>
              </w:rPr>
              <w:t>（㎡）</w:t>
            </w:r>
          </w:p>
        </w:tc>
        <w:tc>
          <w:tcPr>
            <w:tcW w:w="1125"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1"/>
                <w:szCs w:val="21"/>
              </w:rPr>
            </w:pPr>
            <w:r>
              <w:rPr>
                <w:rFonts w:ascii="Times New Roman" w:hAnsi="Times New Roman"/>
                <w:kern w:val="0"/>
                <w:sz w:val="21"/>
                <w:szCs w:val="21"/>
              </w:rPr>
              <w:t>实际规模（㎡）</w:t>
            </w:r>
          </w:p>
        </w:tc>
        <w:tc>
          <w:tcPr>
            <w:tcW w:w="108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1"/>
                <w:szCs w:val="21"/>
              </w:rPr>
            </w:pPr>
            <w:r>
              <w:rPr>
                <w:rFonts w:ascii="Times New Roman" w:hAnsi="Times New Roman"/>
                <w:kern w:val="0"/>
                <w:sz w:val="21"/>
                <w:szCs w:val="21"/>
              </w:rPr>
              <w:t>规模控制率</w:t>
            </w:r>
          </w:p>
        </w:tc>
        <w:tc>
          <w:tcPr>
            <w:tcW w:w="114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1"/>
                <w:szCs w:val="21"/>
              </w:rPr>
            </w:pPr>
            <w:r>
              <w:rPr>
                <w:rFonts w:ascii="Times New Roman" w:hAnsi="Times New Roman"/>
                <w:kern w:val="0"/>
                <w:sz w:val="21"/>
                <w:szCs w:val="21"/>
              </w:rPr>
              <w:t>预算投资（万元）</w:t>
            </w:r>
          </w:p>
        </w:tc>
        <w:tc>
          <w:tcPr>
            <w:tcW w:w="96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1"/>
                <w:szCs w:val="21"/>
              </w:rPr>
            </w:pPr>
            <w:r>
              <w:rPr>
                <w:rFonts w:ascii="Times New Roman" w:hAnsi="Times New Roman"/>
                <w:kern w:val="0"/>
                <w:sz w:val="21"/>
                <w:szCs w:val="21"/>
              </w:rPr>
              <w:t>实际投资（万元）</w:t>
            </w:r>
          </w:p>
        </w:tc>
        <w:tc>
          <w:tcPr>
            <w:tcW w:w="976"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1"/>
                <w:szCs w:val="21"/>
              </w:rPr>
            </w:pPr>
            <w:r>
              <w:rPr>
                <w:rFonts w:ascii="Times New Roman" w:hAnsi="Times New Roman"/>
                <w:kern w:val="0"/>
                <w:sz w:val="21"/>
                <w:szCs w:val="21"/>
              </w:rPr>
              <w:t>投资概算控制率</w:t>
            </w:r>
          </w:p>
        </w:tc>
      </w:tr>
      <w:tr>
        <w:tblPrEx>
          <w:tblCellMar>
            <w:top w:w="0" w:type="dxa"/>
            <w:left w:w="108" w:type="dxa"/>
            <w:bottom w:w="0" w:type="dxa"/>
            <w:right w:w="108" w:type="dxa"/>
          </w:tblCellMar>
        </w:tblPrEx>
        <w:trPr>
          <w:trHeight w:val="454" w:hRule="atLeast"/>
          <w:jc w:val="center"/>
        </w:trPr>
        <w:tc>
          <w:tcPr>
            <w:tcW w:w="3214" w:type="dxa"/>
            <w:vMerge w:val="continue"/>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kern w:val="0"/>
                <w:sz w:val="21"/>
                <w:szCs w:val="21"/>
              </w:rPr>
            </w:pPr>
          </w:p>
        </w:tc>
        <w:tc>
          <w:tcPr>
            <w:tcW w:w="120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1"/>
                <w:szCs w:val="21"/>
              </w:rPr>
            </w:pPr>
            <w:r>
              <w:rPr>
                <w:rFonts w:hint="eastAsia" w:ascii="Times New Roman" w:hAnsi="Times New Roman"/>
                <w:kern w:val="0"/>
                <w:sz w:val="21"/>
                <w:szCs w:val="21"/>
              </w:rPr>
              <w:t>0</w:t>
            </w:r>
          </w:p>
        </w:tc>
        <w:tc>
          <w:tcPr>
            <w:tcW w:w="1125"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1"/>
                <w:szCs w:val="21"/>
              </w:rPr>
            </w:pPr>
            <w:r>
              <w:rPr>
                <w:rFonts w:hint="eastAsia" w:ascii="Times New Roman" w:hAnsi="Times New Roman"/>
                <w:kern w:val="0"/>
                <w:sz w:val="21"/>
                <w:szCs w:val="21"/>
              </w:rPr>
              <w:t>0</w:t>
            </w:r>
          </w:p>
        </w:tc>
        <w:tc>
          <w:tcPr>
            <w:tcW w:w="108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1"/>
                <w:szCs w:val="21"/>
              </w:rPr>
            </w:pPr>
            <w:r>
              <w:rPr>
                <w:rFonts w:hint="eastAsia" w:ascii="Times New Roman" w:hAnsi="Times New Roman"/>
                <w:kern w:val="0"/>
                <w:sz w:val="21"/>
                <w:szCs w:val="21"/>
              </w:rPr>
              <w:t>0</w:t>
            </w:r>
          </w:p>
        </w:tc>
        <w:tc>
          <w:tcPr>
            <w:tcW w:w="114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1"/>
                <w:szCs w:val="21"/>
              </w:rPr>
            </w:pPr>
            <w:r>
              <w:rPr>
                <w:rFonts w:hint="eastAsia" w:ascii="Times New Roman" w:hAnsi="Times New Roman"/>
                <w:kern w:val="0"/>
                <w:sz w:val="21"/>
                <w:szCs w:val="21"/>
              </w:rPr>
              <w:t>0</w:t>
            </w:r>
          </w:p>
        </w:tc>
        <w:tc>
          <w:tcPr>
            <w:tcW w:w="96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1"/>
                <w:szCs w:val="21"/>
              </w:rPr>
            </w:pPr>
            <w:r>
              <w:rPr>
                <w:rFonts w:hint="eastAsia" w:ascii="Times New Roman" w:hAnsi="Times New Roman"/>
                <w:kern w:val="0"/>
                <w:sz w:val="21"/>
                <w:szCs w:val="21"/>
              </w:rPr>
              <w:t>0</w:t>
            </w:r>
          </w:p>
        </w:tc>
        <w:tc>
          <w:tcPr>
            <w:tcW w:w="976"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 w:val="21"/>
                <w:szCs w:val="21"/>
              </w:rPr>
            </w:pPr>
            <w:r>
              <w:rPr>
                <w:rFonts w:hint="eastAsia" w:ascii="Times New Roman" w:hAnsi="Times New Roman"/>
                <w:kern w:val="0"/>
                <w:sz w:val="21"/>
                <w:szCs w:val="21"/>
              </w:rPr>
              <w:t>0</w:t>
            </w:r>
          </w:p>
        </w:tc>
      </w:tr>
      <w:tr>
        <w:tblPrEx>
          <w:tblCellMar>
            <w:top w:w="0" w:type="dxa"/>
            <w:left w:w="108" w:type="dxa"/>
            <w:bottom w:w="0" w:type="dxa"/>
            <w:right w:w="108" w:type="dxa"/>
          </w:tblCellMar>
        </w:tblPrEx>
        <w:trPr>
          <w:trHeight w:val="596" w:hRule="atLeast"/>
          <w:jc w:val="center"/>
        </w:trPr>
        <w:tc>
          <w:tcPr>
            <w:tcW w:w="3214"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 w:val="21"/>
                <w:szCs w:val="21"/>
              </w:rPr>
            </w:pPr>
            <w:r>
              <w:rPr>
                <w:rFonts w:ascii="Times New Roman" w:hAnsi="Times New Roman"/>
                <w:kern w:val="0"/>
                <w:sz w:val="21"/>
                <w:szCs w:val="21"/>
              </w:rPr>
              <w:t>厉行节约保障措施</w:t>
            </w:r>
          </w:p>
        </w:tc>
        <w:tc>
          <w:tcPr>
            <w:tcW w:w="6481" w:type="dxa"/>
            <w:gridSpan w:val="6"/>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kern w:val="0"/>
                <w:sz w:val="21"/>
                <w:szCs w:val="21"/>
              </w:rPr>
            </w:pPr>
            <w:r>
              <w:rPr>
                <w:rFonts w:hint="eastAsia" w:ascii="Times New Roman" w:hAnsi="Times New Roman"/>
                <w:kern w:val="0"/>
                <w:sz w:val="21"/>
                <w:szCs w:val="21"/>
              </w:rPr>
              <w:t>严控“三公经费，“三公经费”开支逐年下降。</w:t>
            </w:r>
          </w:p>
        </w:tc>
      </w:tr>
    </w:tbl>
    <w:p>
      <w:pPr>
        <w:widowControl/>
        <w:spacing w:line="300" w:lineRule="exact"/>
        <w:jc w:val="left"/>
        <w:rPr>
          <w:kern w:val="0"/>
          <w:sz w:val="22"/>
          <w:szCs w:val="24"/>
        </w:rPr>
      </w:pPr>
      <w:r>
        <w:rPr>
          <w:kern w:val="0"/>
          <w:sz w:val="22"/>
          <w:szCs w:val="24"/>
        </w:rPr>
        <w:t>说明：“公用经费”填报基本支出中的一般商品和服务支出。“项目支出”需要填报基本支出以外的所有项目支出情况，</w:t>
      </w:r>
      <w:r>
        <w:rPr>
          <w:rFonts w:hint="eastAsia"/>
          <w:kern w:val="0"/>
          <w:sz w:val="22"/>
          <w:szCs w:val="24"/>
        </w:rPr>
        <w:t>“运行呢维护经费”填报项目支出中用于人员类和公用运转类的支出。</w:t>
      </w:r>
    </w:p>
    <w:p>
      <w:pPr>
        <w:widowControl/>
        <w:spacing w:line="500" w:lineRule="exact"/>
        <w:ind w:left="-318" w:leftChars="-108" w:hanging="28" w:hangingChars="12"/>
        <w:jc w:val="left"/>
        <w:rPr>
          <w:rFonts w:ascii="Times New Roman" w:hAnsi="Times New Roman" w:eastAsia="黑体"/>
          <w:szCs w:val="32"/>
        </w:rPr>
      </w:pPr>
      <w:r>
        <w:rPr>
          <w:kern w:val="0"/>
          <w:sz w:val="24"/>
          <w:szCs w:val="24"/>
        </w:rPr>
        <w:t>填表人：</w:t>
      </w:r>
      <w:r>
        <w:rPr>
          <w:rFonts w:hint="eastAsia"/>
          <w:kern w:val="0"/>
          <w:sz w:val="24"/>
          <w:szCs w:val="24"/>
          <w:lang w:val="en-US" w:eastAsia="zh-CN"/>
        </w:rPr>
        <w:t>王莹</w:t>
      </w:r>
      <w:r>
        <w:rPr>
          <w:kern w:val="0"/>
          <w:sz w:val="24"/>
          <w:szCs w:val="24"/>
        </w:rPr>
        <w:t xml:space="preserve">       填报日期：</w:t>
      </w:r>
      <w:r>
        <w:rPr>
          <w:rFonts w:hint="eastAsia"/>
          <w:kern w:val="0"/>
          <w:sz w:val="24"/>
          <w:szCs w:val="24"/>
          <w:lang w:val="en-US" w:eastAsia="zh-CN"/>
        </w:rPr>
        <w:t>2022年4月20日</w:t>
      </w:r>
      <w:r>
        <w:rPr>
          <w:kern w:val="0"/>
          <w:sz w:val="24"/>
          <w:szCs w:val="24"/>
        </w:rPr>
        <w:t xml:space="preserve">         联系电话：</w:t>
      </w:r>
      <w:r>
        <w:rPr>
          <w:rFonts w:hint="eastAsia"/>
          <w:kern w:val="0"/>
          <w:sz w:val="24"/>
          <w:szCs w:val="24"/>
          <w:lang w:val="en-US" w:eastAsia="zh-CN"/>
        </w:rPr>
        <w:t>18890510181</w:t>
      </w:r>
      <w:r>
        <w:rPr>
          <w:kern w:val="0"/>
          <w:sz w:val="24"/>
          <w:szCs w:val="24"/>
        </w:rPr>
        <w:t xml:space="preserve">          单位负责人签字：</w:t>
      </w:r>
      <w:r>
        <w:rPr>
          <w:kern w:val="0"/>
          <w:sz w:val="22"/>
          <w:szCs w:val="24"/>
        </w:rPr>
        <w:br w:type="page"/>
      </w:r>
      <w:r>
        <w:rPr>
          <w:rFonts w:ascii="黑体" w:hAnsi="黑体" w:eastAsia="黑体"/>
          <w:szCs w:val="32"/>
        </w:rPr>
        <w:t>附件</w:t>
      </w:r>
      <w:r>
        <w:rPr>
          <w:rFonts w:hint="eastAsia" w:ascii="黑体" w:hAnsi="黑体" w:eastAsia="黑体"/>
          <w:szCs w:val="32"/>
        </w:rPr>
        <w:t>2</w:t>
      </w:r>
    </w:p>
    <w:p>
      <w:pPr>
        <w:spacing w:line="600" w:lineRule="exact"/>
        <w:jc w:val="center"/>
        <w:rPr>
          <w:rFonts w:ascii="方正小标宋简体" w:eastAsia="方正小标宋简体"/>
          <w:kern w:val="0"/>
          <w:sz w:val="36"/>
          <w:szCs w:val="36"/>
        </w:rPr>
      </w:pPr>
      <w:r>
        <w:rPr>
          <w:rFonts w:ascii="方正小标宋简体" w:eastAsia="方正小标宋简体"/>
          <w:kern w:val="0"/>
          <w:sz w:val="36"/>
          <w:szCs w:val="36"/>
        </w:rPr>
        <w:t>202</w:t>
      </w:r>
      <w:r>
        <w:rPr>
          <w:rFonts w:hint="eastAsia" w:ascii="方正小标宋简体" w:eastAsia="方正小标宋简体"/>
          <w:kern w:val="0"/>
          <w:sz w:val="36"/>
          <w:szCs w:val="36"/>
        </w:rPr>
        <w:t>1</w:t>
      </w:r>
      <w:r>
        <w:rPr>
          <w:rFonts w:ascii="方正小标宋简体" w:eastAsia="方正小标宋简体"/>
          <w:kern w:val="0"/>
          <w:sz w:val="36"/>
          <w:szCs w:val="36"/>
        </w:rPr>
        <w:t>年度部门整体支出绩效自评表</w:t>
      </w:r>
    </w:p>
    <w:tbl>
      <w:tblPr>
        <w:tblStyle w:val="5"/>
        <w:tblW w:w="9993" w:type="dxa"/>
        <w:jc w:val="center"/>
        <w:tblLayout w:type="autofit"/>
        <w:tblCellMar>
          <w:top w:w="0" w:type="dxa"/>
          <w:left w:w="108" w:type="dxa"/>
          <w:bottom w:w="0" w:type="dxa"/>
          <w:right w:w="108" w:type="dxa"/>
        </w:tblCellMar>
      </w:tblPr>
      <w:tblGrid>
        <w:gridCol w:w="1080"/>
        <w:gridCol w:w="1080"/>
        <w:gridCol w:w="953"/>
        <w:gridCol w:w="1256"/>
        <w:gridCol w:w="95"/>
        <w:gridCol w:w="1200"/>
        <w:gridCol w:w="1276"/>
        <w:gridCol w:w="787"/>
        <w:gridCol w:w="914"/>
        <w:gridCol w:w="1352"/>
      </w:tblGrid>
      <w:tr>
        <w:tblPrEx>
          <w:tblCellMar>
            <w:top w:w="0" w:type="dxa"/>
            <w:left w:w="108" w:type="dxa"/>
            <w:bottom w:w="0" w:type="dxa"/>
            <w:right w:w="108" w:type="dxa"/>
          </w:tblCellMar>
        </w:tblPrEx>
        <w:trPr>
          <w:trHeight w:val="325" w:hRule="atLeast"/>
          <w:jc w:val="center"/>
        </w:trPr>
        <w:tc>
          <w:tcPr>
            <w:tcW w:w="108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预算部门</w:t>
            </w:r>
          </w:p>
        </w:tc>
        <w:tc>
          <w:tcPr>
            <w:tcW w:w="8913" w:type="dxa"/>
            <w:gridSpan w:val="9"/>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益阳市生态环境保护综合行政执法支队</w:t>
            </w: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年度预</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算申请</w:t>
            </w:r>
            <w:r>
              <w:rPr>
                <w:rFonts w:ascii="Times New Roman" w:hAnsi="Times New Roman"/>
                <w:color w:val="000000"/>
                <w:kern w:val="0"/>
                <w:sz w:val="21"/>
                <w:szCs w:val="21"/>
              </w:rPr>
              <w:br w:type="textWrapping"/>
            </w:r>
            <w:r>
              <w:rPr>
                <w:rFonts w:ascii="Times New Roman" w:hAnsi="Times New Roman"/>
                <w:color w:val="000000"/>
                <w:kern w:val="0"/>
                <w:sz w:val="21"/>
                <w:szCs w:val="21"/>
              </w:rPr>
              <w:t>（万元）</w:t>
            </w:r>
          </w:p>
        </w:tc>
        <w:tc>
          <w:tcPr>
            <w:tcW w:w="2033" w:type="dxa"/>
            <w:gridSpan w:val="2"/>
            <w:tcBorders>
              <w:top w:val="nil"/>
              <w:left w:val="nil"/>
              <w:bottom w:val="single" w:color="auto" w:sz="4" w:space="0"/>
              <w:right w:val="single" w:color="auto" w:sz="4" w:space="0"/>
            </w:tcBorders>
            <w:noWrap/>
            <w:vAlign w:val="center"/>
          </w:tcPr>
          <w:p>
            <w:pPr>
              <w:spacing w:line="240" w:lineRule="exact"/>
              <w:jc w:val="center"/>
              <w:rPr>
                <w:rFonts w:ascii="Times New Roman" w:hAnsi="Times New Roman"/>
                <w:sz w:val="21"/>
                <w:szCs w:val="21"/>
              </w:rPr>
            </w:pPr>
            <w:r>
              <w:rPr>
                <w:rFonts w:hint="eastAsia" w:ascii="Times New Roman" w:hAnsi="Times New Roman"/>
                <w:kern w:val="0"/>
                <w:sz w:val="21"/>
                <w:szCs w:val="21"/>
              </w:rPr>
              <w:t>871.44</w:t>
            </w:r>
          </w:p>
        </w:tc>
        <w:tc>
          <w:tcPr>
            <w:tcW w:w="1256" w:type="dxa"/>
            <w:tcBorders>
              <w:top w:val="nil"/>
              <w:left w:val="nil"/>
              <w:bottom w:val="single" w:color="auto" w:sz="4" w:space="0"/>
              <w:right w:val="single" w:color="auto" w:sz="4" w:space="0"/>
            </w:tcBorders>
            <w:noWrap/>
            <w:vAlign w:val="center"/>
          </w:tcPr>
          <w:p>
            <w:pPr>
              <w:spacing w:line="240" w:lineRule="exact"/>
              <w:jc w:val="center"/>
              <w:rPr>
                <w:rFonts w:ascii="Times New Roman" w:hAnsi="Times New Roman"/>
                <w:sz w:val="21"/>
                <w:szCs w:val="21"/>
              </w:rPr>
            </w:pPr>
            <w:r>
              <w:rPr>
                <w:rFonts w:ascii="Times New Roman" w:hAnsi="Times New Roman"/>
                <w:sz w:val="21"/>
                <w:szCs w:val="21"/>
              </w:rPr>
              <w:t>年初</w:t>
            </w:r>
          </w:p>
          <w:p>
            <w:pPr>
              <w:spacing w:line="240" w:lineRule="exact"/>
              <w:jc w:val="center"/>
              <w:rPr>
                <w:rFonts w:ascii="Times New Roman" w:hAnsi="Times New Roman"/>
                <w:sz w:val="21"/>
                <w:szCs w:val="21"/>
              </w:rPr>
            </w:pPr>
            <w:r>
              <w:rPr>
                <w:rFonts w:ascii="Times New Roman" w:hAnsi="Times New Roman"/>
                <w:sz w:val="21"/>
                <w:szCs w:val="21"/>
              </w:rPr>
              <w:t>预算数</w:t>
            </w:r>
          </w:p>
        </w:tc>
        <w:tc>
          <w:tcPr>
            <w:tcW w:w="1295" w:type="dxa"/>
            <w:gridSpan w:val="2"/>
            <w:tcBorders>
              <w:top w:val="nil"/>
              <w:left w:val="nil"/>
              <w:bottom w:val="single" w:color="auto" w:sz="4" w:space="0"/>
              <w:right w:val="single" w:color="auto" w:sz="4" w:space="0"/>
            </w:tcBorders>
            <w:noWrap/>
            <w:vAlign w:val="center"/>
          </w:tcPr>
          <w:p>
            <w:pPr>
              <w:spacing w:line="240" w:lineRule="exact"/>
              <w:jc w:val="center"/>
              <w:rPr>
                <w:rFonts w:ascii="Times New Roman" w:hAnsi="Times New Roman"/>
                <w:sz w:val="21"/>
                <w:szCs w:val="21"/>
              </w:rPr>
            </w:pPr>
            <w:r>
              <w:rPr>
                <w:rFonts w:ascii="Times New Roman" w:hAnsi="Times New Roman"/>
                <w:sz w:val="21"/>
                <w:szCs w:val="21"/>
              </w:rPr>
              <w:t>全年预算数</w:t>
            </w:r>
          </w:p>
        </w:tc>
        <w:tc>
          <w:tcPr>
            <w:tcW w:w="1276" w:type="dxa"/>
            <w:tcBorders>
              <w:top w:val="nil"/>
              <w:left w:val="nil"/>
              <w:bottom w:val="single" w:color="auto" w:sz="4" w:space="0"/>
              <w:right w:val="single" w:color="auto" w:sz="4" w:space="0"/>
            </w:tcBorders>
            <w:noWrap/>
            <w:vAlign w:val="center"/>
          </w:tcPr>
          <w:p>
            <w:pPr>
              <w:spacing w:line="240" w:lineRule="exact"/>
              <w:jc w:val="center"/>
              <w:rPr>
                <w:rFonts w:ascii="Times New Roman" w:hAnsi="Times New Roman"/>
                <w:sz w:val="21"/>
                <w:szCs w:val="21"/>
              </w:rPr>
            </w:pPr>
            <w:r>
              <w:rPr>
                <w:rFonts w:ascii="Times New Roman" w:hAnsi="Times New Roman"/>
                <w:sz w:val="21"/>
                <w:szCs w:val="21"/>
              </w:rPr>
              <w:t>全年执行数</w:t>
            </w:r>
          </w:p>
        </w:tc>
        <w:tc>
          <w:tcPr>
            <w:tcW w:w="787" w:type="dxa"/>
            <w:tcBorders>
              <w:top w:val="nil"/>
              <w:left w:val="nil"/>
              <w:bottom w:val="single" w:color="auto" w:sz="4" w:space="0"/>
              <w:right w:val="single" w:color="auto" w:sz="4" w:space="0"/>
            </w:tcBorders>
            <w:noWrap/>
            <w:vAlign w:val="center"/>
          </w:tcPr>
          <w:p>
            <w:pPr>
              <w:spacing w:line="240" w:lineRule="exact"/>
              <w:jc w:val="center"/>
              <w:rPr>
                <w:rFonts w:ascii="Times New Roman" w:hAnsi="Times New Roman"/>
                <w:sz w:val="21"/>
                <w:szCs w:val="21"/>
              </w:rPr>
            </w:pPr>
            <w:r>
              <w:rPr>
                <w:rFonts w:ascii="Times New Roman" w:hAnsi="Times New Roman"/>
                <w:sz w:val="21"/>
                <w:szCs w:val="21"/>
              </w:rPr>
              <w:t>分值</w:t>
            </w:r>
          </w:p>
        </w:tc>
        <w:tc>
          <w:tcPr>
            <w:tcW w:w="914" w:type="dxa"/>
            <w:tcBorders>
              <w:top w:val="nil"/>
              <w:left w:val="nil"/>
              <w:bottom w:val="single" w:color="auto" w:sz="4" w:space="0"/>
              <w:right w:val="single" w:color="auto" w:sz="4" w:space="0"/>
            </w:tcBorders>
            <w:noWrap/>
            <w:vAlign w:val="center"/>
          </w:tcPr>
          <w:p>
            <w:pPr>
              <w:spacing w:line="240" w:lineRule="exact"/>
              <w:jc w:val="center"/>
              <w:rPr>
                <w:rFonts w:ascii="Times New Roman" w:hAnsi="Times New Roman"/>
                <w:sz w:val="21"/>
                <w:szCs w:val="21"/>
              </w:rPr>
            </w:pPr>
            <w:r>
              <w:rPr>
                <w:rFonts w:ascii="Times New Roman" w:hAnsi="Times New Roman"/>
                <w:sz w:val="21"/>
                <w:szCs w:val="21"/>
              </w:rPr>
              <w:t>执行率</w:t>
            </w:r>
          </w:p>
        </w:tc>
        <w:tc>
          <w:tcPr>
            <w:tcW w:w="1352" w:type="dxa"/>
            <w:tcBorders>
              <w:top w:val="nil"/>
              <w:left w:val="nil"/>
              <w:bottom w:val="single" w:color="auto" w:sz="4" w:space="0"/>
              <w:right w:val="single" w:color="auto" w:sz="4" w:space="0"/>
            </w:tcBorders>
            <w:noWrap/>
            <w:vAlign w:val="center"/>
          </w:tcPr>
          <w:p>
            <w:pPr>
              <w:spacing w:line="240" w:lineRule="exact"/>
              <w:jc w:val="center"/>
              <w:rPr>
                <w:rFonts w:ascii="Times New Roman" w:hAnsi="Times New Roman"/>
                <w:sz w:val="21"/>
                <w:szCs w:val="21"/>
              </w:rPr>
            </w:pPr>
            <w:r>
              <w:rPr>
                <w:rFonts w:ascii="Times New Roman" w:hAnsi="Times New Roman"/>
                <w:sz w:val="21"/>
                <w:szCs w:val="21"/>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p>
        </w:tc>
        <w:tc>
          <w:tcPr>
            <w:tcW w:w="2033" w:type="dxa"/>
            <w:gridSpan w:val="2"/>
            <w:tcBorders>
              <w:top w:val="nil"/>
              <w:left w:val="nil"/>
              <w:bottom w:val="single" w:color="auto" w:sz="4" w:space="0"/>
              <w:right w:val="single" w:color="auto" w:sz="4" w:space="0"/>
            </w:tcBorders>
            <w:noWrap/>
            <w:vAlign w:val="center"/>
          </w:tcPr>
          <w:p>
            <w:pPr>
              <w:spacing w:line="240" w:lineRule="exact"/>
              <w:jc w:val="center"/>
              <w:rPr>
                <w:rFonts w:ascii="Times New Roman" w:hAnsi="Times New Roman"/>
                <w:sz w:val="21"/>
                <w:szCs w:val="21"/>
              </w:rPr>
            </w:pPr>
            <w:r>
              <w:rPr>
                <w:rFonts w:ascii="Times New Roman" w:hAnsi="Times New Roman"/>
                <w:color w:val="000000"/>
                <w:kern w:val="0"/>
                <w:sz w:val="21"/>
                <w:szCs w:val="21"/>
              </w:rPr>
              <w:t>年度资金总额</w:t>
            </w:r>
          </w:p>
        </w:tc>
        <w:tc>
          <w:tcPr>
            <w:tcW w:w="1256" w:type="dxa"/>
            <w:tcBorders>
              <w:top w:val="nil"/>
              <w:left w:val="nil"/>
              <w:bottom w:val="single" w:color="auto" w:sz="4" w:space="0"/>
              <w:right w:val="single" w:color="auto" w:sz="4" w:space="0"/>
            </w:tcBorders>
            <w:noWrap/>
            <w:vAlign w:val="center"/>
          </w:tcPr>
          <w:p>
            <w:pPr>
              <w:spacing w:line="240" w:lineRule="exact"/>
              <w:jc w:val="center"/>
              <w:rPr>
                <w:rFonts w:ascii="Times New Roman" w:hAnsi="Times New Roman"/>
                <w:sz w:val="21"/>
                <w:szCs w:val="21"/>
              </w:rPr>
            </w:pPr>
            <w:r>
              <w:rPr>
                <w:rFonts w:hint="eastAsia" w:ascii="Times New Roman" w:hAnsi="Times New Roman"/>
                <w:sz w:val="21"/>
                <w:szCs w:val="21"/>
              </w:rPr>
              <w:t>871.44</w:t>
            </w:r>
          </w:p>
        </w:tc>
        <w:tc>
          <w:tcPr>
            <w:tcW w:w="1295" w:type="dxa"/>
            <w:gridSpan w:val="2"/>
            <w:tcBorders>
              <w:top w:val="nil"/>
              <w:left w:val="nil"/>
              <w:bottom w:val="single" w:color="auto" w:sz="4" w:space="0"/>
              <w:right w:val="single" w:color="auto" w:sz="4" w:space="0"/>
            </w:tcBorders>
            <w:noWrap/>
            <w:vAlign w:val="center"/>
          </w:tcPr>
          <w:p>
            <w:pPr>
              <w:spacing w:line="240" w:lineRule="exact"/>
              <w:jc w:val="center"/>
              <w:rPr>
                <w:rFonts w:ascii="Times New Roman" w:hAnsi="Times New Roman"/>
                <w:sz w:val="21"/>
                <w:szCs w:val="21"/>
              </w:rPr>
            </w:pPr>
            <w:r>
              <w:rPr>
                <w:rFonts w:hint="eastAsia" w:ascii="Times New Roman" w:hAnsi="Times New Roman"/>
                <w:sz w:val="21"/>
                <w:szCs w:val="21"/>
              </w:rPr>
              <w:t>1112.51</w:t>
            </w:r>
          </w:p>
        </w:tc>
        <w:tc>
          <w:tcPr>
            <w:tcW w:w="1276" w:type="dxa"/>
            <w:tcBorders>
              <w:top w:val="nil"/>
              <w:left w:val="nil"/>
              <w:bottom w:val="single" w:color="auto" w:sz="4" w:space="0"/>
              <w:right w:val="single" w:color="auto" w:sz="4" w:space="0"/>
            </w:tcBorders>
            <w:noWrap/>
            <w:vAlign w:val="center"/>
          </w:tcPr>
          <w:p>
            <w:pPr>
              <w:spacing w:line="240" w:lineRule="exact"/>
              <w:jc w:val="center"/>
              <w:rPr>
                <w:rFonts w:ascii="Times New Roman" w:hAnsi="Times New Roman"/>
                <w:sz w:val="21"/>
                <w:szCs w:val="21"/>
              </w:rPr>
            </w:pPr>
            <w:r>
              <w:rPr>
                <w:rFonts w:hint="eastAsia" w:ascii="Times New Roman" w:hAnsi="Times New Roman"/>
                <w:sz w:val="21"/>
                <w:szCs w:val="21"/>
              </w:rPr>
              <w:t>1112.51</w:t>
            </w:r>
          </w:p>
        </w:tc>
        <w:tc>
          <w:tcPr>
            <w:tcW w:w="787" w:type="dxa"/>
            <w:tcBorders>
              <w:top w:val="nil"/>
              <w:left w:val="nil"/>
              <w:bottom w:val="single" w:color="auto" w:sz="4" w:space="0"/>
              <w:right w:val="single" w:color="auto" w:sz="4" w:space="0"/>
            </w:tcBorders>
            <w:noWrap/>
            <w:vAlign w:val="center"/>
          </w:tcPr>
          <w:p>
            <w:pPr>
              <w:spacing w:line="240" w:lineRule="exact"/>
              <w:jc w:val="center"/>
              <w:rPr>
                <w:rFonts w:ascii="Times New Roman" w:hAnsi="Times New Roman"/>
                <w:sz w:val="21"/>
                <w:szCs w:val="21"/>
              </w:rPr>
            </w:pPr>
            <w:r>
              <w:rPr>
                <w:rFonts w:ascii="Times New Roman" w:hAnsi="Times New Roman"/>
                <w:sz w:val="21"/>
                <w:szCs w:val="21"/>
              </w:rPr>
              <w:t>10</w:t>
            </w:r>
            <w:r>
              <w:rPr>
                <w:rFonts w:hint="eastAsia" w:ascii="Times New Roman" w:hAnsi="Times New Roman"/>
                <w:sz w:val="21"/>
                <w:szCs w:val="21"/>
              </w:rPr>
              <w:t>分</w:t>
            </w:r>
          </w:p>
        </w:tc>
        <w:tc>
          <w:tcPr>
            <w:tcW w:w="914" w:type="dxa"/>
            <w:tcBorders>
              <w:top w:val="nil"/>
              <w:left w:val="nil"/>
              <w:bottom w:val="single" w:color="auto" w:sz="4" w:space="0"/>
              <w:right w:val="single" w:color="auto" w:sz="4" w:space="0"/>
            </w:tcBorders>
            <w:noWrap/>
            <w:vAlign w:val="center"/>
          </w:tcPr>
          <w:p>
            <w:pPr>
              <w:spacing w:line="240" w:lineRule="exact"/>
              <w:jc w:val="center"/>
              <w:rPr>
                <w:rFonts w:ascii="Times New Roman" w:hAnsi="Times New Roman"/>
                <w:sz w:val="21"/>
                <w:szCs w:val="21"/>
              </w:rPr>
            </w:pPr>
            <w:r>
              <w:rPr>
                <w:rFonts w:hint="eastAsia" w:ascii="Times New Roman" w:hAnsi="Times New Roman"/>
                <w:sz w:val="21"/>
                <w:szCs w:val="21"/>
              </w:rPr>
              <w:t>100%</w:t>
            </w:r>
          </w:p>
        </w:tc>
        <w:tc>
          <w:tcPr>
            <w:tcW w:w="1352" w:type="dxa"/>
            <w:tcBorders>
              <w:top w:val="nil"/>
              <w:left w:val="nil"/>
              <w:bottom w:val="single" w:color="auto" w:sz="4" w:space="0"/>
              <w:right w:val="single" w:color="auto" w:sz="4" w:space="0"/>
            </w:tcBorders>
            <w:noWrap/>
            <w:vAlign w:val="center"/>
          </w:tcPr>
          <w:p>
            <w:pPr>
              <w:spacing w:line="240" w:lineRule="exact"/>
              <w:jc w:val="center"/>
              <w:rPr>
                <w:rFonts w:ascii="Times New Roman" w:hAnsi="Times New Roman"/>
                <w:sz w:val="21"/>
                <w:szCs w:val="21"/>
              </w:rPr>
            </w:pPr>
            <w:r>
              <w:rPr>
                <w:rFonts w:hint="eastAsia" w:ascii="Times New Roman" w:hAnsi="Times New Roman"/>
                <w:sz w:val="21"/>
                <w:szCs w:val="21"/>
              </w:rPr>
              <w:t>10</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ign w:val="center"/>
          </w:tcPr>
          <w:p>
            <w:pPr>
              <w:widowControl/>
              <w:spacing w:line="240" w:lineRule="exact"/>
              <w:jc w:val="left"/>
              <w:rPr>
                <w:rFonts w:ascii="Times New Roman" w:hAnsi="Times New Roman"/>
                <w:color w:val="000000"/>
                <w:kern w:val="0"/>
                <w:sz w:val="21"/>
                <w:szCs w:val="21"/>
              </w:rPr>
            </w:pPr>
          </w:p>
        </w:tc>
        <w:tc>
          <w:tcPr>
            <w:tcW w:w="4584" w:type="dxa"/>
            <w:gridSpan w:val="5"/>
            <w:tcBorders>
              <w:top w:val="nil"/>
              <w:left w:val="nil"/>
              <w:bottom w:val="single" w:color="auto" w:sz="4" w:space="0"/>
              <w:right w:val="single" w:color="auto" w:sz="4" w:space="0"/>
            </w:tcBorders>
            <w:noWrap/>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按收入性质分：</w:t>
            </w:r>
          </w:p>
        </w:tc>
        <w:tc>
          <w:tcPr>
            <w:tcW w:w="4329" w:type="dxa"/>
            <w:gridSpan w:val="4"/>
            <w:tcBorders>
              <w:top w:val="nil"/>
              <w:left w:val="nil"/>
              <w:bottom w:val="single" w:color="auto" w:sz="4" w:space="0"/>
              <w:right w:val="single" w:color="auto" w:sz="4" w:space="0"/>
            </w:tcBorders>
            <w:noWrap/>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按支出性质分：</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ign w:val="center"/>
          </w:tcPr>
          <w:p>
            <w:pPr>
              <w:widowControl/>
              <w:spacing w:line="240" w:lineRule="exact"/>
              <w:jc w:val="left"/>
              <w:rPr>
                <w:rFonts w:ascii="Times New Roman" w:hAnsi="Times New Roman"/>
                <w:color w:val="000000"/>
                <w:kern w:val="0"/>
                <w:sz w:val="21"/>
                <w:szCs w:val="21"/>
              </w:rPr>
            </w:pPr>
          </w:p>
        </w:tc>
        <w:tc>
          <w:tcPr>
            <w:tcW w:w="4584" w:type="dxa"/>
            <w:gridSpan w:val="5"/>
            <w:tcBorders>
              <w:top w:val="nil"/>
              <w:left w:val="nil"/>
              <w:bottom w:val="single" w:color="auto" w:sz="4" w:space="0"/>
              <w:right w:val="single" w:color="auto" w:sz="4" w:space="0"/>
            </w:tcBorders>
            <w:noWrap/>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其中：  一般公共预算：</w:t>
            </w:r>
            <w:r>
              <w:rPr>
                <w:rFonts w:hint="eastAsia" w:ascii="Times New Roman" w:hAnsi="Times New Roman"/>
                <w:sz w:val="21"/>
                <w:szCs w:val="21"/>
              </w:rPr>
              <w:t>1112.51</w:t>
            </w:r>
          </w:p>
        </w:tc>
        <w:tc>
          <w:tcPr>
            <w:tcW w:w="4329" w:type="dxa"/>
            <w:gridSpan w:val="4"/>
            <w:tcBorders>
              <w:top w:val="nil"/>
              <w:left w:val="nil"/>
              <w:bottom w:val="single" w:color="auto" w:sz="4" w:space="0"/>
              <w:right w:val="single" w:color="auto" w:sz="4" w:space="0"/>
            </w:tcBorders>
            <w:noWrap/>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其中：基本支出：</w:t>
            </w:r>
            <w:r>
              <w:rPr>
                <w:rFonts w:hint="eastAsia" w:ascii="Times New Roman" w:hAnsi="Times New Roman"/>
                <w:kern w:val="0"/>
                <w:sz w:val="21"/>
                <w:szCs w:val="21"/>
              </w:rPr>
              <w:t>1059.01</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ign w:val="center"/>
          </w:tcPr>
          <w:p>
            <w:pPr>
              <w:widowControl/>
              <w:spacing w:line="240" w:lineRule="exact"/>
              <w:jc w:val="left"/>
              <w:rPr>
                <w:rFonts w:ascii="Times New Roman" w:hAnsi="Times New Roman"/>
                <w:color w:val="000000"/>
                <w:kern w:val="0"/>
                <w:sz w:val="21"/>
                <w:szCs w:val="21"/>
              </w:rPr>
            </w:pPr>
          </w:p>
        </w:tc>
        <w:tc>
          <w:tcPr>
            <w:tcW w:w="4584" w:type="dxa"/>
            <w:gridSpan w:val="5"/>
            <w:tcBorders>
              <w:top w:val="nil"/>
              <w:left w:val="nil"/>
              <w:bottom w:val="single" w:color="auto" w:sz="4" w:space="0"/>
              <w:right w:val="single" w:color="auto" w:sz="4" w:space="0"/>
            </w:tcBorders>
            <w:noWrap/>
            <w:vAlign w:val="center"/>
          </w:tcPr>
          <w:p>
            <w:pPr>
              <w:widowControl/>
              <w:spacing w:line="240" w:lineRule="exact"/>
              <w:ind w:firstLine="840" w:firstLineChars="400"/>
              <w:jc w:val="left"/>
              <w:rPr>
                <w:rFonts w:ascii="Times New Roman" w:hAnsi="Times New Roman"/>
                <w:color w:val="000000"/>
                <w:kern w:val="0"/>
                <w:sz w:val="21"/>
                <w:szCs w:val="21"/>
              </w:rPr>
            </w:pPr>
            <w:r>
              <w:rPr>
                <w:rFonts w:ascii="Times New Roman" w:hAnsi="Times New Roman"/>
                <w:color w:val="000000"/>
                <w:kern w:val="0"/>
                <w:sz w:val="21"/>
                <w:szCs w:val="21"/>
              </w:rPr>
              <w:t>政府性基金拨款：</w:t>
            </w:r>
            <w:r>
              <w:rPr>
                <w:rFonts w:hint="eastAsia" w:ascii="Times New Roman" w:hAnsi="Times New Roman"/>
                <w:color w:val="000000"/>
                <w:kern w:val="0"/>
                <w:sz w:val="21"/>
                <w:szCs w:val="21"/>
              </w:rPr>
              <w:t>0</w:t>
            </w:r>
          </w:p>
        </w:tc>
        <w:tc>
          <w:tcPr>
            <w:tcW w:w="4329" w:type="dxa"/>
            <w:gridSpan w:val="4"/>
            <w:tcBorders>
              <w:top w:val="nil"/>
              <w:left w:val="nil"/>
              <w:bottom w:val="single" w:color="auto" w:sz="4" w:space="0"/>
              <w:right w:val="single" w:color="auto" w:sz="4" w:space="0"/>
            </w:tcBorders>
            <w:noWrap/>
            <w:vAlign w:val="center"/>
          </w:tcPr>
          <w:p>
            <w:pPr>
              <w:widowControl/>
              <w:spacing w:line="240" w:lineRule="exact"/>
              <w:ind w:firstLine="630" w:firstLineChars="300"/>
              <w:jc w:val="left"/>
              <w:rPr>
                <w:rFonts w:ascii="Times New Roman" w:hAnsi="Times New Roman"/>
                <w:color w:val="000000"/>
                <w:kern w:val="0"/>
                <w:sz w:val="21"/>
                <w:szCs w:val="21"/>
              </w:rPr>
            </w:pPr>
            <w:r>
              <w:rPr>
                <w:rFonts w:ascii="Times New Roman" w:hAnsi="Times New Roman"/>
                <w:color w:val="000000"/>
                <w:kern w:val="0"/>
                <w:sz w:val="21"/>
                <w:szCs w:val="21"/>
              </w:rPr>
              <w:t>项目支出：</w:t>
            </w:r>
            <w:r>
              <w:rPr>
                <w:rFonts w:hint="eastAsia" w:ascii="Times New Roman" w:hAnsi="Times New Roman"/>
                <w:kern w:val="0"/>
                <w:sz w:val="21"/>
                <w:szCs w:val="21"/>
              </w:rPr>
              <w:t>53.5</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ign w:val="center"/>
          </w:tcPr>
          <w:p>
            <w:pPr>
              <w:widowControl/>
              <w:spacing w:line="240" w:lineRule="exact"/>
              <w:jc w:val="left"/>
              <w:rPr>
                <w:rFonts w:ascii="Times New Roman" w:hAnsi="Times New Roman"/>
                <w:color w:val="000000"/>
                <w:kern w:val="0"/>
                <w:sz w:val="21"/>
                <w:szCs w:val="21"/>
              </w:rPr>
            </w:pPr>
          </w:p>
        </w:tc>
        <w:tc>
          <w:tcPr>
            <w:tcW w:w="4584" w:type="dxa"/>
            <w:gridSpan w:val="5"/>
            <w:tcBorders>
              <w:top w:val="nil"/>
              <w:left w:val="nil"/>
              <w:bottom w:val="single" w:color="auto" w:sz="4" w:space="0"/>
              <w:right w:val="single" w:color="auto" w:sz="4" w:space="0"/>
            </w:tcBorders>
            <w:noWrap/>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纳入专户管理的非税收入拨款：</w:t>
            </w:r>
            <w:r>
              <w:rPr>
                <w:rFonts w:hint="eastAsia" w:ascii="Times New Roman" w:hAnsi="Times New Roman"/>
                <w:color w:val="000000"/>
                <w:kern w:val="0"/>
                <w:sz w:val="21"/>
                <w:szCs w:val="21"/>
              </w:rPr>
              <w:t>140</w:t>
            </w:r>
          </w:p>
        </w:tc>
        <w:tc>
          <w:tcPr>
            <w:tcW w:w="4329" w:type="dxa"/>
            <w:gridSpan w:val="4"/>
            <w:tcBorders>
              <w:top w:val="nil"/>
              <w:left w:val="nil"/>
              <w:bottom w:val="single" w:color="auto" w:sz="4" w:space="0"/>
              <w:right w:val="single" w:color="auto" w:sz="4" w:space="0"/>
            </w:tcBorders>
            <w:noWrap/>
            <w:vAlign w:val="center"/>
          </w:tcPr>
          <w:p>
            <w:pPr>
              <w:widowControl/>
              <w:spacing w:line="240" w:lineRule="exact"/>
              <w:jc w:val="left"/>
              <w:rPr>
                <w:rFonts w:ascii="Times New Roman" w:hAnsi="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bottom w:val="single" w:color="000000" w:sz="4" w:space="0"/>
              <w:right w:val="single" w:color="auto" w:sz="4" w:space="0"/>
            </w:tcBorders>
            <w:noWrap/>
            <w:vAlign w:val="center"/>
          </w:tcPr>
          <w:p>
            <w:pPr>
              <w:widowControl/>
              <w:spacing w:line="240" w:lineRule="exact"/>
              <w:jc w:val="left"/>
              <w:rPr>
                <w:rFonts w:ascii="Times New Roman" w:hAnsi="Times New Roman"/>
                <w:color w:val="000000"/>
                <w:kern w:val="0"/>
                <w:sz w:val="21"/>
                <w:szCs w:val="21"/>
              </w:rPr>
            </w:pPr>
          </w:p>
        </w:tc>
        <w:tc>
          <w:tcPr>
            <w:tcW w:w="4584" w:type="dxa"/>
            <w:gridSpan w:val="5"/>
            <w:tcBorders>
              <w:top w:val="nil"/>
              <w:left w:val="nil"/>
              <w:bottom w:val="single" w:color="auto" w:sz="4" w:space="0"/>
              <w:right w:val="single" w:color="auto" w:sz="4" w:space="0"/>
            </w:tcBorders>
            <w:noWrap/>
            <w:vAlign w:val="center"/>
          </w:tcPr>
          <w:p>
            <w:pPr>
              <w:widowControl/>
              <w:spacing w:line="240" w:lineRule="exact"/>
              <w:ind w:firstLine="1470" w:firstLineChars="700"/>
              <w:jc w:val="left"/>
              <w:rPr>
                <w:rFonts w:ascii="Times New Roman" w:hAnsi="Times New Roman"/>
                <w:color w:val="000000"/>
                <w:kern w:val="0"/>
                <w:sz w:val="21"/>
                <w:szCs w:val="21"/>
              </w:rPr>
            </w:pPr>
            <w:r>
              <w:rPr>
                <w:rFonts w:ascii="Times New Roman" w:hAnsi="Times New Roman"/>
                <w:color w:val="000000"/>
                <w:kern w:val="0"/>
                <w:sz w:val="21"/>
                <w:szCs w:val="21"/>
              </w:rPr>
              <w:t>其他资金：</w:t>
            </w:r>
          </w:p>
        </w:tc>
        <w:tc>
          <w:tcPr>
            <w:tcW w:w="4329" w:type="dxa"/>
            <w:gridSpan w:val="4"/>
            <w:tcBorders>
              <w:top w:val="nil"/>
              <w:left w:val="nil"/>
              <w:bottom w:val="single" w:color="auto" w:sz="4" w:space="0"/>
              <w:right w:val="single" w:color="auto" w:sz="4" w:space="0"/>
            </w:tcBorders>
            <w:noWrap/>
            <w:vAlign w:val="center"/>
          </w:tcPr>
          <w:p>
            <w:pPr>
              <w:widowControl/>
              <w:spacing w:line="240" w:lineRule="exact"/>
              <w:jc w:val="left"/>
              <w:rPr>
                <w:rFonts w:ascii="Times New Roman" w:hAnsi="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年度总体目标</w:t>
            </w:r>
          </w:p>
        </w:tc>
        <w:tc>
          <w:tcPr>
            <w:tcW w:w="4584" w:type="dxa"/>
            <w:gridSpan w:val="5"/>
            <w:tcBorders>
              <w:top w:val="single" w:color="auto" w:sz="4" w:space="0"/>
              <w:left w:val="nil"/>
              <w:bottom w:val="single" w:color="auto" w:sz="4" w:space="0"/>
              <w:right w:val="single" w:color="000000" w:sz="4" w:space="0"/>
            </w:tcBorders>
            <w:noWrap/>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预期目标</w:t>
            </w:r>
          </w:p>
        </w:tc>
        <w:tc>
          <w:tcPr>
            <w:tcW w:w="4329" w:type="dxa"/>
            <w:gridSpan w:val="4"/>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Times New Roman" w:hAnsi="Times New Roman"/>
                <w:color w:val="000000"/>
                <w:kern w:val="0"/>
                <w:sz w:val="21"/>
                <w:szCs w:val="21"/>
              </w:rPr>
            </w:pPr>
          </w:p>
        </w:tc>
        <w:tc>
          <w:tcPr>
            <w:tcW w:w="4584" w:type="dxa"/>
            <w:gridSpan w:val="5"/>
            <w:tcBorders>
              <w:top w:val="single" w:color="auto" w:sz="4" w:space="0"/>
              <w:left w:val="nil"/>
              <w:bottom w:val="single" w:color="auto" w:sz="4" w:space="0"/>
              <w:right w:val="single" w:color="000000" w:sz="4" w:space="0"/>
            </w:tcBorders>
            <w:noWrap/>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1、党建引领，压实责任；2、加强监管执法；3、推进突出生态问题整改；4、落实省对市、市对局绩效考核工作任务。</w:t>
            </w:r>
            <w:r>
              <w:rPr>
                <w:rFonts w:ascii="Times New Roman" w:hAnsi="Times New Roman"/>
                <w:color w:val="000000"/>
                <w:kern w:val="0"/>
                <w:sz w:val="21"/>
                <w:szCs w:val="21"/>
              </w:rPr>
              <w:t>　　</w:t>
            </w:r>
          </w:p>
        </w:tc>
        <w:tc>
          <w:tcPr>
            <w:tcW w:w="4329" w:type="dxa"/>
            <w:gridSpan w:val="4"/>
            <w:tcBorders>
              <w:top w:val="single" w:color="auto" w:sz="4" w:space="0"/>
              <w:left w:val="nil"/>
              <w:bottom w:val="single" w:color="auto" w:sz="4" w:space="0"/>
              <w:right w:val="single" w:color="auto" w:sz="4" w:space="0"/>
            </w:tcBorders>
            <w:noWrap/>
            <w:vAlign w:val="center"/>
          </w:tcPr>
          <w:p>
            <w:pPr>
              <w:pStyle w:val="2"/>
              <w:rPr>
                <w:rFonts w:ascii="Times New Roman" w:hAnsi="Times New Roman"/>
                <w:color w:val="000000"/>
                <w:kern w:val="0"/>
                <w:sz w:val="21"/>
                <w:szCs w:val="21"/>
              </w:rPr>
            </w:pPr>
            <w:r>
              <w:rPr>
                <w:rFonts w:hint="eastAsia" w:ascii="Times New Roman" w:hAnsi="Times New Roman"/>
                <w:color w:val="000000"/>
                <w:kern w:val="0"/>
                <w:sz w:val="21"/>
                <w:szCs w:val="21"/>
              </w:rPr>
              <w:t>重视抓好党建工作，提升支部凝聚力和战斗力，加强支部班子建设，深入开展党史学习教育活动，积极开展形式多样的主题活动，严格党内组织生活，深入推进党风廉政建设；推进执法能力建设，开展执法大练兵，锻造生态加强监管执法环境铁军；持续保持生态环境保护的高压态势，</w:t>
            </w:r>
            <w:r>
              <w:rPr>
                <w:rFonts w:ascii="Times New Roman" w:hAnsi="Times New Roman"/>
                <w:color w:val="000000"/>
                <w:kern w:val="0"/>
                <w:sz w:val="21"/>
                <w:szCs w:val="21"/>
              </w:rPr>
              <w:t>加大信访处置力度，</w:t>
            </w:r>
            <w:r>
              <w:rPr>
                <w:rFonts w:hint="eastAsia" w:ascii="Times New Roman" w:hAnsi="Times New Roman"/>
                <w:color w:val="000000"/>
                <w:kern w:val="0"/>
                <w:sz w:val="21"/>
                <w:szCs w:val="21"/>
              </w:rPr>
              <w:t>维护群众环境权益；强化环境应急管理，切实提升突发环境事件防范和应对能力；认真落实省对市、市对局绩效考核工作任务。</w:t>
            </w:r>
          </w:p>
        </w:tc>
      </w:tr>
      <w:tr>
        <w:tblPrEx>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绩</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效</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指</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标</w:t>
            </w:r>
          </w:p>
        </w:tc>
        <w:tc>
          <w:tcPr>
            <w:tcW w:w="1080"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一级指标</w:t>
            </w:r>
          </w:p>
        </w:tc>
        <w:tc>
          <w:tcPr>
            <w:tcW w:w="953"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二级指标</w:t>
            </w:r>
          </w:p>
        </w:tc>
        <w:tc>
          <w:tcPr>
            <w:tcW w:w="1351"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三级指标</w:t>
            </w:r>
          </w:p>
        </w:tc>
        <w:tc>
          <w:tcPr>
            <w:tcW w:w="1200"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年度</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指标值</w:t>
            </w:r>
          </w:p>
        </w:tc>
        <w:tc>
          <w:tcPr>
            <w:tcW w:w="1276" w:type="dxa"/>
            <w:tcBorders>
              <w:top w:val="single" w:color="auto" w:sz="4" w:space="0"/>
              <w:left w:val="nil"/>
              <w:bottom w:val="single" w:color="auto" w:sz="4" w:space="0"/>
              <w:right w:val="single" w:color="auto" w:sz="4" w:space="0"/>
            </w:tcBorders>
            <w:noWrap/>
            <w:vAlign w:val="center"/>
          </w:tcPr>
          <w:p>
            <w:pPr>
              <w:widowControl/>
              <w:spacing w:line="240" w:lineRule="exact"/>
              <w:rPr>
                <w:rFonts w:ascii="Times New Roman" w:hAnsi="Times New Roman"/>
                <w:color w:val="000000"/>
                <w:kern w:val="0"/>
                <w:sz w:val="21"/>
                <w:szCs w:val="21"/>
              </w:rPr>
            </w:pPr>
            <w:r>
              <w:rPr>
                <w:rFonts w:ascii="Times New Roman" w:hAnsi="Times New Roman"/>
                <w:color w:val="000000"/>
                <w:kern w:val="0"/>
                <w:sz w:val="21"/>
                <w:szCs w:val="21"/>
              </w:rPr>
              <w:t>实际完成值</w:t>
            </w:r>
          </w:p>
        </w:tc>
        <w:tc>
          <w:tcPr>
            <w:tcW w:w="787"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分值</w:t>
            </w:r>
          </w:p>
        </w:tc>
        <w:tc>
          <w:tcPr>
            <w:tcW w:w="914"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得分</w:t>
            </w:r>
          </w:p>
        </w:tc>
        <w:tc>
          <w:tcPr>
            <w:tcW w:w="1352"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偏差原因</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分析及</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ign w:val="center"/>
          </w:tcPr>
          <w:p>
            <w:pPr>
              <w:spacing w:line="240" w:lineRule="exact"/>
              <w:jc w:val="left"/>
              <w:rPr>
                <w:rFonts w:ascii="Times New Roman" w:hAnsi="Times New Roman"/>
                <w:color w:val="000000"/>
                <w:kern w:val="0"/>
                <w:sz w:val="21"/>
                <w:szCs w:val="21"/>
              </w:rPr>
            </w:pPr>
          </w:p>
        </w:tc>
        <w:tc>
          <w:tcPr>
            <w:tcW w:w="1080" w:type="dxa"/>
            <w:vMerge w:val="restart"/>
            <w:tcBorders>
              <w:top w:val="nil"/>
              <w:left w:val="nil"/>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产出指标</w:t>
            </w:r>
          </w:p>
          <w:p>
            <w:pPr>
              <w:widowControl/>
              <w:spacing w:line="240" w:lineRule="exact"/>
              <w:jc w:val="center"/>
              <w:rPr>
                <w:rFonts w:ascii="Times New Roman" w:hAnsi="Times New Roman"/>
                <w:color w:val="000000"/>
                <w:kern w:val="0"/>
                <w:sz w:val="21"/>
                <w:szCs w:val="21"/>
              </w:rPr>
            </w:pP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(50分)</w:t>
            </w:r>
          </w:p>
        </w:tc>
        <w:tc>
          <w:tcPr>
            <w:tcW w:w="953" w:type="dxa"/>
            <w:vMerge w:val="restart"/>
            <w:tcBorders>
              <w:top w:val="nil"/>
              <w:left w:val="nil"/>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数量指标</w:t>
            </w:r>
          </w:p>
        </w:tc>
        <w:tc>
          <w:tcPr>
            <w:tcW w:w="1351" w:type="dxa"/>
            <w:gridSpan w:val="2"/>
            <w:tcBorders>
              <w:top w:val="nil"/>
              <w:left w:val="nil"/>
              <w:bottom w:val="single" w:color="auto" w:sz="4" w:space="0"/>
              <w:right w:val="single" w:color="auto" w:sz="4" w:space="0"/>
            </w:tcBorders>
            <w:noWrap/>
            <w:vAlign w:val="center"/>
          </w:tcPr>
          <w:p>
            <w:pPr>
              <w:widowControl/>
              <w:spacing w:line="240" w:lineRule="exact"/>
              <w:jc w:val="left"/>
              <w:rPr>
                <w:rFonts w:ascii="Times New Roman" w:hAnsi="Times New Roman"/>
                <w:color w:val="000000"/>
                <w:kern w:val="0"/>
                <w:sz w:val="21"/>
                <w:szCs w:val="21"/>
              </w:rPr>
            </w:pPr>
            <w:r>
              <w:rPr>
                <w:rFonts w:hint="eastAsia" w:ascii="Times New Roman" w:hAnsi="Times New Roman"/>
                <w:color w:val="000000"/>
                <w:kern w:val="0"/>
                <w:sz w:val="21"/>
                <w:szCs w:val="21"/>
              </w:rPr>
              <w:t>涉污企业排查率</w:t>
            </w:r>
          </w:p>
        </w:tc>
        <w:tc>
          <w:tcPr>
            <w:tcW w:w="1200"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≥95%</w:t>
            </w:r>
          </w:p>
        </w:tc>
        <w:tc>
          <w:tcPr>
            <w:tcW w:w="1276"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≥95%</w:t>
            </w:r>
          </w:p>
        </w:tc>
        <w:tc>
          <w:tcPr>
            <w:tcW w:w="787"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5</w:t>
            </w:r>
          </w:p>
        </w:tc>
        <w:tc>
          <w:tcPr>
            <w:tcW w:w="914"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5</w:t>
            </w:r>
          </w:p>
        </w:tc>
        <w:tc>
          <w:tcPr>
            <w:tcW w:w="1352" w:type="dxa"/>
            <w:tcBorders>
              <w:top w:val="nil"/>
              <w:left w:val="nil"/>
              <w:bottom w:val="single" w:color="auto" w:sz="4" w:space="0"/>
              <w:right w:val="single" w:color="auto" w:sz="4" w:space="0"/>
            </w:tcBorders>
            <w:noWrap/>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ign w:val="center"/>
          </w:tcPr>
          <w:p>
            <w:pPr>
              <w:spacing w:line="240" w:lineRule="exact"/>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ign w:val="center"/>
          </w:tcPr>
          <w:p>
            <w:pPr>
              <w:spacing w:line="240" w:lineRule="exact"/>
              <w:jc w:val="left"/>
              <w:rPr>
                <w:rFonts w:ascii="Times New Roman" w:hAnsi="Times New Roman"/>
                <w:color w:val="000000"/>
                <w:kern w:val="0"/>
                <w:sz w:val="21"/>
                <w:szCs w:val="21"/>
              </w:rPr>
            </w:pPr>
          </w:p>
        </w:tc>
        <w:tc>
          <w:tcPr>
            <w:tcW w:w="953" w:type="dxa"/>
            <w:vMerge w:val="continue"/>
            <w:tcBorders>
              <w:left w:val="nil"/>
              <w:right w:val="single" w:color="auto" w:sz="4" w:space="0"/>
            </w:tcBorders>
            <w:noWrap/>
            <w:vAlign w:val="center"/>
          </w:tcPr>
          <w:p>
            <w:pPr>
              <w:spacing w:line="240" w:lineRule="exact"/>
              <w:jc w:val="center"/>
              <w:rPr>
                <w:rFonts w:ascii="Times New Roman" w:hAnsi="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ign w:val="center"/>
          </w:tcPr>
          <w:p>
            <w:pPr>
              <w:widowControl/>
              <w:spacing w:line="240" w:lineRule="exact"/>
              <w:jc w:val="left"/>
              <w:rPr>
                <w:rFonts w:ascii="Times New Roman" w:hAnsi="Times New Roman"/>
                <w:color w:val="000000"/>
                <w:kern w:val="0"/>
                <w:sz w:val="21"/>
                <w:szCs w:val="21"/>
              </w:rPr>
            </w:pPr>
            <w:r>
              <w:rPr>
                <w:rFonts w:hint="eastAsia" w:ascii="Times New Roman" w:hAnsi="Times New Roman"/>
                <w:color w:val="000000"/>
                <w:kern w:val="0"/>
                <w:sz w:val="21"/>
                <w:szCs w:val="21"/>
              </w:rPr>
              <w:t>年度非税罚没收入执收率</w:t>
            </w:r>
          </w:p>
        </w:tc>
        <w:tc>
          <w:tcPr>
            <w:tcW w:w="1200"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≥95%</w:t>
            </w:r>
          </w:p>
        </w:tc>
        <w:tc>
          <w:tcPr>
            <w:tcW w:w="1276"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≥95%</w:t>
            </w:r>
          </w:p>
        </w:tc>
        <w:tc>
          <w:tcPr>
            <w:tcW w:w="787"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5</w:t>
            </w:r>
          </w:p>
        </w:tc>
        <w:tc>
          <w:tcPr>
            <w:tcW w:w="914"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5</w:t>
            </w:r>
          </w:p>
        </w:tc>
        <w:tc>
          <w:tcPr>
            <w:tcW w:w="1352" w:type="dxa"/>
            <w:tcBorders>
              <w:top w:val="nil"/>
              <w:left w:val="nil"/>
              <w:bottom w:val="single" w:color="auto" w:sz="4" w:space="0"/>
              <w:right w:val="single" w:color="auto" w:sz="4" w:space="0"/>
            </w:tcBorders>
            <w:noWrap/>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ign w:val="center"/>
          </w:tcPr>
          <w:p>
            <w:pPr>
              <w:spacing w:line="240" w:lineRule="exact"/>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ign w:val="center"/>
          </w:tcPr>
          <w:p>
            <w:pPr>
              <w:spacing w:line="240" w:lineRule="exact"/>
              <w:jc w:val="left"/>
              <w:rPr>
                <w:rFonts w:ascii="Times New Roman" w:hAnsi="Times New Roman"/>
                <w:color w:val="000000"/>
                <w:kern w:val="0"/>
                <w:sz w:val="21"/>
                <w:szCs w:val="21"/>
              </w:rPr>
            </w:pPr>
          </w:p>
        </w:tc>
        <w:tc>
          <w:tcPr>
            <w:tcW w:w="953" w:type="dxa"/>
            <w:vMerge w:val="continue"/>
            <w:tcBorders>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ign w:val="center"/>
          </w:tcPr>
          <w:p>
            <w:pPr>
              <w:widowControl/>
              <w:spacing w:line="240" w:lineRule="exact"/>
              <w:jc w:val="left"/>
              <w:rPr>
                <w:rFonts w:ascii="Times New Roman" w:hAnsi="Times New Roman"/>
                <w:color w:val="000000"/>
                <w:kern w:val="0"/>
                <w:sz w:val="21"/>
                <w:szCs w:val="21"/>
              </w:rPr>
            </w:pPr>
            <w:r>
              <w:rPr>
                <w:rFonts w:hint="eastAsia" w:ascii="Times New Roman" w:hAnsi="Times New Roman"/>
                <w:color w:val="000000"/>
                <w:kern w:val="0"/>
                <w:sz w:val="21"/>
                <w:szCs w:val="21"/>
              </w:rPr>
              <w:t>行政处罚案件办理数量</w:t>
            </w:r>
          </w:p>
        </w:tc>
        <w:tc>
          <w:tcPr>
            <w:tcW w:w="1200"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≥95%</w:t>
            </w:r>
          </w:p>
        </w:tc>
        <w:tc>
          <w:tcPr>
            <w:tcW w:w="1276"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≥95%</w:t>
            </w:r>
          </w:p>
        </w:tc>
        <w:tc>
          <w:tcPr>
            <w:tcW w:w="787"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5</w:t>
            </w:r>
          </w:p>
        </w:tc>
        <w:tc>
          <w:tcPr>
            <w:tcW w:w="914"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5</w:t>
            </w:r>
          </w:p>
        </w:tc>
        <w:tc>
          <w:tcPr>
            <w:tcW w:w="1352" w:type="dxa"/>
            <w:tcBorders>
              <w:top w:val="nil"/>
              <w:left w:val="nil"/>
              <w:bottom w:val="single" w:color="auto" w:sz="4" w:space="0"/>
              <w:right w:val="single" w:color="auto" w:sz="4" w:space="0"/>
            </w:tcBorders>
            <w:noWrap/>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ign w:val="center"/>
          </w:tcPr>
          <w:p>
            <w:pPr>
              <w:spacing w:line="240" w:lineRule="exact"/>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ign w:val="center"/>
          </w:tcPr>
          <w:p>
            <w:pPr>
              <w:spacing w:line="240" w:lineRule="exact"/>
              <w:jc w:val="left"/>
              <w:rPr>
                <w:rFonts w:ascii="Times New Roman" w:hAnsi="Times New Roman"/>
                <w:color w:val="000000"/>
                <w:kern w:val="0"/>
                <w:sz w:val="21"/>
                <w:szCs w:val="21"/>
              </w:rPr>
            </w:pPr>
          </w:p>
        </w:tc>
        <w:tc>
          <w:tcPr>
            <w:tcW w:w="953" w:type="dxa"/>
            <w:vMerge w:val="restart"/>
            <w:tcBorders>
              <w:top w:val="nil"/>
              <w:left w:val="nil"/>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质量指标</w:t>
            </w:r>
          </w:p>
        </w:tc>
        <w:tc>
          <w:tcPr>
            <w:tcW w:w="1351" w:type="dxa"/>
            <w:gridSpan w:val="2"/>
            <w:tcBorders>
              <w:top w:val="nil"/>
              <w:left w:val="nil"/>
              <w:bottom w:val="single" w:color="auto" w:sz="4" w:space="0"/>
              <w:right w:val="single" w:color="auto" w:sz="4" w:space="0"/>
            </w:tcBorders>
            <w:noWrap/>
            <w:vAlign w:val="center"/>
          </w:tcPr>
          <w:p>
            <w:pPr>
              <w:widowControl/>
              <w:spacing w:line="240" w:lineRule="exact"/>
              <w:jc w:val="left"/>
              <w:rPr>
                <w:rFonts w:ascii="Times New Roman" w:hAnsi="Times New Roman"/>
                <w:color w:val="000000"/>
                <w:kern w:val="0"/>
                <w:sz w:val="21"/>
                <w:szCs w:val="21"/>
              </w:rPr>
            </w:pPr>
            <w:r>
              <w:rPr>
                <w:rFonts w:hint="eastAsia" w:ascii="Times New Roman" w:hAnsi="Times New Roman"/>
                <w:color w:val="000000"/>
                <w:kern w:val="0"/>
                <w:sz w:val="21"/>
                <w:szCs w:val="21"/>
              </w:rPr>
              <w:t>行政处罚案件审核正确率</w:t>
            </w:r>
          </w:p>
        </w:tc>
        <w:tc>
          <w:tcPr>
            <w:tcW w:w="1200"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≥95%</w:t>
            </w:r>
          </w:p>
        </w:tc>
        <w:tc>
          <w:tcPr>
            <w:tcW w:w="1276"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≥95%</w:t>
            </w:r>
          </w:p>
        </w:tc>
        <w:tc>
          <w:tcPr>
            <w:tcW w:w="787"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5</w:t>
            </w:r>
          </w:p>
        </w:tc>
        <w:tc>
          <w:tcPr>
            <w:tcW w:w="914"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5</w:t>
            </w:r>
          </w:p>
        </w:tc>
        <w:tc>
          <w:tcPr>
            <w:tcW w:w="1352" w:type="dxa"/>
            <w:tcBorders>
              <w:top w:val="nil"/>
              <w:left w:val="nil"/>
              <w:bottom w:val="single" w:color="auto" w:sz="4" w:space="0"/>
              <w:right w:val="single" w:color="auto" w:sz="4" w:space="0"/>
            </w:tcBorders>
            <w:noWrap/>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ign w:val="center"/>
          </w:tcPr>
          <w:p>
            <w:pPr>
              <w:spacing w:line="240" w:lineRule="exact"/>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ign w:val="center"/>
          </w:tcPr>
          <w:p>
            <w:pPr>
              <w:spacing w:line="240" w:lineRule="exact"/>
              <w:jc w:val="left"/>
              <w:rPr>
                <w:rFonts w:ascii="Times New Roman" w:hAnsi="Times New Roman"/>
                <w:color w:val="000000"/>
                <w:kern w:val="0"/>
                <w:sz w:val="21"/>
                <w:szCs w:val="21"/>
              </w:rPr>
            </w:pPr>
          </w:p>
        </w:tc>
        <w:tc>
          <w:tcPr>
            <w:tcW w:w="953" w:type="dxa"/>
            <w:vMerge w:val="continue"/>
            <w:tcBorders>
              <w:left w:val="nil"/>
              <w:right w:val="single" w:color="auto" w:sz="4" w:space="0"/>
            </w:tcBorders>
            <w:noWrap/>
            <w:vAlign w:val="center"/>
          </w:tcPr>
          <w:p>
            <w:pPr>
              <w:spacing w:line="240" w:lineRule="exact"/>
              <w:jc w:val="center"/>
              <w:rPr>
                <w:rFonts w:ascii="Times New Roman" w:hAnsi="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ign w:val="center"/>
          </w:tcPr>
          <w:p>
            <w:pPr>
              <w:widowControl/>
              <w:spacing w:line="240" w:lineRule="exact"/>
              <w:jc w:val="left"/>
              <w:rPr>
                <w:rFonts w:ascii="Times New Roman" w:hAnsi="Times New Roman"/>
                <w:color w:val="000000"/>
                <w:kern w:val="0"/>
                <w:sz w:val="21"/>
                <w:szCs w:val="21"/>
              </w:rPr>
            </w:pPr>
            <w:r>
              <w:rPr>
                <w:rFonts w:hint="eastAsia" w:ascii="Times New Roman" w:hAnsi="Times New Roman"/>
                <w:color w:val="000000"/>
                <w:kern w:val="0"/>
                <w:sz w:val="21"/>
                <w:szCs w:val="21"/>
              </w:rPr>
              <w:t>严厉打击各类环境违法行为</w:t>
            </w:r>
          </w:p>
        </w:tc>
        <w:tc>
          <w:tcPr>
            <w:tcW w:w="1200"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≥95%</w:t>
            </w:r>
          </w:p>
        </w:tc>
        <w:tc>
          <w:tcPr>
            <w:tcW w:w="1276"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≥95%</w:t>
            </w:r>
          </w:p>
        </w:tc>
        <w:tc>
          <w:tcPr>
            <w:tcW w:w="787"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5</w:t>
            </w:r>
          </w:p>
        </w:tc>
        <w:tc>
          <w:tcPr>
            <w:tcW w:w="914"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5</w:t>
            </w:r>
          </w:p>
        </w:tc>
        <w:tc>
          <w:tcPr>
            <w:tcW w:w="1352" w:type="dxa"/>
            <w:tcBorders>
              <w:top w:val="nil"/>
              <w:left w:val="nil"/>
              <w:bottom w:val="single" w:color="auto" w:sz="4" w:space="0"/>
              <w:right w:val="single" w:color="auto" w:sz="4" w:space="0"/>
            </w:tcBorders>
            <w:noWrap/>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ign w:val="center"/>
          </w:tcPr>
          <w:p>
            <w:pPr>
              <w:spacing w:line="240" w:lineRule="exact"/>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ign w:val="center"/>
          </w:tcPr>
          <w:p>
            <w:pPr>
              <w:spacing w:line="240" w:lineRule="exact"/>
              <w:jc w:val="left"/>
              <w:rPr>
                <w:rFonts w:ascii="Times New Roman" w:hAnsi="Times New Roman"/>
                <w:color w:val="000000"/>
                <w:kern w:val="0"/>
                <w:sz w:val="21"/>
                <w:szCs w:val="21"/>
              </w:rPr>
            </w:pPr>
          </w:p>
        </w:tc>
        <w:tc>
          <w:tcPr>
            <w:tcW w:w="953" w:type="dxa"/>
            <w:vMerge w:val="continue"/>
            <w:tcBorders>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ign w:val="center"/>
          </w:tcPr>
          <w:p>
            <w:pPr>
              <w:widowControl/>
              <w:spacing w:line="240" w:lineRule="exact"/>
              <w:jc w:val="left"/>
              <w:rPr>
                <w:rFonts w:ascii="Times New Roman" w:hAnsi="Times New Roman"/>
                <w:color w:val="000000"/>
                <w:kern w:val="0"/>
                <w:sz w:val="21"/>
                <w:szCs w:val="21"/>
              </w:rPr>
            </w:pPr>
            <w:r>
              <w:rPr>
                <w:rFonts w:hint="eastAsia" w:ascii="Times New Roman" w:hAnsi="Times New Roman"/>
                <w:color w:val="000000"/>
                <w:kern w:val="0"/>
                <w:sz w:val="21"/>
                <w:szCs w:val="21"/>
              </w:rPr>
              <w:t>信访案件办结率</w:t>
            </w:r>
          </w:p>
        </w:tc>
        <w:tc>
          <w:tcPr>
            <w:tcW w:w="1200"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≥95%</w:t>
            </w:r>
          </w:p>
        </w:tc>
        <w:tc>
          <w:tcPr>
            <w:tcW w:w="1276"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≥95%</w:t>
            </w:r>
          </w:p>
        </w:tc>
        <w:tc>
          <w:tcPr>
            <w:tcW w:w="787"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5</w:t>
            </w:r>
          </w:p>
        </w:tc>
        <w:tc>
          <w:tcPr>
            <w:tcW w:w="914"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5</w:t>
            </w:r>
          </w:p>
        </w:tc>
        <w:tc>
          <w:tcPr>
            <w:tcW w:w="1352" w:type="dxa"/>
            <w:tcBorders>
              <w:top w:val="nil"/>
              <w:left w:val="nil"/>
              <w:bottom w:val="single" w:color="auto" w:sz="4" w:space="0"/>
              <w:right w:val="single" w:color="auto" w:sz="4" w:space="0"/>
            </w:tcBorders>
            <w:noWrap/>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ign w:val="center"/>
          </w:tcPr>
          <w:p>
            <w:pPr>
              <w:spacing w:line="240" w:lineRule="exact"/>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ign w:val="center"/>
          </w:tcPr>
          <w:p>
            <w:pPr>
              <w:spacing w:line="240" w:lineRule="exact"/>
              <w:jc w:val="left"/>
              <w:rPr>
                <w:rFonts w:ascii="Times New Roman" w:hAnsi="Times New Roman"/>
                <w:color w:val="000000"/>
                <w:kern w:val="0"/>
                <w:sz w:val="21"/>
                <w:szCs w:val="21"/>
              </w:rPr>
            </w:pPr>
          </w:p>
        </w:tc>
        <w:tc>
          <w:tcPr>
            <w:tcW w:w="953" w:type="dxa"/>
            <w:vMerge w:val="restart"/>
            <w:tcBorders>
              <w:top w:val="nil"/>
              <w:left w:val="nil"/>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时效指标</w:t>
            </w:r>
          </w:p>
        </w:tc>
        <w:tc>
          <w:tcPr>
            <w:tcW w:w="1351" w:type="dxa"/>
            <w:gridSpan w:val="2"/>
            <w:tcBorders>
              <w:top w:val="nil"/>
              <w:left w:val="nil"/>
              <w:bottom w:val="single" w:color="auto" w:sz="4" w:space="0"/>
              <w:right w:val="single" w:color="auto" w:sz="4" w:space="0"/>
            </w:tcBorders>
            <w:noWrap/>
            <w:vAlign w:val="center"/>
          </w:tcPr>
          <w:p>
            <w:pPr>
              <w:widowControl/>
              <w:spacing w:line="240" w:lineRule="exact"/>
              <w:jc w:val="left"/>
              <w:rPr>
                <w:rFonts w:ascii="Times New Roman" w:hAnsi="Times New Roman"/>
                <w:color w:val="000000"/>
                <w:kern w:val="0"/>
                <w:sz w:val="21"/>
                <w:szCs w:val="21"/>
              </w:rPr>
            </w:pPr>
            <w:r>
              <w:rPr>
                <w:rFonts w:hint="eastAsia" w:ascii="Times New Roman" w:hAnsi="Times New Roman"/>
                <w:color w:val="000000"/>
                <w:kern w:val="0"/>
                <w:sz w:val="21"/>
                <w:szCs w:val="21"/>
              </w:rPr>
              <w:t>及时对双随机”执法信息公开</w:t>
            </w:r>
          </w:p>
        </w:tc>
        <w:tc>
          <w:tcPr>
            <w:tcW w:w="1200"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≥95%</w:t>
            </w:r>
          </w:p>
        </w:tc>
        <w:tc>
          <w:tcPr>
            <w:tcW w:w="1276"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≥95%</w:t>
            </w:r>
          </w:p>
        </w:tc>
        <w:tc>
          <w:tcPr>
            <w:tcW w:w="787"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5</w:t>
            </w:r>
          </w:p>
        </w:tc>
        <w:tc>
          <w:tcPr>
            <w:tcW w:w="914"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5</w:t>
            </w:r>
          </w:p>
        </w:tc>
        <w:tc>
          <w:tcPr>
            <w:tcW w:w="1352" w:type="dxa"/>
            <w:tcBorders>
              <w:top w:val="nil"/>
              <w:left w:val="nil"/>
              <w:bottom w:val="single" w:color="auto" w:sz="4" w:space="0"/>
              <w:right w:val="single" w:color="auto" w:sz="4" w:space="0"/>
            </w:tcBorders>
            <w:noWrap/>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ign w:val="center"/>
          </w:tcPr>
          <w:p>
            <w:pPr>
              <w:spacing w:line="240" w:lineRule="exact"/>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ign w:val="center"/>
          </w:tcPr>
          <w:p>
            <w:pPr>
              <w:spacing w:line="240" w:lineRule="exact"/>
              <w:jc w:val="left"/>
              <w:rPr>
                <w:rFonts w:ascii="Times New Roman" w:hAnsi="Times New Roman"/>
                <w:color w:val="000000"/>
                <w:kern w:val="0"/>
                <w:sz w:val="21"/>
                <w:szCs w:val="21"/>
              </w:rPr>
            </w:pPr>
          </w:p>
        </w:tc>
        <w:tc>
          <w:tcPr>
            <w:tcW w:w="953" w:type="dxa"/>
            <w:vMerge w:val="continue"/>
            <w:tcBorders>
              <w:left w:val="nil"/>
              <w:right w:val="single" w:color="auto" w:sz="4" w:space="0"/>
            </w:tcBorders>
            <w:noWrap/>
            <w:vAlign w:val="center"/>
          </w:tcPr>
          <w:p>
            <w:pPr>
              <w:spacing w:line="240" w:lineRule="exact"/>
              <w:jc w:val="center"/>
              <w:rPr>
                <w:rFonts w:ascii="Times New Roman" w:hAnsi="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ign w:val="center"/>
          </w:tcPr>
          <w:p>
            <w:pPr>
              <w:widowControl/>
              <w:spacing w:line="240" w:lineRule="exact"/>
              <w:jc w:val="left"/>
              <w:rPr>
                <w:rFonts w:ascii="Times New Roman" w:hAnsi="Times New Roman"/>
                <w:color w:val="000000"/>
                <w:kern w:val="0"/>
                <w:sz w:val="21"/>
                <w:szCs w:val="21"/>
              </w:rPr>
            </w:pPr>
            <w:r>
              <w:rPr>
                <w:rFonts w:hint="eastAsia" w:ascii="Times New Roman" w:hAnsi="Times New Roman"/>
                <w:color w:val="000000"/>
                <w:kern w:val="0"/>
                <w:sz w:val="21"/>
                <w:szCs w:val="21"/>
              </w:rPr>
              <w:t>按时组织涉企检查备案工作</w:t>
            </w:r>
          </w:p>
        </w:tc>
        <w:tc>
          <w:tcPr>
            <w:tcW w:w="1200"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≥95%</w:t>
            </w:r>
          </w:p>
        </w:tc>
        <w:tc>
          <w:tcPr>
            <w:tcW w:w="1276"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≥95%</w:t>
            </w:r>
          </w:p>
        </w:tc>
        <w:tc>
          <w:tcPr>
            <w:tcW w:w="787"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5</w:t>
            </w:r>
          </w:p>
        </w:tc>
        <w:tc>
          <w:tcPr>
            <w:tcW w:w="914"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5</w:t>
            </w:r>
          </w:p>
        </w:tc>
        <w:tc>
          <w:tcPr>
            <w:tcW w:w="1352" w:type="dxa"/>
            <w:tcBorders>
              <w:top w:val="nil"/>
              <w:left w:val="nil"/>
              <w:bottom w:val="single" w:color="auto" w:sz="4" w:space="0"/>
              <w:right w:val="single" w:color="auto" w:sz="4" w:space="0"/>
            </w:tcBorders>
            <w:noWrap/>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ign w:val="center"/>
          </w:tcPr>
          <w:p>
            <w:pPr>
              <w:spacing w:line="240" w:lineRule="exact"/>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ign w:val="center"/>
          </w:tcPr>
          <w:p>
            <w:pPr>
              <w:spacing w:line="240" w:lineRule="exact"/>
              <w:jc w:val="left"/>
              <w:rPr>
                <w:rFonts w:ascii="Times New Roman" w:hAnsi="Times New Roman"/>
                <w:color w:val="000000"/>
                <w:kern w:val="0"/>
                <w:sz w:val="21"/>
                <w:szCs w:val="21"/>
              </w:rPr>
            </w:pPr>
          </w:p>
        </w:tc>
        <w:tc>
          <w:tcPr>
            <w:tcW w:w="953" w:type="dxa"/>
            <w:vMerge w:val="continue"/>
            <w:tcBorders>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ign w:val="center"/>
          </w:tcPr>
          <w:p>
            <w:pPr>
              <w:widowControl/>
              <w:spacing w:line="240" w:lineRule="exact"/>
              <w:jc w:val="left"/>
              <w:rPr>
                <w:rFonts w:ascii="Times New Roman" w:hAnsi="Times New Roman"/>
                <w:color w:val="000000"/>
                <w:kern w:val="0"/>
                <w:sz w:val="21"/>
                <w:szCs w:val="21"/>
              </w:rPr>
            </w:pPr>
            <w:r>
              <w:rPr>
                <w:rFonts w:hint="eastAsia" w:ascii="Times New Roman" w:hAnsi="Times New Roman"/>
                <w:color w:val="000000"/>
                <w:kern w:val="0"/>
                <w:sz w:val="21"/>
                <w:szCs w:val="21"/>
              </w:rPr>
              <w:t>按时组织案卷评查</w:t>
            </w:r>
          </w:p>
        </w:tc>
        <w:tc>
          <w:tcPr>
            <w:tcW w:w="1200"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≥95%</w:t>
            </w:r>
          </w:p>
        </w:tc>
        <w:tc>
          <w:tcPr>
            <w:tcW w:w="1276"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≥95%</w:t>
            </w:r>
          </w:p>
        </w:tc>
        <w:tc>
          <w:tcPr>
            <w:tcW w:w="787"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5</w:t>
            </w:r>
          </w:p>
        </w:tc>
        <w:tc>
          <w:tcPr>
            <w:tcW w:w="914"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5</w:t>
            </w:r>
          </w:p>
        </w:tc>
        <w:tc>
          <w:tcPr>
            <w:tcW w:w="1352" w:type="dxa"/>
            <w:tcBorders>
              <w:top w:val="nil"/>
              <w:left w:val="nil"/>
              <w:bottom w:val="single" w:color="auto" w:sz="4" w:space="0"/>
              <w:right w:val="single" w:color="auto" w:sz="4" w:space="0"/>
            </w:tcBorders>
            <w:noWrap/>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ign w:val="center"/>
          </w:tcPr>
          <w:p>
            <w:pPr>
              <w:spacing w:line="240" w:lineRule="exact"/>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ign w:val="center"/>
          </w:tcPr>
          <w:p>
            <w:pPr>
              <w:spacing w:line="240" w:lineRule="exact"/>
              <w:jc w:val="left"/>
              <w:rPr>
                <w:rFonts w:ascii="Times New Roman" w:hAnsi="Times New Roman"/>
                <w:color w:val="000000"/>
                <w:kern w:val="0"/>
                <w:sz w:val="21"/>
                <w:szCs w:val="21"/>
              </w:rPr>
            </w:pPr>
          </w:p>
        </w:tc>
        <w:tc>
          <w:tcPr>
            <w:tcW w:w="953" w:type="dxa"/>
            <w:vMerge w:val="restart"/>
            <w:tcBorders>
              <w:top w:val="nil"/>
              <w:left w:val="nil"/>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成本指标</w:t>
            </w:r>
          </w:p>
        </w:tc>
        <w:tc>
          <w:tcPr>
            <w:tcW w:w="1351" w:type="dxa"/>
            <w:gridSpan w:val="2"/>
            <w:tcBorders>
              <w:top w:val="nil"/>
              <w:left w:val="nil"/>
              <w:bottom w:val="single" w:color="auto" w:sz="4" w:space="0"/>
              <w:right w:val="single" w:color="auto" w:sz="4" w:space="0"/>
            </w:tcBorders>
            <w:noWrap/>
            <w:vAlign w:val="center"/>
          </w:tcPr>
          <w:p>
            <w:pPr>
              <w:widowControl/>
              <w:spacing w:line="240" w:lineRule="exact"/>
              <w:jc w:val="left"/>
              <w:rPr>
                <w:rFonts w:ascii="Times New Roman" w:hAnsi="Times New Roman"/>
                <w:color w:val="000000"/>
                <w:kern w:val="0"/>
                <w:sz w:val="21"/>
                <w:szCs w:val="21"/>
              </w:rPr>
            </w:pPr>
            <w:r>
              <w:rPr>
                <w:rFonts w:hint="eastAsia" w:ascii="Times New Roman" w:hAnsi="Times New Roman"/>
                <w:color w:val="000000"/>
                <w:kern w:val="0"/>
                <w:sz w:val="21"/>
                <w:szCs w:val="21"/>
              </w:rPr>
              <w:t>预算执行率</w:t>
            </w:r>
          </w:p>
        </w:tc>
        <w:tc>
          <w:tcPr>
            <w:tcW w:w="1200"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≥95%</w:t>
            </w:r>
          </w:p>
        </w:tc>
        <w:tc>
          <w:tcPr>
            <w:tcW w:w="1276"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≥95%</w:t>
            </w:r>
          </w:p>
        </w:tc>
        <w:tc>
          <w:tcPr>
            <w:tcW w:w="787"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3</w:t>
            </w:r>
          </w:p>
        </w:tc>
        <w:tc>
          <w:tcPr>
            <w:tcW w:w="914"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3</w:t>
            </w:r>
          </w:p>
        </w:tc>
        <w:tc>
          <w:tcPr>
            <w:tcW w:w="1352" w:type="dxa"/>
            <w:tcBorders>
              <w:top w:val="nil"/>
              <w:left w:val="nil"/>
              <w:bottom w:val="single" w:color="auto" w:sz="4" w:space="0"/>
              <w:right w:val="single" w:color="auto" w:sz="4" w:space="0"/>
            </w:tcBorders>
            <w:noWrap/>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bottom w:val="single" w:color="auto" w:sz="4" w:space="0"/>
              <w:right w:val="single" w:color="auto" w:sz="4" w:space="0"/>
            </w:tcBorders>
            <w:noWrap/>
            <w:vAlign w:val="center"/>
          </w:tcPr>
          <w:p>
            <w:pPr>
              <w:spacing w:line="240" w:lineRule="exact"/>
              <w:jc w:val="left"/>
              <w:rPr>
                <w:rFonts w:ascii="Times New Roman" w:hAnsi="Times New Roman"/>
                <w:color w:val="000000"/>
                <w:kern w:val="0"/>
                <w:sz w:val="21"/>
                <w:szCs w:val="21"/>
              </w:rPr>
            </w:pPr>
          </w:p>
        </w:tc>
        <w:tc>
          <w:tcPr>
            <w:tcW w:w="1080" w:type="dxa"/>
            <w:vMerge w:val="continue"/>
            <w:tcBorders>
              <w:left w:val="nil"/>
              <w:bottom w:val="single" w:color="auto" w:sz="4" w:space="0"/>
              <w:right w:val="single" w:color="auto" w:sz="4" w:space="0"/>
            </w:tcBorders>
            <w:noWrap/>
            <w:vAlign w:val="center"/>
          </w:tcPr>
          <w:p>
            <w:pPr>
              <w:spacing w:line="240" w:lineRule="exact"/>
              <w:jc w:val="left"/>
              <w:rPr>
                <w:rFonts w:ascii="Times New Roman" w:hAnsi="Times New Roman"/>
                <w:color w:val="000000"/>
                <w:kern w:val="0"/>
                <w:sz w:val="21"/>
                <w:szCs w:val="21"/>
              </w:rPr>
            </w:pPr>
          </w:p>
        </w:tc>
        <w:tc>
          <w:tcPr>
            <w:tcW w:w="953" w:type="dxa"/>
            <w:vMerge w:val="continue"/>
            <w:tcBorders>
              <w:left w:val="nil"/>
              <w:bottom w:val="single" w:color="auto" w:sz="4" w:space="0"/>
              <w:right w:val="single" w:color="auto" w:sz="4" w:space="0"/>
            </w:tcBorders>
            <w:noWrap/>
            <w:vAlign w:val="center"/>
          </w:tcPr>
          <w:p>
            <w:pPr>
              <w:spacing w:line="240" w:lineRule="exact"/>
              <w:jc w:val="left"/>
              <w:rPr>
                <w:rFonts w:ascii="Times New Roman" w:hAnsi="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ign w:val="center"/>
          </w:tcPr>
          <w:p>
            <w:pPr>
              <w:widowControl/>
              <w:spacing w:line="240" w:lineRule="exact"/>
              <w:jc w:val="left"/>
              <w:rPr>
                <w:rFonts w:ascii="Times New Roman" w:hAnsi="Times New Roman"/>
                <w:color w:val="000000"/>
                <w:kern w:val="0"/>
                <w:sz w:val="21"/>
                <w:szCs w:val="21"/>
              </w:rPr>
            </w:pPr>
            <w:r>
              <w:rPr>
                <w:rFonts w:hint="eastAsia" w:ascii="Times New Roman" w:hAnsi="Times New Roman"/>
                <w:color w:val="000000"/>
                <w:kern w:val="0"/>
                <w:sz w:val="21"/>
                <w:szCs w:val="21"/>
              </w:rPr>
              <w:t>“三公经费”控制率</w:t>
            </w:r>
          </w:p>
        </w:tc>
        <w:tc>
          <w:tcPr>
            <w:tcW w:w="1200"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≤98%</w:t>
            </w:r>
          </w:p>
        </w:tc>
        <w:tc>
          <w:tcPr>
            <w:tcW w:w="1276"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≤98%</w:t>
            </w:r>
          </w:p>
        </w:tc>
        <w:tc>
          <w:tcPr>
            <w:tcW w:w="787"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2</w:t>
            </w:r>
          </w:p>
        </w:tc>
        <w:tc>
          <w:tcPr>
            <w:tcW w:w="914"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2</w:t>
            </w:r>
          </w:p>
        </w:tc>
        <w:tc>
          <w:tcPr>
            <w:tcW w:w="1352" w:type="dxa"/>
            <w:tcBorders>
              <w:top w:val="nil"/>
              <w:left w:val="nil"/>
              <w:bottom w:val="single" w:color="auto" w:sz="4" w:space="0"/>
              <w:right w:val="single" w:color="auto" w:sz="4" w:space="0"/>
            </w:tcBorders>
            <w:noWrap/>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right w:val="single" w:color="auto" w:sz="4" w:space="0"/>
            </w:tcBorders>
            <w:noWrap/>
            <w:vAlign w:val="center"/>
          </w:tcPr>
          <w:p>
            <w:pPr>
              <w:spacing w:line="240" w:lineRule="exact"/>
              <w:jc w:val="left"/>
              <w:rPr>
                <w:rFonts w:ascii="Times New Roman" w:hAnsi="Times New Roman"/>
                <w:color w:val="000000"/>
                <w:kern w:val="0"/>
                <w:sz w:val="21"/>
                <w:szCs w:val="21"/>
              </w:rPr>
            </w:pPr>
          </w:p>
        </w:tc>
        <w:tc>
          <w:tcPr>
            <w:tcW w:w="1080" w:type="dxa"/>
            <w:vMerge w:val="restart"/>
            <w:tcBorders>
              <w:top w:val="single" w:color="auto" w:sz="4" w:space="0"/>
              <w:left w:val="nil"/>
              <w:right w:val="single" w:color="auto" w:sz="4" w:space="0"/>
            </w:tcBorders>
            <w:noWrap/>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效益指标</w:t>
            </w:r>
          </w:p>
          <w:p>
            <w:pPr>
              <w:widowControl/>
              <w:spacing w:line="240" w:lineRule="exact"/>
              <w:jc w:val="left"/>
              <w:rPr>
                <w:rFonts w:ascii="Times New Roman" w:hAnsi="Times New Roman"/>
                <w:color w:val="000000"/>
                <w:kern w:val="0"/>
                <w:sz w:val="21"/>
                <w:szCs w:val="21"/>
              </w:rPr>
            </w:pPr>
          </w:p>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（30分）</w:t>
            </w:r>
          </w:p>
        </w:tc>
        <w:tc>
          <w:tcPr>
            <w:tcW w:w="953" w:type="dxa"/>
            <w:vMerge w:val="restart"/>
            <w:tcBorders>
              <w:top w:val="single" w:color="auto" w:sz="4" w:space="0"/>
              <w:left w:val="nil"/>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社会效</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益指标</w:t>
            </w:r>
          </w:p>
        </w:tc>
        <w:tc>
          <w:tcPr>
            <w:tcW w:w="1351"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居民生活环境</w:t>
            </w:r>
          </w:p>
        </w:tc>
        <w:tc>
          <w:tcPr>
            <w:tcW w:w="1200"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提升</w:t>
            </w:r>
          </w:p>
        </w:tc>
        <w:tc>
          <w:tcPr>
            <w:tcW w:w="1276"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提升</w:t>
            </w:r>
          </w:p>
        </w:tc>
        <w:tc>
          <w:tcPr>
            <w:tcW w:w="787" w:type="dxa"/>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w:t>
            </w:r>
            <w:r>
              <w:rPr>
                <w:rFonts w:hint="eastAsia" w:ascii="Times New Roman" w:hAnsi="Times New Roman"/>
                <w:color w:val="000000"/>
                <w:kern w:val="0"/>
                <w:sz w:val="21"/>
                <w:szCs w:val="21"/>
              </w:rPr>
              <w:t>5</w:t>
            </w:r>
          </w:p>
        </w:tc>
        <w:tc>
          <w:tcPr>
            <w:tcW w:w="914" w:type="dxa"/>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w:t>
            </w:r>
            <w:r>
              <w:rPr>
                <w:rFonts w:hint="eastAsia" w:ascii="Times New Roman" w:hAnsi="Times New Roman"/>
                <w:color w:val="000000"/>
                <w:kern w:val="0"/>
                <w:sz w:val="21"/>
                <w:szCs w:val="21"/>
              </w:rPr>
              <w:t>5</w:t>
            </w:r>
          </w:p>
        </w:tc>
        <w:tc>
          <w:tcPr>
            <w:tcW w:w="1352" w:type="dxa"/>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ign w:val="center"/>
          </w:tcPr>
          <w:p>
            <w:pPr>
              <w:spacing w:line="240" w:lineRule="exact"/>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ign w:val="center"/>
          </w:tcPr>
          <w:p>
            <w:pPr>
              <w:spacing w:line="240" w:lineRule="exact"/>
              <w:jc w:val="left"/>
              <w:rPr>
                <w:rFonts w:ascii="Times New Roman" w:hAnsi="Times New Roman"/>
                <w:color w:val="000000"/>
                <w:kern w:val="0"/>
                <w:sz w:val="21"/>
                <w:szCs w:val="21"/>
              </w:rPr>
            </w:pPr>
          </w:p>
        </w:tc>
        <w:tc>
          <w:tcPr>
            <w:tcW w:w="953" w:type="dxa"/>
            <w:vMerge w:val="continue"/>
            <w:tcBorders>
              <w:left w:val="nil"/>
              <w:bottom w:val="single" w:color="auto" w:sz="4" w:space="0"/>
              <w:right w:val="single" w:color="auto" w:sz="4" w:space="0"/>
            </w:tcBorders>
            <w:noWrap/>
            <w:vAlign w:val="center"/>
          </w:tcPr>
          <w:p>
            <w:pPr>
              <w:spacing w:line="240" w:lineRule="exact"/>
              <w:jc w:val="center"/>
              <w:rPr>
                <w:rFonts w:ascii="Times New Roman" w:hAnsi="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民生保障</w:t>
            </w:r>
          </w:p>
        </w:tc>
        <w:tc>
          <w:tcPr>
            <w:tcW w:w="1200"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保障</w:t>
            </w:r>
          </w:p>
        </w:tc>
        <w:tc>
          <w:tcPr>
            <w:tcW w:w="1276"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保障</w:t>
            </w:r>
          </w:p>
        </w:tc>
        <w:tc>
          <w:tcPr>
            <w:tcW w:w="787" w:type="dxa"/>
            <w:tcBorders>
              <w:top w:val="nil"/>
              <w:left w:val="nil"/>
              <w:bottom w:val="single" w:color="auto" w:sz="4" w:space="0"/>
              <w:right w:val="single" w:color="auto" w:sz="4" w:space="0"/>
            </w:tcBorders>
            <w:noWrap/>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w:t>
            </w:r>
            <w:r>
              <w:rPr>
                <w:rFonts w:hint="eastAsia" w:ascii="Times New Roman" w:hAnsi="Times New Roman"/>
                <w:color w:val="000000"/>
                <w:kern w:val="0"/>
                <w:sz w:val="21"/>
                <w:szCs w:val="21"/>
              </w:rPr>
              <w:t>5</w:t>
            </w:r>
          </w:p>
        </w:tc>
        <w:tc>
          <w:tcPr>
            <w:tcW w:w="914" w:type="dxa"/>
            <w:tcBorders>
              <w:top w:val="nil"/>
              <w:left w:val="nil"/>
              <w:bottom w:val="single" w:color="auto" w:sz="4" w:space="0"/>
              <w:right w:val="single" w:color="auto" w:sz="4" w:space="0"/>
            </w:tcBorders>
            <w:noWrap/>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w:t>
            </w:r>
            <w:r>
              <w:rPr>
                <w:rFonts w:hint="eastAsia" w:ascii="Times New Roman" w:hAnsi="Times New Roman"/>
                <w:color w:val="000000"/>
                <w:kern w:val="0"/>
                <w:sz w:val="21"/>
                <w:szCs w:val="21"/>
              </w:rPr>
              <w:t>5</w:t>
            </w:r>
          </w:p>
        </w:tc>
        <w:tc>
          <w:tcPr>
            <w:tcW w:w="1352" w:type="dxa"/>
            <w:tcBorders>
              <w:top w:val="nil"/>
              <w:left w:val="nil"/>
              <w:bottom w:val="single" w:color="auto" w:sz="4" w:space="0"/>
              <w:right w:val="single" w:color="auto" w:sz="4" w:space="0"/>
            </w:tcBorders>
            <w:noWrap/>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ign w:val="center"/>
          </w:tcPr>
          <w:p>
            <w:pPr>
              <w:spacing w:line="240" w:lineRule="exact"/>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ign w:val="center"/>
          </w:tcPr>
          <w:p>
            <w:pPr>
              <w:spacing w:line="240" w:lineRule="exact"/>
              <w:jc w:val="left"/>
              <w:rPr>
                <w:rFonts w:ascii="Times New Roman" w:hAnsi="Times New Roman"/>
                <w:color w:val="000000"/>
                <w:kern w:val="0"/>
                <w:sz w:val="21"/>
                <w:szCs w:val="21"/>
              </w:rPr>
            </w:pPr>
          </w:p>
        </w:tc>
        <w:tc>
          <w:tcPr>
            <w:tcW w:w="953" w:type="dxa"/>
            <w:vMerge w:val="restart"/>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生态效</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益指标</w:t>
            </w:r>
          </w:p>
        </w:tc>
        <w:tc>
          <w:tcPr>
            <w:tcW w:w="1351"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市内空气质量改善情况</w:t>
            </w:r>
          </w:p>
        </w:tc>
        <w:tc>
          <w:tcPr>
            <w:tcW w:w="1200"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改善</w:t>
            </w:r>
          </w:p>
        </w:tc>
        <w:tc>
          <w:tcPr>
            <w:tcW w:w="1276"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改善</w:t>
            </w:r>
          </w:p>
        </w:tc>
        <w:tc>
          <w:tcPr>
            <w:tcW w:w="787" w:type="dxa"/>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w:t>
            </w:r>
            <w:r>
              <w:rPr>
                <w:rFonts w:hint="eastAsia" w:ascii="Times New Roman" w:hAnsi="Times New Roman"/>
                <w:color w:val="000000"/>
                <w:kern w:val="0"/>
                <w:sz w:val="21"/>
                <w:szCs w:val="21"/>
              </w:rPr>
              <w:t>5</w:t>
            </w:r>
          </w:p>
        </w:tc>
        <w:tc>
          <w:tcPr>
            <w:tcW w:w="914" w:type="dxa"/>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w:t>
            </w:r>
            <w:r>
              <w:rPr>
                <w:rFonts w:hint="eastAsia" w:ascii="Times New Roman" w:hAnsi="Times New Roman"/>
                <w:color w:val="000000"/>
                <w:kern w:val="0"/>
                <w:sz w:val="21"/>
                <w:szCs w:val="21"/>
              </w:rPr>
              <w:t>5</w:t>
            </w:r>
          </w:p>
        </w:tc>
        <w:tc>
          <w:tcPr>
            <w:tcW w:w="1352" w:type="dxa"/>
            <w:tcBorders>
              <w:top w:val="nil"/>
              <w:left w:val="nil"/>
              <w:bottom w:val="single" w:color="auto" w:sz="4" w:space="0"/>
              <w:right w:val="single" w:color="auto" w:sz="4" w:space="0"/>
            </w:tcBorders>
            <w:noWrap/>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ign w:val="center"/>
          </w:tcPr>
          <w:p>
            <w:pPr>
              <w:spacing w:line="240" w:lineRule="exact"/>
              <w:jc w:val="left"/>
              <w:rPr>
                <w:rFonts w:ascii="Times New Roman" w:hAnsi="Times New Roman"/>
                <w:color w:val="000000"/>
                <w:kern w:val="0"/>
                <w:sz w:val="21"/>
                <w:szCs w:val="21"/>
              </w:rPr>
            </w:pPr>
          </w:p>
        </w:tc>
        <w:tc>
          <w:tcPr>
            <w:tcW w:w="1080" w:type="dxa"/>
            <w:vMerge w:val="continue"/>
            <w:tcBorders>
              <w:left w:val="nil"/>
              <w:right w:val="single" w:color="auto" w:sz="4" w:space="0"/>
            </w:tcBorders>
            <w:noWrap/>
            <w:vAlign w:val="center"/>
          </w:tcPr>
          <w:p>
            <w:pPr>
              <w:spacing w:line="240" w:lineRule="exact"/>
              <w:jc w:val="left"/>
              <w:rPr>
                <w:rFonts w:ascii="Times New Roman" w:hAnsi="Times New Roman"/>
                <w:color w:val="000000"/>
                <w:kern w:val="0"/>
                <w:sz w:val="21"/>
                <w:szCs w:val="21"/>
              </w:rPr>
            </w:pPr>
          </w:p>
        </w:tc>
        <w:tc>
          <w:tcPr>
            <w:tcW w:w="953" w:type="dxa"/>
            <w:vMerge w:val="continue"/>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p>
        </w:tc>
        <w:tc>
          <w:tcPr>
            <w:tcW w:w="1351"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水环境</w:t>
            </w:r>
            <w:r>
              <w:rPr>
                <w:rFonts w:hint="eastAsia" w:ascii="Times New Roman" w:hAnsi="Times New Roman"/>
                <w:color w:val="000000"/>
                <w:kern w:val="0"/>
                <w:sz w:val="21"/>
                <w:szCs w:val="21"/>
              </w:rPr>
              <w:t>、土壤环境</w:t>
            </w:r>
            <w:r>
              <w:rPr>
                <w:rFonts w:ascii="Times New Roman" w:hAnsi="Times New Roman"/>
                <w:color w:val="000000"/>
                <w:kern w:val="0"/>
                <w:sz w:val="21"/>
                <w:szCs w:val="21"/>
              </w:rPr>
              <w:t>质量</w:t>
            </w:r>
          </w:p>
        </w:tc>
        <w:tc>
          <w:tcPr>
            <w:tcW w:w="1200"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保持稳定</w:t>
            </w:r>
          </w:p>
        </w:tc>
        <w:tc>
          <w:tcPr>
            <w:tcW w:w="1276"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保持稳定</w:t>
            </w:r>
          </w:p>
        </w:tc>
        <w:tc>
          <w:tcPr>
            <w:tcW w:w="787" w:type="dxa"/>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w:t>
            </w:r>
            <w:r>
              <w:rPr>
                <w:rFonts w:hint="eastAsia" w:ascii="Times New Roman" w:hAnsi="Times New Roman"/>
                <w:color w:val="000000"/>
                <w:kern w:val="0"/>
                <w:sz w:val="21"/>
                <w:szCs w:val="21"/>
              </w:rPr>
              <w:t>5</w:t>
            </w:r>
          </w:p>
        </w:tc>
        <w:tc>
          <w:tcPr>
            <w:tcW w:w="914" w:type="dxa"/>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w:t>
            </w:r>
            <w:r>
              <w:rPr>
                <w:rFonts w:hint="eastAsia" w:ascii="Times New Roman" w:hAnsi="Times New Roman"/>
                <w:color w:val="000000"/>
                <w:kern w:val="0"/>
                <w:sz w:val="21"/>
                <w:szCs w:val="21"/>
              </w:rPr>
              <w:t>5</w:t>
            </w:r>
          </w:p>
        </w:tc>
        <w:tc>
          <w:tcPr>
            <w:tcW w:w="1352" w:type="dxa"/>
            <w:tcBorders>
              <w:top w:val="nil"/>
              <w:left w:val="nil"/>
              <w:bottom w:val="single" w:color="auto" w:sz="4" w:space="0"/>
              <w:right w:val="single" w:color="auto" w:sz="4" w:space="0"/>
            </w:tcBorders>
            <w:noWrap/>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ign w:val="center"/>
          </w:tcPr>
          <w:p>
            <w:pPr>
              <w:spacing w:line="240" w:lineRule="exact"/>
              <w:jc w:val="left"/>
              <w:rPr>
                <w:rFonts w:ascii="Times New Roman" w:hAnsi="Times New Roman"/>
                <w:color w:val="000000"/>
                <w:kern w:val="0"/>
                <w:sz w:val="21"/>
                <w:szCs w:val="21"/>
              </w:rPr>
            </w:pPr>
          </w:p>
        </w:tc>
        <w:tc>
          <w:tcPr>
            <w:tcW w:w="1080" w:type="dxa"/>
            <w:vMerge w:val="continue"/>
            <w:tcBorders>
              <w:left w:val="nil"/>
              <w:bottom w:val="single" w:color="auto" w:sz="4" w:space="0"/>
              <w:right w:val="single" w:color="auto" w:sz="4" w:space="0"/>
            </w:tcBorders>
            <w:noWrap/>
            <w:vAlign w:val="center"/>
          </w:tcPr>
          <w:p>
            <w:pPr>
              <w:spacing w:line="240" w:lineRule="exact"/>
              <w:jc w:val="left"/>
              <w:rPr>
                <w:rFonts w:ascii="Times New Roman" w:hAnsi="Times New Roman"/>
                <w:color w:val="000000"/>
                <w:kern w:val="0"/>
                <w:sz w:val="21"/>
                <w:szCs w:val="21"/>
              </w:rPr>
            </w:pPr>
          </w:p>
        </w:tc>
        <w:tc>
          <w:tcPr>
            <w:tcW w:w="953" w:type="dxa"/>
            <w:vMerge w:val="continue"/>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p>
        </w:tc>
        <w:tc>
          <w:tcPr>
            <w:tcW w:w="1351"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自然环境</w:t>
            </w:r>
          </w:p>
        </w:tc>
        <w:tc>
          <w:tcPr>
            <w:tcW w:w="1200"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保护</w:t>
            </w:r>
          </w:p>
        </w:tc>
        <w:tc>
          <w:tcPr>
            <w:tcW w:w="1276"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保护</w:t>
            </w:r>
          </w:p>
        </w:tc>
        <w:tc>
          <w:tcPr>
            <w:tcW w:w="787" w:type="dxa"/>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w:t>
            </w:r>
            <w:r>
              <w:rPr>
                <w:rFonts w:hint="eastAsia" w:ascii="Times New Roman" w:hAnsi="Times New Roman"/>
                <w:color w:val="000000"/>
                <w:kern w:val="0"/>
                <w:sz w:val="21"/>
                <w:szCs w:val="21"/>
              </w:rPr>
              <w:t>10</w:t>
            </w:r>
          </w:p>
        </w:tc>
        <w:tc>
          <w:tcPr>
            <w:tcW w:w="914" w:type="dxa"/>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w:t>
            </w:r>
            <w:r>
              <w:rPr>
                <w:rFonts w:hint="eastAsia" w:ascii="Times New Roman" w:hAnsi="Times New Roman"/>
                <w:color w:val="000000"/>
                <w:kern w:val="0"/>
                <w:sz w:val="21"/>
                <w:szCs w:val="21"/>
              </w:rPr>
              <w:t>10</w:t>
            </w:r>
          </w:p>
        </w:tc>
        <w:tc>
          <w:tcPr>
            <w:tcW w:w="1352" w:type="dxa"/>
            <w:tcBorders>
              <w:top w:val="nil"/>
              <w:left w:val="nil"/>
              <w:bottom w:val="single" w:color="auto" w:sz="4" w:space="0"/>
              <w:right w:val="single" w:color="auto" w:sz="4" w:space="0"/>
            </w:tcBorders>
            <w:noWrap/>
            <w:vAlign w:val="center"/>
          </w:tcPr>
          <w:p>
            <w:pPr>
              <w:widowControl/>
              <w:spacing w:line="240" w:lineRule="exact"/>
              <w:jc w:val="left"/>
              <w:rPr>
                <w:rFonts w:ascii="Times New Roman" w:hAnsi="Times New Roman"/>
                <w:color w:val="000000"/>
                <w:kern w:val="0"/>
                <w:sz w:val="21"/>
                <w:szCs w:val="21"/>
              </w:rPr>
            </w:pPr>
          </w:p>
        </w:tc>
      </w:tr>
      <w:tr>
        <w:tblPrEx>
          <w:tblCellMar>
            <w:top w:w="0" w:type="dxa"/>
            <w:left w:w="108" w:type="dxa"/>
            <w:bottom w:w="0" w:type="dxa"/>
            <w:right w:w="108" w:type="dxa"/>
          </w:tblCellMar>
        </w:tblPrEx>
        <w:trPr>
          <w:trHeight w:val="480" w:hRule="atLeast"/>
          <w:jc w:val="center"/>
        </w:trPr>
        <w:tc>
          <w:tcPr>
            <w:tcW w:w="1080" w:type="dxa"/>
            <w:vMerge w:val="restart"/>
            <w:tcBorders>
              <w:top w:val="single" w:color="auto" w:sz="4" w:space="0"/>
              <w:left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绩</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效</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指</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标</w:t>
            </w:r>
          </w:p>
        </w:tc>
        <w:tc>
          <w:tcPr>
            <w:tcW w:w="108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Times New Roman" w:hAnsi="Times New Roman"/>
                <w:color w:val="000000"/>
                <w:kern w:val="0"/>
                <w:sz w:val="21"/>
                <w:szCs w:val="21"/>
              </w:rPr>
            </w:pPr>
          </w:p>
        </w:tc>
        <w:tc>
          <w:tcPr>
            <w:tcW w:w="953"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可持续影响指标</w:t>
            </w:r>
          </w:p>
        </w:tc>
        <w:tc>
          <w:tcPr>
            <w:tcW w:w="1351"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地表水水质</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改善与保护</w:t>
            </w:r>
          </w:p>
        </w:tc>
        <w:tc>
          <w:tcPr>
            <w:tcW w:w="1276"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改善与保护</w:t>
            </w:r>
          </w:p>
        </w:tc>
        <w:tc>
          <w:tcPr>
            <w:tcW w:w="787"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w:t>
            </w:r>
            <w:r>
              <w:rPr>
                <w:rFonts w:hint="eastAsia" w:ascii="Times New Roman" w:hAnsi="Times New Roman"/>
                <w:color w:val="000000"/>
                <w:kern w:val="0"/>
                <w:sz w:val="21"/>
                <w:szCs w:val="21"/>
              </w:rPr>
              <w:t>2</w:t>
            </w:r>
          </w:p>
        </w:tc>
        <w:tc>
          <w:tcPr>
            <w:tcW w:w="914"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w:t>
            </w:r>
            <w:r>
              <w:rPr>
                <w:rFonts w:hint="eastAsia" w:ascii="Times New Roman" w:hAnsi="Times New Roman"/>
                <w:color w:val="000000"/>
                <w:kern w:val="0"/>
                <w:sz w:val="21"/>
                <w:szCs w:val="21"/>
              </w:rPr>
              <w:t>2</w:t>
            </w:r>
          </w:p>
        </w:tc>
        <w:tc>
          <w:tcPr>
            <w:tcW w:w="1352"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trHeight w:val="270" w:hRule="atLeast"/>
          <w:jc w:val="center"/>
        </w:trPr>
        <w:tc>
          <w:tcPr>
            <w:tcW w:w="1080" w:type="dxa"/>
            <w:vMerge w:val="continue"/>
            <w:tcBorders>
              <w:left w:val="single" w:color="auto" w:sz="4" w:space="0"/>
              <w:right w:val="single" w:color="auto" w:sz="4" w:space="0"/>
            </w:tcBorders>
            <w:noWrap/>
            <w:vAlign w:val="center"/>
          </w:tcPr>
          <w:p>
            <w:pPr>
              <w:spacing w:line="240" w:lineRule="exact"/>
              <w:jc w:val="left"/>
              <w:rPr>
                <w:rFonts w:ascii="Times New Roman" w:hAnsi="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ascii="Times New Roman" w:hAnsi="Times New Roman"/>
                <w:color w:val="000000"/>
                <w:kern w:val="0"/>
                <w:sz w:val="21"/>
                <w:szCs w:val="21"/>
              </w:rPr>
            </w:pPr>
          </w:p>
        </w:tc>
        <w:tc>
          <w:tcPr>
            <w:tcW w:w="953" w:type="dxa"/>
            <w:vMerge w:val="continue"/>
            <w:tcBorders>
              <w:top w:val="single" w:color="auto" w:sz="4" w:space="0"/>
              <w:left w:val="single" w:color="auto" w:sz="4" w:space="0"/>
              <w:bottom w:val="single" w:color="auto" w:sz="4" w:space="0"/>
              <w:right w:val="single" w:color="auto" w:sz="4" w:space="0"/>
            </w:tcBorders>
            <w:noWrap/>
            <w:vAlign w:val="center"/>
          </w:tcPr>
          <w:p>
            <w:pPr>
              <w:spacing w:line="240" w:lineRule="exact"/>
              <w:jc w:val="left"/>
              <w:rPr>
                <w:rFonts w:ascii="Times New Roman" w:hAnsi="Times New Roman"/>
                <w:color w:val="000000"/>
                <w:kern w:val="0"/>
                <w:sz w:val="21"/>
                <w:szCs w:val="21"/>
              </w:rPr>
            </w:pPr>
          </w:p>
        </w:tc>
        <w:tc>
          <w:tcPr>
            <w:tcW w:w="1351"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土壤环境质量</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稳定与保护</w:t>
            </w:r>
          </w:p>
        </w:tc>
        <w:tc>
          <w:tcPr>
            <w:tcW w:w="1276"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稳定与保护</w:t>
            </w:r>
          </w:p>
        </w:tc>
        <w:tc>
          <w:tcPr>
            <w:tcW w:w="787" w:type="dxa"/>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w:t>
            </w:r>
            <w:r>
              <w:rPr>
                <w:rFonts w:hint="eastAsia" w:ascii="Times New Roman" w:hAnsi="Times New Roman"/>
                <w:color w:val="000000"/>
                <w:kern w:val="0"/>
                <w:sz w:val="21"/>
                <w:szCs w:val="21"/>
              </w:rPr>
              <w:t>3</w:t>
            </w:r>
          </w:p>
        </w:tc>
        <w:tc>
          <w:tcPr>
            <w:tcW w:w="914" w:type="dxa"/>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w:t>
            </w:r>
            <w:r>
              <w:rPr>
                <w:rFonts w:hint="eastAsia" w:ascii="Times New Roman" w:hAnsi="Times New Roman"/>
                <w:color w:val="000000"/>
                <w:kern w:val="0"/>
                <w:sz w:val="21"/>
                <w:szCs w:val="21"/>
              </w:rPr>
              <w:t>3</w:t>
            </w:r>
          </w:p>
        </w:tc>
        <w:tc>
          <w:tcPr>
            <w:tcW w:w="1352" w:type="dxa"/>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trHeight w:val="480" w:hRule="atLeast"/>
          <w:jc w:val="center"/>
        </w:trPr>
        <w:tc>
          <w:tcPr>
            <w:tcW w:w="1080" w:type="dxa"/>
            <w:vMerge w:val="continue"/>
            <w:tcBorders>
              <w:left w:val="single" w:color="auto" w:sz="4" w:space="0"/>
              <w:right w:val="single" w:color="auto" w:sz="4" w:space="0"/>
            </w:tcBorders>
            <w:noWrap/>
            <w:vAlign w:val="center"/>
          </w:tcPr>
          <w:p>
            <w:pPr>
              <w:spacing w:line="240" w:lineRule="exact"/>
              <w:jc w:val="left"/>
              <w:rPr>
                <w:rFonts w:ascii="Times New Roman" w:hAnsi="Times New Roman"/>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满意度</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指标</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（10分）</w:t>
            </w:r>
          </w:p>
        </w:tc>
        <w:tc>
          <w:tcPr>
            <w:tcW w:w="95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服务对象满意度指标</w:t>
            </w:r>
          </w:p>
        </w:tc>
        <w:tc>
          <w:tcPr>
            <w:tcW w:w="1351"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群众对市内生态环境质量的满意度</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≥95%</w:t>
            </w:r>
          </w:p>
        </w:tc>
        <w:tc>
          <w:tcPr>
            <w:tcW w:w="1276"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hint="eastAsia" w:ascii="Times New Roman" w:hAnsi="Times New Roman"/>
                <w:color w:val="000000"/>
                <w:kern w:val="0"/>
                <w:sz w:val="21"/>
                <w:szCs w:val="21"/>
              </w:rPr>
              <w:t>≥95%</w:t>
            </w:r>
          </w:p>
        </w:tc>
        <w:tc>
          <w:tcPr>
            <w:tcW w:w="787" w:type="dxa"/>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w:t>
            </w:r>
            <w:r>
              <w:rPr>
                <w:rFonts w:hint="eastAsia" w:ascii="Times New Roman" w:hAnsi="Times New Roman"/>
                <w:color w:val="000000"/>
                <w:kern w:val="0"/>
                <w:sz w:val="21"/>
                <w:szCs w:val="21"/>
              </w:rPr>
              <w:t>5</w:t>
            </w:r>
          </w:p>
        </w:tc>
        <w:tc>
          <w:tcPr>
            <w:tcW w:w="914" w:type="dxa"/>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w:t>
            </w:r>
            <w:r>
              <w:rPr>
                <w:rFonts w:hint="eastAsia" w:ascii="Times New Roman" w:hAnsi="Times New Roman"/>
                <w:color w:val="000000"/>
                <w:kern w:val="0"/>
                <w:sz w:val="21"/>
                <w:szCs w:val="21"/>
              </w:rPr>
              <w:t>5</w:t>
            </w:r>
          </w:p>
        </w:tc>
        <w:tc>
          <w:tcPr>
            <w:tcW w:w="1352" w:type="dxa"/>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trHeight w:val="270" w:hRule="atLeast"/>
          <w:jc w:val="center"/>
        </w:trPr>
        <w:tc>
          <w:tcPr>
            <w:tcW w:w="6940" w:type="dxa"/>
            <w:gridSpan w:val="7"/>
            <w:tcBorders>
              <w:top w:val="single" w:color="auto" w:sz="4" w:space="0"/>
              <w:left w:val="single" w:color="auto" w:sz="4" w:space="0"/>
              <w:bottom w:val="single" w:color="auto" w:sz="4" w:space="0"/>
              <w:right w:val="single" w:color="000000" w:sz="4" w:space="0"/>
            </w:tcBorders>
            <w:noWrap/>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总分</w:t>
            </w:r>
          </w:p>
        </w:tc>
        <w:tc>
          <w:tcPr>
            <w:tcW w:w="787"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100</w:t>
            </w:r>
            <w:r>
              <w:rPr>
                <w:rFonts w:hint="eastAsia" w:ascii="Times New Roman" w:hAnsi="Times New Roman"/>
                <w:color w:val="000000"/>
                <w:kern w:val="0"/>
                <w:sz w:val="21"/>
                <w:szCs w:val="21"/>
              </w:rPr>
              <w:t>分</w:t>
            </w:r>
          </w:p>
        </w:tc>
        <w:tc>
          <w:tcPr>
            <w:tcW w:w="914" w:type="dxa"/>
            <w:tcBorders>
              <w:top w:val="nil"/>
              <w:left w:val="nil"/>
              <w:bottom w:val="single" w:color="auto" w:sz="4" w:space="0"/>
              <w:right w:val="single" w:color="auto" w:sz="4" w:space="0"/>
            </w:tcBorders>
            <w:noWrap/>
            <w:vAlign w:val="center"/>
          </w:tcPr>
          <w:p>
            <w:pPr>
              <w:widowControl/>
              <w:spacing w:line="240" w:lineRule="exact"/>
              <w:jc w:val="left"/>
              <w:rPr>
                <w:rFonts w:ascii="Times New Roman" w:hAnsi="Times New Roman"/>
                <w:color w:val="000000"/>
                <w:kern w:val="0"/>
                <w:sz w:val="21"/>
                <w:szCs w:val="21"/>
              </w:rPr>
            </w:pPr>
            <w:r>
              <w:rPr>
                <w:rFonts w:hint="eastAsia" w:ascii="Times New Roman" w:hAnsi="Times New Roman"/>
                <w:color w:val="000000"/>
                <w:kern w:val="0"/>
                <w:sz w:val="21"/>
                <w:szCs w:val="21"/>
              </w:rPr>
              <w:t>100分</w:t>
            </w:r>
          </w:p>
        </w:tc>
        <w:tc>
          <w:tcPr>
            <w:tcW w:w="1352" w:type="dxa"/>
            <w:tcBorders>
              <w:top w:val="nil"/>
              <w:left w:val="nil"/>
              <w:bottom w:val="single" w:color="auto" w:sz="4" w:space="0"/>
              <w:right w:val="single" w:color="auto" w:sz="4" w:space="0"/>
            </w:tcBorders>
            <w:noWrap/>
            <w:vAlign w:val="center"/>
          </w:tcPr>
          <w:p>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w:t>
            </w:r>
          </w:p>
        </w:tc>
      </w:tr>
    </w:tbl>
    <w:p>
      <w:pPr>
        <w:widowControl/>
        <w:spacing w:line="240" w:lineRule="auto"/>
        <w:jc w:val="both"/>
      </w:pPr>
      <w:r>
        <w:rPr>
          <w:rFonts w:hint="eastAsia" w:ascii="Times New Roman" w:hAnsi="Times New Roman"/>
          <w:kern w:val="0"/>
          <w:sz w:val="21"/>
          <w:szCs w:val="21"/>
        </w:rPr>
        <w:t>填表人：王莹       填报日期：2022年4月20日         联系电话：18890510181          单位负责人签字：</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3A758C"/>
    <w:multiLevelType w:val="singleLevel"/>
    <w:tmpl w:val="B83A758C"/>
    <w:lvl w:ilvl="0" w:tentative="0">
      <w:start w:val="1"/>
      <w:numFmt w:val="chineseCounting"/>
      <w:suff w:val="nothing"/>
      <w:lvlText w:val="（%1）"/>
      <w:lvlJc w:val="left"/>
      <w:pPr>
        <w:ind w:left="640" w:firstLine="0"/>
      </w:pPr>
      <w:rPr>
        <w:rFonts w:hint="eastAsia"/>
      </w:rPr>
    </w:lvl>
  </w:abstractNum>
  <w:abstractNum w:abstractNumId="1">
    <w:nsid w:val="C1482AF1"/>
    <w:multiLevelType w:val="singleLevel"/>
    <w:tmpl w:val="C1482AF1"/>
    <w:lvl w:ilvl="0" w:tentative="0">
      <w:start w:val="4"/>
      <w:numFmt w:val="chineseCounting"/>
      <w:suff w:val="nothing"/>
      <w:lvlText w:val="%1、"/>
      <w:lvlJc w:val="left"/>
      <w:rPr>
        <w:rFonts w:hint="eastAsia"/>
      </w:rPr>
    </w:lvl>
  </w:abstractNum>
  <w:abstractNum w:abstractNumId="2">
    <w:nsid w:val="C357C0C5"/>
    <w:multiLevelType w:val="singleLevel"/>
    <w:tmpl w:val="C357C0C5"/>
    <w:lvl w:ilvl="0" w:tentative="0">
      <w:start w:val="8"/>
      <w:numFmt w:val="chineseCounting"/>
      <w:suff w:val="nothing"/>
      <w:lvlText w:val="%1、"/>
      <w:lvlJc w:val="left"/>
      <w:rPr>
        <w:rFonts w:hint="eastAsia"/>
      </w:rPr>
    </w:lvl>
  </w:abstractNum>
  <w:abstractNum w:abstractNumId="3">
    <w:nsid w:val="48226CAA"/>
    <w:multiLevelType w:val="singleLevel"/>
    <w:tmpl w:val="48226CAA"/>
    <w:lvl w:ilvl="0" w:tentative="0">
      <w:start w:val="1"/>
      <w:numFmt w:val="chineseCounting"/>
      <w:suff w:val="nothing"/>
      <w:lvlText w:val="%1、"/>
      <w:lvlJc w:val="left"/>
      <w:rPr>
        <w:rFonts w:hint="eastAsia"/>
      </w:rPr>
    </w:lvl>
  </w:abstractNum>
  <w:abstractNum w:abstractNumId="4">
    <w:nsid w:val="7C24998F"/>
    <w:multiLevelType w:val="singleLevel"/>
    <w:tmpl w:val="7C24998F"/>
    <w:lvl w:ilvl="0" w:tentative="0">
      <w:start w:val="2"/>
      <w:numFmt w:val="decimal"/>
      <w:suff w:val="nothing"/>
      <w:lvlText w:val="%1、"/>
      <w:lvlJc w:val="left"/>
      <w:pPr>
        <w:ind w:left="945" w:firstLine="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60C01A8"/>
    <w:rsid w:val="003028AD"/>
    <w:rsid w:val="0030440A"/>
    <w:rsid w:val="004D1E69"/>
    <w:rsid w:val="009D3B1E"/>
    <w:rsid w:val="00AD7E07"/>
    <w:rsid w:val="00B1359B"/>
    <w:rsid w:val="02AE3445"/>
    <w:rsid w:val="060C01A8"/>
    <w:rsid w:val="07267C89"/>
    <w:rsid w:val="08DC2644"/>
    <w:rsid w:val="0C671E67"/>
    <w:rsid w:val="0CBD0134"/>
    <w:rsid w:val="1F20419E"/>
    <w:rsid w:val="1F9C4773"/>
    <w:rsid w:val="2480073C"/>
    <w:rsid w:val="2D564730"/>
    <w:rsid w:val="3EE4222C"/>
    <w:rsid w:val="401C6C43"/>
    <w:rsid w:val="40FE7A37"/>
    <w:rsid w:val="41C531BB"/>
    <w:rsid w:val="4A017540"/>
    <w:rsid w:val="5464410E"/>
    <w:rsid w:val="5B8A3280"/>
    <w:rsid w:val="5C8239E6"/>
    <w:rsid w:val="5F601484"/>
    <w:rsid w:val="62F44154"/>
    <w:rsid w:val="6539049A"/>
    <w:rsid w:val="6ECB4A5B"/>
    <w:rsid w:val="72B00004"/>
    <w:rsid w:val="73437F67"/>
    <w:rsid w:val="7965673C"/>
    <w:rsid w:val="7BED2E7E"/>
    <w:rsid w:val="7D536C90"/>
    <w:rsid w:val="7DA85644"/>
    <w:rsid w:val="7F7E63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Calibri" w:hAnsi="Calibri" w:eastAsia="仿宋_GB2312" w:cs="Times New Roman"/>
      <w:kern w:val="2"/>
      <w:sz w:val="18"/>
      <w:szCs w:val="18"/>
    </w:rPr>
  </w:style>
  <w:style w:type="character" w:customStyle="1" w:styleId="8">
    <w:name w:val="页脚 Char"/>
    <w:basedOn w:val="6"/>
    <w:link w:val="3"/>
    <w:uiPriority w:val="0"/>
    <w:rPr>
      <w:rFonts w:ascii="Calibri" w:hAnsi="Calibri" w:eastAsia="仿宋_GB2312" w:cs="Times New Roman"/>
      <w:kern w:val="2"/>
      <w:sz w:val="18"/>
      <w:szCs w:val="18"/>
    </w:rPr>
  </w:style>
  <w:style w:type="character" w:customStyle="1" w:styleId="9">
    <w:name w:val="article_title5"/>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14AC6-CE84-4BC0-8F88-B698D3EE585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6676</Words>
  <Characters>7252</Characters>
  <Lines>9</Lines>
  <Paragraphs>15</Paragraphs>
  <TotalTime>16</TotalTime>
  <ScaleCrop>false</ScaleCrop>
  <LinksUpToDate>false</LinksUpToDate>
  <CharactersWithSpaces>7423</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2022-04-07T02:13:00Z</dcterms:created>
  <dc:creator>Administrator</dc:creator>
  <cp:lastModifiedBy>Administrator</cp:lastModifiedBy>
  <dcterms:modified xsi:type="dcterms:W3CDTF">2022-04-20T06:43:00Z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42098EF529674F1A9FBFEFD83D1DEF2A</vt:lpwstr>
  </property>
</Properties>
</file>