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bidi w:val="0"/>
        <w:textAlignment w:val="auto"/>
        <w:outlineLvl w:val="9"/>
        <w:rPr>
          <w:rFonts w:hint="default" w:ascii="Times New Roman" w:hAnsi="Times New Roman" w:cs="Times New Roman"/>
          <w:color w:val="auto"/>
          <w:highlight w:val="none"/>
        </w:rPr>
      </w:pPr>
      <w:bookmarkStart w:id="332" w:name="_GoBack"/>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b/>
          <w:bCs/>
          <w:color w:val="auto"/>
          <w:sz w:val="40"/>
          <w:highlight w:val="none"/>
        </w:rPr>
      </w:pPr>
    </w:p>
    <w:p>
      <w:pPr>
        <w:keepNext w:val="0"/>
        <w:keepLines w:val="0"/>
        <w:pageBreakBefore w:val="0"/>
        <w:widowControl w:val="0"/>
        <w:kinsoku/>
        <w:wordWrap/>
        <w:overflowPunct/>
        <w:topLinePunct w:val="0"/>
        <w:bidi w:val="0"/>
        <w:spacing w:line="360" w:lineRule="auto"/>
        <w:jc w:val="center"/>
        <w:textAlignment w:val="auto"/>
        <w:outlineLvl w:val="9"/>
        <w:rPr>
          <w:rFonts w:hint="default" w:ascii="Times New Roman" w:hAnsi="Times New Roman" w:eastAsia="黑体" w:cs="Times New Roman"/>
          <w:b/>
          <w:bCs/>
          <w:color w:val="auto"/>
          <w:sz w:val="52"/>
          <w:szCs w:val="36"/>
          <w:highlight w:val="none"/>
        </w:rPr>
      </w:pPr>
      <w:r>
        <w:rPr>
          <w:rFonts w:hint="default" w:ascii="Times New Roman" w:hAnsi="Times New Roman" w:eastAsia="黑体" w:cs="Times New Roman"/>
          <w:b/>
          <w:bCs/>
          <w:color w:val="auto"/>
          <w:sz w:val="52"/>
          <w:szCs w:val="36"/>
          <w:highlight w:val="none"/>
        </w:rPr>
        <w:t>安化县滔溪镇污水处理厂</w:t>
      </w:r>
    </w:p>
    <w:p>
      <w:pPr>
        <w:keepNext w:val="0"/>
        <w:keepLines w:val="0"/>
        <w:pageBreakBefore w:val="0"/>
        <w:widowControl w:val="0"/>
        <w:kinsoku/>
        <w:wordWrap/>
        <w:overflowPunct/>
        <w:topLinePunct w:val="0"/>
        <w:bidi w:val="0"/>
        <w:spacing w:line="360" w:lineRule="auto"/>
        <w:jc w:val="center"/>
        <w:textAlignment w:val="auto"/>
        <w:outlineLvl w:val="9"/>
        <w:rPr>
          <w:rFonts w:hint="default" w:ascii="Times New Roman" w:hAnsi="Times New Roman" w:eastAsia="黑体" w:cs="Times New Roman"/>
          <w:b/>
          <w:bCs/>
          <w:color w:val="auto"/>
          <w:sz w:val="52"/>
          <w:szCs w:val="36"/>
          <w:highlight w:val="none"/>
        </w:rPr>
      </w:pPr>
      <w:r>
        <w:rPr>
          <w:rFonts w:hint="default" w:ascii="Times New Roman" w:hAnsi="Times New Roman" w:eastAsia="黑体" w:cs="Times New Roman"/>
          <w:b/>
          <w:bCs/>
          <w:color w:val="auto"/>
          <w:sz w:val="52"/>
          <w:szCs w:val="36"/>
          <w:highlight w:val="none"/>
        </w:rPr>
        <w:t>入河排污口设置论证报告</w:t>
      </w:r>
    </w:p>
    <w:p>
      <w:pPr>
        <w:keepNext w:val="0"/>
        <w:keepLines w:val="0"/>
        <w:pageBreakBefore w:val="0"/>
        <w:widowControl w:val="0"/>
        <w:kinsoku/>
        <w:wordWrap/>
        <w:overflowPunct/>
        <w:topLinePunct w:val="0"/>
        <w:bidi w:val="0"/>
        <w:spacing w:line="360" w:lineRule="auto"/>
        <w:ind w:firstLine="960" w:firstLineChars="200"/>
        <w:jc w:val="center"/>
        <w:textAlignment w:val="auto"/>
        <w:outlineLvl w:val="9"/>
        <w:rPr>
          <w:rFonts w:hint="default" w:ascii="Times New Roman" w:hAnsi="Times New Roman" w:eastAsia="仿宋" w:cs="Times New Roman"/>
          <w:color w:val="auto"/>
          <w:sz w:val="48"/>
          <w:szCs w:val="32"/>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color w:val="auto"/>
          <w:sz w:val="40"/>
          <w:highlight w:val="none"/>
        </w:rPr>
      </w:pPr>
    </w:p>
    <w:p>
      <w:pPr>
        <w:pStyle w:val="25"/>
        <w:keepNext w:val="0"/>
        <w:keepLines w:val="0"/>
        <w:pageBreakBefore w:val="0"/>
        <w:widowControl w:val="0"/>
        <w:kinsoku/>
        <w:wordWrap/>
        <w:overflowPunct/>
        <w:topLinePunct w:val="0"/>
        <w:bidi w:val="0"/>
        <w:textAlignment w:val="auto"/>
        <w:outlineLvl w:val="9"/>
        <w:rPr>
          <w:rFonts w:hint="default" w:ascii="Times New Roman" w:hAnsi="Times New Roman" w:eastAsia="仿宋" w:cs="Times New Roman"/>
          <w:color w:val="auto"/>
          <w:sz w:val="40"/>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800" w:firstLineChars="200"/>
        <w:jc w:val="center"/>
        <w:textAlignment w:val="auto"/>
        <w:outlineLvl w:val="9"/>
        <w:rPr>
          <w:rFonts w:hint="default" w:ascii="Times New Roman" w:hAnsi="Times New Roman" w:eastAsia="仿宋" w:cs="Times New Roman"/>
          <w:color w:val="auto"/>
          <w:sz w:val="40"/>
          <w:szCs w:val="24"/>
          <w:highlight w:val="none"/>
        </w:rPr>
      </w:pPr>
    </w:p>
    <w:p>
      <w:pPr>
        <w:keepNext w:val="0"/>
        <w:keepLines w:val="0"/>
        <w:pageBreakBefore w:val="0"/>
        <w:widowControl w:val="0"/>
        <w:kinsoku/>
        <w:wordWrap/>
        <w:overflowPunct/>
        <w:topLinePunct w:val="0"/>
        <w:bidi w:val="0"/>
        <w:spacing w:line="360" w:lineRule="auto"/>
        <w:ind w:firstLine="1606" w:firstLineChars="500"/>
        <w:textAlignment w:val="auto"/>
        <w:outlineLvl w:val="9"/>
        <w:rPr>
          <w:rFonts w:hint="default" w:ascii="Times New Roman" w:hAnsi="Times New Roman" w:cs="Times New Roman"/>
          <w:b/>
          <w:bCs/>
          <w:color w:val="auto"/>
          <w:sz w:val="32"/>
          <w:szCs w:val="32"/>
          <w:highlight w:val="none"/>
        </w:rPr>
      </w:pPr>
      <w:r>
        <w:rPr>
          <w:rFonts w:hint="default" w:ascii="Times New Roman" w:hAnsi="Times New Roman" w:cs="Times New Roman"/>
          <w:b/>
          <w:bCs/>
          <w:color w:val="auto"/>
          <w:sz w:val="32"/>
          <w:szCs w:val="32"/>
          <w:highlight w:val="none"/>
        </w:rPr>
        <w:t>委托单位：安化县住房和城乡建设局</w:t>
      </w:r>
    </w:p>
    <w:p>
      <w:pPr>
        <w:keepNext w:val="0"/>
        <w:keepLines w:val="0"/>
        <w:pageBreakBefore w:val="0"/>
        <w:widowControl w:val="0"/>
        <w:kinsoku/>
        <w:wordWrap/>
        <w:overflowPunct/>
        <w:topLinePunct w:val="0"/>
        <w:bidi w:val="0"/>
        <w:spacing w:line="360" w:lineRule="auto"/>
        <w:ind w:firstLine="1606" w:firstLineChars="500"/>
        <w:textAlignment w:val="auto"/>
        <w:outlineLvl w:val="9"/>
        <w:rPr>
          <w:rFonts w:hint="default" w:ascii="Times New Roman" w:hAnsi="Times New Roman" w:cs="Times New Roman"/>
          <w:b/>
          <w:bCs/>
          <w:color w:val="auto"/>
          <w:sz w:val="32"/>
          <w:szCs w:val="32"/>
          <w:highlight w:val="none"/>
        </w:rPr>
      </w:pPr>
      <w:r>
        <w:rPr>
          <w:rFonts w:hint="default" w:ascii="Times New Roman" w:hAnsi="Times New Roman" w:cs="Times New Roman"/>
          <w:b/>
          <w:bCs/>
          <w:color w:val="auto"/>
          <w:sz w:val="32"/>
          <w:szCs w:val="32"/>
          <w:highlight w:val="none"/>
        </w:rPr>
        <w:t>编制单位：湖南润志环保技术有限公司</w:t>
      </w:r>
    </w:p>
    <w:p>
      <w:pPr>
        <w:keepNext w:val="0"/>
        <w:keepLines w:val="0"/>
        <w:pageBreakBefore w:val="0"/>
        <w:widowControl w:val="0"/>
        <w:kinsoku/>
        <w:wordWrap/>
        <w:overflowPunct/>
        <w:topLinePunct w:val="0"/>
        <w:bidi w:val="0"/>
        <w:jc w:val="center"/>
        <w:textAlignment w:val="auto"/>
        <w:outlineLvl w:val="9"/>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b/>
          <w:bCs/>
          <w:color w:val="auto"/>
          <w:sz w:val="32"/>
          <w:szCs w:val="32"/>
          <w:highlight w:val="none"/>
        </w:rPr>
        <w:t>2021年12月</w:t>
      </w:r>
    </w:p>
    <w:p>
      <w:pPr>
        <w:keepNext w:val="0"/>
        <w:keepLines w:val="0"/>
        <w:pageBreakBefore w:val="0"/>
        <w:widowControl w:val="0"/>
        <w:kinsoku/>
        <w:wordWrap/>
        <w:overflowPunct/>
        <w:topLinePunct w:val="0"/>
        <w:bidi w:val="0"/>
        <w:adjustRightInd w:val="0"/>
        <w:snapToGrid w:val="0"/>
        <w:ind w:firstLine="380" w:firstLineChars="100"/>
        <w:jc w:val="center"/>
        <w:textAlignment w:val="auto"/>
        <w:outlineLvl w:val="9"/>
        <w:rPr>
          <w:rFonts w:hint="default" w:ascii="Times New Roman" w:hAnsi="Times New Roman" w:eastAsia="方正小标宋_GBK" w:cs="Times New Roman"/>
          <w:color w:val="auto"/>
          <w:sz w:val="38"/>
          <w:szCs w:val="38"/>
          <w:highlight w:val="none"/>
        </w:rPr>
      </w:pPr>
      <w:bookmarkStart w:id="0" w:name="_Toc1525"/>
      <w:bookmarkStart w:id="1" w:name="_Toc10628"/>
      <w:bookmarkStart w:id="2" w:name="_Toc17471"/>
      <w:r>
        <w:rPr>
          <w:rFonts w:hint="default" w:ascii="Times New Roman" w:hAnsi="Times New Roman" w:eastAsia="方正小标宋_GBK" w:cs="Times New Roman"/>
          <w:color w:val="auto"/>
          <w:sz w:val="38"/>
          <w:szCs w:val="38"/>
          <w:highlight w:val="none"/>
        </w:rPr>
        <w:t>安化县滔溪镇污水处理厂入河排污口设置论证报告修改说明表</w:t>
      </w:r>
    </w:p>
    <w:tbl>
      <w:tblPr>
        <w:tblStyle w:val="21"/>
        <w:tblW w:w="81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6"/>
        <w:gridCol w:w="2950"/>
        <w:gridCol w:w="3074"/>
        <w:gridCol w:w="14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295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评审意见</w:t>
            </w:r>
          </w:p>
        </w:tc>
        <w:tc>
          <w:tcPr>
            <w:tcW w:w="3074"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说  明</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索引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根据《益阳市水功能区划》，核实排污口所在水功能区，据此校核论证范围及论证工作等级。</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已核实排污口所在水功能区，已确认论证范围及论证工作等级。</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P5、P7-8、P</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核实废水的来源构成，核实排污口基本情况（坐标、排放标准、排放方式、入河方式）。</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已核实废水的来源构成，已核实排污口基本情况。</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P2</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、P</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补充调查滔溪流域基本情况，核实论证范围内现有取、排水状况调查结果，明确排污口与敷溪水质考核断面的位置关系，补充敷溪水质监测数据。</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已补充调查滔溪流域基本情况，已核实论证范围内现有取、排水状况调查结果，已明确排污口与敷溪水质考核断面的位置关系，已补充敷溪水质监测数据。</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P1</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、P2</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结合区域水功能区划、“十四五”水质考核目标，核实论证河段水质管理目标，校核滔溪水文数据、纳污能力和限制排放总量的核算结果。</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结合区域水功能区划、“十四五”水质考核目标，已核实论证河段水质管理目标，已校核滔溪水文数据、纳污能力和限制排放总量的核算结果。</w:t>
            </w:r>
          </w:p>
        </w:tc>
        <w:tc>
          <w:tcPr>
            <w:tcW w:w="1430" w:type="dxa"/>
            <w:vAlign w:val="center"/>
          </w:tcPr>
          <w:p>
            <w:pPr>
              <w:pStyle w:val="9"/>
              <w:keepNext w:val="0"/>
              <w:keepLines w:val="0"/>
              <w:pageBreakBefore w:val="0"/>
              <w:widowControl w:val="0"/>
              <w:kinsoku/>
              <w:wordWrap/>
              <w:overflowPunct/>
              <w:topLinePunct w:val="0"/>
              <w:bidi w:val="0"/>
              <w:adjustRightInd w:val="0"/>
              <w:snapToGrid w:val="0"/>
              <w:spacing w:after="0"/>
              <w:jc w:val="center"/>
              <w:textAlignment w:val="auto"/>
              <w:outlineLvl w:val="9"/>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P3</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、P3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-3</w:t>
            </w:r>
            <w:r>
              <w:rPr>
                <w:rFonts w:hint="default" w:ascii="Times New Roman" w:hAnsi="Times New Roman" w:cs="Times New Roman"/>
                <w:color w:val="auto"/>
                <w:highlight w:val="none"/>
                <w:lang w:val="en-US" w:eastAsia="zh-CN"/>
              </w:rPr>
              <w:t>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结合排污口水质情况及流域水文资料，分枯水期、平水期分别预测排污口设置对下游水功能区水质、水生态的影响。</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已结合排污口水质情况及流域水文资料，分枯水期、平水期分别预测排污口设置对下游水功能区水质、水生态的影响</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w:t>
            </w:r>
            <w:r>
              <w:rPr>
                <w:rFonts w:hint="default" w:ascii="Times New Roman" w:hAnsi="Times New Roman" w:cs="Times New Roman"/>
                <w:color w:val="auto"/>
                <w:highlight w:val="none"/>
                <w:lang w:val="en-US" w:eastAsia="zh-CN"/>
              </w:rPr>
              <w:t>41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完善入河排污口环境监测方案及事故排污时应急措施。</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已完善入河排污口环境监测方案及事故排污时应急措施。</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P5</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-P5</w:t>
            </w:r>
            <w:r>
              <w:rPr>
                <w:rFonts w:hint="eastAsia" w:cs="Times New Roman"/>
                <w:color w:val="auto"/>
                <w:highlight w:val="none"/>
                <w:lang w:val="en-US" w:eastAsia="zh-CN"/>
              </w:rPr>
              <w:t>6</w:t>
            </w:r>
            <w:r>
              <w:rPr>
                <w:rFonts w:hint="default" w:ascii="Times New Roman" w:hAnsi="Times New Roman" w:cs="Times New Roman"/>
                <w:color w:val="auto"/>
                <w:highlight w:val="none"/>
              </w:rPr>
              <w:t>、P5</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2950" w:type="dxa"/>
            <w:vAlign w:val="center"/>
          </w:tcPr>
          <w:p>
            <w:pPr>
              <w:keepNext w:val="0"/>
              <w:keepLines w:val="0"/>
              <w:pageBreakBefore w:val="0"/>
              <w:widowControl w:val="0"/>
              <w:kinsoku/>
              <w:wordWrap/>
              <w:overflowPunct/>
              <w:topLinePunct w:val="0"/>
              <w:bidi w:val="0"/>
              <w:adjustRightInd w:val="0"/>
              <w:snapToGrid w:val="0"/>
              <w:ind w:firstLine="42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补充或完善工程纳污范围图、排污口地理位置图、论证范围及影响范围图、水功能区划图等资料。</w:t>
            </w:r>
          </w:p>
        </w:tc>
        <w:tc>
          <w:tcPr>
            <w:tcW w:w="3074" w:type="dxa"/>
            <w:vAlign w:val="center"/>
          </w:tcPr>
          <w:p>
            <w:pPr>
              <w:keepNext w:val="0"/>
              <w:keepLines w:val="0"/>
              <w:pageBreakBefore w:val="0"/>
              <w:widowControl w:val="0"/>
              <w:kinsoku/>
              <w:wordWrap/>
              <w:overflowPunct/>
              <w:topLinePunct w:val="0"/>
              <w:bidi w:val="0"/>
              <w:adjustRightInd w:val="0"/>
              <w:snapToGrid w:val="0"/>
              <w:ind w:firstLine="420" w:firstLineChars="20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已补充附图</w:t>
            </w:r>
          </w:p>
        </w:tc>
        <w:tc>
          <w:tcPr>
            <w:tcW w:w="1430" w:type="dxa"/>
            <w:vAlign w:val="center"/>
          </w:tcPr>
          <w:p>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详见附图</w:t>
            </w:r>
          </w:p>
        </w:tc>
      </w:tr>
    </w:tbl>
    <w:p>
      <w:pPr>
        <w:keepNext w:val="0"/>
        <w:keepLines w:val="0"/>
        <w:pageBreakBefore w:val="0"/>
        <w:widowControl w:val="0"/>
        <w:kinsoku/>
        <w:wordWrap/>
        <w:overflowPunct/>
        <w:topLinePunct w:val="0"/>
        <w:bidi w:val="0"/>
        <w:textAlignment w:val="auto"/>
        <w:outlineLvl w:val="9"/>
        <w:rPr>
          <w:rFonts w:hint="default" w:ascii="Times New Roman" w:hAnsi="Times New Roman" w:cs="Times New Roman"/>
          <w:color w:val="auto"/>
          <w:highlight w:val="none"/>
        </w:rPr>
      </w:pP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strike/>
          <w:color w:val="auto"/>
          <w:sz w:val="30"/>
          <w:szCs w:val="30"/>
          <w:highlight w:val="none"/>
          <w14:textOutline w14:w="5448" w14:cap="sq" w14:cmpd="sng" w14:algn="ctr">
            <w14:solidFill>
              <w14:srgbClr w14:val="000000"/>
            </w14:solidFill>
            <w14:prstDash w14:val="solid"/>
            <w14:bevel/>
          </w14:textOutline>
        </w:rPr>
        <w:sectPr>
          <w:pgSz w:w="11906" w:h="16838"/>
          <w:pgMar w:top="1644" w:right="1800" w:bottom="1814" w:left="1800" w:header="851" w:footer="992" w:gutter="0"/>
          <w:cols w:space="720" w:num="1"/>
          <w:docGrid w:type="lines" w:linePitch="312" w:charSpace="0"/>
        </w:sectPr>
      </w:pPr>
    </w:p>
    <w:p>
      <w:pPr>
        <w:keepNext w:val="0"/>
        <w:keepLines w:val="0"/>
        <w:pageBreakBefore w:val="0"/>
        <w:widowControl w:val="0"/>
        <w:kinsoku/>
        <w:wordWrap/>
        <w:overflowPunct/>
        <w:topLinePunct w:val="0"/>
        <w:bidi w:val="0"/>
        <w:spacing w:before="61" w:line="187" w:lineRule="auto"/>
        <w:jc w:val="center"/>
        <w:textAlignment w:val="auto"/>
        <w:outlineLvl w:val="9"/>
        <w:rPr>
          <w:rFonts w:hint="default" w:ascii="Times New Roman" w:hAnsi="Times New Roman" w:eastAsia="黑体" w:cs="Times New Roman"/>
          <w:color w:val="auto"/>
          <w:sz w:val="30"/>
          <w:szCs w:val="30"/>
          <w:highlight w:val="none"/>
        </w:rPr>
      </w:pPr>
      <w:bookmarkStart w:id="3" w:name="_Toc22357"/>
      <w:r>
        <w:rPr>
          <w:rFonts w:hint="default" w:ascii="Times New Roman" w:hAnsi="Times New Roman" w:eastAsia="黑体" w:cs="Times New Roman"/>
          <w:color w:val="auto"/>
          <w:sz w:val="30"/>
          <w:szCs w:val="30"/>
          <w:highlight w:val="none"/>
          <w14:textOutline w14:w="5448" w14:cap="sq" w14:cmpd="sng" w14:algn="ctr">
            <w14:solidFill>
              <w14:srgbClr w14:val="000000"/>
            </w14:solidFill>
            <w14:prstDash w14:val="solid"/>
            <w14:bevel/>
          </w14:textOutline>
        </w:rPr>
        <w:t>入河排污口设置论证报告基本情况表</w:t>
      </w:r>
      <w:bookmarkEnd w:id="0"/>
      <w:bookmarkEnd w:id="1"/>
      <w:bookmarkEnd w:id="2"/>
      <w:bookmarkEnd w:id="3"/>
    </w:p>
    <w:p>
      <w:pPr>
        <w:spacing w:line="233" w:lineRule="exact"/>
        <w:rPr>
          <w:rFonts w:hint="default" w:ascii="Times New Roman" w:hAnsi="Times New Roman" w:cs="Times New Roman"/>
          <w:color w:val="auto"/>
          <w:highlight w:val="none"/>
        </w:rPr>
      </w:pPr>
    </w:p>
    <w:tbl>
      <w:tblPr>
        <w:tblStyle w:val="26"/>
        <w:tblW w:w="8509" w:type="dxa"/>
        <w:tblInd w:w="7"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0" w:type="dxa"/>
          <w:bottom w:w="0" w:type="dxa"/>
          <w:right w:w="0" w:type="dxa"/>
        </w:tblCellMar>
      </w:tblPr>
      <w:tblGrid>
        <w:gridCol w:w="812"/>
        <w:gridCol w:w="1032"/>
        <w:gridCol w:w="446"/>
        <w:gridCol w:w="566"/>
        <w:gridCol w:w="874"/>
        <w:gridCol w:w="54"/>
        <w:gridCol w:w="1107"/>
        <w:gridCol w:w="386"/>
        <w:gridCol w:w="16"/>
        <w:gridCol w:w="796"/>
        <w:gridCol w:w="443"/>
        <w:gridCol w:w="1977"/>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2" w:type="dxa"/>
            <w:vMerge w:val="restart"/>
            <w:tcBorders>
              <w:top w:val="single" w:color="000000" w:sz="6" w:space="0"/>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基本情况</w:t>
            </w:r>
          </w:p>
        </w:tc>
        <w:tc>
          <w:tcPr>
            <w:tcW w:w="2044" w:type="dxa"/>
            <w:gridSpan w:val="3"/>
            <w:tcBorders>
              <w:top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项目名称</w:t>
            </w:r>
          </w:p>
        </w:tc>
        <w:tc>
          <w:tcPr>
            <w:tcW w:w="2035" w:type="dxa"/>
            <w:gridSpan w:val="3"/>
            <w:tcBorders>
              <w:top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w:t>
            </w:r>
          </w:p>
        </w:tc>
        <w:tc>
          <w:tcPr>
            <w:tcW w:w="1641" w:type="dxa"/>
            <w:gridSpan w:val="4"/>
            <w:tcBorders>
              <w:top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项目位置</w:t>
            </w:r>
          </w:p>
        </w:tc>
        <w:tc>
          <w:tcPr>
            <w:tcW w:w="1977" w:type="dxa"/>
            <w:tcBorders>
              <w:top w:val="single" w:color="000000" w:sz="6" w:space="0"/>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湖南省益阳市安化县滔溪镇滔溪社区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7"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项目性质</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所属行业</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618"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建设规模</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项目单位</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安化县住房和城乡建设局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建设项目的审批机关</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益阳市生态环境局安化分局</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入河排污口审核机关</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益阳市生态环境局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报告编制合同委托单位</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安化县住房和城乡建设局</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报告编制单位及证书号</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湖南润志环保技术有限公司</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论证工作等级</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三级</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工作范围</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67"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论证范围</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排污口至滔溪与洢水汇合处</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水平年（现状—规 划）</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2021年</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2" w:type="dxa"/>
            <w:vMerge w:val="restart"/>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分析</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范围</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内控</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制指</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标情</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况</w:t>
            </w: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取用水总量控制指标</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实际取用水量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用水效率控制指标</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实际用水效率指标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纳污水域水功能区限制纳污总量指标</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纳污水域水功</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能区实际排污</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3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纳污水域水功能区水质达标率指标</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641" w:type="dxa"/>
            <w:gridSpan w:val="4"/>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纳污水域水功</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能区水质达标</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restart"/>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口设</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置申</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请单</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位概</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况</w:t>
            </w:r>
          </w:p>
        </w:tc>
        <w:tc>
          <w:tcPr>
            <w:tcW w:w="1032"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3433"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安化县住房和城乡建设局</w:t>
            </w:r>
          </w:p>
        </w:tc>
        <w:tc>
          <w:tcPr>
            <w:tcW w:w="125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法人代表</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张革清</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6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032"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行业类别</w:t>
            </w:r>
          </w:p>
        </w:tc>
        <w:tc>
          <w:tcPr>
            <w:tcW w:w="6665" w:type="dxa"/>
            <w:gridSpan w:val="10"/>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032"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地址</w:t>
            </w:r>
          </w:p>
        </w:tc>
        <w:tc>
          <w:tcPr>
            <w:tcW w:w="6665" w:type="dxa"/>
            <w:gridSpan w:val="10"/>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湖南省益阳市安化县东坪镇柳溪西路沿河巷23号</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032"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联系人</w:t>
            </w:r>
          </w:p>
        </w:tc>
        <w:tc>
          <w:tcPr>
            <w:tcW w:w="1012"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陈岚</w:t>
            </w:r>
          </w:p>
        </w:tc>
        <w:tc>
          <w:tcPr>
            <w:tcW w:w="874"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电话</w:t>
            </w:r>
          </w:p>
        </w:tc>
        <w:tc>
          <w:tcPr>
            <w:tcW w:w="1547"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15073716289</w:t>
            </w:r>
          </w:p>
        </w:tc>
        <w:tc>
          <w:tcPr>
            <w:tcW w:w="125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邮编</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413513</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restart"/>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建设项目主要原辅材料消耗</w:t>
            </w: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restart"/>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产品</w:t>
            </w: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147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6219" w:type="dxa"/>
            <w:gridSpan w:val="9"/>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2" w:type="dxa"/>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产污</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环节</w:t>
            </w:r>
          </w:p>
        </w:tc>
        <w:tc>
          <w:tcPr>
            <w:tcW w:w="7697" w:type="dxa"/>
            <w:gridSpan w:val="11"/>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本项目为污水处理工程，项目本身不产生污水，污水的产生来源于主要为周边居民生活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取水情况</w:t>
            </w: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水源</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取水许可证编号</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审批机关</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取水方式</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用途</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年审批取水量(万m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年实际取水量(万m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排污口基本情况</w:t>
            </w: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排污口名称</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安化县滔溪镇污水处理厂入河排污口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排污口行政地址</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湖南省益阳市安化县滔溪镇滔溪社区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所在水功能区概况</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滔溪安化滔溪镇保留区，现状管理目标为Ⅱ类。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排污口经纬度</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东经111.593244292°，北纬28.351393649°</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排污口类型</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新建（√）改建（）扩大（）</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污水年排放量(m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91250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9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restar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主要</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92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509"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日最高排放浓度</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c>
          <w:tcPr>
            <w:tcW w:w="79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月平均排放浓度（mg/L）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最大年排放量（t/a）</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92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509"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79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5.475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928" w:type="dxa"/>
            <w:gridSpan w:val="2"/>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509"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8（15）</w:t>
            </w:r>
          </w:p>
        </w:tc>
        <w:tc>
          <w:tcPr>
            <w:tcW w:w="79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0.73（1.369）</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计量设施安装状况</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污水计量设施（√）水质在线监测设施（）</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污水性质</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工业（）生活（√）混合（）其他（）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污水入河方式</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管道（√）明渠（） 涵闸（）</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阴沟（） 干沟（） 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污水排放方式</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连续（√）间歇（）</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365" w:hRule="atLeast"/>
        </w:trPr>
        <w:tc>
          <w:tcPr>
            <w:tcW w:w="812" w:type="dxa"/>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排污河道、排</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污口平面位置示意图</w:t>
            </w:r>
          </w:p>
        </w:tc>
        <w:tc>
          <w:tcPr>
            <w:tcW w:w="7697" w:type="dxa"/>
            <w:gridSpan w:val="11"/>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详见附图</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812"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退水及影响</w:t>
            </w: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污水是否经过处理</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污水处理方式及处理工艺</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格栅渠-调节池-水解酸化-接触氧化（厌氧-缺氧-好氧）-二沉池-清水池-多介质过滤器-紫外线消毒-计量渠-外排</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18"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restar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污水处理站进水及出水浓度</w:t>
            </w: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设计进水浓度（mg/L）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设计出水浓度（mg/L）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2420" w:type="dxa"/>
            <w:gridSpan w:val="2"/>
            <w:tcBorders>
              <w:right w:val="single" w:color="000000" w:sz="6" w:space="0"/>
            </w:tcBorders>
            <w:vAlign w:val="center"/>
          </w:tcPr>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sz w:val="21"/>
                <w:szCs w:val="21"/>
                <w:highlight w:val="none"/>
              </w:rPr>
              <w:t>15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TN</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2044" w:type="dxa"/>
            <w:gridSpan w:val="3"/>
            <w:vMerge w:val="continue"/>
            <w:vAlign w:val="center"/>
          </w:tcPr>
          <w:p>
            <w:pPr>
              <w:spacing w:line="320" w:lineRule="exact"/>
              <w:jc w:val="center"/>
              <w:rPr>
                <w:rFonts w:hint="default" w:ascii="Times New Roman" w:hAnsi="Times New Roman" w:cs="Times New Roman"/>
                <w:color w:val="auto"/>
                <w:highlight w:val="none"/>
              </w:rPr>
            </w:pPr>
          </w:p>
        </w:tc>
        <w:tc>
          <w:tcPr>
            <w:tcW w:w="2035"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w:t>
            </w:r>
          </w:p>
        </w:tc>
        <w:tc>
          <w:tcPr>
            <w:tcW w:w="1198" w:type="dxa"/>
            <w:gridSpan w:val="3"/>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2" w:type="dxa"/>
            <w:vMerge w:val="restart"/>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水文、水质数据三性检查</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水污染物输移时间及混合区实验情况</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水生态调查及污水急性毒性试验情况</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35"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设计水文条件选取及计算方</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法，拟入河污水、纳污水体水</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污染物浓度可能最大值计算</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方法，水质模型选取</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河流二维模型</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76"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排入水功能区及水质目标</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对水功能区水质影响</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正常情况运行不影响水质，事故排放造成短暂影响。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是否满足水功能区要求</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对下游取水及生态敏感点的影响</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微小</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对重要第三方的影响</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水资源保护措施</w:t>
            </w: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管理措施</w:t>
            </w:r>
          </w:p>
        </w:tc>
        <w:tc>
          <w:tcPr>
            <w:tcW w:w="3618" w:type="dxa"/>
            <w:gridSpan w:val="5"/>
            <w:tcBorders>
              <w:right w:val="single" w:color="000000" w:sz="6" w:space="0"/>
            </w:tcBorders>
            <w:vAlign w:val="center"/>
          </w:tcPr>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宣传、组织贯彻国家有关环境保护的方针、政策法令和条例，搞好项目环境保护工作；</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执行上级主管部门建立的各种环境管理制度；</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监督本项目环保设施和设备的安装、调试、运行，保证“三同时”验收合格；</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领导并组织项目运行期（包括非正常运行期）的环境监测工作，建立档案；</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开展环保教育、技术培训和学术交流活动，提高员工素质，推广利用先进技术和经验；</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严格执行废水的排放标准，做到达标排放，一旦发现出水水质异常，就应查明原因，并采取相应的处理措施；</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对项目涉及水域要进行系统的水质监测，并协助当地水务、环保部门做好水污染防治工作，水质监测频次及要求按相关规定执行；</w:t>
            </w:r>
          </w:p>
          <w:p>
            <w:pPr>
              <w:numPr>
                <w:ilvl w:val="0"/>
                <w:numId w:val="3"/>
              </w:numPr>
              <w:spacing w:line="320" w:lineRule="exact"/>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定期进行应急预案演练，及时发现应急体系、应急工作体制和预案各具体环节存在的问题，不断完善应急预案，提高对突发事故的应急处置能力。</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技术措施</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已编制突发环境事件应急预案</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污染物总量控制意见</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满足纳污水平</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Merge w:val="restar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基于水质目标的水污染物排放限值</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COD限值为60mg/L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Merge w:val="continue"/>
            <w:vAlign w:val="center"/>
          </w:tcPr>
          <w:p>
            <w:pPr>
              <w:spacing w:line="320" w:lineRule="exact"/>
              <w:jc w:val="center"/>
              <w:rPr>
                <w:rFonts w:hint="default" w:ascii="Times New Roman" w:hAnsi="Times New Roman" w:cs="Times New Roman"/>
                <w:color w:val="auto"/>
                <w:highlight w:val="none"/>
              </w:rPr>
            </w:pP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氨氮限值为15mg/L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Merge w:val="continue"/>
            <w:vAlign w:val="center"/>
          </w:tcPr>
          <w:p>
            <w:pPr>
              <w:spacing w:line="320" w:lineRule="exact"/>
              <w:jc w:val="center"/>
              <w:rPr>
                <w:rFonts w:hint="default" w:ascii="Times New Roman" w:hAnsi="Times New Roman" w:cs="Times New Roman"/>
                <w:color w:val="auto"/>
                <w:highlight w:val="none"/>
              </w:rPr>
            </w:pP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TP限值为1.0mg/L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Merge w:val="continue"/>
            <w:vAlign w:val="center"/>
          </w:tcPr>
          <w:p>
            <w:pPr>
              <w:spacing w:line="320" w:lineRule="exact"/>
              <w:jc w:val="center"/>
              <w:rPr>
                <w:rFonts w:hint="default" w:ascii="Times New Roman" w:hAnsi="Times New Roman" w:cs="Times New Roman"/>
                <w:color w:val="auto"/>
                <w:highlight w:val="none"/>
              </w:rPr>
            </w:pP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724" w:hRule="atLeast"/>
        </w:trPr>
        <w:tc>
          <w:tcPr>
            <w:tcW w:w="812"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污水排放监控要求</w:t>
            </w:r>
          </w:p>
        </w:tc>
        <w:tc>
          <w:tcPr>
            <w:tcW w:w="3618" w:type="dxa"/>
            <w:gridSpan w:val="5"/>
            <w:tcBorders>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定期人工监测排污口污染物排放浓度是</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否达到排放标准要求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2" w:type="dxa"/>
            <w:vMerge w:val="continue"/>
            <w:tcBorders>
              <w:left w:val="single" w:color="000000" w:sz="6" w:space="0"/>
              <w:bottom w:val="single" w:color="000000" w:sz="6" w:space="0"/>
            </w:tcBorders>
            <w:textDirection w:val="tbRlV"/>
            <w:vAlign w:val="center"/>
          </w:tcPr>
          <w:p>
            <w:pPr>
              <w:spacing w:line="320" w:lineRule="exact"/>
              <w:jc w:val="center"/>
              <w:rPr>
                <w:rFonts w:hint="default" w:ascii="Times New Roman" w:hAnsi="Times New Roman" w:cs="Times New Roman"/>
                <w:color w:val="auto"/>
                <w:highlight w:val="none"/>
              </w:rPr>
            </w:pPr>
          </w:p>
        </w:tc>
        <w:tc>
          <w:tcPr>
            <w:tcW w:w="4079" w:type="dxa"/>
            <w:gridSpan w:val="6"/>
            <w:tcBorders>
              <w:bottom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突发水污染事件应急预案</w:t>
            </w:r>
          </w:p>
        </w:tc>
        <w:tc>
          <w:tcPr>
            <w:tcW w:w="3618" w:type="dxa"/>
            <w:gridSpan w:val="5"/>
            <w:tcBorders>
              <w:bottom w:val="single" w:color="000000" w:sz="6" w:space="0"/>
              <w:right w:val="single" w:color="000000" w:sz="6" w:space="0"/>
            </w:tcBorders>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1、建立事故预防和应急处理组织机构</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2、处理污染事故</w:t>
            </w:r>
          </w:p>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3、事故调查处理</w:t>
            </w:r>
          </w:p>
        </w:tc>
      </w:tr>
    </w:tbl>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sdt>
      <w:sdtPr>
        <w:rPr>
          <w:rFonts w:hint="default" w:ascii="Times New Roman" w:hAnsi="Times New Roman" w:eastAsia="宋体" w:cs="Times New Roman"/>
          <w:b/>
          <w:bCs/>
          <w:color w:val="auto"/>
          <w:kern w:val="2"/>
          <w:sz w:val="32"/>
          <w:szCs w:val="32"/>
          <w:highlight w:val="none"/>
          <w:lang w:val="en-US" w:eastAsia="zh-CN" w:bidi="ar-SA"/>
        </w:rPr>
        <w:id w:val="147474794"/>
        <w15:color w:val="DBDBDB"/>
        <w:docPartObj>
          <w:docPartGallery w:val="Table of Contents"/>
          <w:docPartUnique/>
        </w:docPartObj>
      </w:sdtPr>
      <w:sdtEndPr>
        <w:rPr>
          <w:rFonts w:hint="default" w:ascii="Times New Roman" w:hAnsi="Times New Roman" w:eastAsia="宋体" w:cs="Times New Roman"/>
          <w:b/>
          <w:bCs/>
          <w:color w:val="auto"/>
          <w:kern w:val="2"/>
          <w:sz w:val="32"/>
          <w:szCs w:val="32"/>
          <w:highlight w:val="none"/>
          <w:lang w:val="en-US" w:eastAsia="zh-CN" w:bidi="ar-SA"/>
        </w:rPr>
      </w:sdtEndPr>
      <w:sdtContent>
        <w:p>
          <w:pPr>
            <w:keepNext w:val="0"/>
            <w:keepLines w:val="0"/>
            <w:pageBreakBefore w:val="0"/>
            <w:kinsoku/>
            <w:wordWrap/>
            <w:overflowPunct/>
            <w:topLinePunct w:val="0"/>
            <w:autoSpaceDE/>
            <w:autoSpaceDN/>
            <w:bidi w:val="0"/>
            <w:adjustRightInd/>
            <w:snapToGrid/>
            <w:spacing w:before="0" w:beforeLines="0" w:after="0" w:afterLines="0" w:line="25" w:lineRule="atLeast"/>
            <w:ind w:left="0" w:leftChars="0" w:right="0" w:rightChars="0" w:firstLine="0" w:firstLineChars="0"/>
            <w:jc w:val="center"/>
            <w:textAlignment w:val="auto"/>
            <w:rPr>
              <w:rFonts w:hint="default" w:ascii="Times New Roman" w:hAnsi="Times New Roman"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目录</w:t>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b/>
              <w:bCs/>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TOC \o "1-3" \h \u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_Toc9032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1  总则</w:t>
          </w:r>
          <w:r>
            <w:rPr>
              <w:b/>
              <w:bCs/>
              <w:color w:val="auto"/>
              <w:sz w:val="24"/>
              <w:szCs w:val="24"/>
              <w:highlight w:val="none"/>
            </w:rPr>
            <w:tab/>
          </w:r>
          <w:r>
            <w:rPr>
              <w:b/>
              <w:bCs/>
              <w:color w:val="auto"/>
              <w:sz w:val="24"/>
              <w:szCs w:val="24"/>
              <w:highlight w:val="none"/>
            </w:rPr>
            <w:fldChar w:fldCharType="begin"/>
          </w:r>
          <w:r>
            <w:rPr>
              <w:b/>
              <w:bCs/>
              <w:color w:val="auto"/>
              <w:sz w:val="24"/>
              <w:szCs w:val="24"/>
              <w:highlight w:val="none"/>
            </w:rPr>
            <w:instrText xml:space="preserve"> PAGEREF _Toc9032 \h </w:instrText>
          </w:r>
          <w:r>
            <w:rPr>
              <w:b/>
              <w:bCs/>
              <w:color w:val="auto"/>
              <w:sz w:val="24"/>
              <w:szCs w:val="24"/>
              <w:highlight w:val="none"/>
            </w:rPr>
            <w:fldChar w:fldCharType="separate"/>
          </w:r>
          <w:r>
            <w:rPr>
              <w:b/>
              <w:bCs/>
              <w:color w:val="auto"/>
              <w:sz w:val="24"/>
              <w:szCs w:val="24"/>
              <w:highlight w:val="none"/>
            </w:rPr>
            <w:t>1</w:t>
          </w:r>
          <w:r>
            <w:rPr>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_Toc24234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1.1.论证目的</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_Toc24234 \h </w:instrText>
          </w:r>
          <w:r>
            <w:rPr>
              <w:color w:val="auto"/>
              <w:sz w:val="24"/>
              <w:szCs w:val="24"/>
              <w:highlight w:val="none"/>
            </w:rPr>
            <w:fldChar w:fldCharType="separate"/>
          </w:r>
          <w:r>
            <w:rPr>
              <w:color w:val="auto"/>
              <w:sz w:val="24"/>
              <w:szCs w:val="24"/>
              <w:highlight w:val="none"/>
            </w:rPr>
            <w:t>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_Toc9906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1.2.论证依据</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_Toc9906 \h </w:instrText>
          </w:r>
          <w:r>
            <w:rPr>
              <w:color w:val="auto"/>
              <w:sz w:val="24"/>
              <w:szCs w:val="24"/>
              <w:highlight w:val="none"/>
            </w:rPr>
            <w:fldChar w:fldCharType="separate"/>
          </w:r>
          <w:r>
            <w:rPr>
              <w:color w:val="auto"/>
              <w:sz w:val="24"/>
              <w:szCs w:val="24"/>
              <w:highlight w:val="none"/>
            </w:rPr>
            <w:t>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_Toc5502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1.2.1.法律法规</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_Toc5502 \h </w:instrText>
          </w:r>
          <w:r>
            <w:rPr>
              <w:color w:val="auto"/>
              <w:sz w:val="24"/>
              <w:szCs w:val="24"/>
              <w:highlight w:val="none"/>
            </w:rPr>
            <w:fldChar w:fldCharType="separate"/>
          </w:r>
          <w:r>
            <w:rPr>
              <w:color w:val="auto"/>
              <w:sz w:val="24"/>
              <w:szCs w:val="24"/>
              <w:highlight w:val="none"/>
            </w:rPr>
            <w:t>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_Toc5151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1.2.2.部门规章及规范性文件</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_Toc5151 \h </w:instrText>
          </w:r>
          <w:r>
            <w:rPr>
              <w:color w:val="auto"/>
              <w:sz w:val="24"/>
              <w:szCs w:val="24"/>
              <w:highlight w:val="none"/>
            </w:rPr>
            <w:fldChar w:fldCharType="separate"/>
          </w:r>
          <w:r>
            <w:rPr>
              <w:color w:val="auto"/>
              <w:sz w:val="24"/>
              <w:szCs w:val="24"/>
              <w:highlight w:val="none"/>
            </w:rPr>
            <w:t>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_Toc6178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1.2.3.地方法规政策</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_Toc6178 \h </w:instrText>
          </w:r>
          <w:r>
            <w:rPr>
              <w:color w:val="auto"/>
              <w:sz w:val="24"/>
              <w:szCs w:val="24"/>
              <w:highlight w:val="none"/>
            </w:rPr>
            <w:fldChar w:fldCharType="separate"/>
          </w:r>
          <w:r>
            <w:rPr>
              <w:color w:val="auto"/>
              <w:sz w:val="24"/>
              <w:szCs w:val="24"/>
              <w:highlight w:val="none"/>
            </w:rPr>
            <w:t>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_Toc10648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1.2.4.技术导则与规范、标准</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_Toc10648 \h </w:instrText>
          </w:r>
          <w:r>
            <w:rPr>
              <w:color w:val="auto"/>
              <w:sz w:val="24"/>
              <w:szCs w:val="24"/>
              <w:highlight w:val="none"/>
            </w:rPr>
            <w:fldChar w:fldCharType="separate"/>
          </w:r>
          <w:r>
            <w:rPr>
              <w:color w:val="auto"/>
              <w:sz w:val="24"/>
              <w:szCs w:val="24"/>
              <w:highlight w:val="none"/>
            </w:rPr>
            <w:t>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_Toc1321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1.2.5.其它相关文件</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_Toc1321 \h </w:instrText>
          </w:r>
          <w:r>
            <w:rPr>
              <w:color w:val="auto"/>
              <w:sz w:val="24"/>
              <w:szCs w:val="24"/>
              <w:highlight w:val="none"/>
            </w:rPr>
            <w:fldChar w:fldCharType="separate"/>
          </w:r>
          <w:r>
            <w:rPr>
              <w:color w:val="auto"/>
              <w:sz w:val="24"/>
              <w:szCs w:val="24"/>
              <w:highlight w:val="none"/>
            </w:rPr>
            <w:t>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_Toc18768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1.3.论证原则</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_Toc18768 \h </w:instrText>
          </w:r>
          <w:r>
            <w:rPr>
              <w:color w:val="auto"/>
              <w:sz w:val="24"/>
              <w:szCs w:val="24"/>
              <w:highlight w:val="none"/>
            </w:rPr>
            <w:fldChar w:fldCharType="separate"/>
          </w:r>
          <w:r>
            <w:rPr>
              <w:color w:val="auto"/>
              <w:sz w:val="24"/>
              <w:szCs w:val="24"/>
              <w:highlight w:val="none"/>
            </w:rPr>
            <w:t>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_Toc9276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1.4.论证范围</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_Toc9276 \h </w:instrText>
          </w:r>
          <w:r>
            <w:rPr>
              <w:color w:val="auto"/>
              <w:sz w:val="24"/>
              <w:szCs w:val="24"/>
              <w:highlight w:val="none"/>
            </w:rPr>
            <w:fldChar w:fldCharType="separate"/>
          </w:r>
          <w:r>
            <w:rPr>
              <w:color w:val="auto"/>
              <w:sz w:val="24"/>
              <w:szCs w:val="24"/>
              <w:highlight w:val="none"/>
            </w:rPr>
            <w:t>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_Toc22915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1.5.论证工作程序</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_Toc22915 \h </w:instrText>
          </w:r>
          <w:r>
            <w:rPr>
              <w:color w:val="auto"/>
              <w:sz w:val="24"/>
              <w:szCs w:val="24"/>
              <w:highlight w:val="none"/>
            </w:rPr>
            <w:fldChar w:fldCharType="separate"/>
          </w:r>
          <w:r>
            <w:rPr>
              <w:color w:val="auto"/>
              <w:sz w:val="24"/>
              <w:szCs w:val="24"/>
              <w:highlight w:val="none"/>
            </w:rPr>
            <w:t>5</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_Toc15061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1.6.论证的主要内容</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_Toc15061 \h </w:instrText>
          </w:r>
          <w:r>
            <w:rPr>
              <w:color w:val="auto"/>
              <w:sz w:val="24"/>
              <w:szCs w:val="24"/>
              <w:highlight w:val="none"/>
            </w:rPr>
            <w:fldChar w:fldCharType="separate"/>
          </w:r>
          <w:r>
            <w:rPr>
              <w:color w:val="auto"/>
              <w:sz w:val="24"/>
              <w:szCs w:val="24"/>
              <w:highlight w:val="none"/>
            </w:rPr>
            <w:t>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_Toc11354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1.7.论证水平年</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_Toc11354 \h </w:instrText>
          </w:r>
          <w:r>
            <w:rPr>
              <w:color w:val="auto"/>
              <w:sz w:val="24"/>
              <w:szCs w:val="24"/>
              <w:highlight w:val="none"/>
            </w:rPr>
            <w:fldChar w:fldCharType="separate"/>
          </w:r>
          <w:r>
            <w:rPr>
              <w:color w:val="auto"/>
              <w:sz w:val="24"/>
              <w:szCs w:val="24"/>
              <w:highlight w:val="none"/>
            </w:rPr>
            <w:t>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_Toc26020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1.8.论证工作等级</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_Toc26020 \h </w:instrText>
          </w:r>
          <w:r>
            <w:rPr>
              <w:color w:val="auto"/>
              <w:sz w:val="24"/>
              <w:szCs w:val="24"/>
              <w:highlight w:val="none"/>
            </w:rPr>
            <w:fldChar w:fldCharType="separate"/>
          </w:r>
          <w:r>
            <w:rPr>
              <w:color w:val="auto"/>
              <w:sz w:val="24"/>
              <w:szCs w:val="24"/>
              <w:highlight w:val="none"/>
            </w:rPr>
            <w:t>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_Toc12712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  项目概况</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_Toc12712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9</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_Toc16803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2.1.项目基本情况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_Toc16803 \h </w:instrText>
          </w:r>
          <w:r>
            <w:rPr>
              <w:color w:val="auto"/>
              <w:sz w:val="24"/>
              <w:szCs w:val="24"/>
              <w:highlight w:val="none"/>
            </w:rPr>
            <w:fldChar w:fldCharType="separate"/>
          </w:r>
          <w:r>
            <w:rPr>
              <w:color w:val="auto"/>
              <w:sz w:val="24"/>
              <w:szCs w:val="24"/>
              <w:highlight w:val="none"/>
            </w:rPr>
            <w:t>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_Toc25231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2.1.1.项目概况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_Toc25231 \h </w:instrText>
          </w:r>
          <w:r>
            <w:rPr>
              <w:color w:val="auto"/>
              <w:sz w:val="24"/>
              <w:szCs w:val="24"/>
              <w:highlight w:val="none"/>
            </w:rPr>
            <w:fldChar w:fldCharType="separate"/>
          </w:r>
          <w:r>
            <w:rPr>
              <w:color w:val="auto"/>
              <w:sz w:val="24"/>
              <w:szCs w:val="24"/>
              <w:highlight w:val="none"/>
            </w:rPr>
            <w:t>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_Toc18019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2.1.2.污水处理规模</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_Toc18019 \h </w:instrText>
          </w:r>
          <w:r>
            <w:rPr>
              <w:color w:val="auto"/>
              <w:sz w:val="24"/>
              <w:szCs w:val="24"/>
              <w:highlight w:val="none"/>
            </w:rPr>
            <w:fldChar w:fldCharType="separate"/>
          </w:r>
          <w:r>
            <w:rPr>
              <w:color w:val="auto"/>
              <w:sz w:val="24"/>
              <w:szCs w:val="24"/>
              <w:highlight w:val="none"/>
            </w:rPr>
            <w:t>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_Toc23432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2.1.3.进水水质要求</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_Toc23432 \h </w:instrText>
          </w:r>
          <w:r>
            <w:rPr>
              <w:color w:val="auto"/>
              <w:sz w:val="24"/>
              <w:szCs w:val="24"/>
              <w:highlight w:val="none"/>
            </w:rPr>
            <w:fldChar w:fldCharType="separate"/>
          </w:r>
          <w:r>
            <w:rPr>
              <w:color w:val="auto"/>
              <w:sz w:val="24"/>
              <w:szCs w:val="24"/>
              <w:highlight w:val="none"/>
            </w:rPr>
            <w:t>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_Toc23783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0"/>
              <w:sz w:val="24"/>
              <w:szCs w:val="24"/>
              <w:highlight w:val="none"/>
              <w:lang w:bidi="ar"/>
            </w:rPr>
            <w:t>2.1.4.污水处理工艺</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_Toc23783 \h </w:instrText>
          </w:r>
          <w:r>
            <w:rPr>
              <w:color w:val="auto"/>
              <w:sz w:val="24"/>
              <w:szCs w:val="24"/>
              <w:highlight w:val="none"/>
            </w:rPr>
            <w:fldChar w:fldCharType="separate"/>
          </w:r>
          <w:r>
            <w:rPr>
              <w:color w:val="auto"/>
              <w:sz w:val="24"/>
              <w:szCs w:val="24"/>
              <w:highlight w:val="none"/>
            </w:rPr>
            <w:t>10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_Toc20052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2.2.项目所在区域概况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_Toc20052 \h </w:instrText>
          </w:r>
          <w:r>
            <w:rPr>
              <w:color w:val="auto"/>
              <w:sz w:val="24"/>
              <w:szCs w:val="24"/>
              <w:highlight w:val="none"/>
            </w:rPr>
            <w:fldChar w:fldCharType="separate"/>
          </w:r>
          <w:r>
            <w:rPr>
              <w:color w:val="auto"/>
              <w:sz w:val="24"/>
              <w:szCs w:val="24"/>
              <w:highlight w:val="none"/>
            </w:rPr>
            <w:t>13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_Toc12707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2.2.1.自然环境</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_Toc12707 \h </w:instrText>
          </w:r>
          <w:r>
            <w:rPr>
              <w:color w:val="auto"/>
              <w:sz w:val="24"/>
              <w:szCs w:val="24"/>
              <w:highlight w:val="none"/>
            </w:rPr>
            <w:fldChar w:fldCharType="separate"/>
          </w:r>
          <w:r>
            <w:rPr>
              <w:color w:val="auto"/>
              <w:sz w:val="24"/>
              <w:szCs w:val="24"/>
              <w:highlight w:val="none"/>
            </w:rPr>
            <w:t>13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_Toc22625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2.2.2社会经济</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_Toc22625 \h </w:instrText>
          </w:r>
          <w:r>
            <w:rPr>
              <w:color w:val="auto"/>
              <w:sz w:val="24"/>
              <w:szCs w:val="24"/>
              <w:highlight w:val="none"/>
            </w:rPr>
            <w:fldChar w:fldCharType="separate"/>
          </w:r>
          <w:r>
            <w:rPr>
              <w:color w:val="auto"/>
              <w:sz w:val="24"/>
              <w:szCs w:val="24"/>
              <w:highlight w:val="none"/>
            </w:rPr>
            <w:t>16</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_Toc19415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2.2.3区城水生态现状</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_Toc19415 \h </w:instrText>
          </w:r>
          <w:r>
            <w:rPr>
              <w:color w:val="auto"/>
              <w:sz w:val="24"/>
              <w:szCs w:val="24"/>
              <w:highlight w:val="none"/>
            </w:rPr>
            <w:fldChar w:fldCharType="separate"/>
          </w:r>
          <w:r>
            <w:rPr>
              <w:color w:val="auto"/>
              <w:sz w:val="24"/>
              <w:szCs w:val="24"/>
              <w:highlight w:val="none"/>
            </w:rPr>
            <w:t>16</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_Toc27988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2.2.4区域内主要生态敏感区</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_Toc27988 \h </w:instrText>
          </w:r>
          <w:r>
            <w:rPr>
              <w:color w:val="auto"/>
              <w:sz w:val="24"/>
              <w:szCs w:val="24"/>
              <w:highlight w:val="none"/>
            </w:rPr>
            <w:fldChar w:fldCharType="separate"/>
          </w:r>
          <w:r>
            <w:rPr>
              <w:color w:val="auto"/>
              <w:sz w:val="24"/>
              <w:szCs w:val="24"/>
              <w:highlight w:val="none"/>
            </w:rPr>
            <w:t>18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HYPERLINK \l _Toc15470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2.2.5滔溪流域基本情况</w:t>
          </w:r>
          <w:r>
            <w:rPr>
              <w:rFonts w:hint="default" w:ascii="Times New Roman" w:hAnsi="Times New Roman" w:cs="Times New Roman"/>
              <w:color w:val="auto"/>
              <w:sz w:val="24"/>
              <w:szCs w:val="24"/>
              <w:highlight w:val="none"/>
              <w:lang w:val="en-US" w:eastAsia="zh-CN"/>
            </w:rPr>
            <w:tab/>
          </w:r>
          <w:r>
            <w:rPr>
              <w:rFonts w:hint="default" w:ascii="Times New Roman" w:hAnsi="Times New Roman" w:cs="Times New Roman"/>
              <w:color w:val="auto"/>
              <w:sz w:val="24"/>
              <w:szCs w:val="24"/>
              <w:highlight w:val="none"/>
              <w:lang w:val="en-US" w:eastAsia="zh-CN"/>
            </w:rPr>
            <w:fldChar w:fldCharType="begin"/>
          </w:r>
          <w:r>
            <w:rPr>
              <w:rFonts w:hint="default" w:ascii="Times New Roman" w:hAnsi="Times New Roman" w:cs="Times New Roman"/>
              <w:color w:val="auto"/>
              <w:sz w:val="24"/>
              <w:szCs w:val="24"/>
              <w:highlight w:val="none"/>
              <w:lang w:val="en-US" w:eastAsia="zh-CN"/>
            </w:rPr>
            <w:instrText xml:space="preserve"> PAGEREF _Toc15470 \h </w:instrText>
          </w:r>
          <w:r>
            <w:rPr>
              <w:rFonts w:hint="default" w:ascii="Times New Roman" w:hAnsi="Times New Roman" w:cs="Times New Roman"/>
              <w:color w:val="auto"/>
              <w:sz w:val="24"/>
              <w:szCs w:val="24"/>
              <w:highlight w:val="none"/>
              <w:lang w:val="en-US" w:eastAsia="zh-CN"/>
            </w:rPr>
            <w:fldChar w:fldCharType="separate"/>
          </w:r>
          <w:r>
            <w:rPr>
              <w:rFonts w:hint="default" w:ascii="Times New Roman" w:hAnsi="Times New Roman" w:cs="Times New Roman"/>
              <w:color w:val="auto"/>
              <w:sz w:val="24"/>
              <w:szCs w:val="24"/>
              <w:highlight w:val="none"/>
              <w:lang w:val="en-US" w:eastAsia="zh-CN"/>
            </w:rPr>
            <w:t>19</w:t>
          </w:r>
          <w:r>
            <w:rPr>
              <w:rFonts w:hint="default" w:ascii="Times New Roman" w:hAnsi="Times New Roman" w:cs="Times New Roman"/>
              <w:color w:val="auto"/>
              <w:sz w:val="24"/>
              <w:szCs w:val="24"/>
              <w:highlight w:val="none"/>
              <w:lang w:val="en-US" w:eastAsia="zh-CN"/>
            </w:rPr>
            <w:fldChar w:fldCharType="end"/>
          </w:r>
          <w:r>
            <w:rPr>
              <w:rFonts w:hint="default" w:ascii="Times New Roman" w:hAnsi="Times New Roman" w:cs="Times New Roman"/>
              <w:color w:val="auto"/>
              <w:sz w:val="24"/>
              <w:szCs w:val="24"/>
              <w:highlight w:val="none"/>
              <w:lang w:val="en-US" w:eastAsia="zh-CN"/>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_Toc32480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3  水功能区（水域）水质现状及纳污状况</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_Toc32480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20</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_Toc2297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3.1.水功能区（水域）保护水质管理目标与要求</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_Toc2297 \h </w:instrText>
          </w:r>
          <w:r>
            <w:rPr>
              <w:color w:val="auto"/>
              <w:sz w:val="24"/>
              <w:szCs w:val="24"/>
              <w:highlight w:val="none"/>
            </w:rPr>
            <w:fldChar w:fldCharType="separate"/>
          </w:r>
          <w:r>
            <w:rPr>
              <w:color w:val="auto"/>
              <w:sz w:val="24"/>
              <w:szCs w:val="24"/>
              <w:highlight w:val="none"/>
            </w:rPr>
            <w:t>20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_Toc2500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3.2.水功能区（水域）现有取排水状况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_Toc2500 \h </w:instrText>
          </w:r>
          <w:r>
            <w:rPr>
              <w:color w:val="auto"/>
              <w:sz w:val="24"/>
              <w:szCs w:val="24"/>
              <w:highlight w:val="none"/>
            </w:rPr>
            <w:fldChar w:fldCharType="separate"/>
          </w:r>
          <w:r>
            <w:rPr>
              <w:color w:val="auto"/>
              <w:sz w:val="24"/>
              <w:szCs w:val="24"/>
              <w:highlight w:val="none"/>
            </w:rPr>
            <w:t>21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_Toc9129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3.2.1.取水状况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_Toc9129 \h </w:instrText>
          </w:r>
          <w:r>
            <w:rPr>
              <w:color w:val="auto"/>
              <w:sz w:val="24"/>
              <w:szCs w:val="24"/>
              <w:highlight w:val="none"/>
            </w:rPr>
            <w:fldChar w:fldCharType="separate"/>
          </w:r>
          <w:r>
            <w:rPr>
              <w:color w:val="auto"/>
              <w:sz w:val="24"/>
              <w:szCs w:val="24"/>
              <w:highlight w:val="none"/>
            </w:rPr>
            <w:t>21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_Toc11275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3.2.2.排水状况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_Toc11275 \h </w:instrText>
          </w:r>
          <w:r>
            <w:rPr>
              <w:color w:val="auto"/>
              <w:sz w:val="24"/>
              <w:szCs w:val="24"/>
              <w:highlight w:val="none"/>
            </w:rPr>
            <w:fldChar w:fldCharType="separate"/>
          </w:r>
          <w:r>
            <w:rPr>
              <w:color w:val="auto"/>
              <w:sz w:val="24"/>
              <w:szCs w:val="24"/>
              <w:highlight w:val="none"/>
            </w:rPr>
            <w:t>22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_Toc3941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3.3.水功能区（水域）水质现状</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_Toc3941 \h </w:instrText>
          </w:r>
          <w:r>
            <w:rPr>
              <w:color w:val="auto"/>
              <w:sz w:val="24"/>
              <w:szCs w:val="24"/>
              <w:highlight w:val="none"/>
            </w:rPr>
            <w:fldChar w:fldCharType="separate"/>
          </w:r>
          <w:r>
            <w:rPr>
              <w:color w:val="auto"/>
              <w:sz w:val="24"/>
              <w:szCs w:val="24"/>
              <w:highlight w:val="none"/>
            </w:rPr>
            <w:t>22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_Toc17697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3.4.所在水功能区（水域）纳污状况分析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_Toc17697 \h </w:instrText>
          </w:r>
          <w:r>
            <w:rPr>
              <w:color w:val="auto"/>
              <w:sz w:val="24"/>
              <w:szCs w:val="24"/>
              <w:highlight w:val="none"/>
            </w:rPr>
            <w:fldChar w:fldCharType="separate"/>
          </w:r>
          <w:r>
            <w:rPr>
              <w:color w:val="auto"/>
              <w:sz w:val="24"/>
              <w:szCs w:val="24"/>
              <w:highlight w:val="none"/>
            </w:rPr>
            <w:t>27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_Toc8082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4  入河排污口设置情况</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_Toc8082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28</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_Toc23860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4.1.废水来源及构成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_Toc23860 \h </w:instrText>
          </w:r>
          <w:r>
            <w:rPr>
              <w:color w:val="auto"/>
              <w:sz w:val="24"/>
              <w:szCs w:val="24"/>
              <w:highlight w:val="none"/>
            </w:rPr>
            <w:fldChar w:fldCharType="separate"/>
          </w:r>
          <w:r>
            <w:rPr>
              <w:color w:val="auto"/>
              <w:sz w:val="24"/>
              <w:szCs w:val="24"/>
              <w:highlight w:val="none"/>
            </w:rPr>
            <w:t>28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_Toc154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4.2.废水所含主要污染物种类及其排放浓度、总量</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_Toc154 \h </w:instrText>
          </w:r>
          <w:r>
            <w:rPr>
              <w:color w:val="auto"/>
              <w:sz w:val="24"/>
              <w:szCs w:val="24"/>
              <w:highlight w:val="none"/>
            </w:rPr>
            <w:fldChar w:fldCharType="separate"/>
          </w:r>
          <w:r>
            <w:rPr>
              <w:color w:val="auto"/>
              <w:sz w:val="24"/>
              <w:szCs w:val="24"/>
              <w:highlight w:val="none"/>
            </w:rPr>
            <w:t>28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_Toc30711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4.3.废污水产生关键环节分析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_Toc30711 \h </w:instrText>
          </w:r>
          <w:r>
            <w:rPr>
              <w:color w:val="auto"/>
              <w:sz w:val="24"/>
              <w:szCs w:val="24"/>
              <w:highlight w:val="none"/>
            </w:rPr>
            <w:fldChar w:fldCharType="separate"/>
          </w:r>
          <w:r>
            <w:rPr>
              <w:color w:val="auto"/>
              <w:sz w:val="24"/>
              <w:szCs w:val="24"/>
              <w:highlight w:val="none"/>
            </w:rPr>
            <w:t>28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_Toc18916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4.3.1.污水产排情况分析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_Toc18916 \h </w:instrText>
          </w:r>
          <w:r>
            <w:rPr>
              <w:color w:val="auto"/>
              <w:sz w:val="24"/>
              <w:szCs w:val="24"/>
              <w:highlight w:val="none"/>
            </w:rPr>
            <w:fldChar w:fldCharType="separate"/>
          </w:r>
          <w:r>
            <w:rPr>
              <w:color w:val="auto"/>
              <w:sz w:val="24"/>
              <w:szCs w:val="24"/>
              <w:highlight w:val="none"/>
            </w:rPr>
            <w:t>28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_Toc22023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4.3.2.污水处理厂管网建设情况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_Toc22023 \h </w:instrText>
          </w:r>
          <w:r>
            <w:rPr>
              <w:color w:val="auto"/>
              <w:sz w:val="24"/>
              <w:szCs w:val="24"/>
              <w:highlight w:val="none"/>
            </w:rPr>
            <w:fldChar w:fldCharType="separate"/>
          </w:r>
          <w:r>
            <w:rPr>
              <w:color w:val="auto"/>
              <w:sz w:val="24"/>
              <w:szCs w:val="24"/>
              <w:highlight w:val="none"/>
            </w:rPr>
            <w:t>29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_Toc28172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4.3.3.设计原则</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_Toc28172 \h </w:instrText>
          </w:r>
          <w:r>
            <w:rPr>
              <w:color w:val="auto"/>
              <w:sz w:val="24"/>
              <w:szCs w:val="24"/>
              <w:highlight w:val="none"/>
            </w:rPr>
            <w:fldChar w:fldCharType="separate"/>
          </w:r>
          <w:r>
            <w:rPr>
              <w:color w:val="auto"/>
              <w:sz w:val="24"/>
              <w:szCs w:val="24"/>
              <w:highlight w:val="none"/>
            </w:rPr>
            <w:t>29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_Toc27168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4.3.4.污水规划</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_Toc27168 \h </w:instrText>
          </w:r>
          <w:r>
            <w:rPr>
              <w:color w:val="auto"/>
              <w:sz w:val="24"/>
              <w:szCs w:val="24"/>
              <w:highlight w:val="none"/>
            </w:rPr>
            <w:fldChar w:fldCharType="separate"/>
          </w:r>
          <w:r>
            <w:rPr>
              <w:color w:val="auto"/>
              <w:sz w:val="24"/>
              <w:szCs w:val="24"/>
              <w:highlight w:val="none"/>
            </w:rPr>
            <w:t>29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_Toc32048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4.3.5.污水管、沟设计</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_Toc32048 \h </w:instrText>
          </w:r>
          <w:r>
            <w:rPr>
              <w:color w:val="auto"/>
              <w:sz w:val="24"/>
              <w:szCs w:val="24"/>
              <w:highlight w:val="none"/>
            </w:rPr>
            <w:fldChar w:fldCharType="separate"/>
          </w:r>
          <w:r>
            <w:rPr>
              <w:color w:val="auto"/>
              <w:sz w:val="24"/>
              <w:szCs w:val="24"/>
              <w:highlight w:val="none"/>
            </w:rPr>
            <w:t>30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_Toc29450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4.4.废污水处理措施及影响</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_Toc29450 \h </w:instrText>
          </w:r>
          <w:r>
            <w:rPr>
              <w:color w:val="auto"/>
              <w:sz w:val="24"/>
              <w:szCs w:val="24"/>
              <w:highlight w:val="none"/>
            </w:rPr>
            <w:fldChar w:fldCharType="separate"/>
          </w:r>
          <w:r>
            <w:rPr>
              <w:color w:val="auto"/>
              <w:sz w:val="24"/>
              <w:szCs w:val="24"/>
              <w:highlight w:val="none"/>
            </w:rPr>
            <w:t>30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_Toc30093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kern w:val="2"/>
              <w:sz w:val="24"/>
              <w:szCs w:val="24"/>
              <w:highlight w:val="none"/>
            </w:rPr>
            <w:t>4.5.入河排污口设置方案</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_Toc30093 \h </w:instrText>
          </w:r>
          <w:r>
            <w:rPr>
              <w:color w:val="auto"/>
              <w:sz w:val="24"/>
              <w:szCs w:val="24"/>
              <w:highlight w:val="none"/>
            </w:rPr>
            <w:fldChar w:fldCharType="separate"/>
          </w:r>
          <w:r>
            <w:rPr>
              <w:color w:val="auto"/>
              <w:sz w:val="24"/>
              <w:szCs w:val="24"/>
              <w:highlight w:val="none"/>
            </w:rPr>
            <w:t>30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_Toc11842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5  入河排污口设置可行性分析</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_Toc11842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32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_Toc15894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5.1.水功能区（水域）对入河排污口的设置要求</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_Toc15894 \h </w:instrText>
          </w:r>
          <w:r>
            <w:rPr>
              <w:color w:val="auto"/>
              <w:sz w:val="24"/>
              <w:szCs w:val="24"/>
              <w:highlight w:val="none"/>
            </w:rPr>
            <w:fldChar w:fldCharType="separate"/>
          </w:r>
          <w:r>
            <w:rPr>
              <w:color w:val="auto"/>
              <w:sz w:val="24"/>
              <w:szCs w:val="24"/>
              <w:highlight w:val="none"/>
            </w:rPr>
            <w:t>32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_Toc12464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5.1.1.与产业政策、区域入河排污口布设规划符合性分析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_Toc12464 \h </w:instrText>
          </w:r>
          <w:r>
            <w:rPr>
              <w:color w:val="auto"/>
              <w:sz w:val="24"/>
              <w:szCs w:val="24"/>
              <w:highlight w:val="none"/>
            </w:rPr>
            <w:fldChar w:fldCharType="separate"/>
          </w:r>
          <w:r>
            <w:rPr>
              <w:color w:val="auto"/>
              <w:sz w:val="24"/>
              <w:szCs w:val="24"/>
              <w:highlight w:val="none"/>
            </w:rPr>
            <w:t>32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_Toc17103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5.1.2.与地方国家经济与城镇发展规划符合性分析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_Toc17103 \h </w:instrText>
          </w:r>
          <w:r>
            <w:rPr>
              <w:color w:val="auto"/>
              <w:sz w:val="24"/>
              <w:szCs w:val="24"/>
              <w:highlight w:val="none"/>
            </w:rPr>
            <w:fldChar w:fldCharType="separate"/>
          </w:r>
          <w:r>
            <w:rPr>
              <w:color w:val="auto"/>
              <w:sz w:val="24"/>
              <w:szCs w:val="24"/>
              <w:highlight w:val="none"/>
            </w:rPr>
            <w:t>32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_Toc7707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5.1.3.与水资源管理和环保要求符合性分析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_Toc7707 \h </w:instrText>
          </w:r>
          <w:r>
            <w:rPr>
              <w:color w:val="auto"/>
              <w:sz w:val="24"/>
              <w:szCs w:val="24"/>
              <w:highlight w:val="none"/>
            </w:rPr>
            <w:fldChar w:fldCharType="separate"/>
          </w:r>
          <w:r>
            <w:rPr>
              <w:color w:val="auto"/>
              <w:sz w:val="24"/>
              <w:szCs w:val="24"/>
              <w:highlight w:val="none"/>
            </w:rPr>
            <w:t>32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_Toc10478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5.1.4.与水功能区管理要求符合性分析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_Toc10478 \h </w:instrText>
          </w:r>
          <w:r>
            <w:rPr>
              <w:color w:val="auto"/>
              <w:sz w:val="24"/>
              <w:szCs w:val="24"/>
              <w:highlight w:val="none"/>
            </w:rPr>
            <w:fldChar w:fldCharType="separate"/>
          </w:r>
          <w:r>
            <w:rPr>
              <w:color w:val="auto"/>
              <w:sz w:val="24"/>
              <w:szCs w:val="24"/>
              <w:highlight w:val="none"/>
            </w:rPr>
            <w:t>32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_Toc32065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5.1.5.与《中华人民共和国水法》符合性分析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_Toc32065 \h </w:instrText>
          </w:r>
          <w:r>
            <w:rPr>
              <w:color w:val="auto"/>
              <w:sz w:val="24"/>
              <w:szCs w:val="24"/>
              <w:highlight w:val="none"/>
            </w:rPr>
            <w:fldChar w:fldCharType="separate"/>
          </w:r>
          <w:r>
            <w:rPr>
              <w:color w:val="auto"/>
              <w:sz w:val="24"/>
              <w:szCs w:val="24"/>
              <w:highlight w:val="none"/>
            </w:rPr>
            <w:t>33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_Toc272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5.1.6.与《中华人民共和国渔业法》符合性分析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_Toc272 \h </w:instrText>
          </w:r>
          <w:r>
            <w:rPr>
              <w:color w:val="auto"/>
              <w:sz w:val="24"/>
              <w:szCs w:val="24"/>
              <w:highlight w:val="none"/>
            </w:rPr>
            <w:fldChar w:fldCharType="separate"/>
          </w:r>
          <w:r>
            <w:rPr>
              <w:color w:val="auto"/>
              <w:sz w:val="24"/>
              <w:szCs w:val="24"/>
              <w:highlight w:val="none"/>
            </w:rPr>
            <w:t>33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_Toc5570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5.1.7.与《入河排污口监督管理办法》符合性分析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_Toc5570 \h </w:instrText>
          </w:r>
          <w:r>
            <w:rPr>
              <w:color w:val="auto"/>
              <w:sz w:val="24"/>
              <w:szCs w:val="24"/>
              <w:highlight w:val="none"/>
            </w:rPr>
            <w:fldChar w:fldCharType="separate"/>
          </w:r>
          <w:r>
            <w:rPr>
              <w:color w:val="auto"/>
              <w:sz w:val="24"/>
              <w:szCs w:val="24"/>
              <w:highlight w:val="none"/>
            </w:rPr>
            <w:t>33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_Toc20480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5.1.8.与《湖南省入河排污口监督管理办法》符合性分析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_Toc20480 \h </w:instrText>
          </w:r>
          <w:r>
            <w:rPr>
              <w:color w:val="auto"/>
              <w:sz w:val="24"/>
              <w:szCs w:val="24"/>
              <w:highlight w:val="none"/>
            </w:rPr>
            <w:fldChar w:fldCharType="separate"/>
          </w:r>
          <w:r>
            <w:rPr>
              <w:color w:val="auto"/>
              <w:sz w:val="24"/>
              <w:szCs w:val="24"/>
              <w:highlight w:val="none"/>
            </w:rPr>
            <w:t>34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_Toc28215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5.1.9.水域纳污能力限制可行性分析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_Toc28215 \h </w:instrText>
          </w:r>
          <w:r>
            <w:rPr>
              <w:color w:val="auto"/>
              <w:sz w:val="24"/>
              <w:szCs w:val="24"/>
              <w:highlight w:val="none"/>
            </w:rPr>
            <w:fldChar w:fldCharType="separate"/>
          </w:r>
          <w:r>
            <w:rPr>
              <w:color w:val="auto"/>
              <w:sz w:val="24"/>
              <w:szCs w:val="24"/>
              <w:highlight w:val="none"/>
            </w:rPr>
            <w:t>34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_Toc19180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5.2.水功能区（水域）纳污能力及限制排放总量</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_Toc19180 \h </w:instrText>
          </w:r>
          <w:r>
            <w:rPr>
              <w:color w:val="auto"/>
              <w:sz w:val="24"/>
              <w:szCs w:val="24"/>
              <w:highlight w:val="none"/>
            </w:rPr>
            <w:fldChar w:fldCharType="separate"/>
          </w:r>
          <w:r>
            <w:rPr>
              <w:color w:val="auto"/>
              <w:sz w:val="24"/>
              <w:szCs w:val="24"/>
              <w:highlight w:val="none"/>
            </w:rPr>
            <w:t>35</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_Toc29743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5.2.1.项目入河排污口处滔溪纳污能力核算</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_Toc29743 \h </w:instrText>
          </w:r>
          <w:r>
            <w:rPr>
              <w:color w:val="auto"/>
              <w:sz w:val="24"/>
              <w:szCs w:val="24"/>
              <w:highlight w:val="none"/>
            </w:rPr>
            <w:fldChar w:fldCharType="separate"/>
          </w:r>
          <w:r>
            <w:rPr>
              <w:color w:val="auto"/>
              <w:sz w:val="24"/>
              <w:szCs w:val="24"/>
              <w:highlight w:val="none"/>
            </w:rPr>
            <w:t>36</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_Toc18931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5.2.2.区域水功能区（水域）纳污情况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_Toc18931 \h </w:instrText>
          </w:r>
          <w:r>
            <w:rPr>
              <w:color w:val="auto"/>
              <w:sz w:val="24"/>
              <w:szCs w:val="24"/>
              <w:highlight w:val="none"/>
            </w:rPr>
            <w:fldChar w:fldCharType="separate"/>
          </w:r>
          <w:r>
            <w:rPr>
              <w:color w:val="auto"/>
              <w:sz w:val="24"/>
              <w:szCs w:val="24"/>
              <w:highlight w:val="none"/>
            </w:rPr>
            <w:t>37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_Toc25833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5.2.3.入河排污口的设置可行性分析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_Toc25833 \h </w:instrText>
          </w:r>
          <w:r>
            <w:rPr>
              <w:color w:val="auto"/>
              <w:sz w:val="24"/>
              <w:szCs w:val="24"/>
              <w:highlight w:val="none"/>
            </w:rPr>
            <w:fldChar w:fldCharType="separate"/>
          </w:r>
          <w:r>
            <w:rPr>
              <w:color w:val="auto"/>
              <w:sz w:val="24"/>
              <w:szCs w:val="24"/>
              <w:highlight w:val="none"/>
            </w:rPr>
            <w:t>37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_Toc19573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6  入河排污口设置合理性分析</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_Toc19573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39</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_Toc1278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6.1.入河排污口设置影响范围</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_Toc1278 \h </w:instrText>
          </w:r>
          <w:r>
            <w:rPr>
              <w:color w:val="auto"/>
              <w:sz w:val="24"/>
              <w:szCs w:val="24"/>
              <w:highlight w:val="none"/>
            </w:rPr>
            <w:fldChar w:fldCharType="separate"/>
          </w:r>
          <w:r>
            <w:rPr>
              <w:color w:val="auto"/>
              <w:sz w:val="24"/>
              <w:szCs w:val="24"/>
              <w:highlight w:val="none"/>
            </w:rPr>
            <w:t>39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_Toc1161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水环境</w:t>
          </w:r>
          <w:r>
            <w:rPr>
              <w:rFonts w:hint="default" w:ascii="Times New Roman" w:hAnsi="Times New Roman" w:cs="Times New Roman"/>
              <w:color w:val="auto"/>
              <w:sz w:val="24"/>
              <w:szCs w:val="24"/>
              <w:highlight w:val="none"/>
            </w:rPr>
            <w:t>预测影响分析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_Toc1161 \h </w:instrText>
          </w:r>
          <w:r>
            <w:rPr>
              <w:color w:val="auto"/>
              <w:sz w:val="24"/>
              <w:szCs w:val="24"/>
              <w:highlight w:val="none"/>
            </w:rPr>
            <w:fldChar w:fldCharType="separate"/>
          </w:r>
          <w:r>
            <w:rPr>
              <w:color w:val="auto"/>
              <w:sz w:val="24"/>
              <w:szCs w:val="24"/>
              <w:highlight w:val="none"/>
            </w:rPr>
            <w:t>39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_Toc14179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.对水功能区水质影响分析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_Toc14179 \h </w:instrText>
          </w:r>
          <w:r>
            <w:rPr>
              <w:color w:val="auto"/>
              <w:sz w:val="24"/>
              <w:szCs w:val="24"/>
              <w:highlight w:val="none"/>
            </w:rPr>
            <w:fldChar w:fldCharType="separate"/>
          </w:r>
          <w:r>
            <w:rPr>
              <w:color w:val="auto"/>
              <w:sz w:val="24"/>
              <w:szCs w:val="24"/>
              <w:highlight w:val="none"/>
            </w:rPr>
            <w:t>52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_Toc27547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.1.对水质影响分析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_Toc27547 \h </w:instrText>
          </w:r>
          <w:r>
            <w:rPr>
              <w:color w:val="auto"/>
              <w:sz w:val="24"/>
              <w:szCs w:val="24"/>
              <w:highlight w:val="none"/>
            </w:rPr>
            <w:fldChar w:fldCharType="separate"/>
          </w:r>
          <w:r>
            <w:rPr>
              <w:color w:val="auto"/>
              <w:sz w:val="24"/>
              <w:szCs w:val="24"/>
              <w:highlight w:val="none"/>
            </w:rPr>
            <w:t>52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_Toc5930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.2.对水域纳污能力影响分析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_Toc5930 \h </w:instrText>
          </w:r>
          <w:r>
            <w:rPr>
              <w:color w:val="auto"/>
              <w:sz w:val="24"/>
              <w:szCs w:val="24"/>
              <w:highlight w:val="none"/>
            </w:rPr>
            <w:fldChar w:fldCharType="separate"/>
          </w:r>
          <w:r>
            <w:rPr>
              <w:color w:val="auto"/>
              <w:sz w:val="24"/>
              <w:szCs w:val="24"/>
              <w:highlight w:val="none"/>
            </w:rPr>
            <w:t>52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_Toc25861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.对水生态及相关敏感区的影响分析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_Toc25861 \h </w:instrText>
          </w:r>
          <w:r>
            <w:rPr>
              <w:color w:val="auto"/>
              <w:sz w:val="24"/>
              <w:szCs w:val="24"/>
              <w:highlight w:val="none"/>
            </w:rPr>
            <w:fldChar w:fldCharType="separate"/>
          </w:r>
          <w:r>
            <w:rPr>
              <w:color w:val="auto"/>
              <w:sz w:val="24"/>
              <w:szCs w:val="24"/>
              <w:highlight w:val="none"/>
            </w:rPr>
            <w:t>52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_Toc20048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.对地下水的影响分析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_Toc20048 \h </w:instrText>
          </w:r>
          <w:r>
            <w:rPr>
              <w:color w:val="auto"/>
              <w:sz w:val="24"/>
              <w:szCs w:val="24"/>
              <w:highlight w:val="none"/>
            </w:rPr>
            <w:fldChar w:fldCharType="separate"/>
          </w:r>
          <w:r>
            <w:rPr>
              <w:color w:val="auto"/>
              <w:sz w:val="24"/>
              <w:szCs w:val="24"/>
              <w:highlight w:val="none"/>
            </w:rPr>
            <w:t>53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_Toc3209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.对第三者影响分析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_Toc3209 \h </w:instrText>
          </w:r>
          <w:r>
            <w:rPr>
              <w:color w:val="auto"/>
              <w:sz w:val="24"/>
              <w:szCs w:val="24"/>
              <w:highlight w:val="none"/>
            </w:rPr>
            <w:fldChar w:fldCharType="separate"/>
          </w:r>
          <w:r>
            <w:rPr>
              <w:color w:val="auto"/>
              <w:sz w:val="24"/>
              <w:szCs w:val="24"/>
              <w:highlight w:val="none"/>
            </w:rPr>
            <w:t>53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_Toc19331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7  水环境保护措施</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_Toc19331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54</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_Toc10711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7.1.工程保护措施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_Toc10711 \h </w:instrText>
          </w:r>
          <w:r>
            <w:rPr>
              <w:color w:val="auto"/>
              <w:sz w:val="24"/>
              <w:szCs w:val="24"/>
              <w:highlight w:val="none"/>
            </w:rPr>
            <w:fldChar w:fldCharType="separate"/>
          </w:r>
          <w:r>
            <w:rPr>
              <w:color w:val="auto"/>
              <w:sz w:val="24"/>
              <w:szCs w:val="24"/>
              <w:highlight w:val="none"/>
            </w:rPr>
            <w:t>54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_Toc921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7.2.管理措施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_Toc921 \h </w:instrText>
          </w:r>
          <w:r>
            <w:rPr>
              <w:color w:val="auto"/>
              <w:sz w:val="24"/>
              <w:szCs w:val="24"/>
              <w:highlight w:val="none"/>
            </w:rPr>
            <w:fldChar w:fldCharType="separate"/>
          </w:r>
          <w:r>
            <w:rPr>
              <w:color w:val="auto"/>
              <w:sz w:val="24"/>
              <w:szCs w:val="24"/>
              <w:highlight w:val="none"/>
            </w:rPr>
            <w:t>54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_Toc13816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7.2.1.水生态保护措施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_Toc13816 \h </w:instrText>
          </w:r>
          <w:r>
            <w:rPr>
              <w:color w:val="auto"/>
              <w:sz w:val="24"/>
              <w:szCs w:val="24"/>
              <w:highlight w:val="none"/>
            </w:rPr>
            <w:fldChar w:fldCharType="separate"/>
          </w:r>
          <w:r>
            <w:rPr>
              <w:color w:val="auto"/>
              <w:sz w:val="24"/>
              <w:szCs w:val="24"/>
              <w:highlight w:val="none"/>
            </w:rPr>
            <w:t>54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_Toc25721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7.2.2.事故排污时应急处理措施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_Toc25721 \h </w:instrText>
          </w:r>
          <w:r>
            <w:rPr>
              <w:color w:val="auto"/>
              <w:sz w:val="24"/>
              <w:szCs w:val="24"/>
              <w:highlight w:val="none"/>
            </w:rPr>
            <w:fldChar w:fldCharType="separate"/>
          </w:r>
          <w:r>
            <w:rPr>
              <w:color w:val="auto"/>
              <w:sz w:val="24"/>
              <w:szCs w:val="24"/>
              <w:highlight w:val="none"/>
            </w:rPr>
            <w:t>54</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_Toc19405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7.2.3.环境管理</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_Toc19405 \h </w:instrText>
          </w:r>
          <w:r>
            <w:rPr>
              <w:color w:val="auto"/>
              <w:sz w:val="24"/>
              <w:szCs w:val="24"/>
              <w:highlight w:val="none"/>
            </w:rPr>
            <w:fldChar w:fldCharType="separate"/>
          </w:r>
          <w:r>
            <w:rPr>
              <w:color w:val="auto"/>
              <w:sz w:val="24"/>
              <w:szCs w:val="24"/>
              <w:highlight w:val="none"/>
            </w:rPr>
            <w:t>56</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_Toc12856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7.3.排污口设置验收要求</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_Toc12856 \h </w:instrText>
          </w:r>
          <w:r>
            <w:rPr>
              <w:color w:val="auto"/>
              <w:sz w:val="24"/>
              <w:szCs w:val="24"/>
              <w:highlight w:val="none"/>
            </w:rPr>
            <w:fldChar w:fldCharType="separate"/>
          </w:r>
          <w:r>
            <w:rPr>
              <w:color w:val="auto"/>
              <w:sz w:val="24"/>
              <w:szCs w:val="24"/>
              <w:highlight w:val="none"/>
            </w:rPr>
            <w:t>59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_Toc2804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7.4.环境监测方案</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_Toc2804 \h </w:instrText>
          </w:r>
          <w:r>
            <w:rPr>
              <w:color w:val="auto"/>
              <w:sz w:val="24"/>
              <w:szCs w:val="24"/>
              <w:highlight w:val="none"/>
            </w:rPr>
            <w:fldChar w:fldCharType="separate"/>
          </w:r>
          <w:r>
            <w:rPr>
              <w:color w:val="auto"/>
              <w:sz w:val="24"/>
              <w:szCs w:val="24"/>
              <w:highlight w:val="none"/>
            </w:rPr>
            <w:t>59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_Toc31034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8  论证结论与意见</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_Toc31034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61</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_Toc12198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8.1.论证结论</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_Toc12198 \h </w:instrText>
          </w:r>
          <w:r>
            <w:rPr>
              <w:color w:val="auto"/>
              <w:sz w:val="24"/>
              <w:szCs w:val="24"/>
              <w:highlight w:val="none"/>
            </w:rPr>
            <w:fldChar w:fldCharType="separate"/>
          </w:r>
          <w:r>
            <w:rPr>
              <w:color w:val="auto"/>
              <w:sz w:val="24"/>
              <w:szCs w:val="24"/>
              <w:highlight w:val="none"/>
            </w:rPr>
            <w:t>61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_Toc2197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8.1.1.排污口基本情况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_Toc2197 \h </w:instrText>
          </w:r>
          <w:r>
            <w:rPr>
              <w:color w:val="auto"/>
              <w:sz w:val="24"/>
              <w:szCs w:val="24"/>
              <w:highlight w:val="none"/>
            </w:rPr>
            <w:fldChar w:fldCharType="separate"/>
          </w:r>
          <w:r>
            <w:rPr>
              <w:color w:val="auto"/>
              <w:sz w:val="24"/>
              <w:szCs w:val="24"/>
              <w:highlight w:val="none"/>
            </w:rPr>
            <w:t>61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_Toc18786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lang w:val="en-US" w:eastAsia="zh-CN"/>
            </w:rPr>
            <w:t>8.1.2</w:t>
          </w:r>
          <w:r>
            <w:rPr>
              <w:rFonts w:hint="default" w:ascii="Times New Roman" w:hAnsi="Times New Roman" w:cs="Times New Roman"/>
              <w:color w:val="auto"/>
              <w:sz w:val="24"/>
              <w:szCs w:val="24"/>
              <w:highlight w:val="none"/>
            </w:rPr>
            <w:t>所在水功能区（水域）纳污状况分析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_Toc18786 \h </w:instrText>
          </w:r>
          <w:r>
            <w:rPr>
              <w:color w:val="auto"/>
              <w:sz w:val="24"/>
              <w:szCs w:val="24"/>
              <w:highlight w:val="none"/>
            </w:rPr>
            <w:fldChar w:fldCharType="separate"/>
          </w:r>
          <w:r>
            <w:rPr>
              <w:color w:val="auto"/>
              <w:sz w:val="24"/>
              <w:szCs w:val="24"/>
              <w:highlight w:val="none"/>
            </w:rPr>
            <w:t>61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_Toc9118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.对水功能区（水域）水质和生态的影响</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_Toc9118 \h </w:instrText>
          </w:r>
          <w:r>
            <w:rPr>
              <w:color w:val="auto"/>
              <w:sz w:val="24"/>
              <w:szCs w:val="24"/>
              <w:highlight w:val="none"/>
            </w:rPr>
            <w:fldChar w:fldCharType="separate"/>
          </w:r>
          <w:r>
            <w:rPr>
              <w:color w:val="auto"/>
              <w:sz w:val="24"/>
              <w:szCs w:val="24"/>
              <w:highlight w:val="none"/>
            </w:rPr>
            <w:t>62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_Toc173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.对第三者权益的影响</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_Toc173 \h </w:instrText>
          </w:r>
          <w:r>
            <w:rPr>
              <w:color w:val="auto"/>
              <w:sz w:val="24"/>
              <w:szCs w:val="24"/>
              <w:highlight w:val="none"/>
            </w:rPr>
            <w:fldChar w:fldCharType="separate"/>
          </w:r>
          <w:r>
            <w:rPr>
              <w:color w:val="auto"/>
              <w:sz w:val="24"/>
              <w:szCs w:val="24"/>
              <w:highlight w:val="none"/>
            </w:rPr>
            <w:t>62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4"/>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_Toc8490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.入河排污口设置最终结论</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_Toc8490 \h </w:instrText>
          </w:r>
          <w:r>
            <w:rPr>
              <w:color w:val="auto"/>
              <w:sz w:val="24"/>
              <w:szCs w:val="24"/>
              <w:highlight w:val="none"/>
            </w:rPr>
            <w:fldChar w:fldCharType="separate"/>
          </w:r>
          <w:r>
            <w:rPr>
              <w:color w:val="auto"/>
              <w:sz w:val="24"/>
              <w:szCs w:val="24"/>
              <w:highlight w:val="none"/>
            </w:rPr>
            <w:t>62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_Toc26596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8.2.建议</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_Toc26596 \h </w:instrText>
          </w:r>
          <w:r>
            <w:rPr>
              <w:color w:val="auto"/>
              <w:sz w:val="24"/>
              <w:szCs w:val="24"/>
              <w:highlight w:val="none"/>
            </w:rPr>
            <w:fldChar w:fldCharType="separate"/>
          </w:r>
          <w:r>
            <w:rPr>
              <w:color w:val="auto"/>
              <w:sz w:val="24"/>
              <w:szCs w:val="24"/>
              <w:highlight w:val="none"/>
            </w:rPr>
            <w:t>63</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8"/>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HYPERLINK \l _Toc28049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9  附件附图</w:t>
          </w:r>
          <w:r>
            <w:rPr>
              <w:rFonts w:hint="default" w:ascii="Times New Roman" w:hAnsi="Times New Roman" w:cs="Times New Roman"/>
              <w:b/>
              <w:bCs/>
              <w:color w:val="auto"/>
              <w:sz w:val="24"/>
              <w:szCs w:val="24"/>
              <w:highlight w:val="none"/>
            </w:rPr>
            <w:tab/>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PAGEREF _Toc28049 \h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64</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_Toc6060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附件1  湘环发[2019]17号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_Toc6060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_Toc7099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 xml:space="preserve">  湘环函[2021]71号</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_Toc7099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67</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_Toc30238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 xml:space="preserve">  监测报告</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_Toc30238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_Toc6929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 xml:space="preserve">  环评登记表</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_Toc6929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79</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_Toc20694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固定污染源排污登记</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_Toc20694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81</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_Toc16092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附件</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 xml:space="preserve">  专家评审意见</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_Toc16092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82</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_Toc3893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附图1  排污口地理位置图</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_Toc3893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84</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_Toc13726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附图2  论证范围图</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_Toc13726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85</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_Toc2044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附图3  影响范围图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_Toc2044 \h </w:instrText>
          </w:r>
          <w:r>
            <w:rPr>
              <w:color w:val="auto"/>
              <w:sz w:val="24"/>
              <w:szCs w:val="24"/>
              <w:highlight w:val="none"/>
            </w:rPr>
            <w:fldChar w:fldCharType="separate"/>
          </w:r>
          <w:r>
            <w:rPr>
              <w:color w:val="auto"/>
              <w:sz w:val="24"/>
              <w:szCs w:val="24"/>
              <w:highlight w:val="none"/>
            </w:rPr>
            <w:t>86</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_Toc23622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rPr>
            <w:t xml:space="preserve">  </w:t>
          </w:r>
          <w:r>
            <w:rPr>
              <w:rFonts w:hint="default" w:ascii="Times New Roman" w:hAnsi="Times New Roman" w:cs="Times New Roman"/>
              <w:bCs/>
              <w:color w:val="auto"/>
              <w:sz w:val="24"/>
              <w:szCs w:val="24"/>
              <w:highlight w:val="none"/>
              <w:lang w:val="en-US" w:eastAsia="zh-CN"/>
            </w:rPr>
            <w:t>污水处理厂排放口与滔溪水厂朱阳溪饮用水水源保护区取水口相对关系图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_Toc23622 \h </w:instrText>
          </w:r>
          <w:r>
            <w:rPr>
              <w:color w:val="auto"/>
              <w:sz w:val="24"/>
              <w:szCs w:val="24"/>
              <w:highlight w:val="none"/>
            </w:rPr>
            <w:fldChar w:fldCharType="separate"/>
          </w:r>
          <w:r>
            <w:rPr>
              <w:color w:val="auto"/>
              <w:sz w:val="24"/>
              <w:szCs w:val="24"/>
              <w:highlight w:val="none"/>
            </w:rPr>
            <w:t>87</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_Toc26795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rPr>
            <w:t xml:space="preserve">  污水处理厂纳污范围图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_Toc26795 \h </w:instrText>
          </w:r>
          <w:r>
            <w:rPr>
              <w:color w:val="auto"/>
              <w:sz w:val="24"/>
              <w:szCs w:val="24"/>
              <w:highlight w:val="none"/>
            </w:rPr>
            <w:fldChar w:fldCharType="separate"/>
          </w:r>
          <w:r>
            <w:rPr>
              <w:color w:val="auto"/>
              <w:sz w:val="24"/>
              <w:szCs w:val="24"/>
              <w:highlight w:val="none"/>
            </w:rPr>
            <w:t>88</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_Toc9569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6</w:t>
          </w:r>
          <w:r>
            <w:rPr>
              <w:rFonts w:hint="default" w:ascii="Times New Roman" w:hAnsi="Times New Roman" w:cs="Times New Roman"/>
              <w:bCs/>
              <w:color w:val="auto"/>
              <w:sz w:val="24"/>
              <w:szCs w:val="24"/>
              <w:highlight w:val="none"/>
            </w:rPr>
            <w:t xml:space="preserve">  厂区平面布置示意图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_Toc9569 \h </w:instrText>
          </w:r>
          <w:r>
            <w:rPr>
              <w:color w:val="auto"/>
              <w:sz w:val="24"/>
              <w:szCs w:val="24"/>
              <w:highlight w:val="none"/>
            </w:rPr>
            <w:fldChar w:fldCharType="separate"/>
          </w:r>
          <w:r>
            <w:rPr>
              <w:color w:val="auto"/>
              <w:sz w:val="24"/>
              <w:szCs w:val="24"/>
              <w:highlight w:val="none"/>
            </w:rPr>
            <w:t>89</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_Toc4223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7</w:t>
          </w:r>
          <w:r>
            <w:rPr>
              <w:rFonts w:hint="default" w:ascii="Times New Roman" w:hAnsi="Times New Roman" w:cs="Times New Roman"/>
              <w:bCs/>
              <w:color w:val="auto"/>
              <w:sz w:val="24"/>
              <w:szCs w:val="24"/>
              <w:highlight w:val="none"/>
            </w:rPr>
            <w:t xml:space="preserve">  项目所在区域水系图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_Toc4223 \h </w:instrText>
          </w:r>
          <w:r>
            <w:rPr>
              <w:color w:val="auto"/>
              <w:sz w:val="24"/>
              <w:szCs w:val="24"/>
              <w:highlight w:val="none"/>
            </w:rPr>
            <w:fldChar w:fldCharType="separate"/>
          </w:r>
          <w:r>
            <w:rPr>
              <w:color w:val="auto"/>
              <w:sz w:val="24"/>
              <w:szCs w:val="24"/>
              <w:highlight w:val="none"/>
            </w:rPr>
            <w:t>90</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_Toc22162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8</w:t>
          </w:r>
          <w:r>
            <w:rPr>
              <w:rFonts w:hint="default" w:ascii="Times New Roman" w:hAnsi="Times New Roman" w:cs="Times New Roman"/>
              <w:bCs/>
              <w:color w:val="auto"/>
              <w:sz w:val="24"/>
              <w:szCs w:val="24"/>
              <w:highlight w:val="none"/>
            </w:rPr>
            <w:t xml:space="preserve">  项目水功能一级区划图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_Toc22162 \h </w:instrText>
          </w:r>
          <w:r>
            <w:rPr>
              <w:color w:val="auto"/>
              <w:sz w:val="24"/>
              <w:szCs w:val="24"/>
              <w:highlight w:val="none"/>
            </w:rPr>
            <w:fldChar w:fldCharType="separate"/>
          </w:r>
          <w:r>
            <w:rPr>
              <w:color w:val="auto"/>
              <w:sz w:val="24"/>
              <w:szCs w:val="24"/>
              <w:highlight w:val="none"/>
            </w:rPr>
            <w:t>91</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_Toc27778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bCs/>
              <w:color w:val="auto"/>
              <w:sz w:val="24"/>
              <w:szCs w:val="24"/>
              <w:highlight w:val="none"/>
            </w:rPr>
            <w:t>附图</w:t>
          </w:r>
          <w:r>
            <w:rPr>
              <w:rFonts w:hint="default" w:ascii="Times New Roman" w:hAnsi="Times New Roman" w:cs="Times New Roman"/>
              <w:bCs/>
              <w:color w:val="auto"/>
              <w:sz w:val="24"/>
              <w:szCs w:val="24"/>
              <w:highlight w:val="none"/>
              <w:lang w:val="en-US" w:eastAsia="zh-CN"/>
            </w:rPr>
            <w:t>9</w:t>
          </w:r>
          <w:r>
            <w:rPr>
              <w:rFonts w:hint="default" w:ascii="Times New Roman" w:hAnsi="Times New Roman" w:cs="Times New Roman"/>
              <w:bCs/>
              <w:color w:val="auto"/>
              <w:sz w:val="24"/>
              <w:szCs w:val="24"/>
              <w:highlight w:val="none"/>
            </w:rPr>
            <w:t xml:space="preserve">  项目水功能区划图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_Toc27778 \h </w:instrText>
          </w:r>
          <w:r>
            <w:rPr>
              <w:color w:val="auto"/>
              <w:sz w:val="24"/>
              <w:szCs w:val="24"/>
              <w:highlight w:val="none"/>
            </w:rPr>
            <w:fldChar w:fldCharType="separate"/>
          </w:r>
          <w:r>
            <w:rPr>
              <w:color w:val="auto"/>
              <w:sz w:val="24"/>
              <w:szCs w:val="24"/>
              <w:highlight w:val="none"/>
            </w:rPr>
            <w:t>92</w:t>
          </w:r>
          <w:r>
            <w:rPr>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pStyle w:val="19"/>
            <w:keepNext w:val="0"/>
            <w:keepLines w:val="0"/>
            <w:pageBreakBefore w:val="0"/>
            <w:tabs>
              <w:tab w:val="right" w:leader="dot" w:pos="8306"/>
            </w:tabs>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\l _Toc14055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附图</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 xml:space="preserve">  纳污河流现状图</w:t>
          </w:r>
          <w:r>
            <w:rPr>
              <w:rFonts w:hint="default" w:ascii="Times New Roman" w:hAnsi="Times New Roman" w:cs="Times New Roman"/>
              <w:color w:val="auto"/>
              <w:sz w:val="24"/>
              <w:szCs w:val="24"/>
              <w:highlight w:val="none"/>
            </w:rPr>
            <w:tab/>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PAGEREF _Toc14055 \h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93</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fldChar w:fldCharType="end"/>
          </w:r>
        </w:p>
        <w:p>
          <w:pPr>
            <w:keepNext w:val="0"/>
            <w:keepLines w:val="0"/>
            <w:pageBreakBefore w:val="0"/>
            <w:widowControl/>
            <w:kinsoku/>
            <w:wordWrap/>
            <w:overflowPunct/>
            <w:topLinePunct w:val="0"/>
            <w:autoSpaceDE/>
            <w:autoSpaceDN/>
            <w:bidi w:val="0"/>
            <w:adjustRightInd/>
            <w:snapToGrid/>
            <w:spacing w:line="288"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fldChar w:fldCharType="end"/>
          </w:r>
        </w:p>
      </w:sdtContent>
    </w:sdt>
    <w:p>
      <w:pPr>
        <w:pStyle w:val="10"/>
        <w:keepNext w:val="0"/>
        <w:keepLines w:val="0"/>
        <w:pageBreakBefore w:val="0"/>
        <w:widowControl/>
        <w:kinsoku/>
        <w:wordWrap/>
        <w:overflowPunct/>
        <w:topLinePunct w:val="0"/>
        <w:autoSpaceDE/>
        <w:autoSpaceDN/>
        <w:bidi w:val="0"/>
        <w:adjustRightInd/>
        <w:snapToGrid/>
        <w:spacing w:before="0" w:after="0" w:line="25" w:lineRule="atLeast"/>
        <w:outlineLvl w:val="0"/>
        <w:rPr>
          <w:rFonts w:hint="default" w:ascii="Times New Roman" w:hAnsi="Times New Roman" w:cs="Times New Roman"/>
          <w:b/>
          <w:bCs/>
          <w:color w:val="auto"/>
          <w:sz w:val="32"/>
          <w:szCs w:val="32"/>
          <w:highlight w:val="none"/>
        </w:rPr>
        <w:sectPr>
          <w:footerReference r:id="rId3" w:type="default"/>
          <w:pgSz w:w="11906" w:h="16838"/>
          <w:pgMar w:top="1644" w:right="1800" w:bottom="1814" w:left="1800" w:header="851" w:footer="992" w:gutter="0"/>
          <w:pgNumType w:start="1"/>
          <w:cols w:space="720" w:num="1"/>
          <w:docGrid w:type="lines" w:linePitch="312" w:charSpace="0"/>
        </w:sectPr>
      </w:pPr>
    </w:p>
    <w:p>
      <w:pPr>
        <w:pStyle w:val="10"/>
        <w:spacing w:before="0" w:after="0" w:line="360" w:lineRule="auto"/>
        <w:outlineLvl w:val="0"/>
        <w:rPr>
          <w:rFonts w:hint="default" w:ascii="Times New Roman" w:hAnsi="Times New Roman" w:cs="Times New Roman"/>
          <w:b/>
          <w:bCs/>
          <w:color w:val="auto"/>
          <w:sz w:val="32"/>
          <w:szCs w:val="32"/>
          <w:highlight w:val="none"/>
        </w:rPr>
      </w:pPr>
      <w:bookmarkStart w:id="4" w:name="_Toc9032"/>
      <w:r>
        <w:rPr>
          <w:rFonts w:hint="default" w:ascii="Times New Roman" w:hAnsi="Times New Roman" w:cs="Times New Roman"/>
          <w:b/>
          <w:bCs/>
          <w:color w:val="auto"/>
          <w:sz w:val="32"/>
          <w:szCs w:val="32"/>
          <w:highlight w:val="none"/>
        </w:rPr>
        <w:t>1  总则</w:t>
      </w:r>
      <w:bookmarkEnd w:id="4"/>
    </w:p>
    <w:p>
      <w:pPr>
        <w:pStyle w:val="10"/>
        <w:spacing w:before="0" w:after="0" w:line="360" w:lineRule="auto"/>
        <w:jc w:val="left"/>
        <w:outlineLvl w:val="1"/>
        <w:rPr>
          <w:rFonts w:hint="default" w:ascii="Times New Roman" w:hAnsi="Times New Roman" w:cs="Times New Roman"/>
          <w:b/>
          <w:bCs/>
          <w:color w:val="auto"/>
          <w:szCs w:val="24"/>
          <w:highlight w:val="none"/>
        </w:rPr>
      </w:pPr>
      <w:bookmarkStart w:id="5" w:name="_Toc24234"/>
      <w:r>
        <w:rPr>
          <w:rFonts w:hint="default" w:ascii="Times New Roman" w:hAnsi="Times New Roman" w:cs="Times New Roman"/>
          <w:b/>
          <w:bCs/>
          <w:color w:val="auto"/>
          <w:szCs w:val="24"/>
          <w:highlight w:val="none"/>
        </w:rPr>
        <w:t>1.1.论证目的</w:t>
      </w:r>
      <w:bookmarkEnd w:id="5"/>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随着我国城镇化水平的不断提高，乡镇人口不断集中，乡镇企业不断发展，乡镇污水排放量不断增加，水环境受到了前所未有的严峻挑战。为了改变安化县滔溪镇滔溪社区污水排放现状，同时也为更好的给当地社会与经济发展创造良好环境，安化县住房和城乡建设局决定在安化县滔溪镇滔溪社区新建一座处理规模为250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/d的污水处理厂（安化县滔溪镇污水处理厂），主要收纳乡镇集中生活区域的生活污水，服务人口约为3300人，工程配套管网长度5.1km。</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本生活污水处理厂已建设完成，目前处于</w:t>
      </w:r>
      <w:r>
        <w:rPr>
          <w:rFonts w:hint="default" w:ascii="Times New Roman" w:hAnsi="Times New Roman" w:cs="Times New Roman"/>
          <w:color w:val="auto"/>
          <w:highlight w:val="none"/>
          <w:lang w:eastAsia="zh-CN"/>
        </w:rPr>
        <w:t>调试试运营阶段</w:t>
      </w:r>
      <w:r>
        <w:rPr>
          <w:rFonts w:hint="default" w:ascii="Times New Roman" w:hAnsi="Times New Roman" w:cs="Times New Roman"/>
          <w:color w:val="auto"/>
          <w:highlight w:val="none"/>
        </w:rPr>
        <w:t>，本次论证包括本次论证包括安化县滔溪镇污水处理厂废水排放对排污口至下游滔溪入资水河流的影响程，污水处理厂基本情况如下所示：</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处理工艺为：“格栅渠-调节池-水解酸化-接触氧化（厌氧-缺氧-好氧）-二沉池-清水池-多介质过滤器-紫外线消毒-计量渠-外排”</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出水标准：《城镇污水处理厂污染物排放标准》（GB18918-2002）一级B排放标准</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排水管道：约6m埋地管道，聚乙烯双壁波纹管DN300</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纳污水体：</w:t>
      </w:r>
      <w:r>
        <w:rPr>
          <w:rFonts w:hint="default" w:ascii="Times New Roman" w:hAnsi="Times New Roman" w:cs="Times New Roman"/>
          <w:color w:val="auto"/>
          <w:highlight w:val="none"/>
          <w:lang w:val="de-DE"/>
        </w:rPr>
        <w:t>滔溪</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排污口坐标：东经111.593244292°，北纬28.351393649°</w:t>
      </w:r>
    </w:p>
    <w:p>
      <w:pPr>
        <w:pStyle w:val="10"/>
        <w:spacing w:before="0" w:after="0" w:line="360" w:lineRule="auto"/>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建设情况：于2021年完成建设，目前项目处于</w:t>
      </w:r>
      <w:r>
        <w:rPr>
          <w:rFonts w:hint="default" w:ascii="Times New Roman" w:hAnsi="Times New Roman" w:cs="Times New Roman"/>
          <w:color w:val="auto"/>
          <w:highlight w:val="none"/>
          <w:lang w:eastAsia="zh-CN"/>
        </w:rPr>
        <w:t>调试试运营阶段</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2016年7月修订的《中华人民共和国水法》、2017年6月修订的《中华人民共和国水污染防治法》、2018年3月修订的《中华人民共和国河道管理条例》以及根据中华人民共和国水利部第47号令《入河排污口监督管理办法》、水利部水资源水资源[2017]138号《关于加强入河排污口监督管理工作的通知》、《湖南省入河排污口监督管理办法》湘政办发〔2018〕44号等相关规定。</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在江河、湖泊新建、改建、扩建排污口的，应当取得水行政主管部门或者流域管理机构同意；但在保护区、饮用水源区等环境敏感区域的相邻功能区以及跨行政区域河段交界断面附近设置排污口的，应当编制入河排污口设置论证报告。</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为严格执行水利部《入河排污口监督管理办法》（水利部令第47号），促进水资源优化配置，保证水资源可持续利用，保障建设项目的合理排水要求，并根据《入河排污口监督管理办法》（水利部令第47号修改）及《入河排污口设置论证基本要求（试行）》的有关规定，安化县住房和城乡建设局委托我公司开展其入河排污口设置论证工作。</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通过实地查勘，收集该建设项目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各级水行政主管部门或流域管理机构审批入河排污口以及建设单位合理设置入河排污口提供科学依据，以保障生活、生产和生态用水安全。</w:t>
      </w:r>
    </w:p>
    <w:p>
      <w:pPr>
        <w:pStyle w:val="10"/>
        <w:spacing w:before="0" w:after="0" w:line="360" w:lineRule="auto"/>
        <w:jc w:val="both"/>
        <w:outlineLvl w:val="1"/>
        <w:rPr>
          <w:rFonts w:hint="default" w:ascii="Times New Roman" w:hAnsi="Times New Roman" w:cs="Times New Roman"/>
          <w:b/>
          <w:bCs/>
          <w:color w:val="auto"/>
          <w:highlight w:val="none"/>
        </w:rPr>
      </w:pPr>
      <w:bookmarkStart w:id="6" w:name="_Toc9906"/>
      <w:r>
        <w:rPr>
          <w:rFonts w:hint="default" w:ascii="Times New Roman" w:hAnsi="Times New Roman" w:cs="Times New Roman"/>
          <w:b/>
          <w:bCs/>
          <w:color w:val="auto"/>
          <w:highlight w:val="none"/>
        </w:rPr>
        <w:t>1.2.论证依据</w:t>
      </w:r>
      <w:bookmarkEnd w:id="6"/>
    </w:p>
    <w:p>
      <w:pPr>
        <w:pStyle w:val="10"/>
        <w:spacing w:before="0" w:after="0" w:line="360" w:lineRule="auto"/>
        <w:ind w:firstLine="482" w:firstLineChars="200"/>
        <w:jc w:val="both"/>
        <w:outlineLvl w:val="2"/>
        <w:rPr>
          <w:rFonts w:hint="default" w:ascii="Times New Roman" w:hAnsi="Times New Roman" w:cs="Times New Roman"/>
          <w:b/>
          <w:bCs/>
          <w:color w:val="auto"/>
          <w:highlight w:val="none"/>
        </w:rPr>
      </w:pPr>
      <w:bookmarkStart w:id="7" w:name="_Toc5502"/>
      <w:r>
        <w:rPr>
          <w:rFonts w:hint="default" w:ascii="Times New Roman" w:hAnsi="Times New Roman" w:cs="Times New Roman"/>
          <w:b/>
          <w:bCs/>
          <w:color w:val="auto"/>
          <w:highlight w:val="none"/>
        </w:rPr>
        <w:t>1.2.1.法律法规</w:t>
      </w:r>
      <w:bookmarkEnd w:id="7"/>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（1）《中华人民共和国环境保护法》（2015年1月）；</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（2）《中华人民共和国环境影响评价法》（2018年12修订）；</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（3）《中华人民共和国水污染防治法》（2017年6月修订）；</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（4）《中华人民共和国大气污染防治法》（2018年10月修订）；</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（5）《中华人民共和国固体废物污染环境防治法》（2020年修订）；</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（6）《中华人民共和国河道管理条例》（2018.3.19）；</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（7）《中华人民共和国自然保护区条列》（国务院令第167号）；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（8）《城镇排水与污水处理条列》（国务院令第641号令，2013年.10.2）；</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（9）《入河排污口监督管理办法》（水利部令第47号）；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（10）《水行政许可实施办法》（水利部令第23号）；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（11）《水功能区监督管理办法》（水资源[2017]101号）；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（12）《关于做好入河排污口和水功能区划相关工作的通知》（环办水体[2019]36号）；</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（13）湖南省生态环境厅&lt;关于做好入河排污口设置审批和水功能区划&gt;相关工作的通知（湘环发[2019]）17号）；</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（14）湖南省人民政府办公厅关于印发《湖南省入河排污口监督管理办法》的通知（湘政办发[2018]44号）；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（15）《湖南省住房和城乡建设厅等八部门关于建立绿色通道加快城乡污水处理设施建设前期工作的通知》（湘建村[2019]230号）；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（16）《关于规范入河排污口设置审批工作的函》（湘环函[2021]71号）；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（17）《中华人民共和国长江保护法》（2020年12月26日第十三届全国人民代表大会常务委员会第二十四次会议通过）。</w:t>
      </w:r>
    </w:p>
    <w:p>
      <w:pPr>
        <w:pStyle w:val="10"/>
        <w:spacing w:line="360" w:lineRule="auto"/>
        <w:ind w:firstLine="482" w:firstLineChars="200"/>
        <w:jc w:val="both"/>
        <w:outlineLvl w:val="2"/>
        <w:rPr>
          <w:rFonts w:hint="default" w:ascii="Times New Roman" w:hAnsi="Times New Roman" w:cs="Times New Roman"/>
          <w:b/>
          <w:bCs/>
          <w:color w:val="auto"/>
          <w:highlight w:val="none"/>
        </w:rPr>
      </w:pPr>
      <w:bookmarkStart w:id="8" w:name="_Toc5151"/>
      <w:r>
        <w:rPr>
          <w:rFonts w:hint="default" w:ascii="Times New Roman" w:hAnsi="Times New Roman" w:cs="Times New Roman"/>
          <w:b/>
          <w:bCs/>
          <w:color w:val="auto"/>
          <w:highlight w:val="none"/>
        </w:rPr>
        <w:t>1.2.2.部门规章及规范性文件</w:t>
      </w:r>
      <w:bookmarkEnd w:id="8"/>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(1)《建设项目水资源论证管理办法》（水利部令第49号，2017.12.22）；</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(2)《入河排污口设置论证基本要求（试行）》（水利部办公厅，2005年3月）；</w:t>
      </w:r>
    </w:p>
    <w:p>
      <w:pPr>
        <w:pStyle w:val="10"/>
        <w:spacing w:before="0" w:after="0" w:line="360" w:lineRule="auto"/>
        <w:ind w:firstLine="480" w:firstLineChars="20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(3)《关于进一步加强入河排污口监督管理工作的通知》（水资源[2017]138号）</w:t>
      </w:r>
      <w:r>
        <w:rPr>
          <w:rFonts w:hint="default" w:ascii="Times New Roman" w:hAnsi="Times New Roman" w:cs="Times New Roman"/>
          <w:color w:val="auto"/>
          <w:highlight w:val="none"/>
          <w:lang w:val="en-US" w:eastAsia="zh-CN"/>
        </w:rPr>
        <w:t>。</w:t>
      </w:r>
    </w:p>
    <w:p>
      <w:pPr>
        <w:pStyle w:val="10"/>
        <w:spacing w:line="360" w:lineRule="auto"/>
        <w:ind w:firstLine="482" w:firstLineChars="200"/>
        <w:jc w:val="both"/>
        <w:outlineLvl w:val="2"/>
        <w:rPr>
          <w:rFonts w:hint="default" w:ascii="Times New Roman" w:hAnsi="Times New Roman" w:cs="Times New Roman"/>
          <w:b/>
          <w:bCs/>
          <w:color w:val="auto"/>
          <w:highlight w:val="none"/>
        </w:rPr>
      </w:pPr>
      <w:bookmarkStart w:id="9" w:name="_Toc6178"/>
      <w:r>
        <w:rPr>
          <w:rFonts w:hint="default" w:ascii="Times New Roman" w:hAnsi="Times New Roman" w:cs="Times New Roman"/>
          <w:b/>
          <w:bCs/>
          <w:color w:val="auto"/>
          <w:highlight w:val="none"/>
        </w:rPr>
        <w:t>1.2.3.地方法规政策</w:t>
      </w:r>
      <w:bookmarkEnd w:id="9"/>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(1)《湖南省入河排污口监督管理办法》（湘政办发[2018]44号）；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(2)《关于做好入河排污口设置审批和水功能区划相关工作的通知》（湘环发[2019]17号）；</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(3)《湖南省入河排污口设置审批工作指引》；</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(4)《湖南省主要地表水系水环境功能区划》（DB43/023-2005）；</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(5)</w:t>
      </w:r>
      <w:r>
        <w:rPr>
          <w:rFonts w:hint="default" w:ascii="Times New Roman" w:hAnsi="Times New Roman" w:cs="Times New Roman"/>
          <w:color w:val="auto"/>
          <w:highlight w:val="none"/>
          <w:lang w:val="zh-CN"/>
        </w:rPr>
        <w:t>国家林业局文件林湿发（2015）189号。</w:t>
      </w:r>
    </w:p>
    <w:p>
      <w:pPr>
        <w:pStyle w:val="10"/>
        <w:spacing w:line="360" w:lineRule="auto"/>
        <w:ind w:firstLine="482" w:firstLineChars="200"/>
        <w:jc w:val="both"/>
        <w:outlineLvl w:val="2"/>
        <w:rPr>
          <w:rFonts w:hint="default" w:ascii="Times New Roman" w:hAnsi="Times New Roman" w:cs="Times New Roman"/>
          <w:b/>
          <w:bCs/>
          <w:color w:val="auto"/>
          <w:highlight w:val="none"/>
        </w:rPr>
      </w:pPr>
      <w:bookmarkStart w:id="10" w:name="_Toc10648"/>
      <w:r>
        <w:rPr>
          <w:rFonts w:hint="default" w:ascii="Times New Roman" w:hAnsi="Times New Roman" w:cs="Times New Roman"/>
          <w:b/>
          <w:bCs/>
          <w:color w:val="auto"/>
          <w:highlight w:val="none"/>
        </w:rPr>
        <w:t>1.2.4.技术导则与规范、标准</w:t>
      </w:r>
      <w:bookmarkEnd w:id="10"/>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（1）《水利水电建设项目水资源论证导则》SL/525—2011；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（2）《建设项目水资源论证技术标准汇编》水利部水资源司；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（3）《地表水环境质量标准》（GB3838-2002）；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（4）《污水综合排放标准》（GB8978-1996）；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（5）《水资源评价导则》（SL/T238-1999）；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（6）《水利水电工程水文计算规范》（SL/T278-2002）；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（7）《水利工程水利计算规范》（SL104-95）；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（8）《环境影响评价技术导则》（HJ/T2.1-2016，HJ/T2.2-2018，HJ/T2.3-2018， HJ/T2.4-2008，HJ/T610-2016，HJ/T19-2011）；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（9）《生活饮用水卫生标准》（GB5749-2006）；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（10）《水域纳污能力计算规程》（GB/T25173-2010）；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（11）《地表水资源质量评价技术规程》（SL395-2007）；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（12）《城镇污水处理厂污染物排放标准》（GB18918-2002）；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（13）《入河排污口设置论证报告技术导则（征求意见稿）》；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（14）《入河排污口管理技术导则》（SL 532-2011）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 xml:space="preserve"> </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（15）《湖南省水功能区监督管理办法》的通知湘政办发〔2016〕14 号。</w:t>
      </w:r>
    </w:p>
    <w:p>
      <w:pPr>
        <w:pStyle w:val="10"/>
        <w:spacing w:line="360" w:lineRule="auto"/>
        <w:ind w:firstLine="482" w:firstLineChars="200"/>
        <w:jc w:val="both"/>
        <w:outlineLvl w:val="2"/>
        <w:rPr>
          <w:rFonts w:hint="default" w:ascii="Times New Roman" w:hAnsi="Times New Roman" w:cs="Times New Roman"/>
          <w:b/>
          <w:bCs/>
          <w:color w:val="auto"/>
          <w:highlight w:val="none"/>
        </w:rPr>
      </w:pPr>
      <w:bookmarkStart w:id="11" w:name="_Toc1321"/>
      <w:r>
        <w:rPr>
          <w:rFonts w:hint="default" w:ascii="Times New Roman" w:hAnsi="Times New Roman" w:cs="Times New Roman"/>
          <w:b/>
          <w:bCs/>
          <w:color w:val="auto"/>
          <w:highlight w:val="none"/>
        </w:rPr>
        <w:t>1.2.5.其它相关文件</w:t>
      </w:r>
      <w:bookmarkEnd w:id="11"/>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（1）《安化县乡镇污水处理及配套设施项目（二期）初步设计》（湖南平安环保股份有限公司，2020.7）；</w:t>
      </w:r>
    </w:p>
    <w:p>
      <w:pPr>
        <w:pStyle w:val="10"/>
        <w:spacing w:before="0" w:after="0" w:line="360" w:lineRule="auto"/>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（2）《安化县乡镇污水处理及配套设施项目（二期）可行性研究报告》（安徽民力工程院咨询有限公司，2020.3）</w:t>
      </w:r>
      <w:r>
        <w:rPr>
          <w:rFonts w:hint="default" w:ascii="Times New Roman" w:hAnsi="Times New Roman" w:cs="Times New Roman"/>
          <w:color w:val="auto"/>
          <w:highlight w:val="none"/>
          <w:lang w:eastAsia="zh-CN"/>
        </w:rPr>
        <w:t>；</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（3）其他文件。</w:t>
      </w:r>
    </w:p>
    <w:p>
      <w:pPr>
        <w:pStyle w:val="10"/>
        <w:spacing w:line="360" w:lineRule="auto"/>
        <w:jc w:val="both"/>
        <w:outlineLvl w:val="1"/>
        <w:rPr>
          <w:rFonts w:hint="default" w:ascii="Times New Roman" w:hAnsi="Times New Roman" w:cs="Times New Roman"/>
          <w:b/>
          <w:bCs/>
          <w:color w:val="auto"/>
          <w:highlight w:val="none"/>
        </w:rPr>
      </w:pPr>
      <w:bookmarkStart w:id="12" w:name="_Toc18768"/>
      <w:r>
        <w:rPr>
          <w:rFonts w:hint="default" w:ascii="Times New Roman" w:hAnsi="Times New Roman" w:cs="Times New Roman"/>
          <w:b/>
          <w:bCs/>
          <w:color w:val="auto"/>
          <w:highlight w:val="none"/>
        </w:rPr>
        <w:t>1.3.论证原则</w:t>
      </w:r>
      <w:bookmarkEnd w:id="12"/>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（1）符合国家有关水污染防治法、水资源保护法律、法规和相关政策的要求和规定。</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（2）符合国家和行业有关技术标准与规范、规程。</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（3）符合流域或区域的综合规划及水资源保护等专业规划。</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（4）符合水功能区管理要求。</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（5）全面系统，重点突出。</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（6）客观公正，科学合理。</w:t>
      </w:r>
    </w:p>
    <w:p>
      <w:pPr>
        <w:pStyle w:val="10"/>
        <w:spacing w:line="360" w:lineRule="auto"/>
        <w:jc w:val="both"/>
        <w:outlineLvl w:val="1"/>
        <w:rPr>
          <w:rFonts w:hint="default" w:ascii="Times New Roman" w:hAnsi="Times New Roman" w:cs="Times New Roman"/>
          <w:b/>
          <w:bCs/>
          <w:color w:val="auto"/>
          <w:highlight w:val="none"/>
        </w:rPr>
      </w:pPr>
      <w:bookmarkStart w:id="13" w:name="_Toc9276"/>
      <w:r>
        <w:rPr>
          <w:rFonts w:hint="default" w:ascii="Times New Roman" w:hAnsi="Times New Roman" w:cs="Times New Roman"/>
          <w:b/>
          <w:bCs/>
          <w:color w:val="auto"/>
          <w:highlight w:val="none"/>
        </w:rPr>
        <w:t>1.4.论证范围</w:t>
      </w:r>
      <w:bookmarkEnd w:id="13"/>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根据《入河排污口管理技术导则》（SL532-2011）规定，入河排污口设置论证范围应根据其影响范围和程度确定。受入河排污口设置影响的主要水域和其影响范围内的第三方取、用水户原则上应纳入论证范围。</w:t>
      </w:r>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对地表水的影响论证应以水功能区为基础单元，论证重点区域为入河排污口所在水功能区和可能受到影响的周边水功能区；涉及鱼类产卵场等生态敏感点的，论证范围可不限于上述水功能区。未划分水功能区的水域，入河排污口排污影响范围内的水域都应为论证范围。</w:t>
      </w:r>
    </w:p>
    <w:p>
      <w:pPr>
        <w:pStyle w:val="10"/>
        <w:adjustRightInd w:val="0"/>
        <w:snapToGrid w:val="0"/>
        <w:spacing w:before="0" w:after="0" w:line="440" w:lineRule="exact"/>
        <w:ind w:firstLine="480" w:firstLineChars="200"/>
        <w:jc w:val="both"/>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安化县滔溪镇污水处理厂入河排污口坐标为：</w:t>
      </w:r>
      <w:r>
        <w:rPr>
          <w:rFonts w:hint="default" w:ascii="Times New Roman" w:hAnsi="Times New Roman" w:cs="Times New Roman"/>
          <w:color w:val="auto"/>
          <w:szCs w:val="24"/>
          <w:highlight w:val="none"/>
          <w:u w:val="single"/>
        </w:rPr>
        <w:t>东经111.593244292°，北纬28.351393649°</w:t>
      </w:r>
      <w:r>
        <w:rPr>
          <w:rFonts w:hint="default" w:ascii="Times New Roman" w:hAnsi="Times New Roman" w:cs="Times New Roman"/>
          <w:color w:val="auto"/>
          <w:highlight w:val="none"/>
          <w:u w:val="single"/>
        </w:rPr>
        <w:t>，根据废水影响范围和程度，安化县滔溪镇污水处理厂入河排污口论证范围为：以入河排污口为起点，滔溪与洢水汇合处为</w:t>
      </w:r>
      <w:r>
        <w:rPr>
          <w:rFonts w:hint="default" w:ascii="Times New Roman" w:hAnsi="Times New Roman" w:cs="Times New Roman"/>
          <w:color w:val="auto"/>
          <w:highlight w:val="none"/>
          <w:u w:val="single"/>
          <w:lang w:val="en-US" w:eastAsia="zh-CN"/>
        </w:rPr>
        <w:t>终点（涉及滔溪总长10870m）</w:t>
      </w:r>
      <w:r>
        <w:rPr>
          <w:rFonts w:hint="default" w:ascii="Times New Roman" w:hAnsi="Times New Roman" w:cs="Times New Roman"/>
          <w:color w:val="auto"/>
          <w:highlight w:val="none"/>
          <w:u w:val="single"/>
        </w:rPr>
        <w:t>。项目论证范围示意图见附图2。</w:t>
      </w:r>
    </w:p>
    <w:p>
      <w:pPr>
        <w:pStyle w:val="10"/>
        <w:adjustRightInd w:val="0"/>
        <w:snapToGrid w:val="0"/>
        <w:spacing w:line="440" w:lineRule="exact"/>
        <w:jc w:val="both"/>
        <w:outlineLvl w:val="1"/>
        <w:rPr>
          <w:rFonts w:hint="default" w:ascii="Times New Roman" w:hAnsi="Times New Roman" w:cs="Times New Roman"/>
          <w:b/>
          <w:bCs/>
          <w:color w:val="auto"/>
          <w:highlight w:val="none"/>
        </w:rPr>
      </w:pPr>
      <w:bookmarkStart w:id="14" w:name="_Toc22915"/>
      <w:r>
        <w:rPr>
          <w:rFonts w:hint="default" w:ascii="Times New Roman" w:hAnsi="Times New Roman" w:cs="Times New Roman"/>
          <w:b/>
          <w:bCs/>
          <w:color w:val="auto"/>
          <w:highlight w:val="none"/>
        </w:rPr>
        <w:t>1.5.论证工作程序</w:t>
      </w:r>
      <w:bookmarkEnd w:id="14"/>
    </w:p>
    <w:p>
      <w:pPr>
        <w:pStyle w:val="10"/>
        <w:widowControl w:val="0"/>
        <w:adjustRightInd w:val="0"/>
        <w:snapToGrid w:val="0"/>
        <w:spacing w:before="0" w:after="0" w:line="440" w:lineRule="exact"/>
        <w:ind w:firstLine="480" w:firstLineChars="200"/>
        <w:jc w:val="both"/>
        <w:outlineLvl w:val="2"/>
        <w:rPr>
          <w:rFonts w:hint="default" w:ascii="Times New Roman" w:hAnsi="Times New Roman" w:cs="Times New Roman"/>
          <w:color w:val="auto"/>
          <w:highlight w:val="none"/>
        </w:rPr>
      </w:pPr>
      <w:bookmarkStart w:id="15" w:name="_Toc187"/>
      <w:bookmarkStart w:id="16" w:name="_Toc26714"/>
      <w:bookmarkStart w:id="17" w:name="_Toc29434"/>
      <w:r>
        <w:rPr>
          <w:rFonts w:hint="default" w:ascii="Times New Roman" w:hAnsi="Times New Roman" w:cs="Times New Roman"/>
          <w:color w:val="auto"/>
          <w:highlight w:val="none"/>
        </w:rPr>
        <w:t>（1）资料收集</w:t>
      </w:r>
      <w:bookmarkEnd w:id="15"/>
      <w:bookmarkEnd w:id="16"/>
      <w:bookmarkEnd w:id="17"/>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调查收集本项目所在区域水资源、水利等相关规划以及水资源公报、水环境监测数据、排污口所属河段水资源保护管理要求等相资料，掌握区域水资源及其开发利用、水环境状况，了解建设项目设计方案，收集本项目的地理位置、废水处理工艺、排放方式与去向、排水量、排水水质、入河排污口类型等资料。</w:t>
      </w:r>
    </w:p>
    <w:p>
      <w:pPr>
        <w:pStyle w:val="10"/>
        <w:widowControl w:val="0"/>
        <w:adjustRightInd w:val="0"/>
        <w:snapToGrid w:val="0"/>
        <w:spacing w:before="0" w:after="0" w:line="440" w:lineRule="exact"/>
        <w:ind w:firstLine="480" w:firstLineChars="200"/>
        <w:jc w:val="both"/>
        <w:outlineLvl w:val="2"/>
        <w:rPr>
          <w:rFonts w:hint="default" w:ascii="Times New Roman" w:hAnsi="Times New Roman" w:cs="Times New Roman"/>
          <w:color w:val="auto"/>
          <w:highlight w:val="none"/>
        </w:rPr>
      </w:pPr>
      <w:bookmarkStart w:id="18" w:name="_Toc25745"/>
      <w:bookmarkStart w:id="19" w:name="_Toc7398"/>
      <w:bookmarkStart w:id="20" w:name="_Toc6240"/>
      <w:r>
        <w:rPr>
          <w:rFonts w:hint="default" w:ascii="Times New Roman" w:hAnsi="Times New Roman" w:cs="Times New Roman"/>
          <w:color w:val="auto"/>
          <w:highlight w:val="none"/>
        </w:rPr>
        <w:t>（2）现场查勘</w:t>
      </w:r>
      <w:bookmarkEnd w:id="18"/>
      <w:bookmarkEnd w:id="19"/>
      <w:bookmarkEnd w:id="20"/>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现场查勘看本项目场区及周边生态环境状况，对项目入河排污口进行定位，复核入河排污口类型、排放方式与排水途径等基本情况，了解排入水体的现状特点、其他取排水用户分布情况。</w:t>
      </w:r>
    </w:p>
    <w:p>
      <w:pPr>
        <w:pStyle w:val="10"/>
        <w:widowControl w:val="0"/>
        <w:adjustRightInd w:val="0"/>
        <w:snapToGrid w:val="0"/>
        <w:spacing w:before="0" w:after="0" w:line="440" w:lineRule="exact"/>
        <w:ind w:firstLine="480" w:firstLineChars="200"/>
        <w:jc w:val="both"/>
        <w:outlineLvl w:val="2"/>
        <w:rPr>
          <w:rFonts w:hint="default" w:ascii="Times New Roman" w:hAnsi="Times New Roman" w:cs="Times New Roman"/>
          <w:color w:val="auto"/>
          <w:highlight w:val="none"/>
        </w:rPr>
      </w:pPr>
      <w:bookmarkStart w:id="21" w:name="_Toc16361"/>
      <w:bookmarkStart w:id="22" w:name="_Toc205"/>
      <w:bookmarkStart w:id="23" w:name="_Toc14776"/>
      <w:r>
        <w:rPr>
          <w:rFonts w:hint="default" w:ascii="Times New Roman" w:hAnsi="Times New Roman" w:cs="Times New Roman"/>
          <w:color w:val="auto"/>
          <w:highlight w:val="none"/>
        </w:rPr>
        <w:t>（3）补充监测</w:t>
      </w:r>
      <w:bookmarkEnd w:id="21"/>
      <w:bookmarkEnd w:id="22"/>
      <w:bookmarkEnd w:id="23"/>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对于本项目涉及但没有现状监测资料的地表水体进行必要的水质补充监测。</w:t>
      </w:r>
    </w:p>
    <w:p>
      <w:pPr>
        <w:pStyle w:val="10"/>
        <w:widowControl w:val="0"/>
        <w:adjustRightInd w:val="0"/>
        <w:snapToGrid w:val="0"/>
        <w:spacing w:before="0" w:after="0" w:line="440" w:lineRule="exact"/>
        <w:ind w:firstLine="480" w:firstLineChars="200"/>
        <w:jc w:val="both"/>
        <w:outlineLvl w:val="2"/>
        <w:rPr>
          <w:rFonts w:hint="default" w:ascii="Times New Roman" w:hAnsi="Times New Roman" w:cs="Times New Roman"/>
          <w:color w:val="auto"/>
          <w:highlight w:val="none"/>
        </w:rPr>
      </w:pPr>
      <w:bookmarkStart w:id="24" w:name="_Toc22877"/>
      <w:bookmarkStart w:id="25" w:name="_Toc12307"/>
      <w:bookmarkStart w:id="26" w:name="_Toc11334"/>
      <w:r>
        <w:rPr>
          <w:rFonts w:hint="default" w:ascii="Times New Roman" w:hAnsi="Times New Roman" w:cs="Times New Roman"/>
          <w:color w:val="auto"/>
          <w:highlight w:val="none"/>
        </w:rPr>
        <w:t>（4）影响分析</w:t>
      </w:r>
      <w:bookmarkEnd w:id="24"/>
      <w:bookmarkEnd w:id="25"/>
      <w:bookmarkEnd w:id="26"/>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根据调查和实测资料选择适当的水环境模型进行区域水质模拟计算，分析建设项目排水对相关水域水功能区的水质、生态的影响以及对第三方的影响，从而论证建设项目入河排污口设置的合理性。</w:t>
      </w:r>
    </w:p>
    <w:p>
      <w:pPr>
        <w:pStyle w:val="10"/>
        <w:widowControl w:val="0"/>
        <w:adjustRightInd w:val="0"/>
        <w:snapToGrid w:val="0"/>
        <w:spacing w:before="0" w:after="0" w:line="440" w:lineRule="exact"/>
        <w:ind w:firstLine="480" w:firstLineChars="200"/>
        <w:jc w:val="both"/>
        <w:outlineLvl w:val="2"/>
        <w:rPr>
          <w:rFonts w:hint="default" w:ascii="Times New Roman" w:hAnsi="Times New Roman" w:cs="Times New Roman"/>
          <w:color w:val="auto"/>
          <w:highlight w:val="none"/>
        </w:rPr>
      </w:pPr>
      <w:bookmarkStart w:id="27" w:name="_Toc17606"/>
      <w:bookmarkStart w:id="28" w:name="_Toc30777"/>
      <w:bookmarkStart w:id="29" w:name="_Toc28493"/>
      <w:r>
        <w:rPr>
          <w:rFonts w:hint="default" w:ascii="Times New Roman" w:hAnsi="Times New Roman" w:cs="Times New Roman"/>
          <w:color w:val="auto"/>
          <w:highlight w:val="none"/>
        </w:rPr>
        <w:t>（5）提出结论</w:t>
      </w:r>
      <w:bookmarkEnd w:id="27"/>
      <w:bookmarkEnd w:id="28"/>
      <w:bookmarkEnd w:id="29"/>
    </w:p>
    <w:p>
      <w:pPr>
        <w:pStyle w:val="10"/>
        <w:widowControl w:val="0"/>
        <w:adjustRightInd w:val="0"/>
        <w:snapToGrid w:val="0"/>
        <w:spacing w:before="0" w:after="0" w:line="440" w:lineRule="exact"/>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根据分析计算结果，论证建设项目入河排污口设置的合理性，提出设置入河排污口的建议，编制完成入河排污口设置论证报告。</w:t>
      </w:r>
    </w:p>
    <w:p>
      <w:pPr>
        <w:pStyle w:val="10"/>
        <w:widowControl w:val="0"/>
        <w:spacing w:before="0" w:after="0" w:line="480" w:lineRule="auto"/>
        <w:ind w:firstLine="480" w:firstLineChars="200"/>
        <w:rPr>
          <w:rFonts w:hint="default" w:ascii="Times New Roman" w:hAnsi="Times New Roman" w:cs="Times New Roman"/>
          <w:b/>
          <w:bCs/>
          <w:color w:val="auto"/>
          <w:highlight w:val="none"/>
        </w:rPr>
      </w:pPr>
      <w:r>
        <w:rPr>
          <w:rFonts w:hint="default" w:ascii="Times New Roman" w:hAnsi="Times New Roman" w:cs="Times New Roman"/>
          <w:color w:val="auto"/>
          <w:highlight w:val="none"/>
        </w:rPr>
        <mc:AlternateContent>
          <mc:Choice Requires="wpg">
            <w:drawing>
              <wp:anchor distT="0" distB="0" distL="114300" distR="114300" simplePos="0" relativeHeight="251660288" behindDoc="0" locked="0" layoutInCell="1" allowOverlap="1">
                <wp:simplePos x="0" y="0"/>
                <wp:positionH relativeFrom="column">
                  <wp:posOffset>78105</wp:posOffset>
                </wp:positionH>
                <wp:positionV relativeFrom="paragraph">
                  <wp:posOffset>73660</wp:posOffset>
                </wp:positionV>
                <wp:extent cx="5234940" cy="7913370"/>
                <wp:effectExtent l="5080" t="4445" r="2540" b="6985"/>
                <wp:wrapTopAndBottom/>
                <wp:docPr id="68" name="组合 142"/>
                <wp:cNvGraphicFramePr/>
                <a:graphic xmlns:a="http://schemas.openxmlformats.org/drawingml/2006/main">
                  <a:graphicData uri="http://schemas.microsoft.com/office/word/2010/wordprocessingGroup">
                    <wpg:wgp>
                      <wpg:cNvGrpSpPr/>
                      <wpg:grpSpPr>
                        <a:xfrm>
                          <a:off x="0" y="0"/>
                          <a:ext cx="5234940" cy="7913370"/>
                          <a:chOff x="132" y="26"/>
                          <a:chExt cx="8476" cy="12194"/>
                        </a:xfrm>
                        <a:effectLst/>
                      </wpg:grpSpPr>
                      <wpg:grpSp>
                        <wpg:cNvPr id="69" name="组合 56"/>
                        <wpg:cNvGrpSpPr/>
                        <wpg:grpSpPr>
                          <a:xfrm>
                            <a:off x="1486" y="9000"/>
                            <a:ext cx="1245" cy="1586"/>
                            <a:chOff x="1718" y="8231"/>
                            <a:chExt cx="1246" cy="1586"/>
                          </a:xfrm>
                          <a:effectLst/>
                        </wpg:grpSpPr>
                        <wps:wsp>
                          <wps:cNvPr id="130" name="自选图形 5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1" name="文本框 55"/>
                          <wps:cNvSpPr txBox="1"/>
                          <wps:spPr>
                            <a:xfrm>
                              <a:off x="1828" y="8330"/>
                              <a:ext cx="1020" cy="1361"/>
                            </a:xfrm>
                            <a:prstGeom prst="rect">
                              <a:avLst/>
                            </a:prstGeom>
                            <a:noFill/>
                            <a:ln>
                              <a:noFill/>
                            </a:ln>
                            <a:effectLst/>
                          </wps:spPr>
                          <wps:txbx>
                            <w:txbxContent>
                              <w:p>
                                <w:r>
                                  <w:rPr>
                                    <w:rFonts w:hint="eastAsia"/>
                                  </w:rPr>
                                  <w:t>对水功能区水质影响分析</w:t>
                                </w:r>
                              </w:p>
                            </w:txbxContent>
                          </wps:txbx>
                          <wps:bodyPr vert="horz" wrap="square" anchor="t" anchorCtr="0" upright="1"/>
                        </wps:wsp>
                      </wpg:grpSp>
                      <wpg:grpSp>
                        <wpg:cNvPr id="70" name="组合 57"/>
                        <wpg:cNvGrpSpPr/>
                        <wpg:grpSpPr>
                          <a:xfrm>
                            <a:off x="2867" y="9001"/>
                            <a:ext cx="1247" cy="1587"/>
                            <a:chOff x="1718" y="8231"/>
                            <a:chExt cx="1246" cy="1586"/>
                          </a:xfrm>
                          <a:effectLst/>
                        </wpg:grpSpPr>
                        <wps:wsp>
                          <wps:cNvPr id="133" name="自选图形 58"/>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4" name="文本框 59"/>
                          <wps:cNvSpPr txBox="1"/>
                          <wps:spPr>
                            <a:xfrm>
                              <a:off x="1828" y="8330"/>
                              <a:ext cx="1020" cy="1361"/>
                            </a:xfrm>
                            <a:prstGeom prst="rect">
                              <a:avLst/>
                            </a:prstGeom>
                            <a:noFill/>
                            <a:ln>
                              <a:noFill/>
                            </a:ln>
                            <a:effectLst/>
                          </wps:spPr>
                          <wps:txbx>
                            <w:txbxContent>
                              <w:p>
                                <w:r>
                                  <w:rPr>
                                    <w:rFonts w:hint="eastAsia"/>
                                  </w:rPr>
                                  <w:t>对水功能区水生态影响分析</w:t>
                                </w:r>
                              </w:p>
                            </w:txbxContent>
                          </wps:txbx>
                          <wps:bodyPr vert="horz" wrap="square" anchor="t" anchorCtr="0" upright="1"/>
                        </wps:wsp>
                      </wpg:grpSp>
                      <wpg:grpSp>
                        <wpg:cNvPr id="71" name="组合 60"/>
                        <wpg:cNvGrpSpPr/>
                        <wpg:grpSpPr>
                          <a:xfrm>
                            <a:off x="4247" y="9002"/>
                            <a:ext cx="1247" cy="1587"/>
                            <a:chOff x="1718" y="8231"/>
                            <a:chExt cx="1246" cy="1586"/>
                          </a:xfrm>
                          <a:effectLst/>
                        </wpg:grpSpPr>
                        <wps:wsp>
                          <wps:cNvPr id="136" name="自选图形 61"/>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7" name="文本框 62"/>
                          <wps:cNvSpPr txBox="1"/>
                          <wps:spPr>
                            <a:xfrm>
                              <a:off x="1828" y="8330"/>
                              <a:ext cx="1020" cy="1361"/>
                            </a:xfrm>
                            <a:prstGeom prst="rect">
                              <a:avLst/>
                            </a:prstGeom>
                            <a:noFill/>
                            <a:ln>
                              <a:noFill/>
                            </a:ln>
                            <a:effectLst/>
                          </wps:spPr>
                          <wps:txbx>
                            <w:txbxContent>
                              <w:p>
                                <w:r>
                                  <w:rPr>
                                    <w:rFonts w:hint="eastAsia"/>
                                  </w:rPr>
                                  <w:t>对地下水影响分析</w:t>
                                </w:r>
                              </w:p>
                            </w:txbxContent>
                          </wps:txbx>
                          <wps:bodyPr vert="horz" wrap="square" anchor="t" anchorCtr="0" upright="1"/>
                        </wps:wsp>
                      </wpg:grpSp>
                      <wpg:grpSp>
                        <wpg:cNvPr id="72" name="组合 63"/>
                        <wpg:cNvGrpSpPr/>
                        <wpg:grpSpPr>
                          <a:xfrm>
                            <a:off x="5620" y="9003"/>
                            <a:ext cx="1247" cy="1587"/>
                            <a:chOff x="1718" y="8231"/>
                            <a:chExt cx="1246" cy="1586"/>
                          </a:xfrm>
                          <a:effectLst/>
                        </wpg:grpSpPr>
                        <wps:wsp>
                          <wps:cNvPr id="139" name="自选图形 6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40" name="文本框 65"/>
                          <wps:cNvSpPr txBox="1"/>
                          <wps:spPr>
                            <a:xfrm>
                              <a:off x="1828" y="8330"/>
                              <a:ext cx="1020" cy="1361"/>
                            </a:xfrm>
                            <a:prstGeom prst="rect">
                              <a:avLst/>
                            </a:prstGeom>
                            <a:noFill/>
                            <a:ln>
                              <a:noFill/>
                            </a:ln>
                            <a:effectLst/>
                          </wps:spPr>
                          <wps:txbx>
                            <w:txbxContent>
                              <w:p>
                                <w:r>
                                  <w:rPr>
                                    <w:rFonts w:hint="eastAsia"/>
                                  </w:rPr>
                                  <w:t>对第三者影响分析</w:t>
                                </w:r>
                              </w:p>
                            </w:txbxContent>
                          </wps:txbx>
                          <wps:bodyPr vert="horz" wrap="square" anchor="t" anchorCtr="0" upright="1"/>
                        </wps:wsp>
                      </wpg:grpSp>
                      <wpg:grpSp>
                        <wpg:cNvPr id="73" name="组合 141"/>
                        <wpg:cNvGrpSpPr/>
                        <wpg:grpSpPr>
                          <a:xfrm>
                            <a:off x="132" y="26"/>
                            <a:ext cx="8475" cy="12194"/>
                            <a:chOff x="132" y="26"/>
                            <a:chExt cx="8476" cy="12194"/>
                          </a:xfrm>
                          <a:effectLst/>
                        </wpg:grpSpPr>
                        <wps:wsp>
                          <wps:cNvPr id="142" name="文本框 9"/>
                          <wps:cNvSpPr txBox="1"/>
                          <wps:spPr>
                            <a:xfrm>
                              <a:off x="3652" y="26"/>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现场勘查</w:t>
                                </w:r>
                              </w:p>
                            </w:txbxContent>
                          </wps:txbx>
                          <wps:bodyPr vert="horz" wrap="square" anchor="t" anchorCtr="0" upright="1"/>
                        </wps:wsp>
                        <wps:wsp>
                          <wps:cNvPr id="143" name="文本框 11"/>
                          <wps:cNvSpPr txBox="1"/>
                          <wps:spPr>
                            <a:xfrm>
                              <a:off x="6386" y="29"/>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补充监测</w:t>
                                </w:r>
                              </w:p>
                            </w:txbxContent>
                          </wps:txbx>
                          <wps:bodyPr vert="horz" wrap="square" anchor="t" anchorCtr="0" upright="1"/>
                        </wps:wsp>
                        <wps:wsp>
                          <wps:cNvPr id="144" name="文本框 12"/>
                          <wps:cNvSpPr txBox="1"/>
                          <wps:spPr>
                            <a:xfrm>
                              <a:off x="938" y="31"/>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资料收集</w:t>
                                </w:r>
                              </w:p>
                            </w:txbxContent>
                          </wps:txbx>
                          <wps:bodyPr vert="horz" wrap="square" anchor="t" anchorCtr="0" upright="1"/>
                        </wps:wsp>
                        <wps:wsp>
                          <wps:cNvPr id="145" name="自选图形 13"/>
                          <wps:cNvCnPr/>
                          <wps:spPr>
                            <a:xfrm flipH="1">
                              <a:off x="1636" y="485"/>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6" name="自选图形 14"/>
                          <wps:cNvCnPr/>
                          <wps:spPr>
                            <a:xfrm>
                              <a:off x="7094" y="483"/>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7" name="自选图形 16"/>
                          <wps:cNvCnPr/>
                          <wps:spPr>
                            <a:xfrm>
                              <a:off x="4360" y="480"/>
                              <a:ext cx="0" cy="510"/>
                            </a:xfrm>
                            <a:prstGeom prst="straightConnector1">
                              <a:avLst/>
                            </a:prstGeom>
                            <a:ln w="9525" cap="flat" cmpd="sng">
                              <a:solidFill>
                                <a:srgbClr val="000000"/>
                              </a:solidFill>
                              <a:prstDash val="solid"/>
                              <a:headEnd type="none" w="med" len="med"/>
                              <a:tailEnd type="triangle" w="med" len="med"/>
                            </a:ln>
                            <a:effectLst/>
                          </wps:spPr>
                          <wps:bodyPr/>
                        </wps:wsp>
                        <wpg:grpSp>
                          <wpg:cNvPr id="74" name="组合 93"/>
                          <wpg:cNvGrpSpPr/>
                          <wpg:grpSpPr>
                            <a:xfrm>
                              <a:off x="1637" y="990"/>
                              <a:ext cx="5441" cy="850"/>
                              <a:chOff x="1638" y="990"/>
                              <a:chExt cx="5442" cy="850"/>
                            </a:xfrm>
                            <a:effectLst/>
                          </wpg:grpSpPr>
                          <wps:wsp>
                            <wps:cNvPr id="148" name="自选图形 17"/>
                            <wps:cNvSpPr/>
                            <wps:spPr>
                              <a:xfrm rot="10800000">
                                <a:off x="1637" y="990"/>
                                <a:ext cx="5442" cy="850"/>
                              </a:xfrm>
                              <a:prstGeom prst="triangle">
                                <a:avLst>
                                  <a:gd name="adj" fmla="val 50000"/>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49" name="文本框 18"/>
                            <wps:cNvSpPr txBox="1"/>
                            <wps:spPr>
                              <a:xfrm>
                                <a:off x="3358" y="1051"/>
                                <a:ext cx="1984" cy="454"/>
                              </a:xfrm>
                              <a:prstGeom prst="rect">
                                <a:avLst/>
                              </a:prstGeom>
                              <a:noFill/>
                              <a:ln>
                                <a:noFill/>
                              </a:ln>
                              <a:effectLst/>
                            </wps:spPr>
                            <wps:txbx>
                              <w:txbxContent>
                                <w:p>
                                  <w:pPr>
                                    <w:jc w:val="center"/>
                                  </w:pPr>
                                  <w:r>
                                    <w:rPr>
                                      <w:rFonts w:hint="eastAsia"/>
                                    </w:rPr>
                                    <w:t>基础资料整理分析</w:t>
                                  </w:r>
                                </w:p>
                              </w:txbxContent>
                            </wps:txbx>
                            <wps:bodyPr vert="horz" wrap="square" anchor="t" anchorCtr="0" upright="1"/>
                          </wps:wsp>
                        </wpg:grpSp>
                        <wpg:grpSp>
                          <wpg:cNvPr id="75" name="组合 91"/>
                          <wpg:cNvGrpSpPr/>
                          <wpg:grpSpPr>
                            <a:xfrm>
                              <a:off x="654" y="1835"/>
                              <a:ext cx="7369" cy="2268"/>
                              <a:chOff x="641" y="1666"/>
                              <a:chExt cx="7370" cy="2268"/>
                            </a:xfrm>
                            <a:effectLst/>
                          </wpg:grpSpPr>
                          <wps:wsp>
                            <wps:cNvPr id="151" name="矩形 20"/>
                            <wps:cNvSpPr/>
                            <wps:spPr>
                              <a:xfrm>
                                <a:off x="641" y="1666"/>
                                <a:ext cx="7369" cy="2267"/>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76" name="组合 24"/>
                            <wpg:cNvGrpSpPr/>
                            <wpg:grpSpPr>
                              <a:xfrm>
                                <a:off x="824" y="1858"/>
                                <a:ext cx="2097" cy="1870"/>
                                <a:chOff x="941" y="2157"/>
                                <a:chExt cx="2098" cy="1870"/>
                              </a:xfrm>
                              <a:effectLst/>
                            </wpg:grpSpPr>
                            <wps:wsp>
                              <wps:cNvPr id="152" name="自选图形 22"/>
                              <wps:cNvSpPr/>
                              <wps:spPr>
                                <a:xfrm>
                                  <a:off x="941" y="2157"/>
                                  <a:ext cx="2097" cy="1870"/>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3" name="文本框 23"/>
                              <wps:cNvSpPr txBox="1"/>
                              <wps:spPr>
                                <a:xfrm>
                                  <a:off x="1078" y="2221"/>
                                  <a:ext cx="1814" cy="1701"/>
                                </a:xfrm>
                                <a:prstGeom prst="rect">
                                  <a:avLst/>
                                </a:prstGeom>
                                <a:noFill/>
                                <a:ln>
                                  <a:noFill/>
                                </a:ln>
                                <a:effectLst/>
                              </wps:spPr>
                              <wps:txb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wps:txbx>
                              <wps:bodyPr vert="horz" wrap="square" anchor="t" anchorCtr="0" upright="1"/>
                            </wps:wsp>
                          </wpg:grpSp>
                          <wpg:grpSp>
                            <wpg:cNvPr id="77" name="组合 28"/>
                            <wpg:cNvGrpSpPr/>
                            <wpg:grpSpPr>
                              <a:xfrm>
                                <a:off x="3116" y="1866"/>
                                <a:ext cx="2153" cy="1870"/>
                                <a:chOff x="3298" y="1892"/>
                                <a:chExt cx="2154" cy="1870"/>
                              </a:xfrm>
                              <a:effectLst/>
                            </wpg:grpSpPr>
                            <wps:wsp>
                              <wps:cNvPr id="155" name="自选图形 26"/>
                              <wps:cNvSpPr/>
                              <wps:spPr>
                                <a:xfrm>
                                  <a:off x="3298" y="1892"/>
                                  <a:ext cx="2154"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6" name="文本框 27"/>
                              <wps:cNvSpPr txBox="1"/>
                              <wps:spPr>
                                <a:xfrm>
                                  <a:off x="3435" y="1956"/>
                                  <a:ext cx="1870" cy="1702"/>
                                </a:xfrm>
                                <a:prstGeom prst="rect">
                                  <a:avLst/>
                                </a:prstGeom>
                                <a:noFill/>
                                <a:ln>
                                  <a:noFill/>
                                </a:ln>
                                <a:effectLst/>
                              </wps:spPr>
                              <wps:txb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wps:txbx>
                              <wps:bodyPr vert="horz" wrap="square" anchor="t" anchorCtr="0" upright="1"/>
                            </wps:wsp>
                          </wpg:grpSp>
                          <wpg:grpSp>
                            <wpg:cNvPr id="78" name="组合 33"/>
                            <wpg:cNvGrpSpPr/>
                            <wpg:grpSpPr>
                              <a:xfrm>
                                <a:off x="5459" y="1869"/>
                                <a:ext cx="2379" cy="1870"/>
                                <a:chOff x="5654" y="1895"/>
                                <a:chExt cx="2380" cy="1870"/>
                              </a:xfrm>
                              <a:effectLst/>
                            </wpg:grpSpPr>
                            <wps:wsp>
                              <wps:cNvPr id="158" name="自选图形 30"/>
                              <wps:cNvSpPr/>
                              <wps:spPr>
                                <a:xfrm>
                                  <a:off x="5653" y="1895"/>
                                  <a:ext cx="2381"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9" name="文本框 31"/>
                              <wps:cNvSpPr txBox="1"/>
                              <wps:spPr>
                                <a:xfrm>
                                  <a:off x="5791" y="1959"/>
                                  <a:ext cx="2097" cy="1702"/>
                                </a:xfrm>
                                <a:prstGeom prst="rect">
                                  <a:avLst/>
                                </a:prstGeom>
                                <a:noFill/>
                                <a:ln>
                                  <a:noFill/>
                                </a:ln>
                                <a:effectLst/>
                              </wps:spPr>
                              <wps:txb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wps:txbx>
                              <wps:bodyPr vert="horz" wrap="square" anchor="t" anchorCtr="0" upright="1"/>
                            </wps:wsp>
                          </wpg:grpSp>
                        </wpg:grpSp>
                        <wps:wsp>
                          <wps:cNvPr id="162" name="自选图形 34"/>
                          <wps:cNvSpPr/>
                          <wps:spPr>
                            <a:xfrm>
                              <a:off x="1576" y="4104"/>
                              <a:ext cx="454" cy="680"/>
                            </a:xfrm>
                            <a:prstGeom prst="downArrow">
                              <a:avLst>
                                <a:gd name="adj1" fmla="val 50000"/>
                                <a:gd name="adj2" fmla="val 37444"/>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3" name="自选图形 35"/>
                          <wps:cNvSpPr/>
                          <wps:spPr>
                            <a:xfrm>
                              <a:off x="3975" y="4108"/>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4" name="自选图形 36"/>
                          <wps:cNvSpPr/>
                          <wps:spPr>
                            <a:xfrm>
                              <a:off x="6461" y="4117"/>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5" name="文本框 38"/>
                          <wps:cNvSpPr txBox="1"/>
                          <wps:spPr>
                            <a:xfrm>
                              <a:off x="876" y="4791"/>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污水处理措施</w:t>
                                </w:r>
                              </w:p>
                            </w:txbxContent>
                          </wps:txbx>
                          <wps:bodyPr vert="horz" wrap="square" anchor="t" anchorCtr="0" upright="1"/>
                        </wps:wsp>
                        <wps:wsp>
                          <wps:cNvPr id="166" name="文本框 39"/>
                          <wps:cNvSpPr txBox="1"/>
                          <wps:spPr>
                            <a:xfrm>
                              <a:off x="3271" y="4790"/>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废污水排放情况</w:t>
                                </w:r>
                              </w:p>
                            </w:txbxContent>
                          </wps:txbx>
                          <wps:bodyPr vert="horz" wrap="square" anchor="t" anchorCtr="0" upright="1"/>
                        </wps:wsp>
                        <wps:wsp>
                          <wps:cNvPr id="167" name="文本框 40"/>
                          <wps:cNvSpPr txBox="1"/>
                          <wps:spPr>
                            <a:xfrm>
                              <a:off x="5545" y="4792"/>
                              <a:ext cx="2323"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水功能区（水域）现状</w:t>
                                </w:r>
                              </w:p>
                            </w:txbxContent>
                          </wps:txbx>
                          <wps:bodyPr vert="horz" wrap="square" anchor="t" anchorCtr="0" upright="1"/>
                        </wps:wsp>
                        <wpg:grpSp>
                          <wpg:cNvPr id="79" name="组合 45"/>
                          <wpg:cNvGrpSpPr/>
                          <wpg:grpSpPr>
                            <a:xfrm>
                              <a:off x="1772" y="5244"/>
                              <a:ext cx="4936" cy="907"/>
                              <a:chOff x="1758" y="4955"/>
                              <a:chExt cx="4936" cy="907"/>
                            </a:xfrm>
                            <a:effectLst/>
                          </wpg:grpSpPr>
                          <wps:wsp>
                            <wps:cNvPr id="168" name="自选图形 41"/>
                            <wps:cNvCnPr/>
                            <wps:spPr>
                              <a:xfrm flipH="1">
                                <a:off x="1758" y="4956"/>
                                <a:ext cx="0" cy="453"/>
                              </a:xfrm>
                              <a:prstGeom prst="straightConnector1">
                                <a:avLst/>
                              </a:prstGeom>
                              <a:ln w="9525" cap="flat" cmpd="sng">
                                <a:solidFill>
                                  <a:srgbClr val="000000"/>
                                </a:solidFill>
                                <a:prstDash val="solid"/>
                                <a:headEnd type="none" w="med" len="med"/>
                                <a:tailEnd type="none" w="med" len="med"/>
                              </a:ln>
                              <a:effectLst/>
                            </wps:spPr>
                            <wps:bodyPr/>
                          </wps:wsp>
                          <wps:wsp>
                            <wps:cNvPr id="169" name="自选图形 42"/>
                            <wps:cNvCnPr/>
                            <wps:spPr>
                              <a:xfrm flipH="1">
                                <a:off x="4158" y="4955"/>
                                <a:ext cx="0" cy="907"/>
                              </a:xfrm>
                              <a:prstGeom prst="straightConnector1">
                                <a:avLst/>
                              </a:prstGeom>
                              <a:ln w="9525" cap="flat" cmpd="sng">
                                <a:solidFill>
                                  <a:srgbClr val="000000"/>
                                </a:solidFill>
                                <a:prstDash val="solid"/>
                                <a:headEnd type="none" w="med" len="med"/>
                                <a:tailEnd type="triangle" w="med" len="med"/>
                              </a:ln>
                              <a:effectLst/>
                            </wps:spPr>
                            <wps:bodyPr/>
                          </wps:wsp>
                          <wps:wsp>
                            <wps:cNvPr id="170" name="自选图形 43"/>
                            <wps:cNvCnPr/>
                            <wps:spPr>
                              <a:xfrm>
                                <a:off x="6694" y="4957"/>
                                <a:ext cx="0" cy="453"/>
                              </a:xfrm>
                              <a:prstGeom prst="straightConnector1">
                                <a:avLst/>
                              </a:prstGeom>
                              <a:ln w="9525" cap="flat" cmpd="sng">
                                <a:solidFill>
                                  <a:srgbClr val="000000"/>
                                </a:solidFill>
                                <a:prstDash val="solid"/>
                                <a:headEnd type="none" w="med" len="med"/>
                                <a:tailEnd type="none" w="med" len="med"/>
                              </a:ln>
                              <a:effectLst/>
                            </wps:spPr>
                            <wps:bodyPr/>
                          </wps:wsp>
                          <wps:wsp>
                            <wps:cNvPr id="171" name="自选图形 44"/>
                            <wps:cNvCnPr/>
                            <wps:spPr>
                              <a:xfrm>
                                <a:off x="1759" y="5408"/>
                                <a:ext cx="4932" cy="0"/>
                              </a:xfrm>
                              <a:prstGeom prst="straightConnector1">
                                <a:avLst/>
                              </a:prstGeom>
                              <a:ln w="9525" cap="flat" cmpd="sng">
                                <a:solidFill>
                                  <a:srgbClr val="000000"/>
                                </a:solidFill>
                                <a:prstDash val="solid"/>
                                <a:headEnd type="none" w="med" len="med"/>
                                <a:tailEnd type="none" w="med" len="med"/>
                              </a:ln>
                              <a:effectLst/>
                            </wps:spPr>
                            <wps:bodyPr/>
                          </wps:wsp>
                        </wpg:grpSp>
                        <wps:wsp>
                          <wps:cNvPr id="173" name="文本框 46"/>
                          <wps:cNvSpPr txBox="1"/>
                          <wps:spPr>
                            <a:xfrm>
                              <a:off x="2894" y="6135"/>
                              <a:ext cx="2551" cy="680"/>
                            </a:xfrm>
                            <a:prstGeom prst="rect">
                              <a:avLst/>
                            </a:prstGeom>
                            <a:noFill/>
                            <a:ln w="9525" cap="flat" cmpd="sng">
                              <a:solidFill>
                                <a:srgbClr val="000000"/>
                              </a:solidFill>
                              <a:prstDash val="solid"/>
                              <a:miter/>
                              <a:headEnd type="none" w="med" len="med"/>
                              <a:tailEnd type="none" w="med" len="med"/>
                            </a:ln>
                            <a:effectLst/>
                          </wps:spPr>
                          <wps:txbx>
                            <w:txbxContent>
                              <w:p>
                                <w:pPr>
                                  <w:spacing w:line="400" w:lineRule="exact"/>
                                  <w:jc w:val="center"/>
                                </w:pPr>
                                <w:r>
                                  <w:rPr>
                                    <w:rFonts w:hint="eastAsia"/>
                                  </w:rPr>
                                  <w:t>入河排污数值模拟分析</w:t>
                                </w:r>
                              </w:p>
                            </w:txbxContent>
                          </wps:txbx>
                          <wps:bodyPr vert="horz" wrap="square" anchor="t" anchorCtr="0" upright="1"/>
                        </wps:wsp>
                        <wps:wsp>
                          <wps:cNvPr id="174" name="自选图形 47"/>
                          <wps:cNvCnPr/>
                          <wps:spPr>
                            <a:xfrm flipH="1">
                              <a:off x="4169" y="6815"/>
                              <a:ext cx="0" cy="453"/>
                            </a:xfrm>
                            <a:prstGeom prst="straightConnector1">
                              <a:avLst/>
                            </a:prstGeom>
                            <a:ln w="9525" cap="flat" cmpd="sng">
                              <a:solidFill>
                                <a:srgbClr val="000000"/>
                              </a:solidFill>
                              <a:prstDash val="solid"/>
                              <a:headEnd type="none" w="med" len="med"/>
                              <a:tailEnd type="none" w="med" len="med"/>
                            </a:ln>
                            <a:effectLst/>
                          </wps:spPr>
                          <wps:bodyPr/>
                        </wps:wsp>
                        <wpg:grpSp>
                          <wpg:cNvPr id="80" name="组合 50"/>
                          <wpg:cNvGrpSpPr/>
                          <wpg:grpSpPr>
                            <a:xfrm>
                              <a:off x="3048" y="7274"/>
                              <a:ext cx="2267" cy="1134"/>
                              <a:chOff x="3007" y="6655"/>
                              <a:chExt cx="2268" cy="1134"/>
                            </a:xfrm>
                            <a:effectLst/>
                          </wpg:grpSpPr>
                          <wps:wsp>
                            <wps:cNvPr id="175" name="自选图形 48"/>
                            <wps:cNvSpPr/>
                            <wps:spPr>
                              <a:xfrm>
                                <a:off x="3007" y="6655"/>
                                <a:ext cx="2267" cy="1134"/>
                              </a:xfrm>
                              <a:prstGeom prst="diamond">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76" name="文本框 49"/>
                            <wps:cNvSpPr txBox="1"/>
                            <wps:spPr>
                              <a:xfrm>
                                <a:off x="3544" y="6975"/>
                                <a:ext cx="1191" cy="454"/>
                              </a:xfrm>
                              <a:prstGeom prst="rect">
                                <a:avLst/>
                              </a:prstGeom>
                              <a:noFill/>
                              <a:ln>
                                <a:noFill/>
                              </a:ln>
                              <a:effectLst/>
                            </wps:spPr>
                            <wps:txbx>
                              <w:txbxContent>
                                <w:p>
                                  <w:r>
                                    <w:rPr>
                                      <w:rFonts w:hint="eastAsia"/>
                                    </w:rPr>
                                    <w:t>影响分析</w:t>
                                  </w:r>
                                </w:p>
                              </w:txbxContent>
                            </wps:txbx>
                            <wps:bodyPr vert="horz" wrap="square" anchor="t" anchorCtr="0" upright="1"/>
                          </wps:wsp>
                        </wpg:grpSp>
                        <wps:wsp>
                          <wps:cNvPr id="178" name="自选图形 51"/>
                          <wps:cNvCnPr/>
                          <wps:spPr>
                            <a:xfrm flipH="1">
                              <a:off x="4172" y="8408"/>
                              <a:ext cx="0" cy="340"/>
                            </a:xfrm>
                            <a:prstGeom prst="straightConnector1">
                              <a:avLst/>
                            </a:prstGeom>
                            <a:ln w="9525" cap="flat" cmpd="sng">
                              <a:solidFill>
                                <a:srgbClr val="000000"/>
                              </a:solidFill>
                              <a:prstDash val="solid"/>
                              <a:headEnd type="none" w="med" len="med"/>
                              <a:tailEnd type="none" w="med" len="med"/>
                            </a:ln>
                            <a:effectLst/>
                          </wps:spPr>
                          <wps:bodyPr/>
                        </wps:wsp>
                        <wps:wsp>
                          <wps:cNvPr id="179" name="矩形 53"/>
                          <wps:cNvSpPr/>
                          <wps:spPr>
                            <a:xfrm>
                              <a:off x="1335" y="8755"/>
                              <a:ext cx="5669" cy="2040"/>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81" name="组合 72"/>
                          <wpg:cNvGrpSpPr/>
                          <wpg:grpSpPr>
                            <a:xfrm>
                              <a:off x="132" y="9024"/>
                              <a:ext cx="1020" cy="1474"/>
                              <a:chOff x="52" y="8285"/>
                              <a:chExt cx="1024" cy="1474"/>
                            </a:xfrm>
                            <a:effectLst/>
                          </wpg:grpSpPr>
                          <wps:wsp>
                            <wps:cNvPr id="180" name="矩形 70"/>
                            <wps:cNvSpPr/>
                            <wps:spPr>
                              <a:xfrm>
                                <a:off x="52" y="8285"/>
                                <a:ext cx="1020"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1" name="文本框 71"/>
                            <wps:cNvSpPr txBox="1"/>
                            <wps:spPr>
                              <a:xfrm>
                                <a:off x="55" y="8471"/>
                                <a:ext cx="1020" cy="1077"/>
                              </a:xfrm>
                              <a:prstGeom prst="rect">
                                <a:avLst/>
                              </a:prstGeom>
                              <a:noFill/>
                              <a:ln>
                                <a:noFill/>
                              </a:ln>
                              <a:effectLst/>
                            </wps:spPr>
                            <wps:txbx>
                              <w:txbxContent>
                                <w:p>
                                  <w:pPr>
                                    <w:jc w:val="center"/>
                                  </w:pPr>
                                  <w:r>
                                    <w:rPr>
                                      <w:rFonts w:hint="eastAsia"/>
                                    </w:rPr>
                                    <w:t>风险事故与影响分析</w:t>
                                  </w:r>
                                </w:p>
                              </w:txbxContent>
                            </wps:txbx>
                            <wps:bodyPr vert="horz" wrap="square" anchor="t" anchorCtr="0" upright="1"/>
                          </wps:wsp>
                        </wpg:grpSp>
                        <wpg:grpSp>
                          <wpg:cNvPr id="82" name="组合 76"/>
                          <wpg:cNvGrpSpPr/>
                          <wpg:grpSpPr>
                            <a:xfrm>
                              <a:off x="7189" y="9027"/>
                              <a:ext cx="1419" cy="1474"/>
                              <a:chOff x="7162" y="8288"/>
                              <a:chExt cx="1419" cy="1474"/>
                            </a:xfrm>
                            <a:effectLst/>
                          </wpg:grpSpPr>
                          <wps:wsp>
                            <wps:cNvPr id="183" name="矩形 74"/>
                            <wps:cNvSpPr/>
                            <wps:spPr>
                              <a:xfrm>
                                <a:off x="7161" y="8288"/>
                                <a:ext cx="1417"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4" name="文本框 75"/>
                            <wps:cNvSpPr txBox="1"/>
                            <wps:spPr>
                              <a:xfrm>
                                <a:off x="7164" y="8474"/>
                                <a:ext cx="1417" cy="1077"/>
                              </a:xfrm>
                              <a:prstGeom prst="rect">
                                <a:avLst/>
                              </a:prstGeom>
                              <a:noFill/>
                              <a:ln>
                                <a:noFill/>
                              </a:ln>
                              <a:effectLst/>
                            </wps:spPr>
                            <wps:txbx>
                              <w:txbxContent>
                                <w:p>
                                  <w:pPr>
                                    <w:jc w:val="center"/>
                                  </w:pPr>
                                  <w:r>
                                    <w:rPr>
                                      <w:rFonts w:hint="eastAsia"/>
                                    </w:rPr>
                                    <w:t>入河排污口设置可行性合理性分析</w:t>
                                  </w:r>
                                </w:p>
                              </w:txbxContent>
                            </wps:txbx>
                            <wps:bodyPr vert="horz" wrap="square" anchor="t" anchorCtr="0" upright="1"/>
                          </wps:wsp>
                        </wpg:grpSp>
                        <wpg:grpSp>
                          <wpg:cNvPr id="83" name="组合 79"/>
                          <wpg:cNvGrpSpPr/>
                          <wpg:grpSpPr>
                            <a:xfrm>
                              <a:off x="5303" y="7826"/>
                              <a:ext cx="2610" cy="1191"/>
                              <a:chOff x="5275" y="7207"/>
                              <a:chExt cx="2610" cy="1191"/>
                            </a:xfrm>
                            <a:effectLst/>
                          </wpg:grpSpPr>
                          <wps:wsp>
                            <wps:cNvPr id="186" name="自选图形 77"/>
                            <wps:cNvCnPr/>
                            <wps:spPr>
                              <a:xfrm>
                                <a:off x="5275" y="7207"/>
                                <a:ext cx="2608" cy="0"/>
                              </a:xfrm>
                              <a:prstGeom prst="straightConnector1">
                                <a:avLst/>
                              </a:prstGeom>
                              <a:ln w="9525" cap="flat" cmpd="sng">
                                <a:solidFill>
                                  <a:srgbClr val="000000"/>
                                </a:solidFill>
                                <a:prstDash val="solid"/>
                                <a:headEnd type="none" w="med" len="med"/>
                                <a:tailEnd type="none" w="med" len="med"/>
                              </a:ln>
                              <a:effectLst/>
                            </wps:spPr>
                            <wps:bodyPr/>
                          </wps:wsp>
                          <wps:wsp>
                            <wps:cNvPr id="187" name="自选图形 78"/>
                            <wps:cNvCnPr/>
                            <wps:spPr>
                              <a:xfrm flipV="1">
                                <a:off x="7885" y="7207"/>
                                <a:ext cx="0" cy="1191"/>
                              </a:xfrm>
                              <a:prstGeom prst="straightConnector1">
                                <a:avLst/>
                              </a:prstGeom>
                              <a:ln w="9525" cap="flat" cmpd="sng">
                                <a:solidFill>
                                  <a:srgbClr val="000000"/>
                                </a:solidFill>
                                <a:prstDash val="solid"/>
                                <a:headEnd type="none" w="med" len="med"/>
                                <a:tailEnd type="none" w="med" len="med"/>
                              </a:ln>
                              <a:effectLst/>
                            </wps:spPr>
                            <wps:bodyPr/>
                          </wps:wsp>
                        </wpg:grpSp>
                        <wpg:grpSp>
                          <wpg:cNvPr id="84" name="组合 82"/>
                          <wpg:cNvGrpSpPr/>
                          <wpg:grpSpPr>
                            <a:xfrm>
                              <a:off x="627" y="7835"/>
                              <a:ext cx="2437" cy="1191"/>
                              <a:chOff x="600" y="7216"/>
                              <a:chExt cx="2450" cy="1191"/>
                            </a:xfrm>
                            <a:effectLst/>
                          </wpg:grpSpPr>
                          <wps:wsp>
                            <wps:cNvPr id="189" name="自选图形 80"/>
                            <wps:cNvCnPr/>
                            <wps:spPr>
                              <a:xfrm flipH="1" flipV="1">
                                <a:off x="600" y="7216"/>
                                <a:ext cx="0" cy="1191"/>
                              </a:xfrm>
                              <a:prstGeom prst="straightConnector1">
                                <a:avLst/>
                              </a:prstGeom>
                              <a:ln w="9525" cap="flat" cmpd="sng">
                                <a:solidFill>
                                  <a:srgbClr val="000000"/>
                                </a:solidFill>
                                <a:prstDash val="solid"/>
                                <a:headEnd type="none" w="med" len="med"/>
                                <a:tailEnd type="none" w="med" len="med"/>
                              </a:ln>
                              <a:effectLst/>
                            </wps:spPr>
                            <wps:bodyPr/>
                          </wps:wsp>
                          <wps:wsp>
                            <wps:cNvPr id="190" name="自选图形 81"/>
                            <wps:cNvCnPr/>
                            <wps:spPr>
                              <a:xfrm flipH="1">
                                <a:off x="612" y="7222"/>
                                <a:ext cx="2438" cy="0"/>
                              </a:xfrm>
                              <a:prstGeom prst="straightConnector1">
                                <a:avLst/>
                              </a:prstGeom>
                              <a:ln w="9525" cap="flat" cmpd="sng">
                                <a:solidFill>
                                  <a:srgbClr val="000000"/>
                                </a:solidFill>
                                <a:prstDash val="solid"/>
                                <a:headEnd type="none" w="med" len="med"/>
                                <a:tailEnd type="none" w="med" len="med"/>
                              </a:ln>
                              <a:effectLst/>
                            </wps:spPr>
                            <wps:bodyPr/>
                          </wps:wsp>
                        </wpg:grpSp>
                        <wps:wsp>
                          <wps:cNvPr id="192" name="自选图形 83"/>
                          <wps:cNvSpPr/>
                          <wps:spPr>
                            <a:xfrm>
                              <a:off x="3947" y="10802"/>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93" name="文本框 84"/>
                          <wps:cNvSpPr txBox="1"/>
                          <wps:spPr>
                            <a:xfrm>
                              <a:off x="3041" y="11484"/>
                              <a:ext cx="2267" cy="737"/>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入河排污口设置论证结论与建议</w:t>
                                </w:r>
                              </w:p>
                            </w:txbxContent>
                          </wps:txbx>
                          <wps:bodyPr vert="horz" wrap="square" anchor="t" anchorCtr="0" upright="1"/>
                        </wps:wsp>
                        <wpg:grpSp>
                          <wpg:cNvPr id="85" name="组合 139"/>
                          <wpg:cNvGrpSpPr/>
                          <wpg:grpSpPr>
                            <a:xfrm>
                              <a:off x="640" y="10498"/>
                              <a:ext cx="2400" cy="1360"/>
                              <a:chOff x="640" y="10498"/>
                              <a:chExt cx="2401" cy="1360"/>
                            </a:xfrm>
                            <a:effectLst/>
                          </wpg:grpSpPr>
                          <wps:wsp>
                            <wps:cNvPr id="194" name="自选图形 86"/>
                            <wps:cNvCnPr/>
                            <wps:spPr>
                              <a:xfrm flipH="1">
                                <a:off x="640" y="10498"/>
                                <a:ext cx="0" cy="1360"/>
                              </a:xfrm>
                              <a:prstGeom prst="straightConnector1">
                                <a:avLst/>
                              </a:prstGeom>
                              <a:ln w="9525" cap="flat" cmpd="sng">
                                <a:solidFill>
                                  <a:srgbClr val="000000"/>
                                </a:solidFill>
                                <a:prstDash val="solid"/>
                                <a:headEnd type="none" w="med" len="med"/>
                                <a:tailEnd type="none" w="med" len="med"/>
                              </a:ln>
                              <a:effectLst/>
                            </wps:spPr>
                            <wps:bodyPr/>
                          </wps:wsp>
                          <wps:wsp>
                            <wps:cNvPr id="195" name="自选图形 136"/>
                            <wps:cNvCnPr/>
                            <wps:spPr>
                              <a:xfrm flipH="1" flipV="1">
                                <a:off x="660" y="11850"/>
                                <a:ext cx="2381" cy="0"/>
                              </a:xfrm>
                              <a:prstGeom prst="straightConnector1">
                                <a:avLst/>
                              </a:prstGeom>
                              <a:ln w="9525" cap="flat" cmpd="sng">
                                <a:solidFill>
                                  <a:srgbClr val="000000"/>
                                </a:solidFill>
                                <a:prstDash val="solid"/>
                                <a:headEnd type="triangle" w="med" len="med"/>
                                <a:tailEnd type="none" w="med" len="med"/>
                              </a:ln>
                              <a:effectLst/>
                            </wps:spPr>
                            <wps:bodyPr/>
                          </wps:wsp>
                        </wpg:grpSp>
                        <wpg:grpSp>
                          <wpg:cNvPr id="86" name="组合 140"/>
                          <wpg:cNvGrpSpPr/>
                          <wpg:grpSpPr>
                            <a:xfrm>
                              <a:off x="5309" y="10501"/>
                              <a:ext cx="2608" cy="1360"/>
                              <a:chOff x="5310" y="10501"/>
                              <a:chExt cx="2608" cy="1360"/>
                            </a:xfrm>
                            <a:effectLst/>
                          </wpg:grpSpPr>
                          <wps:wsp>
                            <wps:cNvPr id="197" name="自选图形 137"/>
                            <wps:cNvCnPr/>
                            <wps:spPr>
                              <a:xfrm flipV="1">
                                <a:off x="5309" y="11850"/>
                                <a:ext cx="2608" cy="0"/>
                              </a:xfrm>
                              <a:prstGeom prst="straightConnector1">
                                <a:avLst/>
                              </a:prstGeom>
                              <a:ln w="9525" cap="flat" cmpd="sng">
                                <a:solidFill>
                                  <a:srgbClr val="000000"/>
                                </a:solidFill>
                                <a:prstDash val="solid"/>
                                <a:headEnd type="triangle" w="med" len="med"/>
                                <a:tailEnd type="none" w="med" len="med"/>
                              </a:ln>
                              <a:effectLst/>
                            </wps:spPr>
                            <wps:bodyPr/>
                          </wps:wsp>
                          <wps:wsp>
                            <wps:cNvPr id="198" name="自选图形 138"/>
                            <wps:cNvCnPr/>
                            <wps:spPr>
                              <a:xfrm>
                                <a:off x="7912" y="10501"/>
                                <a:ext cx="0" cy="1361"/>
                              </a:xfrm>
                              <a:prstGeom prst="straightConnector1">
                                <a:avLst/>
                              </a:prstGeom>
                              <a:ln w="9525" cap="flat" cmpd="sng">
                                <a:solidFill>
                                  <a:srgbClr val="000000"/>
                                </a:solidFill>
                                <a:prstDash val="solid"/>
                                <a:headEnd type="none" w="med" len="med"/>
                                <a:tailEnd type="none" w="med" len="med"/>
                              </a:ln>
                              <a:effectLst/>
                            </wps:spPr>
                            <wps:bodyPr/>
                          </wps:wsp>
                        </wpg:grpSp>
                      </wpg:grpSp>
                    </wpg:wgp>
                  </a:graphicData>
                </a:graphic>
              </wp:anchor>
            </w:drawing>
          </mc:Choice>
          <mc:Fallback>
            <w:pict>
              <v:group id="组合 142" o:spid="_x0000_s1026" o:spt="203" style="position:absolute;left:0pt;margin-left:6.15pt;margin-top:5.8pt;height:623.1pt;width:412.2pt;mso-wrap-distance-bottom:0pt;mso-wrap-distance-top:0pt;z-index:251660288;mso-width-relative:page;mso-height-relative:page;" coordorigin="132,26" coordsize="8476,12194" o:gfxdata="UEsDBAoAAAAAAIdO4kAAAAAAAAAAAAAAAAAEAAAAZHJzL1BLAwQUAAAACACHTuJAqAWMa9kAAAAK&#10;AQAADwAAAGRycy9kb3ducmV2LnhtbE2PQWvCQBCF74X+h2WE3uomBmOI2UiRticpVAultzE7JsHs&#10;bsiuif77jqf2NDy+x5v3is3VdGKkwbfOKojnEQiyldOtrRV8Hd6eMxA+oNXYOUsKbuRhUz4+FJhr&#10;N9lPGvehFhxifY4KmhD6XEpfNWTQz11PltnJDQYDy6GWesCJw00nF1GUSoOt5Q8N9rRtqDrvL0bB&#10;+4TTSxK/jrvzaXv7OSw/vncxKfU0i6M1iEDX8GeGe32uDiV3OrqL1V50rBcJO/nGKQjmWZKuQBzv&#10;YLnKQJaF/D+h/AVQSwMEFAAAAAgAh07iQEjbdSmWDgAAgI8AAA4AAABkcnMvZTJvRG9jLnhtbO1d&#10;y5LjSBXdE8E/OLxnyqm3K7p6Arp7hgUBEwywV9su24QtGUndVT0rFgQDO1ZsIIKAHQR/QMDfdA/8&#10;BefmS6mUVJbdZbmqRrPocdlOWZl57sl7z72Zevbp7XYzervI8nWaXI3ZJ5PxaJHM0vk6WV6Nf/6z&#10;z74XjUd5ESfzeJMmi6vxu0U+/vT5d7/z7GZ3uXDSVbqZL7IRLpLklze7q/GqKHaXFxf5bLXYxvkn&#10;6W6R4MPrNNvGBf7MlhfzLL7B1bebC2cyCS5u0my+y9LZIs/x7kvx4VheMetywfT6ej1bvExnb7aL&#10;pBBXzRabuECX8tV6l4+f87u9vl7Mip9cX+eLYrS5GqOnBf8XP4LXr+nfi+fP4stlFu9W65m8hbjL&#10;LVh92sbrBD+qL/UyLuLRm2xdu9R2PcvSPL0uPpml2wvRET4i6AWbWGPzeZa+2fG+LC9vljs96Jgo&#10;a9SPvuzsx2+/yEbr+dU4wLwn8RYz/s2/fvP+D78bMc+h4bnZLS/xrc+z3Ze7LzL5xlL8RT2+vc62&#10;9H/0ZXTLB/adHtjFbTGa4U3fcb2phzGf4bNwylw3lEM/W2F+qB1znfEInzqBmJPZ6pVsHHlhIFoy&#10;h009+vii/NkFn+Qf5QW9Tfeqb03/ceJxm1rj5vMeHDhszIvQSfR/OpnIoVGDxxzPl/338SX0M74s&#10;hy1kmDe0ixyXqc/UyKGlGjnZsuPAwbLzEm75x8Hty1W8W3AU5wQkCTfmAg4Cb//9+h//+/Xv3//p&#10;P+///beRzyf4Zse/qxGXX+YAXwPcWMhCq//GuOEjQhzzo9CCzS7Li88X6XZEL67GMLRk/lOwBTfi&#10;+C3wRD+2nMtbjOe/HI+utxtww9t4M2JBEKgryi9jZNU1qWWSfrbebPhcbZLRDebVd2gWYzDmNZgK&#10;L7c7WF2eLPlP5ulmPacm1DjPlq9fbLIRfgqmxP+Tt1/5Gv3eyzhfie/xjwQCVot4/iqZj4p3O5hz&#10;Ahof0y1sF/PxaLMA69Mrfm9FvN50+SZ6t0no1ixzU/NC8/U6nb/D5GJpwYCu0uwr/CiIFX381Zs4&#10;wy3EyQxvX43RefHyRSGY+M0uWy9XaMURDCvm+CPq6QWITAHxwx+//vDnf374629Hvk/jY6BwVNz+&#10;ICWaUu+34TFypD26ADgfY43HiSMZkLmB6GlJYwo7Co8VKOIyd8GrgrcuM1Xcvr6V3bv/SStJWKwd&#10;nI9PS8FYTKpLl8+N80AKdiLYtKRgSaV66hzPopKnQcGuGrcqBUcK5KDrgYIHCj69L+ApIBoUPLVQ&#10;OFBw13XzHBSsF1EZPQR89TuQgj3Os8IL5sEHHA4ZBcCXfZIUDAe9wQsW/oHhf8jlus3rGLzgwQvu&#10;KCq0hWOwLgHEkoIDKQDoWGyg4IdMwRBQKgJO4IoV9CD9xg8oShEUzNs/fQrWAk7FCw4GIWIQInoV&#10;IkggrVHwIEQcqx6dwwvWAbXW0KVgdBAH21q48oGhhCslWCnhpg5xAgW9D/0NaYYa7I+N/dzAr6YR&#10;1NAxj0kp3BMKM3Qylbn4GO2tb2l3uy4WGZcVzyPynlQ67Efv9bSRlp4u07qulLy6erqBK/M2Does&#10;4SwNgNubfzi7Vt0T4BrULXZsaDV1RX5BZfsGgosv7zOL9RQIDk5Cg6bEZDjIo/kXiczlqwyeWA5H&#10;15v17oeU5qKkkkzps8AVuWkv4t5oSXIyn+UzLva1L6l5kcWU4XuRJgkyW2kmrs9Tp/Xk1uNJmBbZ&#10;Ok6Wm5b0ahd6E/k3GgPJRX1lPakyoAkkZtTbAhIDGuEEBRmkFniRJRYM0Hi80NBSYEUQgQMtVWj4&#10;SPuh4blIAQhoWInwARongYYsfTpxql37MjLCnR4jMmJFAcZIZJxa2PA9D5kkKtqJfPlRWesEZ7va&#10;qiwSQzsEfkY7YzGyalYqJWK9BLi46yaqlUUKWl2X1mXmeEZZSmUxk0gUARnMe+cQtg6FFerq9Ysu&#10;vLfqyaebIA7A2D7Aqqdzh8b3X0rTU3ii9W8jHrZLQLrGw67rCxtlE98uoplGIA8y0fuVYAi7utyu&#10;i891Uhf/HKqj9vcVJx8jOgbQxYiSWeRaXn7oBoAITZzjoEoYBGCojgHxNTVDSaT66JXM2YdU5ltp&#10;+IBYGfCUrPzNX/5OlafIe5X+zf6yp3rHVSheGS9VJjqIjdXa0y6GegpG7cdL0sGVtEhHhlUHpQEi&#10;tBIWCU7lVqcQ5kymqhgmqlXST6VFOkyUQZKxKotEQ9AzmTKTDR+SRepEQCXucGypTFqp6ScZjlG9&#10;++2jZnTe8oyGgvC7S8fPZb59+Ot+Q4LAMcUzWhy6OkRsEgqHyHEc2yGKmHSIWDjhn92Bx6EgfL5v&#10;i1S5uSTUCobiX+nPHsS/LqOcIedK5dtoKmEEEpNHDZfIdYhkebuprGI0GJiRn2W2NCb93JEqtj00&#10;RapiTxZFI50Kwhv6b4xb2ft9kB/25Ny5e+dJU7B2oMqY1LH1kq4U7HqIaLg9TsXevDKBwb0gYY3h&#10;hNuqYY22SzBQ8CEUDAoUopekYPcYodD3fISegoKtBLvjhjIqVa6sQcF+Gc1OZTRrULAbybBUtTQm&#10;/ewUrMet4gSLzWSdKRj9x/okliArmnfcSCqs6P1AwcO2yJaCcDI8YcAlBYuiAwOFXSnYx6ZvRcG2&#10;HZex7LeFgqsaYR8hDSr5mxw718z27pe8ICgIh9hjE96yXEhJ0uXraABuRYBuMKq1jM7Tm+T7WZbe&#10;tG+1BlTKvdY661Ddjo0Old9xQ8/jN4SfHTITsphA6CNkrKfQ0XpBrQ7Eq2shX9EMFrpbEHKnVDWL&#10;tRCotXQ0T0VxZ0KtL3zaAbXq+A5VjfSoUQsmbEj3ooZK4rRTEB142AMoUIsTLtDS5FqpPQyore/6&#10;G7LAew4VanH3Ai39GO6eVM207tPV3YuUn0BuXwW7TGue95sEHurwH925K9BU6wHG0Rs/HMSynC5D&#10;u6RogNz+k4Dggew93+ekZRO04J/+zCk64MWOabHrrroudyU5H+KUgpyU+bXM7SJfxMOhgeXaDp96&#10;AJDrpxZA6yhSCAVqOOAOykWxMETEiyDGd0Ska7iDUyrPp4zSdCI9xbJkMpTlWN5UHGllFgN4dkNM&#10;iSpTObcMWp5GWAn9UNpQGmtLDXLzHgZjIGSdkjJWqQVTLIhrG2NgCRdPdRND+/lwXUz0bBsYqCat&#10;IcxSh1YevMvFYzVTsRAizevbhxBdJtx4iuCDRkl5NFyVR8xyjhYeMWqKgkBtc5mqmioLGwN71E6X&#10;fNi4QLTQxB6mIL4fFyyU6Unfq0mLU9qOT6vyHj18WFbaxT9aj2VkwF9Jh62vPXKh1p9LTQT75koP&#10;5JBCMCeSHBIwu8Da8akYmbCyV9HLDilCGESRRyeKhM3iMc6+K1HXwkuNfi9OIYCfxJHFrEKAwe/9&#10;mNC00e/tJaCk4hWxdMmAUmyUO/CoRXfiiSLF0AHmAK4yoMQuD1VdzkSG2KiscScIMjmggnpEyfeH&#10;cCJjsqXhLJ87pKQsYNOSb4vc0tBE+rSMiOVm+Ib+K1ewPm5G761gcr6Ot2kyL3Pg+FV8W32LpkPv&#10;aSJt7ttG5Y81ZU2JDwEyw2U4WtTGrlZha5TCrtgoY1RQQy7D/SqMFeB18eBPqgr3XyhDxfoNJCH2&#10;MpIr2r73vWX9lbpdVIsQ5PrrCgG6nSqGAKFjgNBPDoGqTuXyK/YNCt1QYqNDERW2yHKjjkK1gKoF&#10;xIfOIIzamexDxRAIWP7EqUtH+vHttCwhfTuwB/dHDksWyJMApxOx77B07Vj5DApPuX06WSCPzsMT&#10;LORiU5ZMo52s72OyncFX1kTIgaLHtfRjkYZDLCxSbInsbJG1fit7rI+W0Wvlqh3zxI7Bm3scj4ah&#10;SnnbmxM18wa4uueLBe174gqNRjnBzjURCahE3MfA7CE7c/3QqS57VnQq1buD6BSP2BIaCvjUKsXD&#10;saJyxVa8aITKIaOya7joYFRZeGowaq2lwS1nZ1QtfMqzEcRaYYCeL0pqya0Fyeg5LKfSc82pHj2w&#10;iwIXNWJGvz8G7AOnPhJO1QpnGSGL6NaAV1dOBdBEhIyjkS0VC6apgDawavl8znt4UiSO+lMRkHhS&#10;JEKiw51U353gOuCBMFLPfFQc4QQ4UFLKiKqA1PBSZTl/6JTlLq/kiTP1lga7nJ1VtTZUyUWLJV+C&#10;v0Xbp5VcCpDYMyDix7L/5bghC8nHbcg5zo89bobcL5oMVCP2FsCAqBpEJ2hRcpndIzr9AoupeWBr&#10;GCGC46alTURBxLIrwzqstXdQnTqqTlWNsh+3Vi+h0q2NjlEJAjizgn9r+WiPjmfkPhrJzACh4dUG&#10;OANQYEscCGpWFOJJte0AOzv9auGuQr9iv+Ld9FtKu/yVbW/1IRnM7V4Of29MsvZRKI49BE2MDD2g&#10;GyPbR2gHOO9dGI04zaoM/h2PDjUlWxvW7PtZs6uE3AtatMxQZRazyHB/YsCd0hMOKTDGca/WhoJh&#10;o6rIjTc+7nrY8nfclj8c3VxTN3FEa8lwh5S3oZ5ESD4Mj7K3QvGyMAIngtL1293OIa1luUlKYyMH&#10;5aS5dqof6uFZ3RSZyPSpEA+Ye4x6ENDD0jhXejhsjXuoyudyPPJQufdKR9Dzz7R60NCu1GTREhg2&#10;WxpAteal9ywXVY82BIl4/FBpsC3qQem+GjpCw0ioEbSGzxiEIUjssFHyfF6rtq2KH8IqRw/sxUhz&#10;iCMf5sCYPpdfoaU8UOpJebB3b3q534cONSCm6sX2Q81an5SyAlN7Yw9Kl0HYFekyHAEvjjU1op1A&#10;KZQApc3NvkuyLyd13dAg51pTg5fOTs7NCh4T7k4HccGWFMpBbDA4PRKDwTUc3wZY7N3L3mBwUvPV&#10;j0/Jr8arothdHpk6aTlmg06GbVjFGUSAvcu4sXjjXA0hKDTYWLl6c7XCsJJh9T4OGiYX117fLJEn&#10;wCAvs3i3Ws9exkVs/s2zCZcLJ12lm/kie/5/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CBEAAFtDb250ZW50X1R5cGVzXS54bWxQSwECFAAKAAAA&#10;AACHTuJAAAAAAAAAAAAAAAAABgAAAAAAAAAAABAAAADqDwAAX3JlbHMvUEsBAhQAFAAAAAgAh07i&#10;QIoUZjzRAAAAlAEAAAsAAAAAAAAAAQAgAAAADhAAAF9yZWxzLy5yZWxzUEsBAhQACgAAAAAAh07i&#10;QAAAAAAAAAAAAAAAAAQAAAAAAAAAAAAQAAAAAAAAAGRycy9QSwECFAAUAAAACACHTuJAqAWMa9kA&#10;AAAKAQAADwAAAAAAAAABACAAAAAiAAAAZHJzL2Rvd25yZXYueG1sUEsBAhQAFAAAAAgAh07iQEjb&#10;dSmWDgAAgI8AAA4AAAAAAAAAAQAgAAAAKAEAAGRycy9lMm9Eb2MueG1sUEsFBgAAAAAGAAYAWQEA&#10;ADASAAAAAA==&#10;">
                <o:lock v:ext="edit" aspectratio="f"/>
                <v:group id="组合 56" o:spid="_x0000_s1026" o:spt="203" style="position:absolute;left:1486;top:9000;height:1586;width:1245;" coordorigin="1718,8231" coordsize="1246,1586" o:gfxdata="UEsDBAoAAAAAAIdO4kAAAAAAAAAAAAAAAAAEAAAAZHJzL1BLAwQUAAAACACHTuJAOzJL9b8AAADb&#10;AAAADwAAAGRycy9kb3ducmV2LnhtbEWPQWvCQBSE70L/w/IK3ppNlEqbuoYSVDxIoUmh9PbIPpNg&#10;9m3Iron++26h4HGYmW+YdXY1nRhpcK1lBUkUgyCurG65VvBV7p5eQDiPrLGzTApu5CDbPMzWmGo7&#10;8SeNha9FgLBLUUHjfZ9K6aqGDLrI9sTBO9nBoA9yqKUecApw08lFHK+kwZbDQoM95Q1V5+JiFOwn&#10;nN6XyXY8nk/57ad8/vg+JqTU/DGJ30B4uvp7+L990ApWr/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7Mkv1vwAAANsAAAAPAAAAAAAAAAEAIAAAACIAAABkcnMvZG93bnJldi54&#10;bWxQSwECFAAUAAAACACHTuJAMy8FnjsAAAA5AAAAFQAAAAAAAAABACAAAAAOAQAAZHJzL2dyb3Vw&#10;c2hhcGV4bWwueG1sUEsFBgAAAAAGAAYAYAEAAMsDAAAAAA==&#10;">
                  <o:lock v:ext="edit" aspectratio="f"/>
                  <v:roundrect id="自选图形 54" o:spid="_x0000_s1026" o:spt="2" style="position:absolute;left:1717;top:8231;height:1587;width:1247;" filled="f" stroked="t" coordsize="21600,21600" arcsize="0.166666666666667" o:gfxdata="UEsDBAoAAAAAAIdO4kAAAAAAAAAAAAAAAAAEAAAAZHJzL1BLAwQUAAAACACHTuJAM6Y9Fb8AAADc&#10;AAAADwAAAGRycy9kb3ducmV2LnhtbEWPQWvDMAyF74P9B6PBbqvTjoWS1e2hUCg9bd1oyU3EmpM2&#10;llPba7N/Px0Gu0m8p/c+LVaj79WVYuoCG5hOClDETbAdOwOfH5unOaiUkS32gcnADyVYLe/vFljZ&#10;cON3uu6zUxLCqUIDbc5DpXVqWvKYJmEgFu0rRI9Z1ui0jXiTcN/rWVGU2mPH0tDiQOuWmvP+2xuo&#10;D+UsvtRH3u3W9XYshzd3ujhjHh+mxSuoTGP+N/9db63gPwu+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mPRW/&#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55" o:spid="_x0000_s1026" o:spt="202" type="#_x0000_t202" style="position:absolute;left:1828;top:8330;height:1361;width:1020;" filled="f" stroked="f" coordsize="21600,21600" o:gfxdata="UEsDBAoAAAAAAIdO4kAAAAAAAAAAAAAAAAAEAAAAZHJzL1BLAwQUAAAACACHTuJAiy53S7sAAADc&#10;AAAADwAAAGRycy9kb3ducmV2LnhtbEVPyWrDMBC9F/IPYgK91ZK7hMSJ7ENKoKeWZoPcBmtim1gj&#10;Yymx+/dVoZDbPN46q2K0rbhR7xvHGtJEgSAunWm40rDfbZ7mIHxANtg6Jg0/5KHIJw8rzIwb+Jtu&#10;21CJGMI+Qw11CF0mpS9rsugT1xFH7ux6iyHCvpKmxyGG21Y+KzWTFhuODTV2tK6pvGyvVsPh83w6&#10;vqqv6t2+dYMblWS7kFo/TlO1BBFoDHfxv/vDxPkvKf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53S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对水功能区水质影响分析</w:t>
                          </w:r>
                        </w:p>
                      </w:txbxContent>
                    </v:textbox>
                  </v:shape>
                </v:group>
                <v:group id="组合 57" o:spid="_x0000_s1026" o:spt="203" style="position:absolute;left:2867;top:9001;height:1587;width:1247;" coordorigin="1718,8231" coordsize="1246,1586"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roundrect id="自选图形 58" o:spid="_x0000_s1026" o:spt="2" style="position:absolute;left:1717;top:8231;height:1587;width:1247;" filled="f" stroked="t" coordsize="21600,21600" arcsize="0.166666666666667" o:gfxdata="UEsDBAoAAAAAAIdO4kAAAAAAAAAAAAAAAAAEAAAAZHJzL1BLAwQUAAAACACHTuJAw3SjYrwAAADc&#10;AAAADwAAAGRycy9kb3ducmV2LnhtbEVPTWsCMRC9F/wPYQRvNavSRbZGD4IgntQWZW/DZprddjNZ&#10;k6jrvzeFQm/zeJ+zWPW2FTfyoXGsYDLOQBBXTjdsFHx+bF7nIEJE1tg6JgUPCrBaDl4WWGh35wPd&#10;jtGIFMKhQAV1jF0hZahqshjGriNO3JfzFmOC3kjt8Z7CbSunWZZLiw2nhho7WtdU/RyvVkF5yqf+&#10;rTzzbrcut33e7c33xSg1Gk6ydxCR+vgv/nNvdZo/m8HvM+kC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0o2K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59" o:spid="_x0000_s1026" o:spt="202" type="#_x0000_t202" style="position:absolute;left:1828;top:8330;height:1361;width:1020;" filled="f" stroked="f" coordsize="21600,21600" o:gfxdata="UEsDBAoAAAAAAIdO4kAAAAAAAAAAAAAAAAAEAAAAZHJzL1BLAwQUAAAACACHTuJAm1nU07wAAADc&#10;AAAADwAAAGRycy9kb3ducmV2LnhtbEVPS2vCQBC+C/6HZYTezK5tLDa6emgp9FTRtkJvQ3bywOxs&#10;yG6T9N+7guBtPr7nbHajbURPna8da1gkCgRx7kzNpYbvr/f5CoQPyAYbx6ThnzzsttPJBjPjBj5Q&#10;fwyliCHsM9RQhdBmUvq8Ios+cS1x5ArXWQwRdqU0HQ4x3DbyUalnabHm2FBhS68V5efjn9Xw81n8&#10;nlK1L9/ssh3cqCTbF6n1w2yh1iACjeEuvrk/TJz/lML1mXiB3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Z1N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对水功能区水生态影响分析</w:t>
                          </w:r>
                        </w:p>
                      </w:txbxContent>
                    </v:textbox>
                  </v:shape>
                </v:group>
                <v:group id="组合 60" o:spid="_x0000_s1026" o:spt="203" style="position:absolute;left:4247;top:9002;height:1587;width:1247;" coordorigin="1718,8231" coordsize="1246,1586" o:gfxdata="UEsDBAoAAAAAAIdO4kAAAAAAAAAAAAAAAAAEAAAAZHJzL1BLAwQUAAAACACHTuJAQJ3RLr4AAADb&#10;AAAADwAAAGRycy9kb3ducmV2LnhtbEWPT2sCMRTE74V+h/AKvWk2lVpZN0oRLT1IQS2It8fm7R/c&#10;vCybuKvf3giFHoeZ+Q2TLa+2ET11vnasQY0TEMS5MzWXGn4Pm9EMhA/IBhvHpOFGHpaL56cMU+MG&#10;3lG/D6WIEPYpaqhCaFMpfV6RRT92LXH0CtdZDFF2pTQdDhFuG/mWJFNpsea4UGFLq4ry8/5iNXwN&#10;OHxO1LrfnovV7XR4/zluFWn9+qKSOYhA1/Af/mt/Gw0f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Cd0S6+AAAA2wAAAA8AAAAAAAAAAQAgAAAAIgAAAGRycy9kb3ducmV2Lnht&#10;bFBLAQIUABQAAAAIAIdO4kAzLwWeOwAAADkAAAAVAAAAAAAAAAEAIAAAAA0BAABkcnMvZ3JvdXBz&#10;aGFwZXhtbC54bWxQSwUGAAAAAAYABgBgAQAAygMAAAAA&#10;">
                  <o:lock v:ext="edit" aspectratio="f"/>
                  <v:roundrect id="自选图形 61" o:spid="_x0000_s1026" o:spt="2" style="position:absolute;left:1717;top:8231;height:1587;width:1247;" filled="f" stroked="t" coordsize="21600,21600" arcsize="0.166666666666667" o:gfxdata="UEsDBAoAAAAAAIdO4kAAAAAAAAAAAAAAAAAEAAAAZHJzL1BLAwQUAAAACACHTuJA0wMA+rwAAADc&#10;AAAADwAAAGRycy9kb3ducmV2LnhtbEVPTWsCMRC9F/wPYQq91awWl7I1ehAE8dSqKHsbNmN27Way&#10;TVJd/70RBG/zeJ8znfe2FWfyoXGsYDTMQBBXTjdsFOy2y/dPECEia2wdk4IrBZjPBi9TLLS78A+d&#10;N9GIFMKhQAV1jF0hZahqshiGriNO3NF5izFBb6T2eEnhtpXjLMulxYZTQ40dLWqqfjf/VkG5z8d+&#10;Uh54vV6Uqz7vvs3pzyj19jrKvkBE6uNT/HCvdJr/kcP9mXSBn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DAP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2" o:spid="_x0000_s1026" o:spt="202" type="#_x0000_t202" style="position:absolute;left:1828;top:8330;height:1361;width:1020;" filled="f" stroked="f" coordsize="21600,21600" o:gfxdata="UEsDBAoAAAAAAIdO4kAAAAAAAAAAAAAAAAAEAAAAZHJzL1BLAwQUAAAACACHTuJAa4tKpLsAAADc&#10;AAAADwAAAGRycy9kb3ducmV2LnhtbEVPS4vCMBC+L/gfwix408THqts1ethF8OTiE7wNzdiWbSal&#10;ibb+eyMIe5uP7znzZWtLcaPaF441DPoKBHHqTMGZhsN+1ZuB8AHZYOmYNNzJw3LReZtjYlzDW7rt&#10;QiZiCPsENeQhVImUPs3Jou+7ijhyF1dbDBHWmTQ1NjHclnKo1ERaLDg25FjRd07p3+5qNRw3l/Np&#10;rH6zH/tRNa5Vku2n1Lr7PlBfIAK14V/8cq9NnD+awv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tKp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对地下水影响分析</w:t>
                          </w:r>
                        </w:p>
                      </w:txbxContent>
                    </v:textbox>
                  </v:shape>
                </v:group>
                <v:group id="组合 63" o:spid="_x0000_s1026" o:spt="203" style="position:absolute;left:5620;top:9003;height:1587;width:1247;" coordorigin="1718,8231" coordsize="1246,1586"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roundrect id="自选图形 64" o:spid="_x0000_s1026" o:spt="2" style="position:absolute;left:1717;top:8231;height:1587;width:1247;" filled="f" stroked="t" coordsize="21600,21600" arcsize="0.166666666666667" o:gfxdata="UEsDBAoAAAAAAIdO4kAAAAAAAAAAAAAAAAAEAAAAZHJzL1BLAwQUAAAACACHTuJAopyUiLwAAADc&#10;AAAADwAAAGRycy9kb3ducmV2LnhtbEVPS2sCMRC+F/ofwhR606wWF7s1ehAE8VQfWPY2bKbZbTeT&#10;NUl1/fdGEHqbj+85s0VvW3EmHxrHCkbDDARx5XTDRsFhvxpMQYSIrLF1TAquFGAxf36aYaHdhbd0&#10;3kUjUgiHAhXUMXaFlKGqyWIYuo44cd/OW4wJeiO1x0sKt60cZ1kuLTacGmrsaFlT9bv7swrKYz72&#10;k/KLN5tlue7z7tP8nIxSry+j7ANEpD7+ix/utU7z397h/ky6QM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clI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5" o:spid="_x0000_s1026" o:spt="202" type="#_x0000_t202" style="position:absolute;left:1828;top:8330;height:1361;width:1020;"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rPr>
                            <w:t>对第三者影响分析</w:t>
                          </w:r>
                        </w:p>
                      </w:txbxContent>
                    </v:textbox>
                  </v:shape>
                </v:group>
                <v:group id="组合 141" o:spid="_x0000_s1026" o:spt="203" style="position:absolute;left:132;top:26;height:12194;width:8475;" coordorigin="132,26" coordsize="8476,12194"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文本框 9" o:spid="_x0000_s1026" o:spt="202" type="#_x0000_t202" style="position:absolute;left:3652;top:26;height:454;width:1416;" filled="f" stroked="t" coordsize="21600,21600" o:gfxdata="UEsDBAoAAAAAAIdO4kAAAAAAAAAAAAAAAAAEAAAAZHJzL1BLAwQUAAAACACHTuJArerjhL8AAADc&#10;AAAADwAAAGRycy9kb3ducmV2LnhtbEWPQW/CMAyF70j7D5En7UZTyjRYR+AATNqRdQWuXmPaao1T&#10;NRnt+PUECWk3W+99z8+L1WAacabO1ZYVTKIYBHFhdc2lgvzrfTwH4TyyxsYyKfgjB6vlw2iBqbY9&#10;f9I586UIIexSVFB536ZSuqIigy6yLXHQTrYz6MPalVJ32Idw08gkjl+kwZrDhQpbWldU/GS/JtRI&#10;jvl0s8toNsPv6WZ72b+eDo1ST4+T+A2Ep8H/m+/0hw7ccwK3Z8IE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q44S/&#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现场勘查</w:t>
                          </w:r>
                        </w:p>
                      </w:txbxContent>
                    </v:textbox>
                  </v:shape>
                  <v:shape id="文本框 11" o:spid="_x0000_s1026" o:spt="202" type="#_x0000_t202" style="position:absolute;left:6386;top:29;height:454;width:1416;" filled="f" stroked="t" coordsize="21600,21600" o:gfxdata="UEsDBAoAAAAAAIdO4kAAAAAAAAAAAAAAAAAEAAAAZHJzL1BLAwQUAAAACACHTuJAwqZGH78AAADc&#10;AAAADwAAAGRycy9kb3ducmV2LnhtbEWPQW/CMAyF75P4D5GRdltT6DRGIXCgTNqRlW67msa0FY1T&#10;NVlh/PplEhI3W+99z8/L9cW0YqDeNZYVTKIYBHFpdcOVgmL/9vQKwnlkja1lUvBLDtar0cMSU23P&#10;/EFD7isRQtilqKD2vkuldGVNBl1kO+KgHW1v0Ie1r6Tu8RzCTSuncfwiDTYcLtTY0aam8pT/mFBj&#10;+l0k2S6n2QwPSba9fs6PX61Sj+NJvADh6eLv5hv9rgP3nMD/M2ECu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mRh+/&#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补充监测</w:t>
                          </w:r>
                        </w:p>
                      </w:txbxContent>
                    </v:textbox>
                  </v:shape>
                  <v:shape id="文本框 12" o:spid="_x0000_s1026" o:spt="202" type="#_x0000_t202" style="position:absolute;left:938;top:31;height:454;width:1416;" filled="f" stroked="t" coordsize="21600,21600" o:gfxdata="UEsDBAoAAAAAAIdO4kAAAAAAAAAAAAAAAAAEAAAAZHJzL1BLAwQUAAAACACHTuJATU/ea78AAADc&#10;AAAADwAAAGRycy9kb3ducmV2LnhtbEWPzW7CMBCE75V4B2uRuBUHiJoSMBz4kXqkKS3XJV6SiHgd&#10;xYakPH1dqVJvu5r5ZmeX697U4k6tqywrmIwjEMS51RUXCo4f++dXEM4ja6wtk4JvcrBeDZ6WmGrb&#10;8TvdM1+IEMIuRQWl900qpctLMujGtiEO2sW2Bn1Y20LqFrsQbmo5jaIXabDicKHEhjYl5dfsZkKN&#10;6ek42x4yShI8z7a7x+f88lUrNRpOogUIT73/N//RbzpwcQy/z4QJ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P3mu/&#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资料收集</w:t>
                          </w:r>
                        </w:p>
                      </w:txbxContent>
                    </v:textbox>
                  </v:shape>
                  <v:shape id="自选图形 13" o:spid="_x0000_s1026" o:spt="32" type="#_x0000_t32" style="position:absolute;left:1636;top:485;flip:x;height:510;width:0;" filled="f" stroked="t" coordsize="21600,21600" o:gfxdata="UEsDBAoAAAAAAIdO4kAAAAAAAAAAAAAAAAAEAAAAZHJzL1BLAwQUAAAACACHTuJAYGMfoLwAAADc&#10;AAAADwAAAGRycy9kb3ducmV2LnhtbEVPS4vCMBC+C/sfwgh7EU0VXUo1elhfexHZqvehGdtiMylN&#10;Vtt/bxYEb/PxPWexak0l7tS40rKC8SgCQZxZXXKu4HzaDmMQziNrrCyTgo4crJYfvQUm2j74l+6p&#10;z0UIYZeggsL7OpHSZQUZdCNbEwfuahuDPsAml7rBRwg3lZxE0Zc0WHJoKLCm74KyW/pnFKzT42x7&#10;GZzbSZftD+kuvh252yj12R9HcxCeWv8Wv9w/OsyfzuD/mXCB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jH6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4" o:spid="_x0000_s1026" o:spt="32" type="#_x0000_t32" style="position:absolute;left:7094;top:483;height:510;width:0;" filled="f" stroked="t" coordsize="21600,21600" o:gfxdata="UEsDBAoAAAAAAIdO4kAAAAAAAAAAAAAAAAAEAAAAZHJzL1BLAwQUAAAACACHTuJAvLNNILwAAADc&#10;AAAADwAAAGRycy9kb3ducmV2LnhtbEVPS2sCMRC+F/ofwhS81axFFl2NQivFvVhQS/E4bMZNcDNZ&#10;NvH56xtB8DYf33Om84trxIm6YD0rGPQzEMSV15ZrBb/b7/cRiBCRNTaeScGVAsxnry9TLLQ/85pO&#10;m1iLFMKhQAUmxraQMlSGHIa+b4kTt/edw5hgV0vd4TmFu0Z+ZFkuHVpODQZb+jJUHTZHpyAudleT&#10;/1WfY/uzXa5yeyvLcqFU722QTUBEusSn+OEudZo/zOH+TLp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zTS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6" o:spid="_x0000_s1026" o:spt="32" type="#_x0000_t32" style="position:absolute;left:4360;top:480;height:510;width:0;" filled="f" stroked="t" coordsize="21600,21600" o:gfxdata="UEsDBAoAAAAAAIdO4kAAAAAAAAAAAAAAAAAEAAAAZHJzL1BLAwQUAAAACACHTuJA0//ou70AAADc&#10;AAAADwAAAGRycy9kb3ducmV2LnhtbEVPS2sCMRC+C/0PYQreatZStn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7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id="组合 93" o:spid="_x0000_s1026" o:spt="203" style="position:absolute;left:1637;top:990;height:850;width:5441;" coordorigin="1638,990" coordsize="5442,850" o:gfxdata="UEsDBAoAAAAAAIdO4kAAAAAAAAAAAAAAAAAEAAAAZHJzL1BLAwQUAAAACACHTuJAUOpytr8AAADb&#10;AAAADwAAAGRycy9kb3ducmV2LnhtbEWPzWrDMBCE74W8g9hCbo3s/LTFjWxCSEIPptCkUHpbrI1t&#10;Yq2Mpdjx21eBQo/DzHzDrLObaURPnastK4hnEQjiwuqaSwVfp/3TKwjnkTU2lknBSA6ydPKwxkTb&#10;gT+pP/pSBAi7BBVU3reJlK6oyKCb2ZY4eGfbGfRBdqXUHQ4Bbho5j6JnabDmsFBhS9uKisvxahQc&#10;Bhw2i3jX55fzdvw5rT6+85iUmj7G0RsITzf/H/5rv2sFL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Q6nK2vwAAANsAAAAPAAAAAAAAAAEAIAAAACIAAABkcnMvZG93bnJldi54&#10;bWxQSwECFAAUAAAACACHTuJAMy8FnjsAAAA5AAAAFQAAAAAAAAABACAAAAAOAQAAZHJzL2dyb3Vw&#10;c2hhcGV4bWwueG1sUEsFBgAAAAAGAAYAYAEAAMsDAAAAAA==&#10;">
                    <o:lock v:ext="edit" aspectratio="f"/>
                    <v:shape id="自选图形 17" o:spid="_x0000_s1026" o:spt="5" type="#_x0000_t5" style="position:absolute;left:1637;top:990;height:850;width:5442;rotation:11796480f;" filled="f" stroked="t" coordsize="21600,21600" o:gfxdata="UEsDBAoAAAAAAIdO4kAAAAAAAAAAAAAAAAAEAAAAZHJzL1BLAwQUAAAACACHTuJAcCeboMAAAADc&#10;AAAADwAAAGRycy9kb3ducmV2LnhtbEWPT2sCQQzF7wW/wxChtzqjFSmrowdBsS0W1Ar1lu6ku4s7&#10;me3O+O/bNweht4T38t4vk9nV1+pMbawCW+j3DCjiPLiKCwufu8XTC6iYkB3WgcnCjSLMpp2HCWYu&#10;XHhD520qlIRwzNBCmVKTaR3zkjzGXmiIRfsJrccka1to1+JFwn2tB8aMtMeKpaHEhuYl5cftyVvY&#10;vw9232a/fF6/3ZZfH6f8FfH3YO1jt2/GoBJd07/5fr1ygj8UWnlGJtDT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J5ug&#10;wAAAANwAAAAPAAAAAAAAAAEAIAAAACIAAABkcnMvZG93bnJldi54bWxQSwECFAAUAAAACACHTuJA&#10;My8FnjsAAAA5AAAAEAAAAAAAAAABACAAAAAPAQAAZHJzL3NoYXBleG1sLnhtbFBLBQYAAAAABgAG&#10;AFsBAAC5AwAAAAA=&#10;" adj="10800">
                      <v:fill on="f" focussize="0,0"/>
                      <v:stroke color="#000000" joinstyle="miter"/>
                      <v:imagedata o:title=""/>
                      <o:lock v:ext="edit" aspectratio="f"/>
                    </v:shape>
                    <v:shape id="文本框 18" o:spid="_x0000_s1026" o:spt="202" type="#_x0000_t202" style="position:absolute;left:3358;top:1051;height:454;width:1984;" filled="f" stroked="f" coordsize="21600,21600" o:gfxdata="UEsDBAoAAAAAAIdO4kAAAAAAAAAAAAAAAAAEAAAAZHJzL1BLAwQUAAAACACHTuJALV4IMLkAAADc&#10;AAAADwAAAGRycy9kb3ducmV2LnhtbEVPS4vCMBC+C/6HMII3TVx00Wr04CJ4cvEJ3oZmbIvNpDTR&#10;1n+/EYS9zcf3nMWqtaV4Uu0LxxpGQwWCOHWm4EzD6bgZTEH4gGywdEwaXuRhtex2FpgY1/CenoeQ&#10;iRjCPkENeQhVIqVPc7Loh64ijtzN1RZDhHUmTY1NDLel/FLqW1osODbkWNE6p/R+eFgN593tehmr&#10;3+zHTqrGtUqynUmt+72RmoMI1IZ/8ce9NXH+eAb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1eCDC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基础资料整理分析</w:t>
                            </w:r>
                          </w:p>
                        </w:txbxContent>
                      </v:textbox>
                    </v:shape>
                  </v:group>
                  <v:group id="组合 91" o:spid="_x0000_s1026" o:spt="203" style="position:absolute;left:654;top:1835;height:2268;width:7369;" coordorigin="641,1666" coordsize="7370,2268"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rect id="矩形 20" o:spid="_x0000_s1026" o:spt="1" style="position:absolute;left:641;top:1666;height:2267;width:7369;" filled="f" stroked="t" coordsize="21600,21600" o:gfxdata="UEsDBAoAAAAAAIdO4kAAAAAAAAAAAAAAAAAEAAAAZHJzL1BLAwQUAAAACACHTuJAsFBRlLoAAADc&#10;AAAADwAAAGRycy9kb3ducmV2LnhtbEVPTYvCMBC9L/gfwgje1rQLylKNorLCngRdQb0NzZgUm0lp&#10;slb/vREEb/N4nzOd31wtrtSGyrOCfJiBIC69rtgo2P+tP79BhIissfZMCu4UYD7rfUyx0L7jLV13&#10;0YgUwqFABTbGppAylJYchqFviBN39q3DmGBrpG6xS+Gull9ZNpYOK04NFhtaWSovu3+n4Kc5bRYj&#10;E+TiEO3x4pfd2m6MUoN+nk1ARLrFt/jl/tVp/iiH5zPpAj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UFGU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group id="组合 24" o:spid="_x0000_s1026" o:spt="203" style="position:absolute;left:824;top:1858;height:1870;width:2097;" coordorigin="941,2157" coordsize="2098,1870"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roundrect id="自选图形 22" o:spid="_x0000_s1026" o:spt="2" style="position:absolute;left:941;top:2157;height:1870;width:2097;" filled="f" stroked="t" coordsize="21600,21600" arcsize="0.166666666666667" o:gfxdata="UEsDBAoAAAAAAIdO4kAAAAAAAAAAAAAAAAAEAAAAZHJzL1BLAwQUAAAACACHTuJAcefjWbwAAADc&#10;AAAADwAAAGRycy9kb3ducmV2LnhtbEVPTWsCMRC9C/6HMII3zbrgIlujB6EgntSKZW/DZprddjPZ&#10;Jqmu/74pFLzN433OejvYTtzIh9axgsU8A0FcO92yUXB5e52tQISIrLFzTAoeFGC7GY/WWGp35xPd&#10;ztGIFMKhRAVNjH0pZagbshjmridO3IfzFmOC3kjt8Z7CbSfzLCukxZZTQ4M97Rqqv84/VkF1LXK/&#10;rN75cNhV+6Hoj+bz2yg1nSyyFxCRhvgU/7v3Os1f5vD3TLp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n41m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3" o:spid="_x0000_s1026" o:spt="202" type="#_x0000_t202" style="position:absolute;left:1078;top:2221;height:1701;width:1814;" filled="f" stroked="f" coordsize="21600,21600" o:gfxdata="UEsDBAoAAAAAAIdO4kAAAAAAAAAAAAAAAAAEAAAAZHJzL1BLAwQUAAAACACHTuJAyW+pB7sAAADc&#10;AAAADwAAAGRycy9kb3ducmV2LnhtbEVPyWrDMBC9F/IPYgK91VLSOiROlBxSCj21NBvkNljjhVgj&#10;Y6m2+/dVoZDbPN46m91oG9FT52vHGmaJAkGcO1NzqeF0fHtagvAB2WDjmDT8kIfddvKwwcy4gb+o&#10;P4RSxBD2GWqoQmgzKX1ekUWfuJY4coXrLIYIu1KaDocYbhs5V2ohLdYcGypsaV9Rfjt8Ww3nj+J6&#10;eVGf5atN28GNSrJdSa0fpzO1BhFoDHfxv/vdxPnpM/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pB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v:textbox>
                      </v:shape>
                    </v:group>
                    <v:group id="组合 28" o:spid="_x0000_s1026" o:spt="203" style="position:absolute;left:3116;top:1866;height:1870;width:2153;" coordorigin="3298,1892" coordsize="2154,1870"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roundrect id="自选图形 26" o:spid="_x0000_s1026" o:spt="2" style="position:absolute;left:3298;top:1892;height:1871;width:2154;" filled="f" stroked="t" coordsize="21600,21600" arcsize="0.166666666666667" o:gfxdata="UEsDBAoAAAAAAIdO4kAAAAAAAAAAAAAAAAAEAAAAZHJzL1BLAwQUAAAACACHTuJA/g57LbwAAADc&#10;AAAADwAAAGRycy9kb3ducmV2LnhtbEVPTWsCMRC9F/wPYQRvNauwS9kaPQgF8dSqtOxt2Eyz224m&#10;axJ1/fdGELzN433OYjXYTpzJh9axgtk0A0FcO92yUXDYf7y+gQgRWWPnmBRcKcBqOXpZYKndhb/o&#10;vItGpBAOJSpoYuxLKUPdkMUwdT1x4n6dtxgT9EZqj5cUbjs5z7JCWmw5NTTY07qh+n93sgqq72Lu&#10;8+qHt9t1tRmK/tP8HY1Sk/EsewcRaYhP8cO90Wl+nsP9mXSBX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Oey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7" o:spid="_x0000_s1026" o:spt="202" type="#_x0000_t202" style="position:absolute;left:3435;top:1956;height:1702;width:1870;" filled="f" stroked="f" coordsize="21600,21600" o:gfxdata="UEsDBAoAAAAAAIdO4kAAAAAAAAAAAAAAAAAEAAAAZHJzL1BLAwQUAAAACACHTuJA2RgKn7wAAADc&#10;AAAADwAAAGRycy9kb3ducmV2LnhtbEVPTWvCQBC9C/0PyxR6M7spjdTUjQel4ElpbAvehuyYhGZn&#10;Q3Y18d+7hUJv83ifs1pPthNXGnzrWEOaKBDElTMt1xo+j+/zVxA+IBvsHJOGG3lYFw+zFebGjfxB&#10;1zLUIoawz1FDE0KfS+mrhiz6xPXEkTu7wWKIcKilGXCM4baTz0otpMWWY0ODPW0aqn7Ki9XwtT+f&#10;vl/Uod7arB/dpCTbpdT66TFVbyACTeFf/OfemTg/W8DvM/EC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YCp+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v:textbox>
                      </v:shape>
                    </v:group>
                    <v:group id="组合 33" o:spid="_x0000_s1026" o:spt="203" style="position:absolute;left:5459;top:1869;height:1870;width:2379;" coordorigin="5654,1895" coordsize="2380,1870"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roundrect id="自选图形 30" o:spid="_x0000_s1026" o:spt="2" style="position:absolute;left:5653;top:1895;height:1871;width:2381;" filled="f" stroked="t" coordsize="21600,21600" arcsize="0.166666666666667" o:gfxdata="UEsDBAoAAAAAAIdO4kAAAAAAAAAAAAAAAAAEAAAAZHJzL1BLAwQUAAAACACHTuJAEA/Us78AAADc&#10;AAAADwAAAGRycy9kb3ducmV2LnhtbEWPQWsCMRCF74X+hzAFbzWr4FJWowehIJ6qLZW9DZsxu7qZ&#10;bJNUt/++cyj0NsN78943q83oe3WjmLrABmbTAhRxE2zHzsDH++vzC6iUkS32gcnADyXYrB8fVljZ&#10;cOcD3Y7ZKQnhVKGBNueh0jo1LXlM0zAQi3YO0WOWNTptI94l3Pd6XhSl9tixNLQ40Lal5nr89gbq&#10;z3IeF/WJ9/ttvRvL4c1dvpwxk6dZsQSVacz/5r/rnRX8hdDKMzKBX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AP1LO/&#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31" o:spid="_x0000_s1026" o:spt="202" type="#_x0000_t202" style="position:absolute;left:5791;top:1959;height:1702;width:2097;" filled="f" stroked="f" coordsize="21600,21600" o:gfxdata="UEsDBAoAAAAAAIdO4kAAAAAAAAAAAAAAAAAEAAAAZHJzL1BLAwQUAAAACACHTuJAqIee7boAAADc&#10;AAAADwAAAGRycy9kb3ducmV2LnhtbEVPS4vCMBC+C/6HMMLebOKiotXowUXwtItP8DY0Y1tsJqWJ&#10;tvvvNwuCt/n4nrNcd7YST2p86VjDKFEgiDNnSs41nI7b4QyED8gGK8ek4Zc8rFf93hJT41re0/MQ&#10;chFD2KeooQihTqX0WUEWfeJq4sjdXGMxRNjk0jTYxnBbyU+lptJiybGhwJo2BWX3w8NqOH/frpex&#10;+sm/7KRuXack27nU+mMwUgsQgbrwFr/cOxPnT+bw/0y8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h57t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v:textbox>
                      </v:shape>
                    </v:group>
                  </v:group>
                  <v:shape id="自选图形 34" o:spid="_x0000_s1026" o:spt="67" type="#_x0000_t67" style="position:absolute;left:1576;top:4104;height:680;width:454;" filled="f" stroked="t" coordsize="21600,21600" o:gfxdata="UEsDBAoAAAAAAIdO4kAAAAAAAAAAAAAAAAAEAAAAZHJzL1BLAwQUAAAACACHTuJAMP+AiLsAAADc&#10;AAAADwAAAGRycy9kb3ducmV2LnhtbEVPTWsCMRC9F/wPYYTeanY9SF2NHsRKLRR0VbwOm3GzuJks&#10;Sarbf98UBG/zeJ8zX/a2FTfyoXGsIB9lIIgrpxuuFRwPH2/vIEJE1tg6JgW/FGC5GLzMsdDuznu6&#10;lbEWKYRDgQpMjF0hZagMWQwj1xEn7uK8xZigr6X2eE/htpXjLJtIiw2nBoMdrQxV1/LHKtj12+1J&#10;H3M+b/xm92XW5TdPV0q9DvNsBiJSH5/ih/tTp/mTMfw/ky6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P+AiL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自选图形 35" o:spid="_x0000_s1026" o:spt="67" type="#_x0000_t67" style="position:absolute;left:3975;top:4108;height:680;width:453;" filled="f" stroked="t" coordsize="21600,21600" o:gfxdata="UEsDBAoAAAAAAIdO4kAAAAAAAAAAAAAAAAAEAAAAZHJzL1BLAwQUAAAACACHTuJAX7MlE7wAAADc&#10;AAAADwAAAGRycy9kb3ducmV2LnhtbEVPTWsCMRC9C/0PYQq9aXYt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JRO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自选图形 36" o:spid="_x0000_s1026" o:spt="67" type="#_x0000_t67" style="position:absolute;left:6461;top:4117;height:680;width:453;" filled="f" stroked="t" coordsize="21600,21600" o:gfxdata="UEsDBAoAAAAAAIdO4kAAAAAAAAAAAAAAAAAEAAAAZHJzL1BLAwQUAAAACACHTuJA0Fq9Z7wAAADc&#10;AAAADwAAAGRycy9kb3ducmV2LnhtbEVPTWsCMRC9C/0PYQq9aXal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avWe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文本框 38" o:spid="_x0000_s1026" o:spt="202" type="#_x0000_t202" style="position:absolute;left:876;top:4791;height:454;width:1814;" filled="f" stroked="t" coordsize="21600,21600" o:gfxdata="UEsDBAoAAAAAAIdO4kAAAAAAAAAAAAAAAAAEAAAAZHJzL1BLAwQUAAAACACHTuJAabYnkL8AAADc&#10;AAAADwAAAGRycy9kb3ducmV2LnhtbEWPQW/CMAyF75P4D5GRdhspoLWjEDjAkHZkHRtX05i2onGq&#10;JtDCr1+QJu1m673v+Xmx6k0trtS6yrKC8SgCQZxbXXGhYP+1fXkD4TyyxtoyKbiRg9Vy8LTAVNuO&#10;P+ma+UKEEHYpKii9b1IpXV6SQTeyDXHQTrY16MPaFlK32IVwU8tJFMXSYMXhQokNrUvKz9nFhBqT&#10;w3662WWUJHicbt7v37PTT63U83AczUF46v2/+Y/+0IGLX+HxTJh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2J5C/&#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污水处理措施</w:t>
                          </w:r>
                        </w:p>
                      </w:txbxContent>
                    </v:textbox>
                  </v:shape>
                  <v:shape id="文本框 39" o:spid="_x0000_s1026" o:spt="202" type="#_x0000_t202" style="position:absolute;left:3271;top:4790;height:454;width:1814;" filled="f" stroked="t" coordsize="21600,21600" o:gfxdata="UEsDBAoAAAAAAIdO4kAAAAAAAAAAAAAAAAAEAAAAZHJzL1BLAwQUAAAACACHTuJAmWS5578AAADc&#10;AAAADwAAAGRycy9kb3ducmV2LnhtbEWPQW/CMAyF75P4D5GRdqMpVCpbaeAwNmnHUbpxNY1pKxqn&#10;arLC9usXJKTdbL33PT/nm6vpxEiDay0rmEcxCOLK6pZrBeX+bfYEwnlkjZ1lUvBDDjbryUOOmbYX&#10;3tFY+FqEEHYZKmi87zMpXdWQQRfZnjhoJzsY9GEdaqkHvIRw08lFHKfSYMvhQoM9vTRUnYtvE2os&#10;DmWy/ShoucRjsn39/Xw+fXVKPU7n8QqEp6v/N9/pdx24NIXbM2EC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kue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废污水排放情况</w:t>
                          </w:r>
                        </w:p>
                      </w:txbxContent>
                    </v:textbox>
                  </v:shape>
                  <v:shape id="文本框 40" o:spid="_x0000_s1026" o:spt="202" type="#_x0000_t202" style="position:absolute;left:5545;top:4792;height:454;width:2323;" filled="f" stroked="t" coordsize="21600,21600" o:gfxdata="UEsDBAoAAAAAAIdO4kAAAAAAAAAAAAAAAAAEAAAAZHJzL1BLAwQUAAAACACHTuJA9igcfL0AAADc&#10;AAAADwAAAGRycy9kb3ducmV2LnhtbEWPS4/CMAyE7yvxHyIjcVtSQKJQCBx4SBzZ8rqaxrQVjVM1&#10;4fnryUor7c3WzDceT+dPU4k7Na60rKDXjUAQZ1aXnCvY79bfIxDOI2usLJOCFzmYz1pfU0y0ffAP&#10;3VOfixDCLkEFhfd1IqXLCjLourYmDtrFNgZ9WJtc6gYfIdxUsh9FQ2mw5HChwJoWBWXX9GZCjf5p&#10;P1huU4pjPA+Wq/dhfDlWSnXavWgCwtPT/5v/6I0O3DCG32fCBHL2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KBx8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pPr>
                          <w:r>
                            <w:rPr>
                              <w:rFonts w:hint="eastAsia"/>
                            </w:rPr>
                            <w:t>水功能区（水域）现状</w:t>
                          </w:r>
                        </w:p>
                      </w:txbxContent>
                    </v:textbox>
                  </v:shape>
                  <v:group id="组合 45" o:spid="_x0000_s1026" o:spt="203" style="position:absolute;left:1772;top:5244;height:907;width:4936;" coordorigin="1758,4955" coordsize="4936,907" o:gfxdata="UEsDBAoAAAAAAIdO4kAAAAAAAAAAAAAAAAAEAAAAZHJzL1BLAwQUAAAACACHTuJAvuvdKL8AAADb&#10;AAAADwAAAGRycy9kb3ducmV2LnhtbEWPQWvCQBSE7wX/w/IK3uomirZN3QQRlR5CoVoovT2yzySY&#10;fRuya2L+fVco9DjMzDfMOruZRvTUudqygngWgSAurK65VPB12j+9gHAeWWNjmRSM5CBLJw9rTLQd&#10;+JP6oy9FgLBLUEHlfZtI6YqKDLqZbYmDd7adQR9kV0rd4RDgppHzKFpJgzWHhQpb2lZUXI5Xo+Aw&#10;4LBZxLs+v5y3489p+fGdx6TU9DGO3kB4uvn/8F/7XSt4foX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690ovwAAANsAAAAPAAAAAAAAAAEAIAAAACIAAABkcnMvZG93bnJldi54&#10;bWxQSwECFAAUAAAACACHTuJAMy8FnjsAAAA5AAAAFQAAAAAAAAABACAAAAAOAQAAZHJzL2dyb3Vw&#10;c2hhcGV4bWwueG1sUEsFBgAAAAAGAAYAYAEAAMsDAAAAAA==&#10;">
                    <o:lock v:ext="edit" aspectratio="f"/>
                    <v:shape id="自选图形 41" o:spid="_x0000_s1026" o:spt="32" type="#_x0000_t32" style="position:absolute;left:1758;top:4956;flip:x;height:453;width:0;" filled="f" stroked="t" coordsize="21600,21600" o:gfxdata="UEsDBAoAAAAAAIdO4kAAAAAAAAAAAAAAAAAEAAAAZHJzL1BLAwQUAAAACACHTuJA2sKDyb0AAADc&#10;AAAADwAAAGRycy9kb3ducmV2LnhtbEWPQWvCQBCF7wX/wzKCt7qxSCrR1YNg8SCBWr0P2TGJZmdj&#10;dk3033cOhd5meG/e+2a1ebpG9dSF2rOB2TQBRVx4W3Np4PSze1+AChHZYuOZDLwowGY9elthZv3A&#10;39QfY6kkhEOGBqoY20zrUFTkMEx9SyzaxXcOo6xdqW2Hg4S7Rn8kSaod1iwNFba0rai4HR/OwJ0/&#10;X+e57hfXPI/p1/5QMuWDMZPxLFmCivSM/+a/670V/FRo5RmZ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woP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自选图形 42" o:spid="_x0000_s1026" o:spt="32" type="#_x0000_t32" style="position:absolute;left:4158;top:4955;flip:x;height:907;width:0;" filled="f" stroked="t" coordsize="21600,21600" o:gfxdata="UEsDBAoAAAAAAIdO4kAAAAAAAAAAAAAAAAAEAAAAZHJzL1BLAwQUAAAACACHTuJAqptJxb0AAADc&#10;AAAADwAAAGRycy9kb3ducmV2LnhtbEVPTWvCQBC9F/wPyxS8lGZjoGKjqwdbWy9FjPE+ZKdJMDsb&#10;smtM/n1XKHibx/uc1WYwjeipc7VlBbMoBkFcWF1zqSA/7V4XIJxH1thYJgUjOdisJ08rTLW98ZH6&#10;zJcihLBLUUHlfZtK6YqKDLrItsSB+7WdQR9gV0rd4S2Em0YmcTyXBmsODRW2tK2ouGRXo+AjO7zt&#10;zi/5kIzF90/2tbgcePxUavo8i5cgPA3+If5373WYP3+H+zPhAr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m0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3" o:spid="_x0000_s1026" o:spt="32" type="#_x0000_t32" style="position:absolute;left:6694;top:4957;height:453;width:0;" filled="f" stroked="t" coordsize="21600,21600" o:gfxdata="UEsDBAoAAAAAAIdO4kAAAAAAAAAAAAAAAAAEAAAAZHJzL1BLAwQUAAAACACHTuJAGEVCgL4AAADc&#10;AAAADwAAAGRycy9kb3ducmV2LnhtbEWPQWvCQBCF7wX/wzIFL0V3I9RqdBUpFOyxKvQ6ZMckNjsb&#10;sqtRf71zKHib4b1575vl+uobdaEu1oEtZGMDirgIrubSwmH/NZqBignZYROYLNwowno1eFli7kLP&#10;P3TZpVJJCMccLVQptbnWsajIYxyHlli0Y+g8Jlm7UrsOewn3jZ4YM9Uea5aGClv6rKj42529BYrn&#10;98xs5r48fN/7t9/J/dS3e2uHr5lZgEp0TU/z//XWCf6H4MszMoFe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VCg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自选图形 44" o:spid="_x0000_s1026" o:spt="32" type="#_x0000_t32" style="position:absolute;left:1759;top:5408;height:0;width:4932;" filled="f" stroked="t" coordsize="21600,21600" o:gfxdata="UEsDBAoAAAAAAIdO4kAAAAAAAAAAAAAAAAAEAAAAZHJzL1BLAwQUAAAACACHTuJAdwnnG7wAAADc&#10;AAAADwAAAGRycy9kb3ducmV2LnhtbEVPTWvCQBC9F/wPywheSt2N0GpT1yCCYI9VweuQnSbR7GzI&#10;bkzMr+8WCr3N433OOhtsLe7U+sqxhmSuQBDnzlRcaDif9i8rED4gG6wdk4YHecg2k6c1psb1/EX3&#10;YyhEDGGfooYyhCaV0uclWfRz1xBH7tu1FkOEbSFNi30Mt7VcKPUmLVYcG0psaFdSfjt2VgP57jVR&#10;23dbnD/H/vmyGK99c9J6Nk3UB4hAQ/gX/7kPJs5fJvD7TLx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J5x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group>
                  <v:shape id="文本框 46" o:spid="_x0000_s1026" o:spt="202" type="#_x0000_t202" style="position:absolute;left:2894;top:6135;height:680;width:2551;" filled="f" stroked="t" coordsize="21600,21600" o:gfxdata="UEsDBAoAAAAAAIdO4kAAAAAAAAAAAAAAAAAEAAAAZHJzL1BLAwQUAAAACACHTuJADMqMor8AAADc&#10;AAAADwAAAGRycy9kb3ducmV2LnhtbEWPQW/CMAyF75P4D5GRuK0pVKJbIXCgQ9qRdd12NY1pKxqn&#10;arLC+PVk0qTdbL33PT+vt1fTiZEG11pWMI9iEMSV1S3XCsr3/eMTCOeRNXaWScEPOdhuJg9rzLS9&#10;8BuNha9FCGGXoYLG+z6T0lUNGXSR7YmDdrKDQR/WoZZ6wEsIN51cxPFSGmw5XGiwp11D1bn4NqHG&#10;4qtM8kNBaYrHJH+5fTyfPjulZtN5vALh6er/zX/0qw5cmsDvM2ECub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KjKK/&#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spacing w:line="400" w:lineRule="exact"/>
                            <w:jc w:val="center"/>
                          </w:pPr>
                          <w:r>
                            <w:rPr>
                              <w:rFonts w:hint="eastAsia"/>
                            </w:rPr>
                            <w:t>入河排污数值模拟分析</w:t>
                          </w:r>
                        </w:p>
                      </w:txbxContent>
                    </v:textbox>
                  </v:shape>
                  <v:shape id="自选图形 47" o:spid="_x0000_s1026" o:spt="32" type="#_x0000_t32" style="position:absolute;left:4169;top:6815;flip:x;height:453;width:0;" filled="f" stroked="t" coordsize="21600,21600" o:gfxdata="UEsDBAoAAAAAAIdO4kAAAAAAAAAAAAAAAAAEAAAAZHJzL1BLAwQUAAAACACHTuJA3lYfEboAAADc&#10;AAAADwAAAGRycy9kb3ducmV2LnhtbEVPS4vCMBC+C/6HMII3TV1EpZr2IOziQQrr4z40Y1ttJrXJ&#10;tvrvN4LgbT6+52zSh6lFR62rLCuYTSMQxLnVFRcKTsfvyQqE88gaa8uk4EkO0mQ42GCsbc+/1B18&#10;IUIIuxgVlN43sZQuL8mgm9qGOHAX2xr0AbaF1C32IdzU8iuKFtJgxaGhxIa2JeW3w59RcOfl8zyX&#10;3eqaZX7xs9sXTFmv1Hg0i9YgPD38R/x273SYv5zD65lwgU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Vh8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id="组合 50" o:spid="_x0000_s1026" o:spt="203" style="position:absolute;left:3048;top:7274;height:1134;width:2267;" coordorigin="3007,6655" coordsize="2268,1134"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自选图形 48" o:spid="_x0000_s1026" o:spt="4" type="#_x0000_t4" style="position:absolute;left:3007;top:6655;height:1134;width:2267;" filled="f" stroked="t" coordsize="21600,21600" o:gfxdata="UEsDBAoAAAAAAIdO4kAAAAAAAAAAAAAAAAAEAAAAZHJzL1BLAwQUAAAACACHTuJAWR0jC7sAAADc&#10;AAAADwAAAGRycy9kb3ducmV2LnhtbEVPS4vCMBC+C/6HMAvebNKCD7pGD4KPw150RT0OzWxbtpmU&#10;Jlb33xtB2Nt8fM9ZrB62ET11vnasIU0UCOLCmZpLDafvzXgOwgdkg41j0vBHHlbL4WCBuXF3PlB/&#10;DKWIIexz1FCF0OZS+qIiiz5xLXHkflxnMUTYldJ0eI/htpGZUlNpsebYUGFL64qK3+PNavC0PW/d&#10;5KvPZul6t1HZpThcd1qPPlL1CSLQI/yL3+69ifNnE3g9Ey+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R0jC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shape>
                    <v:shape id="文本框 49" o:spid="_x0000_s1026" o:spt="202" type="#_x0000_t202" style="position:absolute;left:3544;top:6975;height:454;width:1191;" filled="f" stroked="f" coordsize="21600,21600" o:gfxdata="UEsDBAoAAAAAAIdO4kAAAAAAAAAAAAAAAAAEAAAAZHJzL1BLAwQUAAAACACHTuJAkq1W/7sAAADc&#10;AAAADwAAAGRycy9kb3ducmV2LnhtbEVPyWrDMBC9F/IPYgK91VJC6yROlBxSCj21NBvkNljjhVgj&#10;Y6m2+/dVoZDbPN46m91oG9FT52vHGmaJAkGcO1NzqeF0fHtagvAB2WDjmDT8kIfddvKwwcy4gb+o&#10;P4RSxBD2GWqoQmgzKX1ekUWfuJY4coXrLIYIu1KaDocYbhs5VyqVFmuODRW2tK8ovx2+rYbzR3G9&#10;PKvP8tW+tIMblWS7klo/TmdqDSLQGO7if/e7ifMXKf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q1W/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影响分析</w:t>
                            </w:r>
                          </w:p>
                        </w:txbxContent>
                      </v:textbox>
                    </v:shape>
                  </v:group>
                  <v:shape id="自选图形 51" o:spid="_x0000_s1026" o:spt="32" type="#_x0000_t32" style="position:absolute;left:4172;top:8408;flip:x;height:340;width:0;" filled="f" stroked="t" coordsize="21600,21600" o:gfxdata="UEsDBAoAAAAAAIdO4kAAAAAAAAAAAAAAAAAEAAAAZHJzL1BLAwQUAAAACACHTuJAXxsVFLwAAADc&#10;AAAADwAAAGRycy9kb3ducmV2LnhtbEWPQYvCQAyF7wv+hyGCt3WqLCrV0YOwi4eloKv30IlttZOp&#10;nbHVf28Owt4S3st7X1abh6tVR22oPBuYjBNQxLm3FRcGjn/fnwtQISJbrD2TgScF2KwHHytMre95&#10;T90hFkpCOKRooIyxSbUOeUkOw9g3xKKdfeswytoW2rbYS7ir9TRJZtphxdJQYkPbkvLr4e4M3Hj+&#10;PH3pbnHJsjj72f0WTFlvzGg4SZagIj3iv/l9vbOCPxdaeUYm0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bFR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rect id="矩形 53" o:spid="_x0000_s1026" o:spt="1" style="position:absolute;left:1335;top:8755;height:2040;width:5669;" filled="f" stroked="t" coordsize="21600,21600" o:gfxdata="UEsDBAoAAAAAAIdO4kAAAAAAAAAAAAAAAAAEAAAAZHJzL1BLAwQUAAAACACHTuJABZMB8rwAAADc&#10;AAAADwAAAGRycy9kb3ducmV2LnhtbEVP32vCMBB+F/Y/hBv4ZlMFt1mN0skKexLmBPXtaG5JsbmU&#10;JrPuv18GA9/u4/t5q83NteJKfWg8K5hmOQji2uuGjYLDZzV5AREissbWMyn4oQCb9cNohYX2A3/Q&#10;dR+NSCEcClRgY+wKKUNtyWHIfEecuC/fO4wJ9kbqHocU7lo5y/Mn6bDh1GCxo62l+rL/dgreuvOu&#10;nJsgy2O0p4t/HSq7M0qNH6f5EkSkW7yL/93vOs1/XsD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TAfK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id="组合 72" o:spid="_x0000_s1026" o:spt="203" style="position:absolute;left:132;top:9024;height:1474;width:1020;" coordorigin="52,8285" coordsize="1024,1474"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rect id="矩形 70" o:spid="_x0000_s1026" o:spt="1" style="position:absolute;left:52;top:8285;height:1474;width:1020;" filled="f" stroked="t" coordsize="21600,21600" o:gfxdata="UEsDBAoAAAAAAIdO4kAAAAAAAAAAAAAAAAAEAAAAZHJzL1BLAwQUAAAACACHTuJAoXzYSL0AAADc&#10;AAAADwAAAGRycy9kb3ducmV2LnhtbEWPQWsCMRCF7wX/QxjBW81asMjWKFYUPAlVQXsbNtNkcTNZ&#10;Nqmr/75zKHib4b1575v58h4adaMu1ZENTMYFKOIq2pqdgdNx+zoDlTKyxSYyGXhQguVi8DLH0sae&#10;v+h2yE5JCKcSDfic21LrVHkKmMaxJRbtJ3YBs6yd07bDXsJDo9+K4l0HrFkaPLa09lRdD7/BwKb9&#10;3q+mLunVOfvLNX72W793xoyGk+IDVKZ7fpr/r3dW8GeCL8/IB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fNhI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v:shape id="文本框 71" o:spid="_x0000_s1026" o:spt="202" type="#_x0000_t202" style="position:absolute;left:55;top:8471;height:1077;width:1020;" filled="f" stroked="f" coordsize="21600,21600" o:gfxdata="UEsDBAoAAAAAAIdO4kAAAAAAAAAAAAAAAAAEAAAAZHJzL1BLAwQUAAAACACHTuJAKJG+rLsAAADc&#10;AAAADwAAAGRycy9kb3ducmV2LnhtbEVPS2vCQBC+F/oflil4a3YjVmLqJocWwZNS+wBvQ3ZMQrOz&#10;Ibua+O/dQsHbfHzPWZeT7cSFBt861pAmCgRx5UzLtYavz81zBsIHZIOdY9JwJQ9l8fiwxty4kT/o&#10;cgi1iCHsc9TQhNDnUvqqIYs+cT1x5E5usBgiHGppBhxjuO3kXKmltNhybGiwp7eGqt/D2Wr43p2O&#10;Pwu1r9/tSz+6SUm2K6n17ClVryACTeEu/ndvTZyfpfD3TLx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JG+r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pPr>
                            <w:r>
                              <w:rPr>
                                <w:rFonts w:hint="eastAsia"/>
                              </w:rPr>
                              <w:t>风险事故与影响分析</w:t>
                            </w:r>
                          </w:p>
                        </w:txbxContent>
                      </v:textbox>
                    </v:shape>
                  </v:group>
                  <v:group id="组合 76" o:spid="_x0000_s1026" o:spt="203" style="position:absolute;left:7189;top:9027;height:1474;width:1419;" coordorigin="7162,8288" coordsize="1419,1474"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rect id="矩形 74" o:spid="_x0000_s1026" o:spt="1" style="position:absolute;left:7161;top:8288;height:1474;width:1417;" filled="f" stroked="t" coordsize="21600,21600" o:gfxdata="UEsDBAoAAAAAAIdO4kAAAAAAAAAAAAAAAAAEAAAAZHJzL1BLAwQUAAAACACHTuJAUa5GP7wAAADc&#10;AAAADwAAAGRycy9kb3ducmV2LnhtbEVP32vCMBB+H+x/CDfY25rqmJRqFDcU9lRQB9vejuZMis2l&#10;NJmt/70ZCL7dx/fzFqvRteJMfWg8K5hkOQji2uuGjYKvw/alABEissbWMym4UIDV8vFhgaX2A+/o&#10;vI9GpBAOJSqwMXallKG25DBkviNO3NH3DmOCvZG6xyGFu1ZO83wmHTacGix29GGpPu3/nIJN91ut&#10;30yQ6+9of07+fdjayij1/DTJ5yAijfEuvrk/dZpfvML/M+kCub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uRj+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shape id="文本框 75" o:spid="_x0000_s1026" o:spt="202" type="#_x0000_t202" style="position:absolute;left:7164;top:8474;height:1077;width:1417;" filled="f" stroked="f" coordsize="21600,21600" o:gfxdata="UEsDBAoAAAAAAIdO4kAAAAAAAAAAAAAAAAAEAAAAZHJzL1BLAwQUAAAACACHTuJAOOYdNLkAAADc&#10;AAAADwAAAGRycy9kb3ducmV2LnhtbEVPS4vCMBC+C/6HMII3TVx00Wr04CJ4cvEJ3oZmbIvNpDTR&#10;1n+/EYS9zcf3nMWqtaV4Uu0LxxpGQwWCOHWm4EzD6bgZTEH4gGywdEwaXuRhtex2FpgY1/CenoeQ&#10;iRjCPkENeQhVIqVPc7Loh64ijtzN1RZDhHUmTY1NDLel/FLqW1osODbkWNE6p/R+eFgN593tehmr&#10;3+zHTqrGtUqynUmt+72RmoMI1IZ/8ce9NXH+dAz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mHTS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入河排污口设置可行性合理性分析</w:t>
                            </w:r>
                          </w:p>
                        </w:txbxContent>
                      </v:textbox>
                    </v:shape>
                  </v:group>
                  <v:group id="组合 79" o:spid="_x0000_s1026" o:spt="203" style="position:absolute;left:5303;top:7826;height:1191;width:2610;" coordorigin="5275,7207" coordsize="2610,1191"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shape id="自选图形 77" o:spid="_x0000_s1026" o:spt="32" type="#_x0000_t32" style="position:absolute;left:5275;top:7207;height:0;width:2608;" filled="f" stroked="t" coordsize="21600,21600" o:gfxdata="UEsDBAoAAAAAAIdO4kAAAAAAAAAAAAAAAAAEAAAAZHJzL1BLAwQUAAAACACHTuJAzTUPSLsAAADc&#10;AAAADwAAAGRycy9kb3ducmV2LnhtbEVPTWvCQBC9F/oflhG8lLqbgKLRVUqhoMdGweuQnSbR7GzI&#10;ribm13eFQm/zeJ+z2Q22EXfqfO1YQzJTIIgLZ2ouNZyOX+9LED4gG2wck4YHedhtX182mBnX8zfd&#10;81CKGMI+Qw1VCG0mpS8qsuhnriWO3I/rLIYIu1KaDvsYbhuZKrWQFmuODRW29FlRcc1vVgP52zxR&#10;Hytbng5j/3ZOx0vfHrWeThK1BhFoCP/iP/fexPnLBTyfiRfI7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TUPS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自选图形 78" o:spid="_x0000_s1026" o:spt="32" type="#_x0000_t32" style="position:absolute;left:7885;top:7207;flip:y;height:1191;width:0;" filled="f" stroked="t" coordsize="21600,21600" o:gfxdata="UEsDBAoAAAAAAIdO4kAAAAAAAAAAAAAAAAAEAAAAZHJzL1BLAwQUAAAACACHTuJAG1HxQboAAADc&#10;AAAADwAAAGRycy9kb3ducmV2LnhtbEVPS4vCMBC+L/gfwgje1lQRLdW0hwXFgxR83Ydmtu1uM6lN&#10;bPXfm4UFb/PxPWeTPUwjeupcbVnBbBqBIC6srrlUcDlvP2MQziNrbCyTgic5yNLRxwYTbQc+Un/y&#10;pQgh7BJUUHnfJlK6oiKDbmpb4sB9286gD7Arpe5wCOGmkfMoWkqDNYeGClv6qqj4Pd2NghuvnteF&#10;7OOfPPfL3f5QMuWDUpPxLFqD8PTwb/G/e6/D/HgFf8+EC2T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UfFB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v:group id="组合 82" o:spid="_x0000_s1026" o:spt="203" style="position:absolute;left:627;top:7835;height:1191;width:2437;" coordorigin="600,7216" coordsize="2450,1191"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aspectratio="f"/>
                    <v:shape id="自选图形 80" o:spid="_x0000_s1026" o:spt="32" type="#_x0000_t32" style="position:absolute;left:600;top:7216;flip:x y;height:1191;width:0;" filled="f" stroked="t" coordsize="21600,21600" o:gfxdata="UEsDBAoAAAAAAIdO4kAAAAAAAAAAAAAAAAAEAAAAZHJzL1BLAwQUAAAACACHTuJAtMjRZLwAAADc&#10;AAAADwAAAGRycy9kb3ducmV2LnhtbEVPTYvCMBC9L/gfwgheRFNFXK1NPQiKsodlVTyPzdgWm0lp&#10;olV//WZB2Ns83ucky4epxJ0aV1pWMBpGIIgzq0vOFRwP68EMhPPIGivLpOBJDpZp5yPBWNuWf+i+&#10;97kIIexiVFB4X8dSuqwgg25oa+LAXWxj0AfY5FI32IZwU8lxFE2lwZJDQ4E1rQrKrvubUTCZHs6b&#10;NqPdp/x+tfpre9rs+kapXncULUB4evh/8du91WH+bA5/z4QLZP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I0W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81" o:spid="_x0000_s1026" o:spt="32" type="#_x0000_t32" style="position:absolute;left:612;top:7222;flip:x;height:0;width:2438;" filled="f" stroked="t" coordsize="21600,21600" o:gfxdata="UEsDBAoAAAAAAIdO4kAAAAAAAAAAAAAAAAAEAAAAZHJzL1BLAwQUAAAACACHTuJAEWH/6L0AAADc&#10;AAAADwAAAGRycy9kb3ducmV2LnhtbEWPQW/CMAyF75P4D5GRdhsp08RKIXBAGuIwVYKNu9WYttA4&#10;pQkt/Pv5gLSbrff83ufl+u4a1VMXas8GppMEFHHhbc2lgd+fr7cUVIjIFhvPZOBBAdar0csSM+sH&#10;3lN/iKWSEA4ZGqhibDOtQ1GRwzDxLbFoJ985jLJ2pbYdDhLuGv2eJDPtsGZpqLClTUXF5XBzBq78&#10;+Th+6D4953mcbXffJVM+GPM6niYLUJHu8d/8vN5ZwZ8LvjwjE+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Yf/o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group>
                  <v:shape id="自选图形 83" o:spid="_x0000_s1026" o:spt="67" type="#_x0000_t67" style="position:absolute;left:3947;top:10802;height:680;width:453;" filled="f" stroked="t" coordsize="21600,21600" o:gfxdata="UEsDBAoAAAAAAIdO4kAAAAAAAAAAAAAAAAAEAAAAZHJzL1BLAwQUAAAACACHTuJABSrwr7sAAADc&#10;AAAADwAAAGRycy9kb3ducmV2LnhtbEVPTWsCMRC9F/wPYYTeanY9iK5GD9JKLQi6Kr0Om+lm6Way&#10;JFG3/74RBG/zeJ+zWPW2FVfyoXGsIB9lIIgrpxuuFZyOH29TECEia2wdk4I/CrBaDl4WWGh34wNd&#10;y1iLFMKhQAUmxq6QMlSGLIaR64gT9+O8xZigr6X2eEvhtpXjLJtIiw2nBoMdrQ1Vv+XFKtj32+1Z&#10;n3L+3vjN/su8lzuerZV6HebZHESkPj7FD/enTvNnY7g/ky6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Srwr7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文本框 84" o:spid="_x0000_s1026" o:spt="202" type="#_x0000_t202" style="position:absolute;left:3041;top:11484;height:737;width:2267;" filled="f" stroked="t" coordsize="21600,21600" o:gfxdata="UEsDBAoAAAAAAIdO4kAAAAAAAAAAAAAAAAAEAAAAZHJzL1BLAwQUAAAACACHTuJAvMZqWL4AAADc&#10;AAAADwAAAGRycy9kb3ducmV2LnhtbEWPQW/CMAyF75P4D5GRuK0pVBq0I3CgIO24FdiuXmPaisap&#10;mlAYv55MmrSbrfe+5+fl+mZaMVDvGssKplEMgri0uuFKwWG/e16AcB5ZY2uZFPyQg/Vq9LTETNsr&#10;f9BQ+EqEEHYZKqi97zIpXVmTQRfZjjhoJ9sb9GHtK6l7vIZw08pZHL9Igw2HCzV2tKmpPBcXE2rM&#10;vg5J/l7QfI7fSb69H9PTZ6vUZDyNX0F4uvl/8x/9pgOXJvD7TJhAr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MZqW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pPr>
                          <w:r>
                            <w:rPr>
                              <w:rFonts w:hint="eastAsia"/>
                            </w:rPr>
                            <w:t>入河排污口设置论证结论与建议</w:t>
                          </w:r>
                        </w:p>
                      </w:txbxContent>
                    </v:textbox>
                  </v:shape>
                  <v:group id="组合 139" o:spid="_x0000_s1026" o:spt="203" style="position:absolute;left:640;top:10498;height:1360;width:2400;" coordorigin="640,10498" coordsize="2401,1360"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aspectratio="f"/>
                    <v:shape id="自选图形 86" o:spid="_x0000_s1026" o:spt="32" type="#_x0000_t32" style="position:absolute;left:640;top:10498;flip:x;height:1360;width:0;" filled="f" stroked="t" coordsize="21600,21600" o:gfxdata="UEsDBAoAAAAAAIdO4kAAAAAAAAAAAAAAAAAEAAAAZHJzL1BLAwQUAAAACACHTuJAblr567wAAADc&#10;AAAADwAAAGRycy9kb3ducmV2LnhtbEVPS2vCQBC+C/6HZYTedGMJamM2HoSWHEqgtr0P2TFJm52N&#10;2W0e/75bKHibj+856WkyrRiod41lBdtNBIK4tLrhSsHH+/P6AMJ5ZI2tZVIwk4NTtlykmGg78hsN&#10;F1+JEMIuQQW1910ipStrMug2tiMO3NX2Bn2AfSV1j2MIN618jKKdNNhwaKixo3NN5fflxyi48X7+&#10;jOVw+CoKv3vJXyumYlTqYbWNjiA8Tf4u/nfnOsx/iuHvmXCBz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a+e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136" o:spid="_x0000_s1026" o:spt="32" type="#_x0000_t32" style="position:absolute;left:660;top:11850;flip:x y;height:0;width:2381;" filled="f" stroked="t" coordsize="21600,21600" o:gfxdata="UEsDBAoAAAAAAIdO4kAAAAAAAAAAAAAAAAAEAAAAZHJzL1BLAwQUAAAACACHTuJAtjFu1b4AAADc&#10;AAAADwAAAGRycy9kb3ducmV2LnhtbEVPTWvCQBC9F/oflhF6KbqxrRKjq2ChtB4EjSIeh+y4Sc3O&#10;huw22n/fFQre5vE+Z7a42lp01PrKsYLhIAFBXDhdsVGw3330UxA+IGusHZOCX/KwmD8+zDDT7sJb&#10;6vJgRAxhn6GCMoQmk9IXJVn0A9cQR+7kWoshwtZI3eIlhttaviTJWFqsODaU2NB7ScU5/7EKXtfL&#10;gzGTzXf3fBx9ShfS3dsqVeqpN0ymIAJdw1387/7Scf5kBLdn4gV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Fu1b4A&#10;AADcAAAADwAAAAAAAAABACAAAAAiAAAAZHJzL2Rvd25yZXYueG1sUEsBAhQAFAAAAAgAh07iQDMv&#10;BZ47AAAAOQAAABAAAAAAAAAAAQAgAAAADQEAAGRycy9zaGFwZXhtbC54bWxQSwUGAAAAAAYABgBb&#10;AQAAtwMAAAAA&#10;">
                      <v:fill on="f" focussize="0,0"/>
                      <v:stroke color="#000000" joinstyle="round" startarrow="block"/>
                      <v:imagedata o:title=""/>
                      <o:lock v:ext="edit" aspectratio="f"/>
                    </v:shape>
                  </v:group>
                  <v:group id="组合 140" o:spid="_x0000_s1026" o:spt="203" style="position:absolute;left:5309;top:10501;height:1360;width:2608;" coordorigin="5310,10501" coordsize="2608,1360"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aspectratio="f"/>
                    <v:shape id="自选图形 137" o:spid="_x0000_s1026" o:spt="32" type="#_x0000_t32" style="position:absolute;left:5309;top:11850;flip:y;height:0;width:2608;" filled="f" stroked="t" coordsize="21600,21600" o:gfxdata="UEsDBAoAAAAAAIdO4kAAAAAAAAAAAAAAAAAEAAAAZHJzL1BLAwQUAAAACACHTuJA42liz70AAADc&#10;AAAADwAAAGRycy9kb3ducmV2LnhtbEVPS2vCQBC+C/6HZQq96SYeWo2uUtRqLymopXgcsmMeZmdD&#10;dpuk/75bKPQ2H99zVpvB1KKj1pWWFcTTCARxZnXJuYKPy+tkDsJ5ZI21ZVLwTQ426/FohYm2PZ+o&#10;O/tchBB2CSoovG8SKV1WkEE3tQ1x4G62NegDbHOpW+xDuKnlLIqepMGSQ0OBDW0Lyu7nL6OgSm/p&#10;/nrSw5yql+b9uPtMvT4o9fgQR0sQngb/L/5zv+kwf/EMv8+EC+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aWLPvQAA&#10;ANwAAAAPAAAAAAAAAAEAIAAAACIAAABkcnMvZG93bnJldi54bWxQSwECFAAUAAAACACHTuJAMy8F&#10;njsAAAA5AAAAEAAAAAAAAAABACAAAAAMAQAAZHJzL3NoYXBleG1sLnhtbFBLBQYAAAAABgAGAFsB&#10;AAC2AwAAAAA=&#10;">
                      <v:fill on="f" focussize="0,0"/>
                      <v:stroke color="#000000" joinstyle="round" startarrow="block"/>
                      <v:imagedata o:title=""/>
                      <o:lock v:ext="edit" aspectratio="f"/>
                    </v:shape>
                    <v:shape id="自选图形 138" o:spid="_x0000_s1026" o:spt="32" type="#_x0000_t32" style="position:absolute;left:7912;top:10501;height:1361;width:0;" filled="f" stroked="t" coordsize="21600,21600" o:gfxdata="UEsDBAoAAAAAAIdO4kAAAAAAAAAAAAAAAAAEAAAAZHJzL1BLAwQUAAAACACHTuJAVj+ofL4AAADc&#10;AAAADwAAAGRycy9kb3ducmV2LnhtbEWPT2vDMAzF74V+B6NBL2W1U9hY0zqhDAbdsX9gVxFrSbpY&#10;DrHbdP301WGwm8R7eu+nTXnznbrSENvAFrKFAUVcBddybeF0/Hh+AxUTssMuMFn4pQhlMZ1sMHdh&#10;5D1dD6lWEsIxRwtNSn2udawa8hgXoScW7TsMHpOsQ63dgKOE+04vjXnVHluWhgZ7em+o+jlcvAWK&#10;l5fMbFe+Pn3ex/nX8n4e+6O1s6fMrEEluqV/89/1zgn+SmjlGZlA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j+of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group>
                </v:group>
                <w10:wrap type="topAndBottom"/>
              </v:group>
            </w:pict>
          </mc:Fallback>
        </mc:AlternateContent>
      </w:r>
      <w:r>
        <w:rPr>
          <w:rFonts w:hint="default" w:ascii="Times New Roman" w:hAnsi="Times New Roman" w:cs="Times New Roman"/>
          <w:b/>
          <w:bCs/>
          <w:color w:val="auto"/>
          <w:highlight w:val="none"/>
        </w:rPr>
        <w:t>图1-1  入河排污口设置论证工作程序</w:t>
      </w:r>
    </w:p>
    <w:p>
      <w:pPr>
        <w:pStyle w:val="10"/>
        <w:widowControl w:val="0"/>
        <w:spacing w:before="0" w:after="0" w:line="360" w:lineRule="auto"/>
        <w:ind w:firstLine="482" w:firstLineChars="200"/>
        <w:jc w:val="both"/>
        <w:outlineLvl w:val="1"/>
        <w:rPr>
          <w:rFonts w:hint="default" w:ascii="Times New Roman" w:hAnsi="Times New Roman" w:cs="Times New Roman"/>
          <w:b/>
          <w:bCs/>
          <w:color w:val="auto"/>
          <w:highlight w:val="none"/>
        </w:rPr>
      </w:pPr>
      <w:bookmarkStart w:id="30" w:name="_Toc15061"/>
      <w:r>
        <w:rPr>
          <w:rFonts w:hint="default" w:ascii="Times New Roman" w:hAnsi="Times New Roman" w:cs="Times New Roman"/>
          <w:b/>
          <w:bCs/>
          <w:color w:val="auto"/>
          <w:highlight w:val="none"/>
        </w:rPr>
        <w:t>1.6.论证的主要内容</w:t>
      </w:r>
      <w:bookmarkEnd w:id="30"/>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（1）建设项目基本情况；</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（2）拟建入河排污口所在水功能区（水域）水质及纳污现状分析；</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（3）拟建项目入河排污口设置可行性分析论证及入河排污口设置方案；</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（4）入河排污口设置对水功能区（水域）水质影响分析；</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（5）入河排污口设置对水功能区（水域）水生态影响分析；</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（6）入河排污口设置对地下水影响分析；</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（7）入河排污口设置对有利害关系的第三者权益的影响分析；</w:t>
      </w:r>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（8）入河排污口设置的合理性分析；</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（9）结论和建议。</w:t>
      </w:r>
    </w:p>
    <w:p>
      <w:pPr>
        <w:pStyle w:val="10"/>
        <w:widowControl w:val="0"/>
        <w:spacing w:before="0" w:after="0" w:line="360" w:lineRule="auto"/>
        <w:ind w:firstLine="482" w:firstLineChars="200"/>
        <w:jc w:val="both"/>
        <w:outlineLvl w:val="1"/>
        <w:rPr>
          <w:rFonts w:hint="default" w:ascii="Times New Roman" w:hAnsi="Times New Roman" w:cs="Times New Roman"/>
          <w:b/>
          <w:bCs/>
          <w:color w:val="auto"/>
          <w:highlight w:val="none"/>
        </w:rPr>
      </w:pPr>
      <w:bookmarkStart w:id="31" w:name="_Toc11354"/>
      <w:r>
        <w:rPr>
          <w:rFonts w:hint="default" w:ascii="Times New Roman" w:hAnsi="Times New Roman" w:cs="Times New Roman"/>
          <w:b/>
          <w:bCs/>
          <w:color w:val="auto"/>
          <w:highlight w:val="none"/>
        </w:rPr>
        <w:t>1.7.论证水平年</w:t>
      </w:r>
      <w:bookmarkEnd w:id="31"/>
    </w:p>
    <w:p>
      <w:pPr>
        <w:pStyle w:val="10"/>
        <w:widowControl w:val="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综合考虑论证范围内的社会经济发展情况，河流水文特征变化情况以及资料的实际情况，确定本次入河排污口论证的现状水平年为2021年，论证规划水平年为2021年（项目建成排污年）。</w:t>
      </w:r>
    </w:p>
    <w:p>
      <w:pPr>
        <w:pStyle w:val="10"/>
        <w:widowControl w:val="0"/>
        <w:spacing w:before="0" w:after="0" w:line="360" w:lineRule="auto"/>
        <w:ind w:firstLine="482" w:firstLineChars="200"/>
        <w:jc w:val="both"/>
        <w:outlineLvl w:val="1"/>
        <w:rPr>
          <w:rFonts w:hint="default" w:ascii="Times New Roman" w:hAnsi="Times New Roman" w:cs="Times New Roman"/>
          <w:b/>
          <w:bCs/>
          <w:color w:val="auto"/>
          <w:highlight w:val="none"/>
        </w:rPr>
      </w:pPr>
      <w:bookmarkStart w:id="32" w:name="_Toc26020"/>
      <w:r>
        <w:rPr>
          <w:rFonts w:hint="default" w:ascii="Times New Roman" w:hAnsi="Times New Roman" w:cs="Times New Roman"/>
          <w:b/>
          <w:bCs/>
          <w:color w:val="auto"/>
          <w:highlight w:val="none"/>
        </w:rPr>
        <w:t>1.8.论证工作等级</w:t>
      </w:r>
      <w:bookmarkEnd w:id="32"/>
    </w:p>
    <w:p>
      <w:pPr>
        <w:pStyle w:val="10"/>
        <w:widowControl w:val="0"/>
        <w:spacing w:before="0" w:after="0" w:line="360" w:lineRule="auto"/>
        <w:ind w:firstLine="480" w:firstLineChars="200"/>
        <w:jc w:val="both"/>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w:t>
      </w:r>
    </w:p>
    <w:p>
      <w:pPr>
        <w:pStyle w:val="10"/>
        <w:widowControl w:val="0"/>
        <w:spacing w:before="0" w:after="0" w:line="360" w:lineRule="auto"/>
        <w:ind w:firstLine="482" w:firstLineChars="200"/>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表1-1  入河排污口设置论证分类分级指标</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0"/>
        <w:gridCol w:w="2551"/>
        <w:gridCol w:w="2102"/>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restart"/>
            <w:vAlign w:val="center"/>
          </w:tcPr>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分类指标</w:t>
            </w:r>
          </w:p>
        </w:tc>
        <w:tc>
          <w:tcPr>
            <w:tcW w:w="3921" w:type="pct"/>
            <w:gridSpan w:val="3"/>
            <w:tcMar>
              <w:top w:w="0" w:type="dxa"/>
              <w:left w:w="28" w:type="dxa"/>
              <w:bottom w:w="0" w:type="dxa"/>
              <w:right w:w="28" w:type="dxa"/>
            </w:tcMar>
            <w:vAlign w:val="center"/>
          </w:tcPr>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continue"/>
            <w:vAlign w:val="center"/>
          </w:tcPr>
          <w:p>
            <w:pPr>
              <w:spacing w:line="320" w:lineRule="exact"/>
              <w:jc w:val="center"/>
              <w:rPr>
                <w:rFonts w:hint="default" w:ascii="Times New Roman" w:hAnsi="Times New Roman" w:cs="Times New Roman"/>
                <w:color w:val="auto"/>
                <w:highlight w:val="none"/>
                <w:u w:val="single"/>
              </w:rPr>
            </w:pP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一级</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二级</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水功能区管理要求</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涉及一级水功能区中的保护区、保留区、缓冲区及二级水功能区中饮用水水源区</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涉及二级水功能区中的工业、农业、渔业、景观娱乐用水区</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涉及二级水功能区中的排污控制区和过渡区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水功能区水域纳污现状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现状污染物入河量超出水功能区水域纳污能力</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现状污染物入河量接近水功能区水域纳污能力</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现状污染物入河量远小于水功能区水域纳污能力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水生态现状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现状生态问题敏感；相关水域现状排污对水文情势和水生态环境产生明显影响，同时存在水温或水体富营养化影响问题</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现状生态问题较为敏感；相关水域现状排污对水文情势和水生态环境产生一定影响</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现状无敏感生态问题；相关水域现状排污对水生态环境无影响或影响轻微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污染物排放种类</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所排放废污水含有毒有机物、重金属、放射性或持久性化学污染物</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所排放废污水含有多种可降解化学污染物</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所排放废污水含有少量可降解的污染物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废污水排放流量（缺水地区）（m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/h）</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≥1000（300）</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1000～500（300～100）</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年度废污水排放量</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大于200万吨</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20～200万吨</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小于20万吨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区域水资源状况</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用水紧缺，取用水量达到或超出所分配用水指标</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水资源量一般，取用水量小于或接近所分配用水指标</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水资源丰沛，取用水量远小于所分配用水指标</w:t>
            </w:r>
          </w:p>
        </w:tc>
      </w:tr>
    </w:tbl>
    <w:p>
      <w:pPr>
        <w:tabs>
          <w:tab w:val="left" w:pos="0"/>
        </w:tabs>
        <w:spacing w:line="360" w:lineRule="auto"/>
        <w:jc w:val="center"/>
        <w:rPr>
          <w:rFonts w:hint="default" w:ascii="Times New Roman" w:hAnsi="Times New Roman" w:cs="Times New Roman"/>
          <w:b/>
          <w:bCs/>
          <w:color w:val="auto"/>
          <w:sz w:val="24"/>
          <w:szCs w:val="24"/>
          <w:highlight w:val="none"/>
          <w:u w:val="single"/>
        </w:rPr>
      </w:pPr>
      <w:r>
        <w:rPr>
          <w:rFonts w:hint="default" w:ascii="Times New Roman" w:hAnsi="Times New Roman" w:cs="Times New Roman"/>
          <w:b/>
          <w:bCs/>
          <w:color w:val="auto"/>
          <w:sz w:val="24"/>
          <w:szCs w:val="24"/>
          <w:highlight w:val="none"/>
          <w:u w:val="single"/>
        </w:rPr>
        <w:t>表1-2  入河排污口设置论证分类分级指标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0"/>
        <w:gridCol w:w="5120"/>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分类指标</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本项目情况</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水功能区管理要求</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本项目直接纳污水体滔溪为为保留区，滔溪目前水域功能为灌溉用水，因此现状管理目标为Ⅱ类。</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水功能区水域纳污现状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现状污染物入河量远小于水功能区水域纳污能力</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水生态现状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现状无敏感生态问题；相关水域现状排污对水生态环境无影响或影响轻微</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污染物排放种类</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所排放废污水含有多种可降解的污染物，如COD、氨氮、动植物油</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废污水排放流量（缺水地区）（m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/h）</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本项目废水排放流量为10.29m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/h，小于500m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/h</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年度废污水排放量</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本项目年度废污水排放量为91250m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/a，小于20万吨</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区域水资源状况</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本项目所在区域的水资源丰沛，取用水量远小于所分配用水指标</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三级</w:t>
            </w:r>
          </w:p>
        </w:tc>
      </w:tr>
    </w:tbl>
    <w:p>
      <w:pPr>
        <w:adjustRightInd w:val="0"/>
        <w:snapToGrid w:val="0"/>
        <w:spacing w:before="156" w:beforeLines="50" w:line="360" w:lineRule="auto"/>
        <w:ind w:firstLine="480" w:firstLineChars="200"/>
        <w:rPr>
          <w:rFonts w:hint="default" w:ascii="Times New Roman" w:hAnsi="Times New Roman" w:cs="Times New Roman"/>
          <w:color w:val="auto"/>
          <w:sz w:val="24"/>
          <w:szCs w:val="24"/>
          <w:highlight w:val="none"/>
        </w:rPr>
        <w:sectPr>
          <w:pgSz w:w="11906" w:h="16838"/>
          <w:pgMar w:top="1644" w:right="1800" w:bottom="1814" w:left="1800" w:header="851" w:footer="992" w:gutter="0"/>
          <w:pgNumType w:start="1"/>
          <w:cols w:space="720" w:num="1"/>
          <w:docGrid w:type="lines" w:linePitch="312" w:charSpace="0"/>
        </w:sectPr>
      </w:pPr>
      <w:r>
        <w:rPr>
          <w:rFonts w:hint="default" w:ascii="Times New Roman" w:hAnsi="Times New Roman" w:cs="Times New Roman"/>
          <w:color w:val="auto"/>
          <w:sz w:val="24"/>
          <w:szCs w:val="24"/>
          <w:highlight w:val="none"/>
          <w:u w:val="single"/>
        </w:rPr>
        <w:t>综合上述分析，最终确定安化县滔溪镇污水处理厂入河排污口设置论证工作等级为一级。</w:t>
      </w:r>
    </w:p>
    <w:p>
      <w:pPr>
        <w:pStyle w:val="10"/>
        <w:spacing w:before="0" w:after="0" w:line="360" w:lineRule="auto"/>
        <w:outlineLvl w:val="0"/>
        <w:rPr>
          <w:rFonts w:hint="default" w:ascii="Times New Roman" w:hAnsi="Times New Roman" w:cs="Times New Roman"/>
          <w:b/>
          <w:bCs/>
          <w:color w:val="auto"/>
          <w:sz w:val="32"/>
          <w:szCs w:val="32"/>
          <w:highlight w:val="none"/>
        </w:rPr>
      </w:pPr>
      <w:bookmarkStart w:id="33" w:name="_Toc12712"/>
      <w:r>
        <w:rPr>
          <w:rFonts w:hint="default" w:ascii="Times New Roman" w:hAnsi="Times New Roman" w:cs="Times New Roman"/>
          <w:b/>
          <w:bCs/>
          <w:color w:val="auto"/>
          <w:sz w:val="32"/>
          <w:szCs w:val="32"/>
          <w:highlight w:val="none"/>
        </w:rPr>
        <w:t>2  项目概况</w:t>
      </w:r>
      <w:bookmarkEnd w:id="33"/>
    </w:p>
    <w:p>
      <w:pPr>
        <w:pStyle w:val="10"/>
        <w:spacing w:before="0" w:after="0" w:line="360" w:lineRule="auto"/>
        <w:jc w:val="both"/>
        <w:outlineLvl w:val="1"/>
        <w:rPr>
          <w:rFonts w:hint="default" w:ascii="Times New Roman" w:hAnsi="Times New Roman" w:cs="Times New Roman"/>
          <w:b/>
          <w:bCs/>
          <w:color w:val="auto"/>
          <w:szCs w:val="24"/>
          <w:highlight w:val="none"/>
        </w:rPr>
      </w:pPr>
      <w:bookmarkStart w:id="34" w:name="_Toc16803"/>
      <w:r>
        <w:rPr>
          <w:rFonts w:hint="default" w:ascii="Times New Roman" w:hAnsi="Times New Roman" w:cs="Times New Roman"/>
          <w:b/>
          <w:bCs/>
          <w:color w:val="auto"/>
          <w:szCs w:val="24"/>
          <w:highlight w:val="none"/>
        </w:rPr>
        <w:t>2.1.项目基本情况</w:t>
      </w:r>
      <w:bookmarkEnd w:id="34"/>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35" w:name="_Toc25231"/>
      <w:r>
        <w:rPr>
          <w:rFonts w:hint="default" w:ascii="Times New Roman" w:hAnsi="Times New Roman" w:cs="Times New Roman"/>
          <w:b/>
          <w:bCs/>
          <w:color w:val="auto"/>
          <w:szCs w:val="24"/>
          <w:highlight w:val="none"/>
        </w:rPr>
        <w:t>2.1.1.项目概况</w:t>
      </w:r>
      <w:bookmarkEnd w:id="35"/>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（1）项目名称：安化县滔溪镇污水处理厂排污口设置论证</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（2）建设单位：安化县住房和城乡建设局</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（3）厂址：湖南省益阳市安化县滔溪镇滔溪社区</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（5）建设性质：新建</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（6）工作人员：1人</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（7）项目投资：总投资1214.70万元</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（8）工程规模：总用地面积为2378.91m</w:t>
      </w:r>
      <w:r>
        <w:rPr>
          <w:rFonts w:hint="default" w:ascii="Times New Roman" w:hAnsi="Times New Roman" w:cs="Times New Roman"/>
          <w:color w:val="auto"/>
          <w:szCs w:val="24"/>
          <w:highlight w:val="none"/>
          <w:vertAlign w:val="superscript"/>
        </w:rPr>
        <w:t>2</w:t>
      </w:r>
      <w:r>
        <w:rPr>
          <w:rFonts w:hint="default" w:ascii="Times New Roman" w:hAnsi="Times New Roman" w:cs="Times New Roman"/>
          <w:color w:val="auto"/>
          <w:szCs w:val="24"/>
          <w:highlight w:val="none"/>
        </w:rPr>
        <w:t>；建设规模为250m</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/d</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（9）服务范围：服务范围滔溪镇滔溪社区，共计约3300人</w:t>
      </w:r>
    </w:p>
    <w:p>
      <w:pPr>
        <w:pStyle w:val="10"/>
        <w:spacing w:before="0" w:after="0" w:line="360" w:lineRule="auto"/>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Cs w:val="24"/>
          <w:highlight w:val="none"/>
        </w:rPr>
        <w:t>（10）建设情况：2021年建设完成，目前项目</w:t>
      </w:r>
      <w:r>
        <w:rPr>
          <w:rFonts w:hint="default" w:ascii="Times New Roman" w:hAnsi="Times New Roman" w:cs="Times New Roman"/>
          <w:color w:val="auto"/>
          <w:highlight w:val="none"/>
        </w:rPr>
        <w:t>处于</w:t>
      </w:r>
      <w:r>
        <w:rPr>
          <w:rFonts w:hint="default" w:ascii="Times New Roman" w:hAnsi="Times New Roman" w:cs="Times New Roman"/>
          <w:color w:val="auto"/>
          <w:highlight w:val="none"/>
          <w:lang w:eastAsia="zh-CN"/>
        </w:rPr>
        <w:t>调试试运营阶段</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（11）工作制度：每年工作365天，巡检制，厂区无员工驻守</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36" w:name="_Toc18019"/>
      <w:r>
        <w:rPr>
          <w:rFonts w:hint="default" w:ascii="Times New Roman" w:hAnsi="Times New Roman" w:cs="Times New Roman"/>
          <w:b/>
          <w:bCs/>
          <w:color w:val="auto"/>
          <w:szCs w:val="24"/>
          <w:highlight w:val="none"/>
        </w:rPr>
        <w:t>2.1.2.污水处理规模</w:t>
      </w:r>
      <w:bookmarkEnd w:id="36"/>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处理规模为250m</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/d，出水水质执行《城镇污水处理站污染物排放标准》（GB18918-2002）一级B排放标准。</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37" w:name="_Toc23432"/>
      <w:r>
        <w:rPr>
          <w:rFonts w:hint="default" w:ascii="Times New Roman" w:hAnsi="Times New Roman" w:cs="Times New Roman"/>
          <w:b/>
          <w:bCs/>
          <w:color w:val="auto"/>
          <w:szCs w:val="24"/>
          <w:highlight w:val="none"/>
        </w:rPr>
        <w:t>2.1.3.进水水质要求</w:t>
      </w:r>
      <w:bookmarkEnd w:id="37"/>
    </w:p>
    <w:p>
      <w:pPr>
        <w:pStyle w:val="10"/>
        <w:spacing w:before="0" w:after="0" w:line="360" w:lineRule="auto"/>
        <w:ind w:firstLine="482" w:firstLineChars="200"/>
        <w:jc w:val="both"/>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2.1.3.1.设计进水水质要求</w:t>
      </w:r>
    </w:p>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设计进水水质参数如下：</w:t>
      </w:r>
    </w:p>
    <w:p>
      <w:pPr>
        <w:pStyle w:val="10"/>
        <w:spacing w:before="0" w:after="0" w:line="360" w:lineRule="auto"/>
        <w:ind w:firstLine="482"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表2-1  设计进水水质指标一览表</w:t>
      </w:r>
      <w:r>
        <w:rPr>
          <w:rFonts w:hint="default" w:ascii="Times New Roman" w:hAnsi="Times New Roman" w:cs="Times New Roman"/>
          <w:color w:val="auto"/>
          <w:szCs w:val="24"/>
          <w:highlight w:val="none"/>
        </w:rPr>
        <w:t>（mg/L）</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065"/>
        <w:gridCol w:w="1065"/>
        <w:gridCol w:w="1065"/>
        <w:gridCol w:w="1065"/>
        <w:gridCol w:w="1065"/>
        <w:gridCol w:w="808"/>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62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COD</w:t>
            </w:r>
          </w:p>
        </w:tc>
        <w:tc>
          <w:tcPr>
            <w:tcW w:w="62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62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62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TN</w:t>
            </w:r>
          </w:p>
        </w:tc>
        <w:tc>
          <w:tcPr>
            <w:tcW w:w="62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NH</w:t>
            </w:r>
            <w:r>
              <w:rPr>
                <w:rFonts w:hint="default" w:ascii="Times New Roman" w:hAnsi="Times New Roman" w:cs="Times New Roman"/>
                <w:b/>
                <w:bCs/>
                <w:color w:val="auto"/>
                <w:sz w:val="21"/>
                <w:szCs w:val="21"/>
                <w:highlight w:val="none"/>
                <w:vertAlign w:val="subscript"/>
              </w:rPr>
              <w:t>3</w:t>
            </w:r>
            <w:r>
              <w:rPr>
                <w:rFonts w:hint="default" w:ascii="Times New Roman" w:hAnsi="Times New Roman" w:cs="Times New Roman"/>
                <w:b/>
                <w:bCs/>
                <w:color w:val="auto"/>
                <w:sz w:val="21"/>
                <w:szCs w:val="21"/>
                <w:highlight w:val="none"/>
              </w:rPr>
              <w:t>-H</w:t>
            </w:r>
          </w:p>
        </w:tc>
        <w:tc>
          <w:tcPr>
            <w:tcW w:w="474"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TP</w:t>
            </w:r>
          </w:p>
        </w:tc>
        <w:tc>
          <w:tcPr>
            <w:tcW w:w="775"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Pr>
          <w:p>
            <w:pPr>
              <w:pStyle w:val="10"/>
              <w:spacing w:before="0" w:after="0" w:line="360" w:lineRule="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水质指标</w:t>
            </w:r>
          </w:p>
        </w:tc>
        <w:tc>
          <w:tcPr>
            <w:tcW w:w="62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220</w:t>
            </w:r>
          </w:p>
        </w:tc>
        <w:tc>
          <w:tcPr>
            <w:tcW w:w="62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120</w:t>
            </w:r>
          </w:p>
        </w:tc>
        <w:tc>
          <w:tcPr>
            <w:tcW w:w="62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62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62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474"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75" w:type="pct"/>
          </w:tcPr>
          <w:p>
            <w:pPr>
              <w:pStyle w:val="10"/>
              <w:spacing w:before="0" w:after="0"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bl>
    <w:p>
      <w:pPr>
        <w:pStyle w:val="10"/>
        <w:widowControl w:val="0"/>
        <w:spacing w:before="0" w:after="0" w:line="360" w:lineRule="auto"/>
        <w:ind w:firstLine="482" w:firstLineChars="200"/>
        <w:jc w:val="both"/>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2.1.3.2.设计出水水质要求</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本工程主要处理纳污范围内的生活废水，经本项目处理后，出水水质达到《城镇污水处理厂污染物排放标准》（GB18918-2002）一级B标准，各项指标详见表2-2所示：</w:t>
      </w:r>
    </w:p>
    <w:p>
      <w:pPr>
        <w:pStyle w:val="10"/>
        <w:spacing w:before="0" w:after="0" w:line="360" w:lineRule="auto"/>
        <w:ind w:firstLine="482"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表2-2  设计出水水质指标一览表</w:t>
      </w:r>
      <w:r>
        <w:rPr>
          <w:rFonts w:hint="default" w:ascii="Times New Roman" w:hAnsi="Times New Roman" w:cs="Times New Roman"/>
          <w:color w:val="auto"/>
          <w:szCs w:val="24"/>
          <w:highlight w:val="none"/>
        </w:rPr>
        <w:t>（mg/L）</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326"/>
        <w:gridCol w:w="857"/>
        <w:gridCol w:w="5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778"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控制指标</w:t>
            </w:r>
          </w:p>
        </w:tc>
        <w:tc>
          <w:tcPr>
            <w:tcW w:w="503"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3303"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《城镇污水处理厂污染物排放标准》（GB18918-2002）一级B标准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sz w:val="21"/>
                <w:szCs w:val="21"/>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TN</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1326"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5630" w:type="dxa"/>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77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粪大肠菌群</w:t>
            </w:r>
          </w:p>
        </w:tc>
        <w:tc>
          <w:tcPr>
            <w:tcW w:w="5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个/L</w:t>
            </w:r>
          </w:p>
        </w:tc>
        <w:tc>
          <w:tcPr>
            <w:tcW w:w="330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4</w:t>
            </w:r>
          </w:p>
        </w:tc>
      </w:tr>
    </w:tbl>
    <w:p>
      <w:pPr>
        <w:pStyle w:val="1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本项目进出水质及处理程度如下所示</w:t>
      </w:r>
    </w:p>
    <w:p>
      <w:pPr>
        <w:pStyle w:val="10"/>
        <w:spacing w:before="0" w:after="0" w:line="360" w:lineRule="auto"/>
        <w:ind w:firstLine="482" w:firstLineChars="2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表2-3  设计进出水水质及处理程度一览表</w:t>
      </w:r>
      <w:r>
        <w:rPr>
          <w:rFonts w:hint="default" w:ascii="Times New Roman" w:hAnsi="Times New Roman" w:cs="Times New Roman"/>
          <w:color w:val="auto"/>
          <w:szCs w:val="24"/>
          <w:highlight w:val="none"/>
        </w:rPr>
        <w:t>（mg/L）</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302"/>
        <w:gridCol w:w="951"/>
        <w:gridCol w:w="1642"/>
        <w:gridCol w:w="1961"/>
        <w:gridCol w:w="1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764"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控制指标</w:t>
            </w:r>
          </w:p>
        </w:tc>
        <w:tc>
          <w:tcPr>
            <w:tcW w:w="558"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963"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设计进水水质</w:t>
            </w:r>
          </w:p>
        </w:tc>
        <w:tc>
          <w:tcPr>
            <w:tcW w:w="1150"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设计出水水质</w:t>
            </w:r>
          </w:p>
        </w:tc>
        <w:tc>
          <w:tcPr>
            <w:tcW w:w="1149" w:type="pct"/>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去除效率</w:t>
            </w: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≤220</w:t>
            </w:r>
          </w:p>
        </w:tc>
        <w:tc>
          <w:tcPr>
            <w:tcW w:w="1150"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BOD</w:t>
            </w:r>
            <w:r>
              <w:rPr>
                <w:rFonts w:hint="default" w:ascii="Times New Roman" w:hAnsi="Times New Roman" w:cs="Times New Roman"/>
                <w:color w:val="auto"/>
                <w:highlight w:val="none"/>
                <w:vertAlign w:val="subscript"/>
              </w:rPr>
              <w:t>5</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≤120</w:t>
            </w:r>
          </w:p>
        </w:tc>
        <w:tc>
          <w:tcPr>
            <w:tcW w:w="1150"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1150"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150" w:type="pct"/>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sz w:val="21"/>
                <w:szCs w:val="21"/>
                <w:highlight w:val="none"/>
              </w:rPr>
              <w:t>≤</w:t>
            </w:r>
            <w:r>
              <w:rPr>
                <w:rFonts w:hint="default" w:ascii="Times New Roman" w:hAnsi="Times New Roman" w:cs="Times New Roman"/>
                <w:color w:val="auto"/>
                <w:sz w:val="21"/>
                <w:szCs w:val="21"/>
                <w:highlight w:val="none"/>
              </w:rPr>
              <w:t>15</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73.3（50）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TN</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150"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764"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963"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150"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149" w:type="pct"/>
            <w:vAlign w:val="center"/>
          </w:tcPr>
          <w:p>
            <w:pPr>
              <w:spacing w:line="320" w:lineRule="exact"/>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764"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粪大肠菌群</w:t>
            </w:r>
          </w:p>
        </w:tc>
        <w:tc>
          <w:tcPr>
            <w:tcW w:w="558"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个/L</w:t>
            </w:r>
          </w:p>
        </w:tc>
        <w:tc>
          <w:tcPr>
            <w:tcW w:w="963"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50" w:type="pct"/>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3</w:t>
            </w:r>
          </w:p>
        </w:tc>
        <w:tc>
          <w:tcPr>
            <w:tcW w:w="1149" w:type="pct"/>
            <w:vAlign w:val="center"/>
          </w:tcPr>
          <w:p>
            <w:pPr>
              <w:widowControl/>
              <w:jc w:val="center"/>
              <w:textAlignment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w:t>
            </w:r>
          </w:p>
        </w:tc>
      </w:tr>
    </w:tbl>
    <w:p>
      <w:pPr>
        <w:widowControl/>
        <w:spacing w:line="360" w:lineRule="auto"/>
        <w:ind w:firstLine="482" w:firstLineChars="200"/>
        <w:jc w:val="left"/>
        <w:outlineLvl w:val="2"/>
        <w:rPr>
          <w:rFonts w:hint="default" w:ascii="Times New Roman" w:hAnsi="Times New Roman" w:cs="Times New Roman"/>
          <w:color w:val="auto"/>
          <w:highlight w:val="none"/>
        </w:rPr>
      </w:pPr>
      <w:bookmarkStart w:id="38" w:name="_Toc23783"/>
      <w:r>
        <w:rPr>
          <w:rFonts w:hint="default" w:ascii="Times New Roman" w:hAnsi="Times New Roman" w:cs="Times New Roman"/>
          <w:b/>
          <w:bCs/>
          <w:color w:val="auto"/>
          <w:kern w:val="0"/>
          <w:sz w:val="24"/>
          <w:szCs w:val="24"/>
          <w:highlight w:val="none"/>
          <w:lang w:bidi="ar"/>
        </w:rPr>
        <w:t>2.1.4.污水处理工艺</w:t>
      </w:r>
      <w:bookmarkEnd w:id="38"/>
    </w:p>
    <w:p>
      <w:pPr>
        <w:pStyle w:val="10"/>
        <w:spacing w:before="0" w:after="0" w:line="360" w:lineRule="auto"/>
        <w:ind w:firstLine="482" w:firstLineChars="200"/>
        <w:jc w:val="both"/>
        <w:outlineLvl w:val="3"/>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2.1.4.1处理工艺</w:t>
      </w:r>
    </w:p>
    <w:p>
      <w:pPr>
        <w:pStyle w:val="10"/>
        <w:spacing w:before="0" w:after="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本污水处理厂的处理工艺为：</w:t>
      </w:r>
      <w:r>
        <w:rPr>
          <w:rFonts w:hint="default" w:ascii="Times New Roman" w:hAnsi="Times New Roman" w:cs="Times New Roman"/>
          <w:color w:val="auto"/>
          <w:highlight w:val="none"/>
        </w:rPr>
        <w:t>格栅渠-调节池-水解酸化-接触氧化（厌氧-缺氧-好氧）-二沉池-清水池-多介质过滤器-紫外线消毒-计量渠-外排，处理工艺如下所示：</w:t>
      </w:r>
    </w:p>
    <w:p>
      <w:pPr>
        <w:pStyle w:val="10"/>
        <w:spacing w:before="0" w:after="0" w:line="360" w:lineRule="auto"/>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drawing>
          <wp:inline distT="0" distB="0" distL="114300" distR="114300">
            <wp:extent cx="5260975" cy="1874520"/>
            <wp:effectExtent l="0" t="0" r="12065" b="0"/>
            <wp:docPr id="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IMG_256"/>
                    <pic:cNvPicPr>
                      <a:picLocks noChangeAspect="1"/>
                    </pic:cNvPicPr>
                  </pic:nvPicPr>
                  <pic:blipFill>
                    <a:blip r:embed="rId5"/>
                    <a:stretch>
                      <a:fillRect/>
                    </a:stretch>
                  </pic:blipFill>
                  <pic:spPr>
                    <a:xfrm>
                      <a:off x="0" y="0"/>
                      <a:ext cx="5260975" cy="1874520"/>
                    </a:xfrm>
                    <a:prstGeom prst="rect">
                      <a:avLst/>
                    </a:prstGeom>
                    <a:noFill/>
                    <a:ln w="9525">
                      <a:noFill/>
                    </a:ln>
                  </pic:spPr>
                </pic:pic>
              </a:graphicData>
            </a:graphic>
          </wp:inline>
        </w:drawing>
      </w:r>
    </w:p>
    <w:p>
      <w:pPr>
        <w:pStyle w:val="10"/>
        <w:spacing w:before="0" w:after="0" w:line="36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图2-1  污水处理工艺流程图</w:t>
      </w:r>
    </w:p>
    <w:p>
      <w:pPr>
        <w:pStyle w:val="10"/>
        <w:widowControl w:val="0"/>
        <w:spacing w:before="0" w:after="0" w:line="360" w:lineRule="auto"/>
        <w:ind w:firstLine="482" w:firstLineChars="200"/>
        <w:jc w:val="both"/>
        <w:outlineLvl w:val="3"/>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2.1.4.2处理设施设计参数</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本污水处理厂各部分设计参数如下所示：</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（1）预处理</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预处理段设置格栅井，主要去除污水中较粗大的漂浮物（如树叶、杂草、木块、废塑料等），保护水泵的正常工作。在调节池前端设置提篮式格栅。设施具体情况如下所示：</w:t>
      </w:r>
    </w:p>
    <w:p>
      <w:pPr>
        <w:pStyle w:val="10"/>
        <w:widowControl w:val="0"/>
        <w:spacing w:before="0" w:after="0" w:line="360" w:lineRule="auto"/>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表2-4  格栅设备设施一览表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序号</w:t>
            </w:r>
          </w:p>
        </w:tc>
        <w:tc>
          <w:tcPr>
            <w:tcW w:w="1230"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名称</w:t>
            </w:r>
          </w:p>
        </w:tc>
        <w:tc>
          <w:tcPr>
            <w:tcW w:w="2977"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规格型号</w:t>
            </w:r>
          </w:p>
        </w:tc>
        <w:tc>
          <w:tcPr>
            <w:tcW w:w="1001"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单位</w:t>
            </w:r>
          </w:p>
        </w:tc>
        <w:tc>
          <w:tcPr>
            <w:tcW w:w="775"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数量</w:t>
            </w:r>
          </w:p>
        </w:tc>
        <w:tc>
          <w:tcPr>
            <w:tcW w:w="1790" w:type="dxa"/>
            <w:vAlign w:val="center"/>
          </w:tcPr>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b/>
                <w:bCs/>
                <w:color w:val="auto"/>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1230"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格栅井</w:t>
            </w:r>
          </w:p>
        </w:tc>
        <w:tc>
          <w:tcPr>
            <w:tcW w:w="2977"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L×B×H=6.5m×1.0m×4.35m</w:t>
            </w:r>
          </w:p>
        </w:tc>
        <w:tc>
          <w:tcPr>
            <w:tcW w:w="1001"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775"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1790"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地下钢砼结构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2</w:t>
            </w:r>
          </w:p>
        </w:tc>
        <w:tc>
          <w:tcPr>
            <w:tcW w:w="1230"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方闸门</w:t>
            </w:r>
          </w:p>
        </w:tc>
        <w:tc>
          <w:tcPr>
            <w:tcW w:w="2977"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B×H=400×400</w:t>
            </w:r>
          </w:p>
        </w:tc>
        <w:tc>
          <w:tcPr>
            <w:tcW w:w="1001"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775"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1790" w:type="dxa"/>
            <w:vAlign w:val="center"/>
          </w:tcPr>
          <w:p>
            <w:pPr>
              <w:widowControl/>
              <w:jc w:val="center"/>
              <w:textAlignment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3</w:t>
            </w:r>
          </w:p>
        </w:tc>
        <w:tc>
          <w:tcPr>
            <w:tcW w:w="1230"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回转式机械格栅</w:t>
            </w:r>
          </w:p>
        </w:tc>
        <w:tc>
          <w:tcPr>
            <w:tcW w:w="2977"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B=900mm，b=10mm，θ=75°，H=4.35m，N=0.75kW</w:t>
            </w:r>
          </w:p>
        </w:tc>
        <w:tc>
          <w:tcPr>
            <w:tcW w:w="1001"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775" w:type="dxa"/>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1790" w:type="dxa"/>
            <w:vAlign w:val="center"/>
          </w:tcPr>
          <w:p>
            <w:pPr>
              <w:widowControl/>
              <w:jc w:val="center"/>
              <w:textAlignment w:val="center"/>
              <w:rPr>
                <w:rFonts w:hint="default" w:ascii="Times New Roman" w:hAnsi="Times New Roman" w:cs="Times New Roman"/>
                <w:color w:val="auto"/>
                <w:highlight w:val="none"/>
              </w:rPr>
            </w:pP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调节池</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对进厂污水进行水质水量调节，将污水提升输送至一体化设备。</w:t>
      </w:r>
    </w:p>
    <w:p>
      <w:pPr>
        <w:pStyle w:val="10"/>
        <w:widowControl w:val="0"/>
        <w:spacing w:before="0" w:after="0" w:line="360" w:lineRule="auto"/>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表2-5  调节池设备设施一览表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302"/>
        <w:gridCol w:w="2414"/>
        <w:gridCol w:w="662"/>
        <w:gridCol w:w="638"/>
        <w:gridCol w:w="2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302"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2414"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规格型号</w:t>
            </w:r>
          </w:p>
        </w:tc>
        <w:tc>
          <w:tcPr>
            <w:tcW w:w="662"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638"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c>
          <w:tcPr>
            <w:tcW w:w="2829"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130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调节池</w:t>
            </w:r>
          </w:p>
        </w:tc>
        <w:tc>
          <w:tcPr>
            <w:tcW w:w="2414"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L×B×H=13.8m×6.5m×5.45m</w:t>
            </w:r>
          </w:p>
        </w:tc>
        <w:tc>
          <w:tcPr>
            <w:tcW w:w="66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座</w:t>
            </w:r>
          </w:p>
        </w:tc>
        <w:tc>
          <w:tcPr>
            <w:tcW w:w="638"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钢筋混凝土结构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2</w:t>
            </w:r>
          </w:p>
        </w:tc>
        <w:tc>
          <w:tcPr>
            <w:tcW w:w="130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潜水排污泵</w:t>
            </w:r>
          </w:p>
        </w:tc>
        <w:tc>
          <w:tcPr>
            <w:tcW w:w="2414"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Q=12.5m³/h，H=10m，N=1.1kW，自耦式</w:t>
            </w:r>
          </w:p>
        </w:tc>
        <w:tc>
          <w:tcPr>
            <w:tcW w:w="66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2</w:t>
            </w:r>
          </w:p>
        </w:tc>
        <w:tc>
          <w:tcPr>
            <w:tcW w:w="2829"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2台，1用1备，其中备用泵加变频；控制方式：根据调节池液位，由PLC自动控制，也可现场手动控制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3</w:t>
            </w:r>
          </w:p>
        </w:tc>
        <w:tc>
          <w:tcPr>
            <w:tcW w:w="130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潜水搅拌机</w:t>
            </w:r>
          </w:p>
        </w:tc>
        <w:tc>
          <w:tcPr>
            <w:tcW w:w="2414"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QJB1.5</w:t>
            </w:r>
          </w:p>
        </w:tc>
        <w:tc>
          <w:tcPr>
            <w:tcW w:w="66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管径为260mm，N=1.5kW，转速：960rp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4</w:t>
            </w:r>
          </w:p>
        </w:tc>
        <w:tc>
          <w:tcPr>
            <w:tcW w:w="130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手动葫芦</w:t>
            </w:r>
          </w:p>
        </w:tc>
        <w:tc>
          <w:tcPr>
            <w:tcW w:w="2414"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CD1.0-13</w:t>
            </w:r>
          </w:p>
        </w:tc>
        <w:tc>
          <w:tcPr>
            <w:tcW w:w="662"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提升重量1.0t，提升高度13m</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一体化设备</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在设备内污水依次经过水解酸化区、生物接触氧化区、沉淀区、清水区，污水中污染因子被微生物充分降解分解或与水分离。</w:t>
      </w:r>
    </w:p>
    <w:p>
      <w:pPr>
        <w:pStyle w:val="10"/>
        <w:spacing w:before="0" w:after="0" w:line="360" w:lineRule="auto"/>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表2-6  一体化设备设施一览表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1791"/>
        <w:gridCol w:w="2663"/>
        <w:gridCol w:w="656"/>
        <w:gridCol w:w="767"/>
        <w:gridCol w:w="2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序号</w:t>
            </w:r>
          </w:p>
        </w:tc>
        <w:tc>
          <w:tcPr>
            <w:tcW w:w="1051"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名称</w:t>
            </w:r>
          </w:p>
        </w:tc>
        <w:tc>
          <w:tcPr>
            <w:tcW w:w="1563"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规格型号</w:t>
            </w:r>
          </w:p>
        </w:tc>
        <w:tc>
          <w:tcPr>
            <w:tcW w:w="385"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单位</w:t>
            </w:r>
          </w:p>
        </w:tc>
        <w:tc>
          <w:tcPr>
            <w:tcW w:w="450"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数量</w:t>
            </w:r>
          </w:p>
        </w:tc>
        <w:tc>
          <w:tcPr>
            <w:tcW w:w="1197" w:type="pct"/>
            <w:vAlign w:val="center"/>
          </w:tcPr>
          <w:p>
            <w:pPr>
              <w:widowControl/>
              <w:jc w:val="center"/>
              <w:textAlignment w:val="center"/>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一体化设备</w:t>
            </w:r>
          </w:p>
        </w:tc>
        <w:tc>
          <w:tcPr>
            <w:tcW w:w="1563"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250m</w:t>
            </w:r>
            <w:r>
              <w:rPr>
                <w:rFonts w:hint="default" w:ascii="Times New Roman" w:hAnsi="Times New Roman" w:cs="Times New Roman"/>
                <w:color w:val="auto"/>
                <w:kern w:val="0"/>
                <w:highlight w:val="none"/>
                <w:vertAlign w:val="superscript"/>
                <w:lang w:bidi="ar"/>
              </w:rPr>
              <w:t>3</w:t>
            </w:r>
            <w:r>
              <w:rPr>
                <w:rFonts w:hint="default" w:ascii="Times New Roman" w:hAnsi="Times New Roman" w:cs="Times New Roman"/>
                <w:color w:val="auto"/>
                <w:kern w:val="0"/>
                <w:highlight w:val="none"/>
                <w:lang w:bidi="ar"/>
              </w:rPr>
              <w:t>/d；L×B×H=10.7m×3.0m×3.0m</w:t>
            </w:r>
          </w:p>
        </w:tc>
        <w:tc>
          <w:tcPr>
            <w:tcW w:w="385"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2</w:t>
            </w:r>
          </w:p>
        </w:tc>
        <w:tc>
          <w:tcPr>
            <w:tcW w:w="1197" w:type="pct"/>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一备一用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电动阀</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DN80</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填料</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弹性填料，</w:t>
            </w:r>
            <w:r>
              <w:rPr>
                <w:rFonts w:hint="default" w:ascii="Times New Roman" w:hAnsi="Times New Roman" w:eastAsia="黑体" w:cs="Times New Roman"/>
                <w:color w:val="auto"/>
                <w:kern w:val="0"/>
                <w:sz w:val="18"/>
                <w:szCs w:val="18"/>
                <w:highlight w:val="none"/>
                <w:lang w:bidi="ar"/>
              </w:rPr>
              <w:t>φ</w:t>
            </w:r>
            <w:r>
              <w:rPr>
                <w:rFonts w:hint="default" w:ascii="Times New Roman" w:hAnsi="Times New Roman" w:cs="Times New Roman"/>
                <w:color w:val="auto"/>
                <w:kern w:val="0"/>
                <w:highlight w:val="none"/>
                <w:lang w:bidi="ar"/>
              </w:rPr>
              <w:t>150，1.5m/根</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m³</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28</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填料支架</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碳钢防腐处理</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曝气盘</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ABS，</w:t>
            </w:r>
            <w:r>
              <w:rPr>
                <w:rFonts w:hint="default" w:ascii="Times New Roman" w:hAnsi="Times New Roman" w:eastAsia="黑体" w:cs="Times New Roman"/>
                <w:color w:val="auto"/>
                <w:kern w:val="0"/>
                <w:sz w:val="18"/>
                <w:szCs w:val="18"/>
                <w:highlight w:val="none"/>
                <w:lang w:bidi="ar"/>
              </w:rPr>
              <w:t>φ</w:t>
            </w:r>
            <w:r>
              <w:rPr>
                <w:rFonts w:hint="default" w:ascii="Times New Roman" w:hAnsi="Times New Roman" w:cs="Times New Roman"/>
                <w:color w:val="auto"/>
                <w:kern w:val="0"/>
                <w:highlight w:val="none"/>
                <w:lang w:bidi="ar"/>
              </w:rPr>
              <w:t>215</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54</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污泥泵</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50WQ10-7-0.55</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剩余污泥泵</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50WQ10-7-0.55</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南方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潜水搅拌机</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0.37KW，铸铁材质</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不锈钢主机，铸铁支架。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液位浮球</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0-3m量程</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斜管填料支架</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碳钢防腐处理</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斜管填料</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孔径</w:t>
            </w:r>
            <w:r>
              <w:rPr>
                <w:rFonts w:hint="default" w:ascii="Times New Roman" w:hAnsi="Times New Roman" w:eastAsia="黑体" w:cs="Times New Roman"/>
                <w:color w:val="auto"/>
                <w:kern w:val="0"/>
                <w:sz w:val="18"/>
                <w:szCs w:val="18"/>
                <w:highlight w:val="none"/>
                <w:lang w:bidi="ar"/>
              </w:rPr>
              <w:t>φ</w:t>
            </w:r>
            <w:r>
              <w:rPr>
                <w:rFonts w:hint="default" w:ascii="Times New Roman" w:hAnsi="Times New Roman" w:cs="Times New Roman"/>
                <w:color w:val="auto"/>
                <w:kern w:val="0"/>
                <w:highlight w:val="none"/>
                <w:lang w:bidi="ar"/>
              </w:rPr>
              <w:t>50</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6</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多介质过滤器</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eastAsia="黑体" w:cs="Times New Roman"/>
                <w:color w:val="auto"/>
                <w:kern w:val="0"/>
                <w:sz w:val="18"/>
                <w:szCs w:val="18"/>
                <w:highlight w:val="none"/>
                <w:lang w:bidi="ar"/>
              </w:rPr>
              <w:t>Φ</w:t>
            </w:r>
            <w:r>
              <w:rPr>
                <w:rFonts w:hint="default" w:ascii="Times New Roman" w:hAnsi="Times New Roman" w:cs="Times New Roman"/>
                <w:color w:val="auto"/>
                <w:kern w:val="0"/>
                <w:highlight w:val="none"/>
                <w:lang w:bidi="ar"/>
              </w:rPr>
              <w:t>750*2000，玻璃钢罐体、滤料（石英砂）、自动阀头、增压泵、排污泵、污水桶。</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转子流量计</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PVC材质</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只</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DN40，1-10t/h；DN80，5-25t/h各1套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紫外线消毒器</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7.0m³/h，套管式</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一体化设备内部管道</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各型号给水\排水\线管\钢管等</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批</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箱体</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10.7m*3*2.8，内部环氧煤沥青漆防腐，外部防锈底漆二道；8mm Q235 碳钢防腐</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套</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鼓风机</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102m³/h，32kpa</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1用1备，国产优质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PAC加药</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200LPE桶，搅拌机，24L/h计量泵</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集水桶</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300L方桶，86.5*64.7*61.5cm</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只</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jc w:val="center"/>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排水泵</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WQD5-4-0.18，220V</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台</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一体化设备内电控系统</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电控柜及国标电子配件</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批</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一体化设备内电线电缆</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国标</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批</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2" w:type="pct"/>
            <w:vAlign w:val="center"/>
          </w:tcPr>
          <w:p>
            <w:pPr>
              <w:widowControl/>
              <w:numPr>
                <w:ilvl w:val="0"/>
                <w:numId w:val="5"/>
              </w:numPr>
              <w:jc w:val="center"/>
              <w:textAlignment w:val="center"/>
              <w:rPr>
                <w:rFonts w:hint="default" w:ascii="Times New Roman" w:hAnsi="Times New Roman" w:cs="Times New Roman"/>
                <w:color w:val="auto"/>
                <w:kern w:val="0"/>
                <w:highlight w:val="none"/>
              </w:rPr>
            </w:pPr>
          </w:p>
        </w:tc>
        <w:tc>
          <w:tcPr>
            <w:tcW w:w="1051"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PLC自动化控制</w:t>
            </w:r>
          </w:p>
        </w:tc>
        <w:tc>
          <w:tcPr>
            <w:tcW w:w="1563"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PLC模块及自动化系统等</w:t>
            </w:r>
          </w:p>
        </w:tc>
        <w:tc>
          <w:tcPr>
            <w:tcW w:w="385"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批</w:t>
            </w:r>
          </w:p>
        </w:tc>
        <w:tc>
          <w:tcPr>
            <w:tcW w:w="450"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1</w:t>
            </w:r>
          </w:p>
        </w:tc>
        <w:tc>
          <w:tcPr>
            <w:tcW w:w="1197" w:type="pct"/>
            <w:vAlign w:val="center"/>
          </w:tcPr>
          <w:p>
            <w:pPr>
              <w:widowControl/>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国产品牌（含软件编程）</w:t>
            </w:r>
          </w:p>
        </w:tc>
      </w:tr>
    </w:tbl>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运行方式：生物接触氧化区的混合液通过回流装置回流至水解酸化区，沉淀区的底部污泥通过污泥泵回流至水解酸化。接触氧化区出水流入至沉淀区进行固液分离，沉淀区的出水经清水池后，经紫外消毒器消毒处理后达标排放。污泥定期自动外排至污泥池。整套处理工艺设有应急系统，当出现污水不达标时，污水通过管道排放至调节池重新处理，以确保污水达标后排放。</w:t>
      </w:r>
    </w:p>
    <w:p>
      <w:pPr>
        <w:pStyle w:val="10"/>
        <w:widowControl w:val="0"/>
        <w:numPr>
          <w:ilvl w:val="0"/>
          <w:numId w:val="4"/>
        </w:numPr>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污泥池</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用于对一体化设备剩余污泥进行适当暂存并浓缩，污泥定期抽走至污泥处置中心统一处置。</w:t>
      </w:r>
    </w:p>
    <w:p>
      <w:pPr>
        <w:pStyle w:val="10"/>
        <w:widowControl w:val="0"/>
        <w:spacing w:before="0" w:after="0" w:line="360" w:lineRule="auto"/>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表2-7 污泥池设施一览表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9"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230"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2977"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规格型号</w:t>
            </w:r>
          </w:p>
        </w:tc>
        <w:tc>
          <w:tcPr>
            <w:tcW w:w="1001"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775"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c>
          <w:tcPr>
            <w:tcW w:w="1790" w:type="dxa"/>
            <w:vAlign w:val="center"/>
          </w:tcPr>
          <w:p>
            <w:pPr>
              <w:pStyle w:val="1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9"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230"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污泥池</w:t>
            </w:r>
          </w:p>
        </w:tc>
        <w:tc>
          <w:tcPr>
            <w:tcW w:w="2977"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L×B×H=2.5m×2.5m×3.0</w:t>
            </w:r>
          </w:p>
        </w:tc>
        <w:tc>
          <w:tcPr>
            <w:tcW w:w="1001"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座</w:t>
            </w:r>
          </w:p>
        </w:tc>
        <w:tc>
          <w:tcPr>
            <w:tcW w:w="775"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790" w:type="dxa"/>
            <w:vAlign w:val="center"/>
          </w:tcPr>
          <w:p>
            <w:pPr>
              <w:pStyle w:val="1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钢筋混凝土结构</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综合管理用房</w:t>
      </w:r>
    </w:p>
    <w:p>
      <w:pPr>
        <w:pStyle w:val="10"/>
        <w:widowControl w:val="0"/>
        <w:spacing w:before="0" w:after="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包括配电间及中控室、值班室等。配电间主要放置工艺所需的电控系统和必要的维护工具等。</w:t>
      </w:r>
    </w:p>
    <w:p>
      <w:pPr>
        <w:pStyle w:val="10"/>
        <w:spacing w:before="0" w:after="0" w:line="360" w:lineRule="auto"/>
        <w:ind w:firstLine="241" w:firstLineChars="10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表2-8 综合管理用房设备设施一览表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572"/>
        <w:gridCol w:w="2508"/>
        <w:gridCol w:w="708"/>
        <w:gridCol w:w="732"/>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7"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572"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2508"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规格型号</w:t>
            </w:r>
          </w:p>
        </w:tc>
        <w:tc>
          <w:tcPr>
            <w:tcW w:w="708"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732"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c>
          <w:tcPr>
            <w:tcW w:w="2325" w:type="dxa"/>
            <w:vAlign w:val="center"/>
          </w:tcPr>
          <w:p>
            <w:pPr>
              <w:pStyle w:val="10"/>
              <w:adjustRightInd w:val="0"/>
              <w:snapToGrid w:val="0"/>
              <w:spacing w:before="0" w:after="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7" w:type="dxa"/>
            <w:vAlign w:val="center"/>
          </w:tcPr>
          <w:p>
            <w:pPr>
              <w:pStyle w:val="10"/>
              <w:numPr>
                <w:ilvl w:val="0"/>
                <w:numId w:val="6"/>
              </w:numPr>
              <w:adjustRightInd w:val="0"/>
              <w:snapToGrid w:val="0"/>
              <w:spacing w:before="0" w:after="0"/>
              <w:rPr>
                <w:rFonts w:hint="default" w:ascii="Times New Roman" w:hAnsi="Times New Roman" w:cs="Times New Roman"/>
                <w:color w:val="auto"/>
                <w:sz w:val="21"/>
                <w:szCs w:val="21"/>
                <w:highlight w:val="none"/>
              </w:rPr>
            </w:pPr>
          </w:p>
        </w:tc>
        <w:tc>
          <w:tcPr>
            <w:tcW w:w="157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房体</w:t>
            </w:r>
          </w:p>
        </w:tc>
        <w:tc>
          <w:tcPr>
            <w:tcW w:w="25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L×B×H=11.0×5.0×3.6m</w:t>
            </w:r>
          </w:p>
        </w:tc>
        <w:tc>
          <w:tcPr>
            <w:tcW w:w="7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栋</w:t>
            </w:r>
          </w:p>
        </w:tc>
        <w:tc>
          <w:tcPr>
            <w:tcW w:w="73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325"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砖混结构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7" w:type="dxa"/>
            <w:vAlign w:val="center"/>
          </w:tcPr>
          <w:p>
            <w:pPr>
              <w:pStyle w:val="10"/>
              <w:numPr>
                <w:ilvl w:val="0"/>
                <w:numId w:val="6"/>
              </w:numPr>
              <w:adjustRightInd w:val="0"/>
              <w:snapToGrid w:val="0"/>
              <w:spacing w:before="0" w:after="0"/>
              <w:rPr>
                <w:rFonts w:hint="default" w:ascii="Times New Roman" w:hAnsi="Times New Roman" w:cs="Times New Roman"/>
                <w:color w:val="auto"/>
                <w:sz w:val="21"/>
                <w:szCs w:val="21"/>
                <w:highlight w:val="none"/>
              </w:rPr>
            </w:pPr>
          </w:p>
        </w:tc>
        <w:tc>
          <w:tcPr>
            <w:tcW w:w="157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轴流风机</w:t>
            </w:r>
          </w:p>
        </w:tc>
        <w:tc>
          <w:tcPr>
            <w:tcW w:w="25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Q=826m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/h，风压=38Pa，N=0.012kW</w:t>
            </w:r>
          </w:p>
        </w:tc>
        <w:tc>
          <w:tcPr>
            <w:tcW w:w="7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73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325"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7" w:type="dxa"/>
            <w:vAlign w:val="center"/>
          </w:tcPr>
          <w:p>
            <w:pPr>
              <w:pStyle w:val="10"/>
              <w:numPr>
                <w:ilvl w:val="0"/>
                <w:numId w:val="6"/>
              </w:numPr>
              <w:adjustRightInd w:val="0"/>
              <w:snapToGrid w:val="0"/>
              <w:spacing w:before="0" w:after="0"/>
              <w:rPr>
                <w:rFonts w:hint="default" w:ascii="Times New Roman" w:hAnsi="Times New Roman" w:cs="Times New Roman"/>
                <w:color w:val="auto"/>
                <w:sz w:val="21"/>
                <w:szCs w:val="21"/>
                <w:highlight w:val="none"/>
              </w:rPr>
            </w:pPr>
          </w:p>
        </w:tc>
        <w:tc>
          <w:tcPr>
            <w:tcW w:w="157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干粉灭火器</w:t>
            </w:r>
          </w:p>
        </w:tc>
        <w:tc>
          <w:tcPr>
            <w:tcW w:w="25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磷酸铵盐干粉灭火器(MFZB)</w:t>
            </w:r>
          </w:p>
        </w:tc>
        <w:tc>
          <w:tcPr>
            <w:tcW w:w="7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个</w:t>
            </w:r>
          </w:p>
        </w:tc>
        <w:tc>
          <w:tcPr>
            <w:tcW w:w="73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2325"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7" w:type="dxa"/>
            <w:vAlign w:val="center"/>
          </w:tcPr>
          <w:p>
            <w:pPr>
              <w:pStyle w:val="10"/>
              <w:numPr>
                <w:ilvl w:val="0"/>
                <w:numId w:val="6"/>
              </w:numPr>
              <w:adjustRightInd w:val="0"/>
              <w:snapToGrid w:val="0"/>
              <w:spacing w:before="0" w:after="0"/>
              <w:rPr>
                <w:rFonts w:hint="default" w:ascii="Times New Roman" w:hAnsi="Times New Roman" w:cs="Times New Roman"/>
                <w:color w:val="auto"/>
                <w:sz w:val="21"/>
                <w:szCs w:val="21"/>
                <w:highlight w:val="none"/>
              </w:rPr>
            </w:pPr>
          </w:p>
        </w:tc>
        <w:tc>
          <w:tcPr>
            <w:tcW w:w="157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空调</w:t>
            </w:r>
          </w:p>
        </w:tc>
        <w:tc>
          <w:tcPr>
            <w:tcW w:w="25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1.5P</w:t>
            </w:r>
          </w:p>
        </w:tc>
        <w:tc>
          <w:tcPr>
            <w:tcW w:w="708"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732"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325" w:type="dxa"/>
            <w:vAlign w:val="center"/>
          </w:tcPr>
          <w:p>
            <w:pPr>
              <w:pStyle w:val="10"/>
              <w:adjustRightInd w:val="0"/>
              <w:snapToGrid w:val="0"/>
              <w:spacing w:before="0" w:after="0"/>
              <w:rPr>
                <w:rFonts w:hint="default" w:ascii="Times New Roman" w:hAnsi="Times New Roman" w:cs="Times New Roman"/>
                <w:color w:val="auto"/>
                <w:sz w:val="21"/>
                <w:szCs w:val="21"/>
                <w:highlight w:val="none"/>
              </w:rPr>
            </w:pPr>
          </w:p>
        </w:tc>
      </w:tr>
    </w:tbl>
    <w:p>
      <w:pPr>
        <w:pStyle w:val="10"/>
        <w:spacing w:before="0" w:after="0" w:line="360" w:lineRule="auto"/>
        <w:jc w:val="both"/>
        <w:outlineLvl w:val="1"/>
        <w:rPr>
          <w:rFonts w:hint="default" w:ascii="Times New Roman" w:hAnsi="Times New Roman" w:cs="Times New Roman"/>
          <w:b/>
          <w:bCs/>
          <w:color w:val="auto"/>
          <w:szCs w:val="24"/>
          <w:highlight w:val="none"/>
        </w:rPr>
      </w:pPr>
      <w:bookmarkStart w:id="39" w:name="_Toc17158"/>
      <w:bookmarkStart w:id="40" w:name="_Toc20052"/>
      <w:r>
        <w:rPr>
          <w:rFonts w:hint="default" w:ascii="Times New Roman" w:hAnsi="Times New Roman" w:cs="Times New Roman"/>
          <w:b/>
          <w:bCs/>
          <w:color w:val="auto"/>
          <w:szCs w:val="24"/>
          <w:highlight w:val="none"/>
        </w:rPr>
        <w:t>2.2.项目所在区域概况</w:t>
      </w:r>
      <w:bookmarkEnd w:id="39"/>
      <w:bookmarkEnd w:id="40"/>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41" w:name="_Toc12707"/>
      <w:r>
        <w:rPr>
          <w:rFonts w:hint="default" w:ascii="Times New Roman" w:hAnsi="Times New Roman" w:cs="Times New Roman"/>
          <w:b/>
          <w:bCs/>
          <w:color w:val="auto"/>
          <w:szCs w:val="24"/>
          <w:highlight w:val="none"/>
        </w:rPr>
        <w:t>2.2.1.自然环境</w:t>
      </w:r>
      <w:bookmarkEnd w:id="41"/>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（1）自然地理</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县位于资水中游，湘中偏北，雪峰山北段，东与桃江、宁乡接壤，南与涟源，新化毗邻，西与溆浦、沅陵交界，北与常德、桃源相连。居雪峰山的北段主干带，安化古称“梅山”，是梅山文化的发祥地，宋神宗熙宁五年(1072)置县。安化总面积4950平方公里，是湖南省第三个面积最大的县，山地面积达82%，又是典型的山区县、库区县，有林地面积536万亩，森林覆盖率76.51%，</w:t>
      </w:r>
    </w:p>
    <w:p>
      <w:pPr>
        <w:pStyle w:val="33"/>
        <w:ind w:firstLine="496"/>
        <w:rPr>
          <w:rFonts w:hint="default" w:ascii="Times New Roman" w:hAnsi="Times New Roman" w:eastAsia="宋体" w:cs="Times New Roman"/>
          <w:color w:val="auto"/>
          <w:spacing w:val="4"/>
          <w:highlight w:val="none"/>
          <w:lang w:eastAsia="zh-CN"/>
        </w:rPr>
      </w:pPr>
      <w:r>
        <w:rPr>
          <w:rFonts w:hint="default" w:ascii="Times New Roman" w:hAnsi="Times New Roman" w:cs="Times New Roman"/>
          <w:color w:val="auto"/>
          <w:spacing w:val="4"/>
          <w:highlight w:val="none"/>
        </w:rPr>
        <w:t>滔溪镇位于安化县中部，东与长塘镇毗邻，南携仙溪镇一脉相连，西抵梅城、江南，北至小淹。滔溪镇镇政府所在地距县城东坪、前乡重镇梅城各 45 公里，历来为安化前乡、后乡必经之地，兵家政要落脚之所。滔溪历史悠久，宋代建县时曾作为县城选址地之一，全镇总面积 154.2 平方公里。辖 10 个村、3 个居委，总人口 3.02 万人。1995 年撤区并乡时由原上马、长乐两乡合并而成滔溪乡，乡政府所在地迁址至滔溪，2005 年 12 月经省民政厅批准改为滔溪镇</w:t>
      </w:r>
      <w:r>
        <w:rPr>
          <w:rFonts w:hint="default" w:ascii="Times New Roman" w:hAnsi="Times New Roman" w:cs="Times New Roman"/>
          <w:color w:val="auto"/>
          <w:spacing w:val="4"/>
          <w:highlight w:val="none"/>
          <w:lang w:eastAsia="zh-CN"/>
        </w:rPr>
        <w:t>。</w:t>
      </w:r>
    </w:p>
    <w:p>
      <w:pPr>
        <w:pStyle w:val="33"/>
        <w:ind w:firstLine="496"/>
        <w:rPr>
          <w:rFonts w:hint="default" w:ascii="Times New Roman" w:hAnsi="Times New Roman" w:cs="Times New Roman"/>
          <w:color w:val="auto"/>
          <w:highlight w:val="none"/>
        </w:rPr>
      </w:pPr>
      <w:r>
        <w:rPr>
          <w:rFonts w:hint="default" w:ascii="Times New Roman" w:hAnsi="Times New Roman" w:cs="Times New Roman"/>
          <w:color w:val="auto"/>
          <w:spacing w:val="4"/>
          <w:highlight w:val="none"/>
        </w:rPr>
        <w:t>本污水处理厂位于安化县安化县滔溪镇滔溪社区，地理坐标为：东经111.593244292°，北纬28.351393649°</w:t>
      </w:r>
      <w:r>
        <w:rPr>
          <w:rFonts w:hint="default" w:ascii="Times New Roman" w:hAnsi="Times New Roman" w:cs="Times New Roman"/>
          <w:color w:val="auto"/>
          <w:szCs w:val="24"/>
          <w:highlight w:val="none"/>
        </w:rPr>
        <w:t>。</w:t>
      </w:r>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7960" cy="3047365"/>
            <wp:effectExtent l="0" t="0" r="254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7960" cy="3047365"/>
                    </a:xfrm>
                    <a:prstGeom prst="rect">
                      <a:avLst/>
                    </a:prstGeom>
                    <a:noFill/>
                    <a:ln>
                      <a:noFill/>
                    </a:ln>
                  </pic:spPr>
                </pic:pic>
              </a:graphicData>
            </a:graphic>
          </wp:inline>
        </w:drawing>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（2）地形地貌</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安化在雪峰山北段主干带，地形地貌多样，地势从西向东倾斜，西部高峰九龙池，海拔1622m，东部善溪口，海拔57m，相对高差1565m。境内群山起伏，岭谷相间，有较大的山脉29支，有海拔1000米以上的山峰157 座，属典型的山区县。全县共有山地面积4052.5平方公里，占县域面积的81.9%；山岗地面积有546.9 平方公里，占县域面积的11.1%；岗地面积134.0平方公里，占县域面积的2.5%，平地面积139.7平方公里，占县域面积的2.8%，其余为水面。</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（3）地质构造</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县出露地层有元古界板溪群、震旦系，古生界寒武系、奧陶系、志留系、泥盆系、石炭系、二跌系，中生界侏罗系、白垩系及新生界地四系，其中志留系、泥盆系、白垩系发育不完整，板溪群分布最为广泛。安化县位于雪峰山弧形构造向东偏转部位，东南部地区邻近祁阳弧形北段。县内岩浆岩分布面积小，岩石种类较多，酸-中性浸入岩基，岩株集中分布在东南部，酸-中-基性的浅成岩脉(墙)在岩基、岩株内外成群出现，部分零散分布，此外尚有少量喷出岩。岩浆岩形成时代为燕山早期和燕山晚期，燕山早期波及面小，燕山晚期岩浆活动频繁，规模较大，类型较多。根据1:400 万《中国地震动峰值加速度区划图(1:400万》&gt;(GB18306-2015)，本工程区地震动峰值加速度为0.05g，地震动反应谱特征周期为0.35s，相对应的地震基本烈度为小于VI度，属相对稳定地区。</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（4）水文气象</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安化县属亚热带季风湿润气候区，气候温和，雨量充沛，四季分明，严寒期短，无霜期长，温差较大，日照时间长。</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根据安化县气象站多年实测资料统计：多年平均气温为16.2℃，年内气温变幅大，最高温度出现在七月，月平均气温27.7℃，极端最高气温为41.8℃ (1961年7月23日)，最低气温出现在一月，月平均气温4.5℃，极端最低气温-11.3℃，(1977年1月30日)；；多年平均降雨量1692.0m，区内降雨在年内及年际间分布都很不均匀，降雨主要集中在4~8月，占全年的52%，其中以5月份最多，占全年的15%，最大年降雨量为最小年降雨量的两倍以上；多年平均蒸发量为117.6mm，多年平均无霜期为284.0d，多年平均相对湿度为81%，多年平均风速为1.2m/s，历年最大风速为15.7m/s。</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（5）河流水系</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安化县境内水系十分发达，溪河纵横交错，分属资水、湘江、沅水三大水系，以资水水系为主，其流域面积为4850.6 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，占全县总面积的97.9%；属湘江流域的90.35km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；属沅江流域的9.3 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。县内集雨面积大于10km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或干流长度大于5km的河流有163条(其中一级支流45条，二级支流83条，三级支流35条)，有泄溪、洋溪、善溪、沂溪、麻溪、渠江等9条资江一级支流的流域面积均超过200km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。资江由平口镇入境，流经马路、东坪、小淹等16个乡镇，自西向东横贯全境，干流长度在县境内长120km，资江干流上因柘溪水电站建设形成大型水库一座，库容量30.2亿m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42" w:name="_Toc22625"/>
      <w:r>
        <w:rPr>
          <w:rFonts w:hint="default" w:ascii="Times New Roman" w:hAnsi="Times New Roman" w:cs="Times New Roman"/>
          <w:b/>
          <w:bCs/>
          <w:color w:val="auto"/>
          <w:szCs w:val="24"/>
          <w:highlight w:val="none"/>
        </w:rPr>
        <w:t>2.2.2社会经济</w:t>
      </w:r>
      <w:bookmarkEnd w:id="42"/>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安化县共辖18个镇、5个乡，517个行政村、43 个社区居委会。至2016年末，全县户籍人口数102.96万人，常住人口91.38万人，其中城镇常住人口28.28万人，城镇化率为30.95%。人口自然增长率6.3‰。</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是湖南有名的有色金属大县，水能资源大县，林业资源大县，茶叶生产大县，药材产业大县，先后获得“中国厚朴之乡”、“羽毛球之乡”、“中国竹子之乡”、“中国最美小城”、“中国最佳养生休闲旅游胜地"等称号。</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据统计，2016年安化县生产总值(GDP) 196.3 亿元，同比增长7.6%。其中，第一产业增加值44.7亿元，增长3.5%；第二产业增加值72.3亿元(其中工业增加值68.9 亿元)，增长6.3%；第三产业增加值79.3 亿元，增长11.3%。三次产业比为22.8：36.8：40.4，一产业比重下降0.2百分点，二产业比重下降0.4个百分点，三产业比重上升0.6个百分点，产业结构不断优化。按常住人口计算，全县人均GDP为21499元。</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安化全县共有耕地面积63万亩，其中水田面积34万亩，早土面积29万亩，传统特色农业有一定规模，盛产茶叶、柑桔、名优鱼等优质农产品。</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滔溪镇地处</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HYPERLINK "https://baike.baidu.com/item/%E5%AE%89%E5%8C%96%E5%8E%BF/3458516" \t "https://baike.baidu.com/item/%E6%BB%94%E6%BA%AA%E9%95%87/_blank"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安化县</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中部，东与</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HYPERLINK "https://baike.baidu.com/item/%E9%95%BF%E5%A1%98%E9%95%87/3296422" \t "https://baike.baidu.com/item/%E6%BB%94%E6%BA%AA%E9%95%87/_blank"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长塘镇</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、仙溪镇相邻，南与</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HYPERLINK "https://baike.baidu.com/item/%E6%A2%85%E5%9F%8E%E9%95%87/4483968" \t "https://baike.baidu.com/item/%E6%BB%94%E6%BA%AA%E9%95%87/_blank"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梅城镇</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接壤，西与江南镇毗邻，北与</w:t>
      </w: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HYPERLINK "https://baike.baidu.com/item/%E5%B0%8F%E6%B7%B9%E9%95%87/6334048" \t "https://baike.baidu.com/item/%E6%BB%94%E6%BA%AA%E9%95%87/_blank"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小淹镇</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相连。区域面积154.16平方千米，下辖3个社区和10个行政村。截至2019年末，户籍人口28379人。 </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43" w:name="_Toc19415"/>
      <w:r>
        <w:rPr>
          <w:rFonts w:hint="default" w:ascii="Times New Roman" w:hAnsi="Times New Roman" w:cs="Times New Roman"/>
          <w:b/>
          <w:bCs/>
          <w:color w:val="auto"/>
          <w:szCs w:val="24"/>
          <w:highlight w:val="none"/>
        </w:rPr>
        <w:t>2.2.3区城水生态现状</w:t>
      </w:r>
      <w:bookmarkEnd w:id="43"/>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资水流域水生生物主要由浮游植物、浮游动物、底栖动物、水生维管束植物及鱼类等组成。据调查资料统计，资水流域记录分布有浮游植物7门65属139种，其中，干流分布有浮游植物7门65属139种，支流分布有浮游植物计111种。在浮游植物种类组成中，硅藻门有23属65种，占总种数的46.8%；绿藻门24属47种，占总种数的33.8%；蓝藻门11属17种，占总种数的12.3%；甲藻门1属1种，占总种数的0.7%；裸藻门3属5种，占总种数的3.6%；隐藻门1属2种，占总种数的1.4%；金藻门2属2种，占总种数的 1.4%。资水干流浮游植物密度平均为571239ind./L，密度组成以蓝藻门为主，所占比例超过45%，其次为硅藻门。资水干流浮游植物生物量平均为5624×10</w:t>
      </w:r>
      <w:r>
        <w:rPr>
          <w:rFonts w:hint="default" w:ascii="Times New Roman" w:hAnsi="Times New Roman" w:cs="Times New Roman"/>
          <w:color w:val="auto"/>
          <w:sz w:val="24"/>
          <w:highlight w:val="none"/>
          <w:vertAlign w:val="superscript"/>
        </w:rPr>
        <w:t>-4</w:t>
      </w:r>
      <w:r>
        <w:rPr>
          <w:rFonts w:hint="default" w:ascii="Times New Roman" w:hAnsi="Times New Roman" w:cs="Times New Roman"/>
          <w:color w:val="auto"/>
          <w:sz w:val="24"/>
          <w:highlight w:val="none"/>
        </w:rPr>
        <w:t>mg/L，支流浮游植物生物量平均5947×10</w:t>
      </w:r>
      <w:r>
        <w:rPr>
          <w:rFonts w:hint="default" w:ascii="Times New Roman" w:hAnsi="Times New Roman" w:cs="Times New Roman"/>
          <w:color w:val="auto"/>
          <w:sz w:val="24"/>
          <w:highlight w:val="none"/>
          <w:vertAlign w:val="superscript"/>
        </w:rPr>
        <w:t>-4</w:t>
      </w:r>
      <w:r>
        <w:rPr>
          <w:rFonts w:hint="default" w:ascii="Times New Roman" w:hAnsi="Times New Roman" w:cs="Times New Roman"/>
          <w:color w:val="auto"/>
          <w:sz w:val="24"/>
          <w:highlight w:val="none"/>
        </w:rPr>
        <w:t>mg/L，生物量组成以硅藻门为主，所占比例超过35%，其次为隐藻门。</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据调查资料统计，资水流城浮游动物有80属161种。其中原生动物种类66种，占总种类数的40.99%；轮虫68种，占总种类数的42.24%；枝角类15种， 占总种类数的9.32%；桡足类12种，种类最少，占总种类数的7.45%。浮游动物优势种主要有龟甲轮虫、晶囊轮虫、异尾轮虫、臂尾轮虫、象鼻湿、低额涵、盘肠涵、平直潘、剑水蚤、镖水蚤、砂壳虫、旋回侠盗虫等。</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据调查资料统计，资水流域有底栖动物40种，其中环节动物6种，占15.0%；软体动物16种，占40.0%；节肢动物18种，占45.0%。优势种有:水丝蚓、颤蚓、梨形环棱螺、铜锈环棱螺、湖沼股蛤、二翼蜉、米虾等。资水流域底栖动物平均密度约206.67ind./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 平均生物量约54.89g/m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 软体动物在组成中均占有较大优势。</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资水干流缓流区和岸边滩涂有少数维管束植物生长，呈点状和小面积分布，资源相对贫乏。主要分布有苦草、轮叶黑藻、金鱼藻、马来眼子菜、聚草以及水蓼、芦苇、水葱、喜旱莲子草、水葫芦等水生维管東植物。挺水植物有花叶芦竹、席草、菖蒲、香蒲、千屈菜、灯芯草、稗草、水鑾、马齿、水葱、水车前、水芋、空心莲子草、水芹菜等14种，以花叶芦竹、芦苇、千屈菜、灯芯草、稗草、水蓼、水葱、空心莲子草等8种分布最广，主要在资水沿岸消落区，调查显示水泥人工江堤区段的挺水植物种类和数量均有限；浮叶植物有青萍、紫萍、水萍、风眼莲、满江红等5种，在各江段均只有零散分布，数量有限；沉水植物有苦草、竹叶眼子菜、茨藻、轮叶黑藻、丝藻、金鱼藻等6种。</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资水水系历史调查记录鱼类共有155种(亚种)，以广布性鱼类为主，被列入《中国濒危动物红皮书鱼类》的有鲥鱼、胭脂鱼、长薄鰍、綜、长身鱖。2009-2010年在资水干流及四大支流共调查到鱼类108 种,资水各江段鱼类组成及分布特征为：沿资水干流往下，越靠近河口鱼类种类越丰富。资水鱼类以鲤科鱼类最多，其次依次为偿科，鰍科，鯔科，其余鱼类很少。在上世纪70年代以前，泪游性珍稀名贵鱼类一鲥鱼、鰻鲡等在渔业中均占有一定的比例。随着资水流域特别是资水干流的梯级开发，洄游通道受阻，导致资水胭脂鱼等洄游性鱼类的种群数量急剧下降，鲥鱼几近绝迹。目前资水珍稀水生动物主要是胭脂鱼、鲥鱼、长薄鳅等品种，2009-2010 年调查采集到调查采集到3种珍稀鱼类，分别是长薄鰍和长身鱖。</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44" w:name="_Toc27988"/>
      <w:r>
        <w:rPr>
          <w:rFonts w:hint="default" w:ascii="Times New Roman" w:hAnsi="Times New Roman" w:cs="Times New Roman"/>
          <w:b/>
          <w:bCs/>
          <w:color w:val="auto"/>
          <w:szCs w:val="24"/>
          <w:highlight w:val="none"/>
        </w:rPr>
        <w:t>2.2.4区域内主要生态敏感区</w:t>
      </w:r>
      <w:bookmarkEnd w:id="44"/>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2009年12月23日，国家林业局以“林湿发[2009]297号”文件批准雪峰湖国家湿地公园进行试点建设。安化县高度重视，先后整合投入各类建设资金约1.85亿元，严格按照试点要求，扎实推进各项工作。目前，雪峰湖国家湿地公园已基本满足各项管理与服务的要求。成为安化县生态旅游的一个新“亮点”。</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2016年，国家林业局下发《国家林业局关于2016年试点国家湿地公园验收结果的通知》(林湿发[2016]107号)，安化雪峰湖国家湿地公园通过验收，是益阳市首批试点验收正式挂牌的国家湿地公园之一。</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雪峰湖国家湿地公园于2009年经国家林业局批准设立，公园主要包括雪峰湖、资江干流安化东坪-株溪口段及周边区域。湿地公园由南向北呈狭长型廊道走向，最南端至雪峰湖柘溪林场附近、最北端至株溪口水电站大坝。湿地公园大致范围包括雪峰湖及其周边第一层山脊线或公路、资江东坪-株溪口段及其周边第一层山脊线或公路，当第-层山脊内有居民点、农地时，则以雪峰湖或资江最高水位至居民点农地边缘为界。同时，入库小溪以库尾至小溪2-5公里长、20-50米宽的为界。整个湿地公园东西垂直长约40公里，南北垂直宽约30公里。总面积9450.2公顷。</w:t>
      </w:r>
    </w:p>
    <w:p>
      <w:pPr>
        <w:spacing w:line="360" w:lineRule="auto"/>
        <w:ind w:right="73" w:rightChars="35"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湿地公园区划为6个功能区：雪峰湖湿地保护保育区、资江（东坪-株溪口）河流湿地保护保育区、湖滨生态缓冲保护区、山溪入库口湿地保护保育区、湿地宜教展示区和综合管理服务区。</w:t>
      </w:r>
    </w:p>
    <w:p>
      <w:pPr>
        <w:spacing w:line="360" w:lineRule="auto"/>
        <w:ind w:right="73" w:rightChars="35" w:firstLine="48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本排污口位于雪峰湖国家湿地公园下游，未在雪峰湖国家湿地公园范围内，因此，不会对其产生影响。</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45" w:name="_Toc15470"/>
      <w:r>
        <w:rPr>
          <w:rFonts w:hint="default" w:ascii="Times New Roman" w:hAnsi="Times New Roman" w:cs="Times New Roman"/>
          <w:b/>
          <w:bCs/>
          <w:color w:val="auto"/>
          <w:szCs w:val="24"/>
          <w:highlight w:val="none"/>
        </w:rPr>
        <w:t>2.2.5滔溪流域基本情况</w:t>
      </w:r>
      <w:bookmarkEnd w:id="45"/>
    </w:p>
    <w:p>
      <w:pPr>
        <w:spacing w:line="360" w:lineRule="auto"/>
        <w:ind w:right="73" w:rightChars="35" w:firstLine="48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滔溪为资江二级支流，滔溪发源于锯木岭，滔溪流经滔溪镇，最终与洢水汇合汇入资水，水能资源丰富，沿河两岸生态良好。</w:t>
      </w:r>
    </w:p>
    <w:p>
      <w:pPr>
        <w:spacing w:line="360" w:lineRule="auto"/>
        <w:ind w:right="73" w:rightChars="35" w:firstLine="480"/>
        <w:rPr>
          <w:rFonts w:hint="default" w:ascii="Times New Roman" w:hAnsi="Times New Roman" w:cs="Times New Roman"/>
          <w:color w:val="auto"/>
          <w:sz w:val="24"/>
          <w:highlight w:val="none"/>
          <w:u w:val="singl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color w:val="auto"/>
          <w:sz w:val="32"/>
          <w:szCs w:val="32"/>
          <w:highlight w:val="none"/>
        </w:rPr>
      </w:pPr>
      <w:bookmarkStart w:id="46" w:name="_Toc32480"/>
      <w:r>
        <w:rPr>
          <w:rFonts w:hint="default" w:ascii="Times New Roman" w:hAnsi="Times New Roman" w:cs="Times New Roman"/>
          <w:b/>
          <w:bCs/>
          <w:color w:val="auto"/>
          <w:sz w:val="32"/>
          <w:szCs w:val="32"/>
          <w:highlight w:val="none"/>
        </w:rPr>
        <w:t>3  水功能区（水域）水质现状及纳污状况</w:t>
      </w:r>
      <w:bookmarkEnd w:id="46"/>
    </w:p>
    <w:p>
      <w:pPr>
        <w:pStyle w:val="10"/>
        <w:spacing w:before="0" w:after="0" w:line="360" w:lineRule="auto"/>
        <w:jc w:val="both"/>
        <w:outlineLvl w:val="1"/>
        <w:rPr>
          <w:rFonts w:hint="default" w:ascii="Times New Roman" w:hAnsi="Times New Roman" w:cs="Times New Roman"/>
          <w:b/>
          <w:bCs/>
          <w:color w:val="auto"/>
          <w:szCs w:val="24"/>
          <w:highlight w:val="none"/>
        </w:rPr>
      </w:pPr>
      <w:bookmarkStart w:id="47" w:name="_Toc2297"/>
      <w:r>
        <w:rPr>
          <w:rFonts w:hint="default" w:ascii="Times New Roman" w:hAnsi="Times New Roman" w:cs="Times New Roman"/>
          <w:b/>
          <w:bCs/>
          <w:color w:val="auto"/>
          <w:szCs w:val="24"/>
          <w:highlight w:val="none"/>
        </w:rPr>
        <w:t>3.1.水功能区（水域）保护水质管理目标与要求</w:t>
      </w:r>
      <w:bookmarkEnd w:id="47"/>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水功能区划是通过对水资源和水生态环境现状的分析，根据国民经济发展规划与江河流域综合规划的要求，将江河湖库划分为不同使用目的的水功能区，并提出保护水功能区的水质目标。在整体功能布局确定的前提下，对重点开发利用水域详细划分多种用途的水域界限，以便为科学合理开发利用和保护水资源提供依据。</w:t>
      </w:r>
    </w:p>
    <w:p>
      <w:pPr>
        <w:spacing w:line="360" w:lineRule="auto"/>
        <w:ind w:firstLine="480" w:firstLineChars="200"/>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u w:val="single"/>
        </w:rPr>
        <w:t>水功能区划采用两级体系，即一级区划和二级区划。一级功能区分4类，即保护区、保留区、开发利用区和缓冲区；二级功能区划是在一级功能区中的开发利用区进行，分7类，包括饮用饮用水源区、工业用水区、农业用水区、渔业用水区、景观娱乐用水区、过渡区和排污控制区。</w:t>
      </w:r>
    </w:p>
    <w:p>
      <w:pPr>
        <w:pStyle w:val="10"/>
        <w:spacing w:before="0" w:after="0" w:line="360" w:lineRule="auto"/>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highlight w:val="none"/>
          <w:u w:val="single"/>
        </w:rPr>
        <w:drawing>
          <wp:inline distT="0" distB="0" distL="114300" distR="114300">
            <wp:extent cx="4658995" cy="4455160"/>
            <wp:effectExtent l="0" t="0" r="8255" b="2540"/>
            <wp:docPr id="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
                    <pic:cNvPicPr>
                      <a:picLocks noChangeAspect="1"/>
                    </pic:cNvPicPr>
                  </pic:nvPicPr>
                  <pic:blipFill>
                    <a:blip r:embed="rId7"/>
                    <a:stretch>
                      <a:fillRect/>
                    </a:stretch>
                  </pic:blipFill>
                  <pic:spPr>
                    <a:xfrm>
                      <a:off x="0" y="0"/>
                      <a:ext cx="4658995" cy="4455160"/>
                    </a:xfrm>
                    <a:prstGeom prst="rect">
                      <a:avLst/>
                    </a:prstGeom>
                    <a:noFill/>
                    <a:ln>
                      <a:noFill/>
                    </a:ln>
                  </pic:spPr>
                </pic:pic>
              </a:graphicData>
            </a:graphic>
          </wp:inline>
        </w:drawing>
      </w:r>
    </w:p>
    <w:p>
      <w:pPr>
        <w:spacing w:line="360" w:lineRule="auto"/>
        <w:jc w:val="center"/>
        <w:rPr>
          <w:rFonts w:hint="default" w:ascii="Times New Roman" w:hAnsi="Times New Roman" w:cs="Times New Roman"/>
          <w:b/>
          <w:bCs/>
          <w:color w:val="auto"/>
          <w:sz w:val="24"/>
          <w:highlight w:val="none"/>
          <w:u w:val="single"/>
        </w:rPr>
      </w:pPr>
      <w:r>
        <w:rPr>
          <w:rFonts w:hint="default" w:ascii="Times New Roman" w:hAnsi="Times New Roman" w:cs="Times New Roman"/>
          <w:b/>
          <w:bCs/>
          <w:color w:val="auto"/>
          <w:sz w:val="24"/>
          <w:highlight w:val="none"/>
          <w:u w:val="single"/>
        </w:rPr>
        <w:t>图3-1  水功能区分级分类系统</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根据《湖南省水功能区划（修编）》及《益阳市谁功能一级区划分布图》，本项目纳污水体</w:t>
      </w:r>
      <w:r>
        <w:rPr>
          <w:rFonts w:hint="default" w:ascii="Times New Roman" w:hAnsi="Times New Roman" w:cs="Times New Roman"/>
          <w:color w:val="auto"/>
          <w:kern w:val="2"/>
          <w:szCs w:val="24"/>
          <w:highlight w:val="none"/>
          <w:u w:val="single"/>
          <w:lang w:val="en-US" w:eastAsia="zh-CN"/>
        </w:rPr>
        <w:t>滔溪</w:t>
      </w:r>
      <w:r>
        <w:rPr>
          <w:rFonts w:hint="default" w:ascii="Times New Roman" w:hAnsi="Times New Roman" w:cs="Times New Roman"/>
          <w:color w:val="auto"/>
          <w:kern w:val="2"/>
          <w:szCs w:val="24"/>
          <w:highlight w:val="none"/>
          <w:u w:val="single"/>
        </w:rPr>
        <w:t>划定为保留区，属于Ⅱ类水。因此本次水质管理目标定位为Ⅱ类。</w:t>
      </w:r>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48" w:name="_Toc24823"/>
      <w:bookmarkStart w:id="49" w:name="_Toc5200"/>
      <w:r>
        <w:rPr>
          <w:rFonts w:hint="default" w:ascii="Times New Roman" w:hAnsi="Times New Roman" w:cs="Times New Roman"/>
          <w:color w:val="auto"/>
          <w:kern w:val="2"/>
          <w:szCs w:val="24"/>
          <w:highlight w:val="none"/>
        </w:rPr>
        <w:t>（1）符合国家产业政策及国家水污染防治规划</w:t>
      </w:r>
      <w:bookmarkEnd w:id="48"/>
      <w:bookmarkEnd w:id="49"/>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污水处理工程属于《产业结构调整指导目录(2019年本)》修正版规定的鼓励类中，项目属符合国家法律、法规相关政策的允许类建设项目。因此，安化县滔溪镇污水处理厂建设符合国家产业政策。</w:t>
      </w:r>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50" w:name="_Toc19184"/>
      <w:bookmarkStart w:id="51" w:name="_Toc23440"/>
      <w:r>
        <w:rPr>
          <w:rFonts w:hint="default" w:ascii="Times New Roman" w:hAnsi="Times New Roman" w:cs="Times New Roman"/>
          <w:color w:val="auto"/>
          <w:kern w:val="2"/>
          <w:szCs w:val="24"/>
          <w:highlight w:val="none"/>
        </w:rPr>
        <w:t>（2）符合地方国家经济与城镇发展规划</w:t>
      </w:r>
      <w:bookmarkEnd w:id="50"/>
      <w:bookmarkEnd w:id="51"/>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安化县滔溪镇污水处理厂有利于区域水环境的改善，是安化县滔溪镇重点环保基础设施工程。因此项目建设符合安化县滔溪镇的发展规划。</w:t>
      </w:r>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52" w:name="_Toc29572"/>
      <w:bookmarkStart w:id="53" w:name="_Toc22387"/>
      <w:r>
        <w:rPr>
          <w:rFonts w:hint="default" w:ascii="Times New Roman" w:hAnsi="Times New Roman" w:cs="Times New Roman"/>
          <w:color w:val="auto"/>
          <w:kern w:val="2"/>
          <w:szCs w:val="24"/>
          <w:highlight w:val="none"/>
        </w:rPr>
        <w:t>（3）符合水资源管理和环保要求</w:t>
      </w:r>
      <w:bookmarkEnd w:id="52"/>
      <w:bookmarkEnd w:id="53"/>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安化县滔溪镇污水处理厂收集处理服务范围内的生活污水达标后排放，截留了大量进入滔溪的生活污水，消减了进入水体的污染物量，滔溪水质得到有效的改善。因此，本工程的建设符合水资源管理、环保要求。</w:t>
      </w:r>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54" w:name="_Toc30013"/>
      <w:bookmarkStart w:id="55" w:name="_Toc1684"/>
      <w:r>
        <w:rPr>
          <w:rFonts w:hint="default" w:ascii="Times New Roman" w:hAnsi="Times New Roman" w:cs="Times New Roman"/>
          <w:color w:val="auto"/>
          <w:kern w:val="2"/>
          <w:szCs w:val="24"/>
          <w:highlight w:val="none"/>
        </w:rPr>
        <w:t>（4）符合水功能区管理的要求</w:t>
      </w:r>
      <w:bookmarkEnd w:id="54"/>
      <w:bookmarkEnd w:id="55"/>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安化县滔溪镇污水处理厂入河排污口位于滔溪，所在区域为滔溪保留区，本纳污河流现有主要功能为灌溉，水质管理目标为Ⅱ类水。根据调查，本项目排水口及影响范围已按照Ⅱ类水要求进行管理，因此符合水功能区规划。</w:t>
      </w:r>
    </w:p>
    <w:p>
      <w:pPr>
        <w:pStyle w:val="10"/>
        <w:spacing w:before="0" w:after="0" w:line="360" w:lineRule="auto"/>
        <w:jc w:val="both"/>
        <w:outlineLvl w:val="1"/>
        <w:rPr>
          <w:rFonts w:hint="default" w:ascii="Times New Roman" w:hAnsi="Times New Roman" w:cs="Times New Roman"/>
          <w:b/>
          <w:bCs/>
          <w:color w:val="auto"/>
          <w:szCs w:val="24"/>
          <w:highlight w:val="none"/>
        </w:rPr>
      </w:pPr>
      <w:bookmarkStart w:id="56" w:name="_Toc2500"/>
      <w:r>
        <w:rPr>
          <w:rFonts w:hint="default" w:ascii="Times New Roman" w:hAnsi="Times New Roman" w:cs="Times New Roman"/>
          <w:b/>
          <w:bCs/>
          <w:color w:val="auto"/>
          <w:szCs w:val="24"/>
          <w:highlight w:val="none"/>
        </w:rPr>
        <w:t>3.2.水功能区（水域）现有取排水状况</w:t>
      </w:r>
      <w:bookmarkEnd w:id="56"/>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57" w:name="_Toc9129"/>
      <w:r>
        <w:rPr>
          <w:rFonts w:hint="default" w:ascii="Times New Roman" w:hAnsi="Times New Roman" w:cs="Times New Roman"/>
          <w:b/>
          <w:bCs/>
          <w:color w:val="auto"/>
          <w:szCs w:val="24"/>
          <w:highlight w:val="none"/>
        </w:rPr>
        <w:t>3.2.1.取水状况</w:t>
      </w:r>
      <w:bookmarkEnd w:id="57"/>
    </w:p>
    <w:p>
      <w:pPr>
        <w:pStyle w:val="10"/>
        <w:spacing w:before="0" w:after="0" w:line="360" w:lineRule="auto"/>
        <w:ind w:firstLine="480" w:firstLineChars="200"/>
        <w:jc w:val="both"/>
        <w:rPr>
          <w:rFonts w:hint="default" w:ascii="Times New Roman" w:hAnsi="Times New Roman" w:cs="Times New Roman"/>
          <w:bCs/>
          <w:color w:val="auto"/>
          <w:sz w:val="24"/>
          <w:highlight w:val="none"/>
          <w:u w:val="single"/>
          <w:lang w:val="en-US" w:eastAsia="zh-CN"/>
        </w:rPr>
      </w:pPr>
      <w:r>
        <w:rPr>
          <w:rFonts w:hint="default" w:ascii="Times New Roman" w:hAnsi="Times New Roman" w:cs="Times New Roman"/>
          <w:bCs/>
          <w:color w:val="auto"/>
          <w:sz w:val="24"/>
          <w:highlight w:val="none"/>
          <w:u w:val="single"/>
          <w:lang w:val="en-US" w:eastAsia="zh-CN"/>
        </w:rPr>
        <w:t>根据调查和收集资料，</w:t>
      </w:r>
      <w:r>
        <w:rPr>
          <w:rFonts w:hint="default" w:ascii="Times New Roman" w:hAnsi="Times New Roman" w:cs="Times New Roman"/>
          <w:bCs/>
          <w:color w:val="auto"/>
          <w:sz w:val="24"/>
          <w:highlight w:val="none"/>
          <w:u w:val="single"/>
        </w:rPr>
        <w:t>安化县</w:t>
      </w:r>
      <w:r>
        <w:rPr>
          <w:rFonts w:hint="default" w:ascii="Times New Roman" w:hAnsi="Times New Roman" w:cs="Times New Roman"/>
          <w:bCs/>
          <w:color w:val="auto"/>
          <w:sz w:val="24"/>
          <w:highlight w:val="none"/>
          <w:u w:val="single"/>
          <w:lang w:val="en-US" w:eastAsia="zh-CN"/>
        </w:rPr>
        <w:t>滔溪镇有乡镇水厂一座，其取水口位于滔溪支流朱阳溪汇入口上游6.7km，该支流汇入口位于安化县滔溪镇污水处理厂滔溪排放口上游1.7km处，其位置关系详见附图4《污水处理厂排放口与滔溪水厂朱阳溪饮用水水源保护区取水口相对关系图》。</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目前本项目入河排污口下游论证范围内的滔溪属于保留区，河流目前的主要功能为灌溉，水质管理目标为Ⅱ类。根据本项目废水排污的可能影响范围，对本项目入河排污口下游河段（滔溪）的主要取水口现状进行调查，根据调查，本项目论证范围内存在少量村民自建农田灌溉取水口</w:t>
      </w:r>
      <w:r>
        <w:rPr>
          <w:rFonts w:hint="default" w:ascii="Times New Roman" w:hAnsi="Times New Roman" w:cs="Times New Roman"/>
          <w:color w:val="auto"/>
          <w:highlight w:val="none"/>
          <w:u w:val="single"/>
          <w:lang w:eastAsia="zh-CN"/>
        </w:rPr>
        <w:t>，</w:t>
      </w:r>
      <w:r>
        <w:rPr>
          <w:rFonts w:hint="default" w:ascii="Times New Roman" w:hAnsi="Times New Roman" w:cs="Times New Roman"/>
          <w:color w:val="auto"/>
          <w:highlight w:val="none"/>
          <w:u w:val="single"/>
        </w:rPr>
        <w:t>无</w:t>
      </w:r>
      <w:r>
        <w:rPr>
          <w:rFonts w:hint="default" w:ascii="Times New Roman" w:hAnsi="Times New Roman" w:cs="Times New Roman"/>
          <w:color w:val="auto"/>
          <w:highlight w:val="none"/>
          <w:u w:val="single"/>
          <w:lang w:val="en-US" w:eastAsia="zh-CN"/>
        </w:rPr>
        <w:t>市</w:t>
      </w:r>
      <w:r>
        <w:rPr>
          <w:rFonts w:hint="default" w:ascii="Times New Roman" w:hAnsi="Times New Roman" w:cs="Times New Roman"/>
          <w:color w:val="auto"/>
          <w:highlight w:val="none"/>
          <w:u w:val="single"/>
        </w:rPr>
        <w:t>政供水取水口</w:t>
      </w:r>
      <w:r>
        <w:rPr>
          <w:rFonts w:hint="default" w:ascii="Times New Roman" w:hAnsi="Times New Roman" w:cs="Times New Roman"/>
          <w:color w:val="auto"/>
          <w:kern w:val="2"/>
          <w:szCs w:val="24"/>
          <w:highlight w:val="none"/>
          <w:u w:val="single"/>
        </w:rPr>
        <w:t>。</w:t>
      </w:r>
    </w:p>
    <w:p>
      <w:pPr>
        <w:pStyle w:val="10"/>
        <w:spacing w:before="0" w:after="0" w:line="360" w:lineRule="auto"/>
        <w:ind w:firstLine="482" w:firstLineChars="200"/>
        <w:jc w:val="both"/>
        <w:outlineLvl w:val="2"/>
        <w:rPr>
          <w:rFonts w:hint="default" w:ascii="Times New Roman" w:hAnsi="Times New Roman" w:cs="Times New Roman"/>
          <w:b/>
          <w:bCs/>
          <w:color w:val="auto"/>
          <w:szCs w:val="24"/>
          <w:highlight w:val="none"/>
        </w:rPr>
      </w:pPr>
      <w:bookmarkStart w:id="58" w:name="_Toc11275"/>
      <w:r>
        <w:rPr>
          <w:rFonts w:hint="default" w:ascii="Times New Roman" w:hAnsi="Times New Roman" w:cs="Times New Roman"/>
          <w:b/>
          <w:bCs/>
          <w:color w:val="auto"/>
          <w:szCs w:val="24"/>
          <w:highlight w:val="none"/>
        </w:rPr>
        <w:t>3.2.2.排水状况</w:t>
      </w:r>
      <w:bookmarkEnd w:id="58"/>
    </w:p>
    <w:p>
      <w:pPr>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u w:val="single"/>
        </w:rPr>
        <w:t>根据本项目废水排污的可能影响范围，对本项目入河排污口下游河段（论证范围内的滔溪）的主要排水口现状进行调查，根据现状调查，下游存在少量农田退水排水口。</w:t>
      </w:r>
    </w:p>
    <w:p>
      <w:pPr>
        <w:pStyle w:val="10"/>
        <w:spacing w:before="0" w:after="0" w:line="360" w:lineRule="auto"/>
        <w:jc w:val="both"/>
        <w:outlineLvl w:val="1"/>
        <w:rPr>
          <w:rFonts w:hint="default" w:ascii="Times New Roman" w:hAnsi="Times New Roman" w:cs="Times New Roman"/>
          <w:b/>
          <w:bCs/>
          <w:color w:val="auto"/>
          <w:szCs w:val="24"/>
          <w:highlight w:val="none"/>
        </w:rPr>
      </w:pPr>
      <w:bookmarkStart w:id="59" w:name="_Toc3941"/>
      <w:r>
        <w:rPr>
          <w:rFonts w:hint="default" w:ascii="Times New Roman" w:hAnsi="Times New Roman" w:cs="Times New Roman"/>
          <w:b/>
          <w:bCs/>
          <w:color w:val="auto"/>
          <w:szCs w:val="24"/>
          <w:highlight w:val="none"/>
        </w:rPr>
        <w:t>3.3.水功能区（水域）水质现状</w:t>
      </w:r>
      <w:bookmarkEnd w:id="59"/>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60" w:name="_Toc9112"/>
      <w:bookmarkStart w:id="61" w:name="_Toc10463"/>
      <w:bookmarkStart w:id="62" w:name="_Toc13256"/>
      <w:r>
        <w:rPr>
          <w:rFonts w:hint="default" w:ascii="Times New Roman" w:hAnsi="Times New Roman" w:cs="Times New Roman"/>
          <w:color w:val="auto"/>
          <w:kern w:val="2"/>
          <w:szCs w:val="24"/>
          <w:highlight w:val="none"/>
        </w:rPr>
        <w:t>（1）监控断面水质现状</w:t>
      </w:r>
      <w:bookmarkEnd w:id="60"/>
      <w:bookmarkEnd w:id="61"/>
      <w:bookmarkEnd w:id="62"/>
    </w:p>
    <w:p>
      <w:pPr>
        <w:pStyle w:val="10"/>
        <w:spacing w:before="0" w:after="0" w:line="360" w:lineRule="auto"/>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rPr>
        <w:t xml:space="preserve">   </w:t>
      </w:r>
      <w:r>
        <w:rPr>
          <w:rFonts w:hint="default" w:ascii="Times New Roman" w:hAnsi="Times New Roman" w:cs="Times New Roman"/>
          <w:color w:val="auto"/>
          <w:kern w:val="2"/>
          <w:szCs w:val="24"/>
          <w:highlight w:val="none"/>
          <w:u w:val="single"/>
        </w:rPr>
        <w:t>敷溪断面位于滔溪下游（洢水和滔溪汇合后的洢水亦称敷溪，具体位置见附图）， 本次收集了国控平台系统2020年全年的数据，具体如下表所示：</w:t>
      </w:r>
    </w:p>
    <w:p>
      <w:pPr>
        <w:pStyle w:val="11"/>
        <w:jc w:val="center"/>
        <w:rPr>
          <w:rFonts w:hint="default" w:ascii="Times New Roman" w:hAnsi="Times New Roman" w:eastAsia="汉鼎简书宋" w:cs="Times New Roman"/>
          <w:color w:val="auto"/>
          <w:sz w:val="24"/>
          <w:highlight w:val="none"/>
          <w:lang w:val="en-US" w:eastAsia="zh-CN"/>
        </w:rPr>
      </w:pPr>
    </w:p>
    <w:p>
      <w:pPr>
        <w:pStyle w:val="11"/>
        <w:rPr>
          <w:rFonts w:hint="default" w:ascii="Times New Roman" w:hAnsi="Times New Roman" w:cs="Times New Roman"/>
          <w:color w:val="auto"/>
          <w:highlight w:val="none"/>
        </w:rPr>
      </w:pPr>
    </w:p>
    <w:p>
      <w:pPr>
        <w:pStyle w:val="10"/>
        <w:spacing w:before="0" w:after="0" w:line="360" w:lineRule="auto"/>
        <w:ind w:firstLine="240" w:firstLineChars="100"/>
        <w:jc w:val="both"/>
        <w:rPr>
          <w:rFonts w:hint="default" w:ascii="Times New Roman" w:hAnsi="Times New Roman" w:cs="Times New Roman"/>
          <w:color w:val="auto"/>
          <w:kern w:val="2"/>
          <w:szCs w:val="24"/>
          <w:highlight w:val="none"/>
        </w:rPr>
        <w:sectPr>
          <w:pgSz w:w="11906" w:h="16838"/>
          <w:pgMar w:top="1644" w:right="1800" w:bottom="1814" w:left="1800" w:header="851" w:footer="992" w:gutter="0"/>
          <w:cols w:space="720" w:num="1"/>
          <w:docGrid w:type="lines" w:linePitch="312" w:charSpace="0"/>
        </w:sectPr>
      </w:pPr>
    </w:p>
    <w:p>
      <w:pPr>
        <w:pStyle w:val="11"/>
        <w:ind w:left="0" w:leftChars="0"/>
        <w:jc w:val="center"/>
        <w:rPr>
          <w:rFonts w:hint="default" w:ascii="Times New Roman" w:hAnsi="Times New Roman" w:cs="Times New Roman"/>
          <w:color w:val="auto"/>
          <w:sz w:val="24"/>
          <w:highlight w:val="none"/>
          <w:u w:val="single"/>
        </w:rPr>
      </w:pPr>
      <w:r>
        <w:rPr>
          <w:rFonts w:hint="default" w:ascii="Times New Roman" w:hAnsi="Times New Roman" w:cs="Times New Roman"/>
          <w:b/>
          <w:bCs/>
          <w:color w:val="auto"/>
          <w:sz w:val="24"/>
          <w:highlight w:val="none"/>
          <w:u w:val="single"/>
        </w:rPr>
        <w:t>表3-2  敷溪断面2020年</w:t>
      </w:r>
      <w:r>
        <w:rPr>
          <w:rFonts w:hint="default" w:ascii="Times New Roman" w:hAnsi="Times New Roman" w:cs="Times New Roman"/>
          <w:b/>
          <w:bCs/>
          <w:color w:val="auto"/>
          <w:sz w:val="24"/>
          <w:highlight w:val="none"/>
          <w:u w:val="single"/>
          <w:lang w:val="en-US" w:eastAsia="zh-CN"/>
        </w:rPr>
        <w:t>水质监测结果一览表</w:t>
      </w:r>
    </w:p>
    <w:tbl>
      <w:tblPr>
        <w:tblStyle w:val="21"/>
        <w:tblW w:w="1371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359"/>
        <w:gridCol w:w="660"/>
        <w:gridCol w:w="327"/>
        <w:gridCol w:w="525"/>
        <w:gridCol w:w="567"/>
        <w:gridCol w:w="435"/>
        <w:gridCol w:w="450"/>
        <w:gridCol w:w="435"/>
        <w:gridCol w:w="567"/>
        <w:gridCol w:w="567"/>
        <w:gridCol w:w="615"/>
        <w:gridCol w:w="615"/>
        <w:gridCol w:w="600"/>
        <w:gridCol w:w="660"/>
        <w:gridCol w:w="705"/>
        <w:gridCol w:w="750"/>
        <w:gridCol w:w="675"/>
        <w:gridCol w:w="555"/>
        <w:gridCol w:w="585"/>
        <w:gridCol w:w="705"/>
        <w:gridCol w:w="660"/>
        <w:gridCol w:w="567"/>
        <w:gridCol w:w="567"/>
        <w:gridCol w:w="56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断面名称</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监测</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时间</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监测频次</w:t>
            </w:r>
          </w:p>
        </w:tc>
        <w:tc>
          <w:tcPr>
            <w:tcW w:w="52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pH</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溶</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解</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氧</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高锰酸盐指数</w:t>
            </w:r>
          </w:p>
        </w:tc>
        <w:tc>
          <w:tcPr>
            <w:tcW w:w="4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化学需氧量</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生化需氧量</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氨氮</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总磷</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铜</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锌</w:t>
            </w:r>
          </w:p>
        </w:tc>
        <w:tc>
          <w:tcPr>
            <w:tcW w:w="60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氟</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化</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硒</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砷</w:t>
            </w:r>
          </w:p>
        </w:tc>
        <w:tc>
          <w:tcPr>
            <w:tcW w:w="7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汞</w:t>
            </w:r>
          </w:p>
        </w:tc>
        <w:tc>
          <w:tcPr>
            <w:tcW w:w="67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镉</w:t>
            </w:r>
          </w:p>
        </w:tc>
        <w:tc>
          <w:tcPr>
            <w:tcW w:w="55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六</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价</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铬</w:t>
            </w:r>
          </w:p>
        </w:tc>
        <w:tc>
          <w:tcPr>
            <w:tcW w:w="58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铅</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氰</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化</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挥</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发</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酚</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石</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油</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类</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阴离子表面活性剂</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硫</w:t>
            </w:r>
          </w:p>
          <w:p>
            <w:pPr>
              <w:widowControl/>
              <w:jc w:val="center"/>
              <w:textAlignment w:val="center"/>
              <w:rPr>
                <w:rFonts w:hint="default" w:ascii="Times New Roman" w:hAnsi="Times New Roman" w:cs="Times New Roman"/>
                <w:b/>
                <w:color w:val="auto"/>
                <w:kern w:val="0"/>
                <w:sz w:val="18"/>
                <w:szCs w:val="18"/>
                <w:highlight w:val="none"/>
                <w:lang w:bidi="ar"/>
              </w:rPr>
            </w:pPr>
            <w:r>
              <w:rPr>
                <w:rFonts w:hint="default" w:ascii="Times New Roman" w:hAnsi="Times New Roman" w:cs="Times New Roman"/>
                <w:b/>
                <w:color w:val="auto"/>
                <w:kern w:val="0"/>
                <w:sz w:val="18"/>
                <w:szCs w:val="18"/>
                <w:highlight w:val="none"/>
                <w:lang w:bidi="ar"/>
              </w:rPr>
              <w:t>化</w:t>
            </w:r>
          </w:p>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b/>
                <w:color w:val="auto"/>
                <w:kern w:val="0"/>
                <w:sz w:val="18"/>
                <w:szCs w:val="18"/>
                <w:highlight w:val="none"/>
                <w:lang w:bidi="ar"/>
              </w:rPr>
              <w:t>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敷溪</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2020.1</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kern w:val="0"/>
                <w:sz w:val="18"/>
                <w:szCs w:val="18"/>
                <w:highlight w:val="none"/>
                <w:lang w:bidi="ar"/>
              </w:rPr>
              <w:t>1次/月</w:t>
            </w: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11.9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0.0008</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13.2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6.9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0.083</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0.0005</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2020.3</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0.51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0.396</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0.0009</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2020.4</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11.1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0.23</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0.022</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2020.5</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1.5</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0.047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0.158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2020.6</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0.039</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0.144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2020.7</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1.9</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0.118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0.009</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2020.8</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7.6</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0.157</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0.011</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2020.9</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0.094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0.010</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2020.10</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1.5</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0.711</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2020.11</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0.329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pacing w:val="-10"/>
                <w:sz w:val="18"/>
                <w:szCs w:val="18"/>
                <w:highlight w:val="none"/>
              </w:rPr>
              <w:t>2020.12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auto"/>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11.3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0.10</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0.139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0.004</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color w:val="auto"/>
                <w:spacing w:val="-10"/>
                <w:sz w:val="18"/>
                <w:szCs w:val="18"/>
                <w:highlight w:val="none"/>
              </w:rPr>
            </w:pPr>
            <w:r>
              <w:rPr>
                <w:rFonts w:hint="default" w:ascii="Times New Roman" w:hAnsi="Times New Roman" w:cs="Times New Roman"/>
                <w:color w:val="auto"/>
                <w:sz w:val="18"/>
                <w:szCs w:val="18"/>
                <w:highlight w:val="none"/>
              </w:rPr>
              <w:t>0.005L</w:t>
            </w:r>
          </w:p>
        </w:tc>
      </w:tr>
    </w:tbl>
    <w:p>
      <w:pPr>
        <w:pStyle w:val="11"/>
        <w:ind w:left="0" w:leftChars="0" w:firstLine="480" w:firstLineChars="200"/>
        <w:rPr>
          <w:rFonts w:hint="default" w:ascii="Times New Roman" w:hAnsi="Times New Roman" w:cs="Times New Roman"/>
          <w:color w:val="auto"/>
          <w:highlight w:val="non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color w:val="auto"/>
          <w:sz w:val="24"/>
          <w:highlight w:val="none"/>
        </w:rPr>
        <w:t>根据上表可知，滔溪下游敷溪监测断面水质良好，能满足《地表水环境质量标准》（GB3838-2002）中Ⅱ类水要求。</w:t>
      </w:r>
    </w:p>
    <w:p>
      <w:pPr>
        <w:pStyle w:val="10"/>
        <w:spacing w:before="0" w:after="0" w:line="360" w:lineRule="auto"/>
        <w:ind w:firstLine="240" w:firstLineChars="100"/>
        <w:jc w:val="both"/>
        <w:outlineLvl w:val="2"/>
        <w:rPr>
          <w:rFonts w:hint="default" w:ascii="Times New Roman" w:hAnsi="Times New Roman" w:cs="Times New Roman"/>
          <w:color w:val="auto"/>
          <w:kern w:val="2"/>
          <w:szCs w:val="24"/>
          <w:highlight w:val="none"/>
        </w:rPr>
      </w:pPr>
      <w:bookmarkStart w:id="63" w:name="_Toc12753"/>
      <w:bookmarkStart w:id="64" w:name="_Toc85"/>
      <w:bookmarkStart w:id="65" w:name="_Toc20352"/>
      <w:r>
        <w:rPr>
          <w:rFonts w:hint="default" w:ascii="Times New Roman" w:hAnsi="Times New Roman" w:cs="Times New Roman"/>
          <w:color w:val="auto"/>
          <w:kern w:val="2"/>
          <w:szCs w:val="24"/>
          <w:highlight w:val="none"/>
        </w:rPr>
        <w:t>（2）水质现状监测</w:t>
      </w:r>
      <w:bookmarkEnd w:id="63"/>
      <w:bookmarkEnd w:id="64"/>
      <w:bookmarkEnd w:id="65"/>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为进一步了解本项目排污口纳污河流现状水质情况，本次排污口论证委托湖南立德正检测有限公司于2021年11月26日-11月28日对本项目入河排污口滔溪上游500m、下游500m、下游1500m进行了采样监测，并出具监测报告，监测数据如下所示：</w:t>
      </w:r>
    </w:p>
    <w:p>
      <w:pPr>
        <w:pStyle w:val="10"/>
        <w:spacing w:before="0" w:after="0" w:line="360" w:lineRule="auto"/>
        <w:ind w:firstLine="241" w:firstLineChars="100"/>
        <w:rPr>
          <w:rFonts w:hint="default" w:ascii="Times New Roman" w:hAnsi="Times New Roman" w:cs="Times New Roman"/>
          <w:b/>
          <w:bCs/>
          <w:color w:val="auto"/>
          <w:kern w:val="2"/>
          <w:szCs w:val="24"/>
          <w:highlight w:val="none"/>
        </w:rPr>
      </w:pPr>
      <w:r>
        <w:rPr>
          <w:rFonts w:hint="default" w:ascii="Times New Roman" w:hAnsi="Times New Roman" w:cs="Times New Roman"/>
          <w:b/>
          <w:bCs/>
          <w:color w:val="auto"/>
          <w:kern w:val="2"/>
          <w:szCs w:val="24"/>
          <w:highlight w:val="none"/>
        </w:rPr>
        <w:t>表3-</w:t>
      </w:r>
      <w:r>
        <w:rPr>
          <w:rFonts w:hint="default" w:ascii="Times New Roman" w:hAnsi="Times New Roman" w:cs="Times New Roman"/>
          <w:b/>
          <w:bCs/>
          <w:color w:val="auto"/>
          <w:kern w:val="2"/>
          <w:szCs w:val="24"/>
          <w:highlight w:val="none"/>
          <w:lang w:val="en-US" w:eastAsia="zh-CN"/>
        </w:rPr>
        <w:t>3</w:t>
      </w:r>
      <w:r>
        <w:rPr>
          <w:rFonts w:hint="default" w:ascii="Times New Roman" w:hAnsi="Times New Roman" w:cs="Times New Roman"/>
          <w:b/>
          <w:bCs/>
          <w:color w:val="auto"/>
          <w:kern w:val="2"/>
          <w:szCs w:val="24"/>
          <w:highlight w:val="none"/>
        </w:rPr>
        <w:t xml:space="preserve">  采样点位一览表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240"/>
        <w:gridCol w:w="2734"/>
        <w:gridCol w:w="2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474" w:type="pct"/>
            <w:vAlign w:val="center"/>
          </w:tcPr>
          <w:p>
            <w:pPr>
              <w:pStyle w:val="10"/>
              <w:spacing w:before="0" w:after="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序号</w:t>
            </w:r>
          </w:p>
        </w:tc>
        <w:tc>
          <w:tcPr>
            <w:tcW w:w="1314" w:type="pct"/>
            <w:vAlign w:val="center"/>
          </w:tcPr>
          <w:p>
            <w:pPr>
              <w:pStyle w:val="10"/>
              <w:spacing w:before="0" w:after="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采样时间</w:t>
            </w:r>
          </w:p>
        </w:tc>
        <w:tc>
          <w:tcPr>
            <w:tcW w:w="1604" w:type="pct"/>
            <w:vAlign w:val="center"/>
          </w:tcPr>
          <w:p>
            <w:pPr>
              <w:pStyle w:val="10"/>
              <w:spacing w:before="0" w:after="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采样位置</w:t>
            </w:r>
          </w:p>
        </w:tc>
        <w:tc>
          <w:tcPr>
            <w:tcW w:w="1606" w:type="pct"/>
            <w:vAlign w:val="center"/>
          </w:tcPr>
          <w:p>
            <w:pPr>
              <w:pStyle w:val="10"/>
              <w:spacing w:before="0" w:after="0"/>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474" w:type="pct"/>
            <w:vAlign w:val="center"/>
          </w:tcPr>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W1</w:t>
            </w:r>
          </w:p>
        </w:tc>
        <w:tc>
          <w:tcPr>
            <w:tcW w:w="1314" w:type="pct"/>
            <w:vMerge w:val="restart"/>
            <w:vAlign w:val="center"/>
          </w:tcPr>
          <w:p>
            <w:pPr>
              <w:pStyle w:val="10"/>
              <w:spacing w:before="0" w:after="0"/>
              <w:rPr>
                <w:rFonts w:hint="default" w:ascii="Times New Roman" w:hAnsi="Times New Roman" w:cs="Times New Roman"/>
                <w:b/>
                <w:bCs/>
                <w:color w:val="auto"/>
                <w:kern w:val="2"/>
                <w:sz w:val="21"/>
                <w:szCs w:val="21"/>
                <w:highlight w:val="none"/>
              </w:rPr>
            </w:pPr>
            <w:r>
              <w:rPr>
                <w:rFonts w:hint="default" w:ascii="Times New Roman" w:hAnsi="Times New Roman" w:cs="Times New Roman"/>
                <w:color w:val="auto"/>
                <w:kern w:val="2"/>
                <w:sz w:val="21"/>
                <w:szCs w:val="21"/>
                <w:highlight w:val="none"/>
              </w:rPr>
              <w:t>2021年11月26日-11月28日</w:t>
            </w:r>
          </w:p>
        </w:tc>
        <w:tc>
          <w:tcPr>
            <w:tcW w:w="1604" w:type="pct"/>
            <w:vAlign w:val="center"/>
          </w:tcPr>
          <w:p>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w:t>
            </w:r>
          </w:p>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w:t>上游500m</w:t>
            </w:r>
          </w:p>
        </w:tc>
        <w:tc>
          <w:tcPr>
            <w:tcW w:w="1606" w:type="pct"/>
            <w:vMerge w:val="restart"/>
            <w:vAlign w:val="center"/>
          </w:tcPr>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pH值、悬浮物、溶解氧、</w:t>
            </w:r>
            <w:r>
              <w:rPr>
                <w:rFonts w:hint="eastAsia" w:ascii="Times New Roman" w:hAnsi="Times New Roman" w:cs="Times New Roman"/>
                <w:color w:val="auto"/>
                <w:kern w:val="2"/>
                <w:sz w:val="21"/>
                <w:szCs w:val="21"/>
                <w:highlight w:val="none"/>
                <w:lang w:eastAsia="zh-CN"/>
              </w:rPr>
              <w:t>高锰酸盐指数</w:t>
            </w:r>
            <w:r>
              <w:rPr>
                <w:rFonts w:hint="default" w:ascii="Times New Roman" w:hAnsi="Times New Roman" w:cs="Times New Roman"/>
                <w:color w:val="auto"/>
                <w:kern w:val="2"/>
                <w:sz w:val="21"/>
                <w:szCs w:val="21"/>
                <w:highlight w:val="none"/>
              </w:rPr>
              <w:t>、化学需氧量</w:t>
            </w:r>
          </w:p>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五日、生化需氧量、氨氮</w:t>
            </w:r>
          </w:p>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总磷、总氮、铜、锌、氟化物、硒、砷、汞、镉、铬（六价）、铅、氰化物、挥发酚、石油类、阴离子、表面活性剂、硫化物、粪大肠菌群、流速、流量、水温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474" w:type="pct"/>
            <w:vAlign w:val="center"/>
          </w:tcPr>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W2</w:t>
            </w:r>
          </w:p>
        </w:tc>
        <w:tc>
          <w:tcPr>
            <w:tcW w:w="1314" w:type="pct"/>
            <w:vMerge w:val="continue"/>
            <w:vAlign w:val="center"/>
          </w:tcPr>
          <w:p>
            <w:pPr>
              <w:pStyle w:val="10"/>
              <w:spacing w:before="0" w:after="0"/>
              <w:rPr>
                <w:rFonts w:hint="default" w:ascii="Times New Roman" w:hAnsi="Times New Roman" w:cs="Times New Roman"/>
                <w:b/>
                <w:bCs/>
                <w:color w:val="auto"/>
                <w:kern w:val="2"/>
                <w:sz w:val="21"/>
                <w:szCs w:val="21"/>
                <w:highlight w:val="none"/>
              </w:rPr>
            </w:pPr>
          </w:p>
        </w:tc>
        <w:tc>
          <w:tcPr>
            <w:tcW w:w="1604" w:type="pct"/>
            <w:vAlign w:val="center"/>
          </w:tcPr>
          <w:p>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w:t>
            </w:r>
          </w:p>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w:t>下游500m</w:t>
            </w:r>
          </w:p>
        </w:tc>
        <w:tc>
          <w:tcPr>
            <w:tcW w:w="1606" w:type="pct"/>
            <w:vMerge w:val="continue"/>
            <w:vAlign w:val="center"/>
          </w:tcPr>
          <w:p>
            <w:pPr>
              <w:pStyle w:val="10"/>
              <w:spacing w:before="0" w:after="0"/>
              <w:rPr>
                <w:rFonts w:hint="default" w:ascii="Times New Roman" w:hAnsi="Times New Roman" w:cs="Times New Roman"/>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474" w:type="pct"/>
            <w:vAlign w:val="center"/>
          </w:tcPr>
          <w:p>
            <w:pPr>
              <w:pStyle w:val="10"/>
              <w:spacing w:before="0" w:after="0"/>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W3</w:t>
            </w:r>
          </w:p>
        </w:tc>
        <w:tc>
          <w:tcPr>
            <w:tcW w:w="1314" w:type="pct"/>
            <w:vMerge w:val="continue"/>
            <w:vAlign w:val="center"/>
          </w:tcPr>
          <w:p>
            <w:pPr>
              <w:pStyle w:val="10"/>
              <w:spacing w:before="0" w:after="0"/>
              <w:rPr>
                <w:rFonts w:hint="default" w:ascii="Times New Roman" w:hAnsi="Times New Roman" w:cs="Times New Roman"/>
                <w:b/>
                <w:bCs/>
                <w:color w:val="auto"/>
                <w:kern w:val="2"/>
                <w:sz w:val="21"/>
                <w:szCs w:val="21"/>
                <w:highlight w:val="none"/>
              </w:rPr>
            </w:pPr>
          </w:p>
        </w:tc>
        <w:tc>
          <w:tcPr>
            <w:tcW w:w="1604" w:type="pct"/>
            <w:vAlign w:val="center"/>
          </w:tcPr>
          <w:p>
            <w:pPr>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排污口</w:t>
            </w:r>
          </w:p>
          <w:p>
            <w:pPr>
              <w:widowControl/>
              <w:jc w:val="center"/>
              <w:textAlignment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w:t>下游1500m</w:t>
            </w:r>
          </w:p>
        </w:tc>
        <w:tc>
          <w:tcPr>
            <w:tcW w:w="1606" w:type="pct"/>
            <w:vMerge w:val="continue"/>
            <w:vAlign w:val="center"/>
          </w:tcPr>
          <w:p>
            <w:pPr>
              <w:pStyle w:val="10"/>
              <w:spacing w:before="0" w:after="0"/>
              <w:rPr>
                <w:rFonts w:hint="default" w:ascii="Times New Roman" w:hAnsi="Times New Roman" w:cs="Times New Roman"/>
                <w:color w:val="auto"/>
                <w:kern w:val="2"/>
                <w:sz w:val="21"/>
                <w:szCs w:val="21"/>
                <w:highlight w:val="none"/>
              </w:rPr>
            </w:pPr>
          </w:p>
        </w:tc>
      </w:tr>
    </w:tbl>
    <w:p>
      <w:pPr>
        <w:pStyle w:val="10"/>
        <w:spacing w:before="0" w:after="0" w:line="360" w:lineRule="auto"/>
        <w:ind w:firstLine="241" w:firstLineChars="100"/>
        <w:rPr>
          <w:rFonts w:hint="default" w:ascii="Times New Roman" w:hAnsi="Times New Roman" w:cs="Times New Roman"/>
          <w:b/>
          <w:bCs/>
          <w:color w:val="auto"/>
          <w:kern w:val="2"/>
          <w:szCs w:val="24"/>
          <w:highlight w:val="none"/>
        </w:rPr>
      </w:pPr>
      <w:r>
        <w:rPr>
          <w:rFonts w:hint="default" w:ascii="Times New Roman" w:hAnsi="Times New Roman" w:cs="Times New Roman"/>
          <w:b/>
          <w:bCs/>
          <w:color w:val="auto"/>
          <w:kern w:val="2"/>
          <w:szCs w:val="24"/>
          <w:highlight w:val="none"/>
        </w:rPr>
        <w:t>表3-</w:t>
      </w:r>
      <w:r>
        <w:rPr>
          <w:rFonts w:hint="default" w:ascii="Times New Roman" w:hAnsi="Times New Roman" w:cs="Times New Roman"/>
          <w:b/>
          <w:bCs/>
          <w:color w:val="auto"/>
          <w:kern w:val="2"/>
          <w:szCs w:val="24"/>
          <w:highlight w:val="none"/>
          <w:lang w:val="en-US" w:eastAsia="zh-CN"/>
        </w:rPr>
        <w:t>4</w:t>
      </w:r>
      <w:r>
        <w:rPr>
          <w:rFonts w:hint="default" w:ascii="Times New Roman" w:hAnsi="Times New Roman" w:cs="Times New Roman"/>
          <w:b/>
          <w:bCs/>
          <w:color w:val="auto"/>
          <w:kern w:val="2"/>
          <w:szCs w:val="24"/>
          <w:highlight w:val="none"/>
        </w:rPr>
        <w:t xml:space="preserve">  水样监测结果一览表</w:t>
      </w:r>
    </w:p>
    <w:tbl>
      <w:tblPr>
        <w:tblStyle w:val="21"/>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10"/>
        <w:gridCol w:w="1982"/>
        <w:gridCol w:w="1261"/>
        <w:gridCol w:w="1262"/>
        <w:gridCol w:w="1044"/>
        <w:gridCol w:w="1024"/>
        <w:gridCol w:w="736"/>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211" w:type="dxa"/>
            <w:vMerge w:val="restar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1982" w:type="dxa"/>
            <w:vMerge w:val="restart"/>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检测项目</w:t>
            </w:r>
          </w:p>
        </w:tc>
        <w:tc>
          <w:tcPr>
            <w:tcW w:w="3567" w:type="dxa"/>
            <w:gridSpan w:val="3"/>
            <w:tcBorders>
              <w:righ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监测日期及检测结果</w:t>
            </w:r>
          </w:p>
        </w:tc>
        <w:tc>
          <w:tcPr>
            <w:tcW w:w="1024" w:type="dxa"/>
            <w:vMerge w:val="restart"/>
            <w:tcBorders>
              <w:lef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标准限值</w:t>
            </w:r>
          </w:p>
        </w:tc>
        <w:tc>
          <w:tcPr>
            <w:tcW w:w="736" w:type="dxa"/>
            <w:vMerge w:val="restart"/>
            <w:tcBorders>
              <w:lef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261" w:type="dxa"/>
            <w:tcBorders>
              <w:righ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11月26日</w:t>
            </w:r>
          </w:p>
        </w:tc>
        <w:tc>
          <w:tcPr>
            <w:tcW w:w="1262" w:type="dxa"/>
            <w:tcBorders>
              <w:righ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11月27日</w:t>
            </w:r>
          </w:p>
        </w:tc>
        <w:tc>
          <w:tcPr>
            <w:tcW w:w="1044" w:type="dxa"/>
            <w:tcBorders>
              <w:right w:val="single" w:color="auto" w:sz="4" w:space="0"/>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11月28日</w:t>
            </w:r>
          </w:p>
        </w:tc>
        <w:tc>
          <w:tcPr>
            <w:tcW w:w="1024" w:type="dxa"/>
            <w:vMerge w:val="continue"/>
            <w:tcBorders>
              <w:left w:val="single" w:color="auto" w:sz="4" w:space="0"/>
              <w:tl2br w:val="nil"/>
              <w:tr2bl w:val="nil"/>
            </w:tcBorders>
            <w:vAlign w:val="center"/>
          </w:tcPr>
          <w:p>
            <w:pPr>
              <w:jc w:val="center"/>
              <w:rPr>
                <w:rFonts w:hint="default" w:ascii="Times New Roman" w:hAnsi="Times New Roman" w:cs="Times New Roman"/>
                <w:color w:val="auto"/>
                <w:highlight w:val="none"/>
              </w:rPr>
            </w:pPr>
          </w:p>
        </w:tc>
        <w:tc>
          <w:tcPr>
            <w:tcW w:w="736" w:type="dxa"/>
            <w:vMerge w:val="continue"/>
            <w:tcBorders>
              <w:left w:val="single" w:color="auto" w:sz="4" w:space="0"/>
              <w:tl2br w:val="nil"/>
              <w:tr2bl w:val="nil"/>
            </w:tcBorders>
            <w:vAlign w:val="center"/>
          </w:tcPr>
          <w:p>
            <w:pPr>
              <w:jc w:val="center"/>
              <w:rPr>
                <w:rFonts w:hint="default" w:ascii="Times New Roman" w:hAnsi="Times New Roman" w:cs="Times New Roman"/>
                <w:color w:val="auto"/>
                <w:highlight w:val="none"/>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restart"/>
            <w:tcBorders>
              <w:tl2br w:val="nil"/>
              <w:tr2bl w:val="nil"/>
            </w:tcBorders>
            <w:vAlign w:val="center"/>
          </w:tcPr>
          <w:p>
            <w:pPr>
              <w:adjustRightInd w:val="0"/>
              <w:snapToGrid w:val="0"/>
              <w:ind w:left="-42" w:leftChars="-20"/>
              <w:rPr>
                <w:rFonts w:hint="default" w:ascii="Times New Roman" w:hAnsi="Times New Roman" w:cs="Times New Roman"/>
                <w:color w:val="auto"/>
                <w:highlight w:val="none"/>
              </w:rPr>
            </w:pPr>
            <w:r>
              <w:rPr>
                <w:rFonts w:hint="default" w:ascii="Times New Roman" w:hAnsi="Times New Roman" w:cs="Times New Roman"/>
                <w:color w:val="auto"/>
                <w:highlight w:val="none"/>
              </w:rPr>
              <w:t>W1排污口上游500m（对照断面）</w:t>
            </w: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pH值</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五日生化需氧量</w:t>
            </w:r>
          </w:p>
        </w:tc>
        <w:tc>
          <w:tcPr>
            <w:tcW w:w="1261" w:type="dxa"/>
            <w:tcBorders>
              <w:tl2br w:val="nil"/>
              <w:tr2bl w:val="nil"/>
            </w:tcBorders>
            <w:vAlign w:val="center"/>
          </w:tcPr>
          <w:p>
            <w:pPr>
              <w:tabs>
                <w:tab w:val="left" w:pos="840"/>
              </w:tabs>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0.025L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0.031</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0.036</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溶解氧</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6.67</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6.71</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6.91</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高锰酸盐指数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0.8</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0.38</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0.43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铜</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锌</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0.08</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硒</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1.6×10</w:t>
            </w:r>
            <w:r>
              <w:rPr>
                <w:rFonts w:hint="default" w:ascii="Times New Roman" w:hAnsi="Times New Roman" w:cs="Times New Roman"/>
                <w:color w:val="auto"/>
                <w:highlight w:val="none"/>
                <w:vertAlign w:val="superscript"/>
              </w:rPr>
              <w:t>-3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2.8×10</w:t>
            </w:r>
            <w:r>
              <w:rPr>
                <w:rFonts w:hint="default" w:ascii="Times New Roman" w:hAnsi="Times New Roman" w:cs="Times New Roman"/>
                <w:color w:val="auto"/>
                <w:highlight w:val="none"/>
                <w:vertAlign w:val="superscript"/>
              </w:rPr>
              <w:t>-3</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3.9×10</w:t>
            </w:r>
            <w:r>
              <w:rPr>
                <w:rFonts w:hint="default" w:ascii="Times New Roman" w:hAnsi="Times New Roman" w:cs="Times New Roman"/>
                <w:color w:val="auto"/>
                <w:highlight w:val="none"/>
                <w:vertAlign w:val="superscript"/>
              </w:rPr>
              <w:t>-3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3×10</w:t>
            </w:r>
            <w:r>
              <w:rPr>
                <w:rFonts w:hint="default" w:ascii="Times New Roman" w:hAnsi="Times New Roman" w:cs="Times New Roman"/>
                <w:color w:val="auto"/>
                <w:highlight w:val="none"/>
                <w:vertAlign w:val="superscript"/>
              </w:rPr>
              <w:t>-4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镉</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铬（六价）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0.007</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0.007</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氰化物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挥发酚</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0.0003L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0.0003L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0.0003L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石油类</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阴离子表面活性剂</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氟化物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0.28</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硫化物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粪大肠菌群数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个/L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16.6</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restart"/>
            <w:tcBorders>
              <w:tl2br w:val="nil"/>
              <w:tr2bl w:val="nil"/>
            </w:tcBorders>
            <w:vAlign w:val="center"/>
          </w:tcPr>
          <w:p>
            <w:pPr>
              <w:adjustRightInd w:val="0"/>
              <w:snapToGrid w:val="0"/>
              <w:ind w:left="-42" w:leftChars="-20"/>
              <w:rPr>
                <w:rFonts w:hint="default" w:ascii="Times New Roman" w:hAnsi="Times New Roman" w:cs="Times New Roman"/>
                <w:color w:val="auto"/>
                <w:highlight w:val="none"/>
              </w:rPr>
            </w:pPr>
            <w:r>
              <w:rPr>
                <w:rFonts w:hint="default" w:ascii="Times New Roman" w:hAnsi="Times New Roman" w:cs="Times New Roman"/>
                <w:color w:val="auto"/>
                <w:highlight w:val="none"/>
              </w:rPr>
              <w:t>W2排污口下游500m（对照断面）</w:t>
            </w: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pH值</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五日生化需氧量</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0.6</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0.061</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0.056</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0.056</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21</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溶解氧</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6.05</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6.14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6.25</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高锰酸盐指数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0.52</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铜</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锌</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硒</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2.8×10</w:t>
            </w:r>
            <w:r>
              <w:rPr>
                <w:rFonts w:hint="default" w:ascii="Times New Roman" w:hAnsi="Times New Roman" w:cs="Times New Roman"/>
                <w:color w:val="auto"/>
                <w:highlight w:val="none"/>
                <w:vertAlign w:val="superscript"/>
              </w:rPr>
              <w:t>-3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3.3×10</w:t>
            </w:r>
            <w:r>
              <w:rPr>
                <w:rFonts w:hint="default" w:ascii="Times New Roman" w:hAnsi="Times New Roman" w:cs="Times New Roman"/>
                <w:color w:val="auto"/>
                <w:highlight w:val="none"/>
                <w:vertAlign w:val="superscript"/>
              </w:rPr>
              <w:t>-3</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3.3×10</w:t>
            </w:r>
            <w:r>
              <w:rPr>
                <w:rFonts w:hint="default" w:ascii="Times New Roman" w:hAnsi="Times New Roman" w:cs="Times New Roman"/>
                <w:color w:val="auto"/>
                <w:highlight w:val="none"/>
                <w:vertAlign w:val="superscript"/>
              </w:rPr>
              <w:t>-3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3×10</w:t>
            </w:r>
            <w:r>
              <w:rPr>
                <w:rFonts w:hint="default" w:ascii="Times New Roman" w:hAnsi="Times New Roman" w:cs="Times New Roman"/>
                <w:color w:val="auto"/>
                <w:highlight w:val="none"/>
                <w:vertAlign w:val="superscript"/>
              </w:rPr>
              <w:t>-4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镉</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铬（六价）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0.008</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氰化物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挥发酚</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0.0007</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0.0006</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石油类</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阴离子表面活性剂</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氟化物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0.41</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0.45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硫化物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0.020</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0.013</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粪大肠菌群数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个/L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17.1</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17.2</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17.2</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restart"/>
            <w:tcBorders>
              <w:tl2br w:val="nil"/>
              <w:tr2bl w:val="nil"/>
            </w:tcBorders>
            <w:vAlign w:val="center"/>
          </w:tcPr>
          <w:p>
            <w:pPr>
              <w:adjustRightInd w:val="0"/>
              <w:snapToGrid w:val="0"/>
              <w:ind w:left="-42" w:leftChars="-20"/>
              <w:rPr>
                <w:rFonts w:hint="default" w:ascii="Times New Roman" w:hAnsi="Times New Roman" w:cs="Times New Roman"/>
                <w:color w:val="auto"/>
                <w:highlight w:val="none"/>
              </w:rPr>
            </w:pPr>
            <w:r>
              <w:rPr>
                <w:rFonts w:hint="default" w:ascii="Times New Roman" w:hAnsi="Times New Roman" w:cs="Times New Roman"/>
                <w:color w:val="auto"/>
                <w:highlight w:val="none"/>
              </w:rPr>
              <w:t>W3排污口下游1500m（削减断面）</w:t>
            </w: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pH值</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8.2</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无量纲</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五日生化需氧量</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0.041</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0.046</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0.039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27</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溶解氧</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6.15</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6.24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6.20</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高锰酸盐指数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0.8</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总氮</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0.64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0.68</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0.72</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铜</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锌</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0.09</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硒</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2.7×10</w:t>
            </w:r>
            <w:r>
              <w:rPr>
                <w:rFonts w:hint="default" w:ascii="Times New Roman" w:hAnsi="Times New Roman" w:cs="Times New Roman"/>
                <w:color w:val="auto"/>
                <w:highlight w:val="none"/>
                <w:vertAlign w:val="superscript"/>
              </w:rPr>
              <w:t>-3</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3.9×10</w:t>
            </w:r>
            <w:r>
              <w:rPr>
                <w:rFonts w:hint="default" w:ascii="Times New Roman" w:hAnsi="Times New Roman" w:cs="Times New Roman"/>
                <w:color w:val="auto"/>
                <w:highlight w:val="none"/>
                <w:vertAlign w:val="superscript"/>
              </w:rPr>
              <w:t>-3</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3.6×10</w:t>
            </w:r>
            <w:r>
              <w:rPr>
                <w:rFonts w:hint="default" w:ascii="Times New Roman" w:hAnsi="Times New Roman" w:cs="Times New Roman"/>
                <w:color w:val="auto"/>
                <w:highlight w:val="none"/>
                <w:vertAlign w:val="superscript"/>
              </w:rPr>
              <w:t>-3</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3×10</w:t>
            </w:r>
            <w:r>
              <w:rPr>
                <w:rFonts w:hint="default" w:ascii="Times New Roman" w:hAnsi="Times New Roman" w:cs="Times New Roman"/>
                <w:color w:val="auto"/>
                <w:highlight w:val="none"/>
                <w:vertAlign w:val="superscript"/>
              </w:rPr>
              <w:t>-4</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-4</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4×10</w:t>
            </w:r>
            <w:r>
              <w:rPr>
                <w:rFonts w:hint="default" w:ascii="Times New Roman" w:hAnsi="Times New Roman" w:cs="Times New Roman"/>
                <w:color w:val="auto"/>
                <w:highlight w:val="none"/>
                <w:vertAlign w:val="superscript"/>
              </w:rPr>
              <w:t>-5</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镉</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铬（六价）</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0.006</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氰化物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0.006</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0.004L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挥发酚</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0.0006</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0.0010</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0.0008</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石油类</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0.01L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阴离子表面活性剂</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0.05L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0.2</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氟化物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0.57</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0.61</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0.67</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硫化物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0.005</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0.1</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mg/L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粪大肠菌群数</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20L</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2000</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个/L</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vMerge w:val="continue"/>
            <w:tcBorders>
              <w:tl2br w:val="nil"/>
              <w:tr2bl w:val="nil"/>
            </w:tcBorders>
            <w:vAlign w:val="center"/>
          </w:tcPr>
          <w:p>
            <w:pPr>
              <w:jc w:val="center"/>
              <w:rPr>
                <w:rFonts w:hint="default" w:ascii="Times New Roman" w:hAnsi="Times New Roman" w:cs="Times New Roman"/>
                <w:color w:val="auto"/>
                <w:highlight w:val="none"/>
              </w:rPr>
            </w:pPr>
          </w:p>
        </w:tc>
        <w:tc>
          <w:tcPr>
            <w:tcW w:w="198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126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15.9</w:t>
            </w:r>
          </w:p>
        </w:tc>
        <w:tc>
          <w:tcPr>
            <w:tcW w:w="1262"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16.1</w:t>
            </w:r>
          </w:p>
        </w:tc>
        <w:tc>
          <w:tcPr>
            <w:tcW w:w="1044"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15.8</w:t>
            </w:r>
          </w:p>
        </w:tc>
        <w:tc>
          <w:tcPr>
            <w:tcW w:w="1024" w:type="dxa"/>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36"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11" w:type="dxa"/>
            <w:tcBorders>
              <w:tl2br w:val="nil"/>
              <w:tr2bl w:val="nil"/>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c>
          <w:tcPr>
            <w:tcW w:w="7309" w:type="dxa"/>
            <w:gridSpan w:val="6"/>
            <w:tcBorders>
              <w:tl2br w:val="nil"/>
              <w:tr2bl w:val="nil"/>
            </w:tcBorders>
            <w:vAlign w:val="center"/>
          </w:tcPr>
          <w:p>
            <w:pPr>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执行《地表水环境质量标准》（GB 3838-2002）中III类标准限值</w:t>
            </w:r>
          </w:p>
        </w:tc>
      </w:tr>
    </w:tbl>
    <w:p>
      <w:pPr>
        <w:pStyle w:val="10"/>
        <w:widowControl w:val="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监测结果可知，本项目入河排污口下游监测断面各监测因子除总氮外均能满足《地表水环境质量标准》（GB3838-2002）中的Ⅱ类标准要求，区域水环境质量良好。</w:t>
      </w:r>
    </w:p>
    <w:p>
      <w:pPr>
        <w:pStyle w:val="10"/>
        <w:spacing w:before="0" w:after="0" w:line="360" w:lineRule="auto"/>
        <w:jc w:val="both"/>
        <w:outlineLvl w:val="1"/>
        <w:rPr>
          <w:rFonts w:hint="default" w:ascii="Times New Roman" w:hAnsi="Times New Roman" w:cs="Times New Roman"/>
          <w:b/>
          <w:bCs/>
          <w:color w:val="auto"/>
          <w:szCs w:val="24"/>
          <w:highlight w:val="none"/>
        </w:rPr>
      </w:pPr>
      <w:bookmarkStart w:id="66" w:name="_Toc17697"/>
      <w:r>
        <w:rPr>
          <w:rFonts w:hint="default" w:ascii="Times New Roman" w:hAnsi="Times New Roman" w:cs="Times New Roman"/>
          <w:b/>
          <w:bCs/>
          <w:color w:val="auto"/>
          <w:szCs w:val="24"/>
          <w:highlight w:val="none"/>
        </w:rPr>
        <w:t>3.4.所在水功能区（水域）纳污状况分析</w:t>
      </w:r>
      <w:bookmarkEnd w:id="66"/>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根据《湖南省水功能区划（修编）》及《益阳市谁功能一级区划分布图》，本项目纳污水体</w:t>
      </w:r>
      <w:r>
        <w:rPr>
          <w:rFonts w:hint="default" w:ascii="Times New Roman" w:hAnsi="Times New Roman" w:cs="Times New Roman"/>
          <w:color w:val="auto"/>
          <w:kern w:val="2"/>
          <w:szCs w:val="24"/>
          <w:highlight w:val="none"/>
          <w:u w:val="single"/>
          <w:lang w:val="en-US" w:eastAsia="zh-CN"/>
        </w:rPr>
        <w:t>滔溪</w:t>
      </w:r>
      <w:r>
        <w:rPr>
          <w:rFonts w:hint="default" w:ascii="Times New Roman" w:hAnsi="Times New Roman" w:cs="Times New Roman"/>
          <w:color w:val="auto"/>
          <w:kern w:val="2"/>
          <w:szCs w:val="24"/>
          <w:highlight w:val="none"/>
          <w:u w:val="single"/>
        </w:rPr>
        <w:t>划定为保留区，属于Ⅱ类水。因此本次水质管理目标定位为Ⅱ类。</w:t>
      </w:r>
    </w:p>
    <w:p>
      <w:pPr>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u w:val="single"/>
        </w:rPr>
        <w:t>本项目论证范围内存在少量村民自建农田灌溉取水口</w:t>
      </w:r>
      <w:r>
        <w:rPr>
          <w:rFonts w:hint="default" w:ascii="Times New Roman" w:hAnsi="Times New Roman" w:cs="Times New Roman"/>
          <w:color w:val="auto"/>
          <w:sz w:val="24"/>
          <w:szCs w:val="24"/>
          <w:highlight w:val="none"/>
          <w:u w:val="single"/>
          <w:lang w:eastAsia="zh-CN"/>
        </w:rPr>
        <w:t>，</w:t>
      </w:r>
      <w:r>
        <w:rPr>
          <w:rFonts w:hint="default" w:ascii="Times New Roman" w:hAnsi="Times New Roman" w:cs="Times New Roman"/>
          <w:color w:val="auto"/>
          <w:sz w:val="24"/>
          <w:szCs w:val="24"/>
          <w:highlight w:val="none"/>
          <w:u w:val="single"/>
        </w:rPr>
        <w:t>无</w:t>
      </w:r>
      <w:r>
        <w:rPr>
          <w:rFonts w:hint="default" w:ascii="Times New Roman" w:hAnsi="Times New Roman" w:cs="Times New Roman"/>
          <w:color w:val="auto"/>
          <w:sz w:val="24"/>
          <w:szCs w:val="24"/>
          <w:highlight w:val="none"/>
          <w:u w:val="single"/>
          <w:lang w:val="en-US" w:eastAsia="zh-CN"/>
        </w:rPr>
        <w:t>市</w:t>
      </w:r>
      <w:r>
        <w:rPr>
          <w:rFonts w:hint="default" w:ascii="Times New Roman" w:hAnsi="Times New Roman" w:cs="Times New Roman"/>
          <w:color w:val="auto"/>
          <w:sz w:val="24"/>
          <w:szCs w:val="24"/>
          <w:highlight w:val="none"/>
          <w:u w:val="single"/>
        </w:rPr>
        <w:t>政供水取水口</w:t>
      </w:r>
      <w:r>
        <w:rPr>
          <w:rFonts w:hint="default" w:ascii="Times New Roman" w:hAnsi="Times New Roman" w:cs="Times New Roman"/>
          <w:color w:val="auto"/>
          <w:sz w:val="24"/>
          <w:szCs w:val="24"/>
          <w:highlight w:val="none"/>
          <w:u w:val="single"/>
          <w:lang w:eastAsia="zh-CN"/>
        </w:rPr>
        <w:t>；</w:t>
      </w:r>
      <w:r>
        <w:rPr>
          <w:rFonts w:hint="default" w:ascii="Times New Roman" w:hAnsi="Times New Roman" w:cs="Times New Roman"/>
          <w:color w:val="auto"/>
          <w:sz w:val="24"/>
          <w:szCs w:val="24"/>
          <w:highlight w:val="none"/>
          <w:u w:val="single"/>
        </w:rPr>
        <w:t>下游存在少量农田退水排水口。</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none"/>
        </w:rPr>
      </w:pPr>
      <w:r>
        <w:rPr>
          <w:rFonts w:hint="default" w:ascii="Times New Roman" w:hAnsi="Times New Roman" w:cs="Times New Roman"/>
          <w:color w:val="auto"/>
          <w:kern w:val="2"/>
          <w:szCs w:val="24"/>
          <w:highlight w:val="none"/>
          <w:u w:val="none"/>
        </w:rPr>
        <w:t>根据国控平台系统敷溪断面</w:t>
      </w:r>
      <w:r>
        <w:rPr>
          <w:rFonts w:hint="default" w:ascii="Times New Roman" w:hAnsi="Times New Roman" w:cs="Times New Roman"/>
          <w:color w:val="auto"/>
          <w:kern w:val="2"/>
          <w:szCs w:val="24"/>
          <w:highlight w:val="none"/>
          <w:u w:val="none"/>
          <w:lang w:val="en-US" w:eastAsia="zh-CN"/>
        </w:rPr>
        <w:t>和</w:t>
      </w:r>
      <w:r>
        <w:rPr>
          <w:rFonts w:hint="default" w:ascii="Times New Roman" w:hAnsi="Times New Roman" w:cs="Times New Roman"/>
          <w:color w:val="auto"/>
          <w:kern w:val="2"/>
          <w:szCs w:val="24"/>
          <w:highlight w:val="none"/>
          <w:u w:val="none"/>
        </w:rPr>
        <w:t>水域水质现状调查情况，监测断面能达到水质管理目标，</w:t>
      </w:r>
      <w:r>
        <w:rPr>
          <w:rFonts w:hint="default" w:ascii="Times New Roman" w:hAnsi="Times New Roman" w:cs="Times New Roman"/>
          <w:color w:val="auto"/>
          <w:kern w:val="2"/>
          <w:szCs w:val="24"/>
          <w:highlight w:val="none"/>
          <w:u w:val="none"/>
          <w:lang w:val="en-US" w:eastAsia="zh-CN"/>
        </w:rPr>
        <w:t>滔溪</w:t>
      </w:r>
      <w:r>
        <w:rPr>
          <w:rFonts w:hint="default" w:ascii="Times New Roman" w:hAnsi="Times New Roman" w:cs="Times New Roman"/>
          <w:color w:val="auto"/>
          <w:kern w:val="2"/>
          <w:szCs w:val="24"/>
          <w:highlight w:val="none"/>
          <w:u w:val="none"/>
        </w:rPr>
        <w:t>水环境质量良好。</w:t>
      </w:r>
    </w:p>
    <w:p>
      <w:pPr>
        <w:pStyle w:val="10"/>
        <w:spacing w:before="0" w:after="0" w:line="360" w:lineRule="auto"/>
        <w:outlineLvl w:val="0"/>
        <w:rPr>
          <w:rFonts w:hint="default" w:ascii="Times New Roman" w:hAnsi="Times New Roman" w:cs="Times New Roman"/>
          <w:b/>
          <w:bCs/>
          <w:color w:val="auto"/>
          <w:sz w:val="32"/>
          <w:szCs w:val="32"/>
          <w:highlight w:val="non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color w:val="auto"/>
          <w:sz w:val="32"/>
          <w:szCs w:val="32"/>
          <w:highlight w:val="none"/>
        </w:rPr>
      </w:pPr>
      <w:bookmarkStart w:id="67" w:name="_Toc8082"/>
      <w:r>
        <w:rPr>
          <w:rFonts w:hint="default" w:ascii="Times New Roman" w:hAnsi="Times New Roman" w:cs="Times New Roman"/>
          <w:b/>
          <w:bCs/>
          <w:color w:val="auto"/>
          <w:sz w:val="32"/>
          <w:szCs w:val="32"/>
          <w:highlight w:val="none"/>
        </w:rPr>
        <w:t>4  入河排污口设置情况</w:t>
      </w:r>
      <w:bookmarkEnd w:id="67"/>
    </w:p>
    <w:p>
      <w:pPr>
        <w:pStyle w:val="10"/>
        <w:spacing w:before="0" w:after="0" w:line="360" w:lineRule="auto"/>
        <w:jc w:val="both"/>
        <w:outlineLvl w:val="1"/>
        <w:rPr>
          <w:rFonts w:hint="default" w:ascii="Times New Roman" w:hAnsi="Times New Roman" w:cs="Times New Roman"/>
          <w:b/>
          <w:bCs/>
          <w:color w:val="auto"/>
          <w:kern w:val="2"/>
          <w:szCs w:val="24"/>
          <w:highlight w:val="none"/>
        </w:rPr>
      </w:pPr>
      <w:bookmarkStart w:id="68" w:name="_Toc23860"/>
      <w:r>
        <w:rPr>
          <w:rFonts w:hint="default" w:ascii="Times New Roman" w:hAnsi="Times New Roman" w:cs="Times New Roman"/>
          <w:b/>
          <w:bCs/>
          <w:color w:val="auto"/>
          <w:kern w:val="2"/>
          <w:szCs w:val="24"/>
          <w:highlight w:val="none"/>
        </w:rPr>
        <w:t>4.1.废水来源及构成</w:t>
      </w:r>
      <w:bookmarkEnd w:id="68"/>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安化县滔溪镇污水处理厂主要是接纳服务范围内的生活污水，主要污染因子为：COD、氨氮、总磷。</w:t>
      </w:r>
    </w:p>
    <w:p>
      <w:pPr>
        <w:pStyle w:val="10"/>
        <w:spacing w:before="0" w:after="0" w:line="360" w:lineRule="auto"/>
        <w:jc w:val="both"/>
        <w:outlineLvl w:val="1"/>
        <w:rPr>
          <w:rFonts w:hint="default" w:ascii="Times New Roman" w:hAnsi="Times New Roman" w:cs="Times New Roman"/>
          <w:b/>
          <w:bCs/>
          <w:color w:val="auto"/>
          <w:kern w:val="2"/>
          <w:szCs w:val="24"/>
          <w:highlight w:val="none"/>
        </w:rPr>
      </w:pPr>
      <w:bookmarkStart w:id="69" w:name="_Toc154"/>
      <w:r>
        <w:rPr>
          <w:rFonts w:hint="default" w:ascii="Times New Roman" w:hAnsi="Times New Roman" w:cs="Times New Roman"/>
          <w:b/>
          <w:bCs/>
          <w:color w:val="auto"/>
          <w:kern w:val="2"/>
          <w:szCs w:val="24"/>
          <w:highlight w:val="none"/>
        </w:rPr>
        <w:t>4.2.废水所含主要污染物种类及其排放浓度、总量</w:t>
      </w:r>
      <w:bookmarkEnd w:id="69"/>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安化县滔溪镇污水处理厂目前</w:t>
      </w:r>
      <w:r>
        <w:rPr>
          <w:rFonts w:hint="default" w:ascii="Times New Roman" w:hAnsi="Times New Roman" w:cs="Times New Roman"/>
          <w:color w:val="auto"/>
          <w:highlight w:val="none"/>
        </w:rPr>
        <w:t>处于</w:t>
      </w:r>
      <w:r>
        <w:rPr>
          <w:rFonts w:hint="default" w:ascii="Times New Roman" w:hAnsi="Times New Roman" w:cs="Times New Roman"/>
          <w:color w:val="auto"/>
          <w:highlight w:val="none"/>
          <w:lang w:eastAsia="zh-CN"/>
        </w:rPr>
        <w:t>调试试运营阶段</w:t>
      </w:r>
      <w:r>
        <w:rPr>
          <w:rFonts w:hint="default" w:ascii="Times New Roman" w:hAnsi="Times New Roman" w:cs="Times New Roman"/>
          <w:color w:val="auto"/>
          <w:kern w:val="2"/>
          <w:szCs w:val="24"/>
          <w:highlight w:val="none"/>
        </w:rPr>
        <w:t>，设计处理规模为250m</w:t>
      </w:r>
      <w:r>
        <w:rPr>
          <w:rFonts w:hint="default" w:ascii="Times New Roman" w:hAnsi="Times New Roman" w:cs="Times New Roman"/>
          <w:color w:val="auto"/>
          <w:kern w:val="2"/>
          <w:szCs w:val="24"/>
          <w:highlight w:val="none"/>
          <w:vertAlign w:val="superscript"/>
        </w:rPr>
        <w:t>3</w:t>
      </w:r>
      <w:r>
        <w:rPr>
          <w:rFonts w:hint="default" w:ascii="Times New Roman" w:hAnsi="Times New Roman" w:cs="Times New Roman"/>
          <w:color w:val="auto"/>
          <w:kern w:val="2"/>
          <w:szCs w:val="24"/>
          <w:highlight w:val="none"/>
        </w:rPr>
        <w:t>/d，出水水质执行《城镇污水处理厂污染物排放标准》（GB18918-2002）一级B排放标准，废水中所含的污染物种类及其排放浓度。总量如下所示：</w:t>
      </w:r>
    </w:p>
    <w:p>
      <w:pPr>
        <w:pStyle w:val="10"/>
        <w:spacing w:before="0" w:after="0" w:line="360" w:lineRule="auto"/>
        <w:ind w:firstLine="482" w:firstLineChars="200"/>
        <w:rPr>
          <w:rFonts w:hint="default" w:ascii="Times New Roman" w:hAnsi="Times New Roman" w:cs="Times New Roman"/>
          <w:b/>
          <w:bCs/>
          <w:color w:val="auto"/>
          <w:kern w:val="2"/>
          <w:szCs w:val="24"/>
          <w:highlight w:val="none"/>
        </w:rPr>
      </w:pPr>
      <w:r>
        <w:rPr>
          <w:rFonts w:hint="default" w:ascii="Times New Roman" w:hAnsi="Times New Roman" w:cs="Times New Roman"/>
          <w:b/>
          <w:bCs/>
          <w:color w:val="auto"/>
          <w:kern w:val="2"/>
          <w:szCs w:val="24"/>
          <w:highlight w:val="none"/>
        </w:rPr>
        <w:t>表4-1  废水所含主要污染物种类及其排放浓度、总量一览表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248"/>
        <w:gridCol w:w="1248"/>
        <w:gridCol w:w="1778"/>
        <w:gridCol w:w="2005"/>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序号</w:t>
            </w:r>
          </w:p>
        </w:tc>
        <w:tc>
          <w:tcPr>
            <w:tcW w:w="732"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排放口编号</w:t>
            </w:r>
          </w:p>
        </w:tc>
        <w:tc>
          <w:tcPr>
            <w:tcW w:w="732"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污染物种类</w:t>
            </w:r>
          </w:p>
        </w:tc>
        <w:tc>
          <w:tcPr>
            <w:tcW w:w="1043"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排放浓度</w:t>
            </w:r>
            <w:r>
              <w:rPr>
                <w:rFonts w:hint="default" w:ascii="Times New Roman" w:hAnsi="Times New Roman" w:cs="Times New Roman"/>
                <w:color w:val="auto"/>
                <w:kern w:val="0"/>
                <w:sz w:val="20"/>
                <w:highlight w:val="none"/>
              </w:rPr>
              <w:t>（mg/L）</w:t>
            </w:r>
          </w:p>
        </w:tc>
        <w:tc>
          <w:tcPr>
            <w:tcW w:w="1176"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日排放量</w:t>
            </w:r>
            <w:r>
              <w:rPr>
                <w:rFonts w:hint="default" w:ascii="Times New Roman" w:hAnsi="Times New Roman" w:cs="Times New Roman"/>
                <w:color w:val="auto"/>
                <w:kern w:val="0"/>
                <w:sz w:val="20"/>
                <w:highlight w:val="none"/>
              </w:rPr>
              <w:t>（t/d）</w:t>
            </w:r>
          </w:p>
        </w:tc>
        <w:tc>
          <w:tcPr>
            <w:tcW w:w="1016" w:type="pct"/>
            <w:vAlign w:val="center"/>
          </w:tcPr>
          <w:p>
            <w:pPr>
              <w:jc w:val="center"/>
              <w:rPr>
                <w:rFonts w:hint="default" w:ascii="Times New Roman" w:hAnsi="Times New Roman" w:cs="Times New Roman"/>
                <w:b/>
                <w:bCs/>
                <w:color w:val="auto"/>
                <w:kern w:val="0"/>
                <w:sz w:val="20"/>
                <w:highlight w:val="none"/>
              </w:rPr>
            </w:pPr>
            <w:r>
              <w:rPr>
                <w:rFonts w:hint="default" w:ascii="Times New Roman" w:hAnsi="Times New Roman" w:cs="Times New Roman"/>
                <w:b/>
                <w:bCs/>
                <w:color w:val="auto"/>
                <w:kern w:val="0"/>
                <w:sz w:val="20"/>
                <w:highlight w:val="none"/>
              </w:rPr>
              <w:t>年排放量</w:t>
            </w:r>
            <w:r>
              <w:rPr>
                <w:rFonts w:hint="default" w:ascii="Times New Roman" w:hAnsi="Times New Roman" w:cs="Times New Roman"/>
                <w:color w:val="auto"/>
                <w:kern w:val="0"/>
                <w:sz w:val="20"/>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restart"/>
            <w:vAlign w:val="center"/>
          </w:tcPr>
          <w:p>
            <w:pPr>
              <w:jc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sz w:val="20"/>
                <w:highlight w:val="none"/>
              </w:rPr>
              <w:t>1</w:t>
            </w:r>
          </w:p>
        </w:tc>
        <w:tc>
          <w:tcPr>
            <w:tcW w:w="732" w:type="pct"/>
            <w:vMerge w:val="restart"/>
            <w:vAlign w:val="center"/>
          </w:tcPr>
          <w:p>
            <w:pPr>
              <w:jc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sz w:val="20"/>
                <w:highlight w:val="none"/>
              </w:rPr>
              <w:t>DW001</w:t>
            </w:r>
          </w:p>
        </w:tc>
        <w:tc>
          <w:tcPr>
            <w:tcW w:w="732" w:type="pct"/>
            <w:vAlign w:val="center"/>
          </w:tcPr>
          <w:p>
            <w:pPr>
              <w:widowControl/>
              <w:jc w:val="center"/>
              <w:textAlignment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highlight w:val="none"/>
                <w:lang w:bidi="ar"/>
              </w:rPr>
              <w:t>COD</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60</w:t>
            </w:r>
          </w:p>
        </w:tc>
        <w:tc>
          <w:tcPr>
            <w:tcW w:w="117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0.015</w:t>
            </w:r>
          </w:p>
        </w:tc>
        <w:tc>
          <w:tcPr>
            <w:tcW w:w="101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5.475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Align w:val="center"/>
          </w:tcPr>
          <w:p>
            <w:pPr>
              <w:widowControl/>
              <w:jc w:val="center"/>
              <w:textAlignment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highlight w:val="none"/>
                <w:lang w:bidi="ar"/>
              </w:rPr>
              <w:t>BOD</w:t>
            </w:r>
            <w:r>
              <w:rPr>
                <w:rStyle w:val="32"/>
                <w:rFonts w:hint="default" w:ascii="Times New Roman" w:hAnsi="Times New Roman" w:cs="Times New Roman"/>
                <w:color w:val="auto"/>
                <w:highlight w:val="none"/>
                <w:lang w:bidi="ar"/>
              </w:rPr>
              <w:t>5</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0.005</w:t>
            </w:r>
          </w:p>
        </w:tc>
        <w:tc>
          <w:tcPr>
            <w:tcW w:w="101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SS</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20</w:t>
            </w:r>
          </w:p>
        </w:tc>
        <w:tc>
          <w:tcPr>
            <w:tcW w:w="2005" w:type="dxa"/>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0.005</w:t>
            </w:r>
          </w:p>
        </w:tc>
        <w:tc>
          <w:tcPr>
            <w:tcW w:w="1733" w:type="dxa"/>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Align w:val="center"/>
          </w:tcPr>
          <w:p>
            <w:pPr>
              <w:widowControl/>
              <w:jc w:val="center"/>
              <w:textAlignment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highlight w:val="none"/>
                <w:lang w:bidi="ar"/>
              </w:rPr>
              <w:t>NH</w:t>
            </w:r>
            <w:r>
              <w:rPr>
                <w:rStyle w:val="32"/>
                <w:rFonts w:hint="default" w:ascii="Times New Roman" w:hAnsi="Times New Roman" w:cs="Times New Roman"/>
                <w:color w:val="auto"/>
                <w:highlight w:val="none"/>
                <w:lang w:bidi="ar"/>
              </w:rPr>
              <w:t>3</w:t>
            </w:r>
            <w:r>
              <w:rPr>
                <w:rFonts w:hint="default" w:ascii="Times New Roman" w:hAnsi="Times New Roman" w:cs="Times New Roman"/>
                <w:color w:val="auto"/>
                <w:kern w:val="0"/>
                <w:highlight w:val="none"/>
                <w:lang w:bidi="ar"/>
              </w:rPr>
              <w:t>-N</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8（15）</w:t>
            </w:r>
          </w:p>
        </w:tc>
        <w:tc>
          <w:tcPr>
            <w:tcW w:w="117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0.004</w:t>
            </w:r>
          </w:p>
        </w:tc>
        <w:tc>
          <w:tcPr>
            <w:tcW w:w="101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Align w:val="center"/>
          </w:tcPr>
          <w:p>
            <w:pPr>
              <w:widowControl/>
              <w:jc w:val="center"/>
              <w:textAlignment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highlight w:val="none"/>
                <w:lang w:bidi="ar"/>
              </w:rPr>
              <w:t>TN</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20</w:t>
            </w:r>
          </w:p>
        </w:tc>
        <w:tc>
          <w:tcPr>
            <w:tcW w:w="2005" w:type="dxa"/>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0.005</w:t>
            </w:r>
          </w:p>
        </w:tc>
        <w:tc>
          <w:tcPr>
            <w:tcW w:w="1733" w:type="dxa"/>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Merge w:val="continue"/>
            <w:vAlign w:val="center"/>
          </w:tcPr>
          <w:p>
            <w:pPr>
              <w:widowControl/>
              <w:jc w:val="center"/>
              <w:rPr>
                <w:rFonts w:hint="default" w:ascii="Times New Roman" w:hAnsi="Times New Roman" w:cs="Times New Roman"/>
                <w:color w:val="auto"/>
                <w:kern w:val="0"/>
                <w:sz w:val="20"/>
                <w:highlight w:val="none"/>
              </w:rPr>
            </w:pPr>
          </w:p>
        </w:tc>
        <w:tc>
          <w:tcPr>
            <w:tcW w:w="732" w:type="pct"/>
            <w:vAlign w:val="center"/>
          </w:tcPr>
          <w:p>
            <w:pPr>
              <w:widowControl/>
              <w:jc w:val="center"/>
              <w:textAlignment w:val="center"/>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highlight w:val="none"/>
                <w:lang w:bidi="ar"/>
              </w:rPr>
              <w:t>TP</w:t>
            </w:r>
          </w:p>
        </w:tc>
        <w:tc>
          <w:tcPr>
            <w:tcW w:w="1043" w:type="pct"/>
            <w:vAlign w:val="center"/>
          </w:tcPr>
          <w:p>
            <w:pPr>
              <w:widowControl/>
              <w:jc w:val="center"/>
              <w:textAlignment w:val="center"/>
              <w:rPr>
                <w:rFonts w:hint="default" w:ascii="Times New Roman" w:hAnsi="Times New Roman" w:cs="Times New Roman"/>
                <w:color w:val="auto"/>
                <w:kern w:val="0"/>
                <w:sz w:val="20"/>
                <w:highlight w:val="none"/>
              </w:rPr>
            </w:pPr>
            <w:r>
              <w:rPr>
                <w:rFonts w:hint="default" w:ascii="Times New Roman" w:hAnsi="Times New Roman" w:cs="Times New Roman"/>
                <w:color w:val="auto"/>
                <w:kern w:val="0"/>
                <w:highlight w:val="none"/>
                <w:lang w:bidi="ar"/>
              </w:rPr>
              <w:t>1</w:t>
            </w:r>
          </w:p>
        </w:tc>
        <w:tc>
          <w:tcPr>
            <w:tcW w:w="117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0.00025</w:t>
            </w:r>
          </w:p>
        </w:tc>
        <w:tc>
          <w:tcPr>
            <w:tcW w:w="1016" w:type="pct"/>
            <w:vAlign w:val="center"/>
          </w:tcPr>
          <w:p>
            <w:pPr>
              <w:widowControl/>
              <w:jc w:val="center"/>
              <w:textAlignment w:val="center"/>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0.091</w:t>
            </w:r>
          </w:p>
        </w:tc>
      </w:tr>
    </w:tbl>
    <w:p>
      <w:pPr>
        <w:ind w:firstLine="465"/>
        <w:jc w:val="left"/>
        <w:rPr>
          <w:rFonts w:hint="default" w:ascii="Times New Roman" w:hAnsi="Times New Roman" w:cs="Times New Roman"/>
          <w:b/>
          <w:color w:val="auto"/>
          <w:highlight w:val="none"/>
        </w:rPr>
      </w:pPr>
      <w:r>
        <w:rPr>
          <w:rFonts w:hint="default" w:ascii="Times New Roman" w:hAnsi="Times New Roman" w:cs="Times New Roman"/>
          <w:b/>
          <w:bCs/>
          <w:color w:val="auto"/>
          <w:highlight w:val="none"/>
        </w:rPr>
        <w:t>*注：</w:t>
      </w:r>
      <w:r>
        <w:rPr>
          <w:rFonts w:hint="default" w:ascii="Times New Roman" w:hAnsi="Times New Roman" w:cs="Times New Roman"/>
          <w:b/>
          <w:color w:val="auto"/>
          <w:highlight w:val="none"/>
        </w:rPr>
        <w:t>氨氮括号外数值为水温＞12℃时的控制指标，括号内数值为水温≤12℃时的控制指标。</w:t>
      </w:r>
    </w:p>
    <w:p>
      <w:pPr>
        <w:pStyle w:val="10"/>
        <w:spacing w:before="0" w:after="0" w:line="360" w:lineRule="auto"/>
        <w:jc w:val="both"/>
        <w:outlineLvl w:val="1"/>
        <w:rPr>
          <w:rFonts w:hint="default" w:ascii="Times New Roman" w:hAnsi="Times New Roman" w:cs="Times New Roman"/>
          <w:b/>
          <w:bCs/>
          <w:color w:val="auto"/>
          <w:kern w:val="2"/>
          <w:szCs w:val="24"/>
          <w:highlight w:val="none"/>
        </w:rPr>
      </w:pPr>
      <w:bookmarkStart w:id="70" w:name="_Toc30711"/>
      <w:r>
        <w:rPr>
          <w:rFonts w:hint="default" w:ascii="Times New Roman" w:hAnsi="Times New Roman" w:cs="Times New Roman"/>
          <w:b/>
          <w:bCs/>
          <w:color w:val="auto"/>
          <w:kern w:val="2"/>
          <w:szCs w:val="24"/>
          <w:highlight w:val="none"/>
        </w:rPr>
        <w:t>4.3.废污水产生关键环节分析</w:t>
      </w:r>
      <w:bookmarkEnd w:id="70"/>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废污水来源于市政污水管网，服务于纳污范围。</w:t>
      </w:r>
    </w:p>
    <w:p>
      <w:pPr>
        <w:pStyle w:val="10"/>
        <w:spacing w:before="0" w:after="0" w:line="360" w:lineRule="auto"/>
        <w:ind w:firstLine="482" w:firstLineChars="200"/>
        <w:jc w:val="both"/>
        <w:outlineLvl w:val="2"/>
        <w:rPr>
          <w:rFonts w:hint="default" w:ascii="Times New Roman" w:hAnsi="Times New Roman" w:cs="Times New Roman"/>
          <w:b/>
          <w:bCs/>
          <w:color w:val="auto"/>
          <w:kern w:val="2"/>
          <w:szCs w:val="24"/>
          <w:highlight w:val="none"/>
        </w:rPr>
      </w:pPr>
      <w:bookmarkStart w:id="71" w:name="_Toc18916"/>
      <w:r>
        <w:rPr>
          <w:rFonts w:hint="default" w:ascii="Times New Roman" w:hAnsi="Times New Roman" w:cs="Times New Roman"/>
          <w:b/>
          <w:bCs/>
          <w:color w:val="auto"/>
          <w:kern w:val="2"/>
          <w:szCs w:val="24"/>
          <w:highlight w:val="none"/>
        </w:rPr>
        <w:t>4.3.1.污水产排情况分析</w:t>
      </w:r>
      <w:bookmarkEnd w:id="71"/>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本排污口类型为生活污水排污口，废污水主要来源于滔溪镇区域内的生活污水，无工业废水。本污水厂污水产排情况采用该项目初步设计及可行性研究报告成果。</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（1）生活污水</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根据可研及初步设计报告，2022年本项目服务人口数为3300人，根据用水量预测，2022年居民生活用水定额为110L (人●d)。污水排放系数取0.8，污水收集系数取0.85，则2022年年污水量为246.84m</w:t>
      </w:r>
      <w:r>
        <w:rPr>
          <w:rFonts w:hint="default" w:ascii="Times New Roman" w:hAnsi="Times New Roman" w:cs="Times New Roman"/>
          <w:color w:val="auto"/>
          <w:kern w:val="2"/>
          <w:szCs w:val="24"/>
          <w:highlight w:val="none"/>
          <w:u w:val="single"/>
          <w:vertAlign w:val="superscript"/>
        </w:rPr>
        <w:t>3</w:t>
      </w:r>
      <w:r>
        <w:rPr>
          <w:rFonts w:hint="default" w:ascii="Times New Roman" w:hAnsi="Times New Roman" w:cs="Times New Roman"/>
          <w:color w:val="auto"/>
          <w:kern w:val="2"/>
          <w:szCs w:val="24"/>
          <w:highlight w:val="none"/>
          <w:u w:val="single"/>
        </w:rPr>
        <w:t>/d。</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（2）工业废水</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本污水处理厂纳污范围内无工业企业，因此无工业废水产生。</w:t>
      </w:r>
    </w:p>
    <w:p>
      <w:pPr>
        <w:pStyle w:val="10"/>
        <w:spacing w:before="0" w:after="0" w:line="360" w:lineRule="auto"/>
        <w:ind w:firstLine="482" w:firstLineChars="200"/>
        <w:jc w:val="both"/>
        <w:outlineLvl w:val="2"/>
        <w:rPr>
          <w:rFonts w:hint="default" w:ascii="Times New Roman" w:hAnsi="Times New Roman" w:cs="Times New Roman"/>
          <w:b/>
          <w:bCs/>
          <w:color w:val="auto"/>
          <w:kern w:val="2"/>
          <w:szCs w:val="24"/>
          <w:highlight w:val="none"/>
        </w:rPr>
      </w:pPr>
      <w:bookmarkStart w:id="72" w:name="_Toc22023"/>
      <w:r>
        <w:rPr>
          <w:rFonts w:hint="default" w:ascii="Times New Roman" w:hAnsi="Times New Roman" w:cs="Times New Roman"/>
          <w:b/>
          <w:bCs/>
          <w:color w:val="auto"/>
          <w:kern w:val="2"/>
          <w:szCs w:val="24"/>
          <w:highlight w:val="none"/>
        </w:rPr>
        <w:t>4.3.2.污水处理厂管网建设情况</w:t>
      </w:r>
      <w:bookmarkEnd w:id="72"/>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本项目污水管网按照依托路网交通走线，纳污范围为乐安镇乐高社区，具体纳污范围图见附图4。</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本项目为</w:t>
      </w:r>
      <w:r>
        <w:rPr>
          <w:rFonts w:hint="default" w:ascii="Times New Roman" w:hAnsi="Times New Roman" w:cs="Times New Roman"/>
          <w:color w:val="auto"/>
          <w:szCs w:val="24"/>
          <w:highlight w:val="none"/>
        </w:rPr>
        <w:t>安化县滔溪镇污水处理厂建设</w:t>
      </w:r>
      <w:r>
        <w:rPr>
          <w:rFonts w:hint="default" w:ascii="Times New Roman" w:hAnsi="Times New Roman" w:cs="Times New Roman"/>
          <w:color w:val="auto"/>
          <w:kern w:val="2"/>
          <w:szCs w:val="24"/>
          <w:highlight w:val="none"/>
        </w:rPr>
        <w:t>项目。</w:t>
      </w:r>
      <w:r>
        <w:rPr>
          <w:rFonts w:hint="default" w:ascii="Times New Roman" w:hAnsi="Times New Roman" w:cs="Times New Roman"/>
          <w:color w:val="auto"/>
          <w:szCs w:val="24"/>
          <w:highlight w:val="none"/>
        </w:rPr>
        <w:t>安化县滔溪镇污水处理厂</w:t>
      </w:r>
      <w:r>
        <w:rPr>
          <w:rFonts w:hint="default" w:ascii="Times New Roman" w:hAnsi="Times New Roman" w:cs="Times New Roman"/>
          <w:color w:val="auto"/>
          <w:kern w:val="2"/>
          <w:szCs w:val="24"/>
          <w:highlight w:val="none"/>
        </w:rPr>
        <w:t>与本管网工程同步实施。为了改善滔溪社区及周边居民的生活环境，拟在</w:t>
      </w:r>
      <w:r>
        <w:rPr>
          <w:rFonts w:hint="default" w:ascii="Times New Roman" w:hAnsi="Times New Roman" w:cs="Times New Roman"/>
          <w:color w:val="auto"/>
          <w:szCs w:val="24"/>
          <w:highlight w:val="none"/>
        </w:rPr>
        <w:t>安化县滔溪镇滔溪社区</w:t>
      </w:r>
      <w:r>
        <w:rPr>
          <w:rFonts w:hint="default" w:ascii="Times New Roman" w:hAnsi="Times New Roman" w:cs="Times New Roman"/>
          <w:color w:val="auto"/>
          <w:kern w:val="2"/>
          <w:szCs w:val="24"/>
          <w:highlight w:val="none"/>
        </w:rPr>
        <w:t>新建污水厂一座，以便对滔溪镇的生活污水进行集中处理。</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经现场调查，滔溪镇内没有污水收集系统，生活污水大多都是排入路边暗沟后进入滔溪，临河而建的住宅污水更是直接排入滔溪，从而，长时间的污水直接排入滔溪，造成了滔溪局部河段水质恶化、变黑发臭，影响居民的生活环境。滔溪镇现状排污主要为滔溪镇内的居民、学校、事业单位、商业，本工程的建设收集以上主要集中排放的生活污水。</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根据滔溪污水处理厂现有新建厂区的位置，结合滔溪镇未来的发展方向及设计污水厂的位置，本着节省投资、易于实施的原则，本次厂外污水主管道主要考虑收集近期容易接入的污水，同时兼顾镇区远期发展，并按照适当留有余地的原则布置，与滔溪污水处理厂管道总长约5.2km，管径DN300，污水主干管沿滔溪镇道路及滔溪堤敷设。</w:t>
      </w:r>
    </w:p>
    <w:p>
      <w:pPr>
        <w:pStyle w:val="10"/>
        <w:spacing w:before="0" w:after="0" w:line="360" w:lineRule="auto"/>
        <w:ind w:firstLine="482" w:firstLineChars="200"/>
        <w:jc w:val="both"/>
        <w:outlineLvl w:val="2"/>
        <w:rPr>
          <w:rFonts w:hint="default" w:ascii="Times New Roman" w:hAnsi="Times New Roman" w:cs="Times New Roman"/>
          <w:b/>
          <w:bCs/>
          <w:color w:val="auto"/>
          <w:kern w:val="2"/>
          <w:szCs w:val="24"/>
          <w:highlight w:val="none"/>
        </w:rPr>
      </w:pPr>
      <w:bookmarkStart w:id="73" w:name="_Toc28172"/>
      <w:r>
        <w:rPr>
          <w:rFonts w:hint="default" w:ascii="Times New Roman" w:hAnsi="Times New Roman" w:cs="Times New Roman"/>
          <w:b/>
          <w:bCs/>
          <w:color w:val="auto"/>
          <w:kern w:val="2"/>
          <w:szCs w:val="24"/>
          <w:highlight w:val="none"/>
        </w:rPr>
        <w:t>4.3.3.设计原则</w:t>
      </w:r>
      <w:bookmarkEnd w:id="73"/>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参照滔溪镇规划及排水规划的要求，充分利用地形高差，尽量采用重力流排放。</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1、全面规划，合理布局，近远期密切配合，相互协调。</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2、采用截流制合流制的排水体制，截污倍数n0=2。</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3、所有污水必须收集输送至污水处理厂，不得随意排放。</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4、实行污染物总量控制和浓度控制相结合的原则，污水在达到国家相关标准要求后，方可排入污水管网。</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5、污水管网的建设应适当留有余地。</w:t>
      </w:r>
    </w:p>
    <w:p>
      <w:pPr>
        <w:pStyle w:val="10"/>
        <w:spacing w:before="0" w:after="0" w:line="360" w:lineRule="auto"/>
        <w:ind w:firstLine="482" w:firstLineChars="200"/>
        <w:jc w:val="both"/>
        <w:outlineLvl w:val="2"/>
        <w:rPr>
          <w:rFonts w:hint="default" w:ascii="Times New Roman" w:hAnsi="Times New Roman" w:cs="Times New Roman"/>
          <w:b/>
          <w:bCs/>
          <w:color w:val="auto"/>
          <w:kern w:val="2"/>
          <w:szCs w:val="24"/>
          <w:highlight w:val="none"/>
        </w:rPr>
      </w:pPr>
      <w:bookmarkStart w:id="74" w:name="_Toc27168"/>
      <w:r>
        <w:rPr>
          <w:rFonts w:hint="default" w:ascii="Times New Roman" w:hAnsi="Times New Roman" w:cs="Times New Roman"/>
          <w:b/>
          <w:bCs/>
          <w:color w:val="auto"/>
          <w:kern w:val="2"/>
          <w:szCs w:val="24"/>
          <w:highlight w:val="none"/>
        </w:rPr>
        <w:t>4.3.4.污水规划</w:t>
      </w:r>
      <w:bookmarkEnd w:id="74"/>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1、污水管网布置</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本污水处理厂纳污范围排水体制：采用分流制。规划区污水管道的布置按地形走向，顺坡排放的原则进行，按路网布设管道。</w:t>
      </w:r>
    </w:p>
    <w:p>
      <w:pPr>
        <w:pStyle w:val="10"/>
        <w:spacing w:before="0" w:after="0" w:line="360" w:lineRule="auto"/>
        <w:ind w:firstLine="482" w:firstLineChars="200"/>
        <w:jc w:val="both"/>
        <w:outlineLvl w:val="2"/>
        <w:rPr>
          <w:rFonts w:hint="default" w:ascii="Times New Roman" w:hAnsi="Times New Roman" w:cs="Times New Roman"/>
          <w:b/>
          <w:bCs/>
          <w:color w:val="auto"/>
          <w:kern w:val="2"/>
          <w:szCs w:val="24"/>
          <w:highlight w:val="none"/>
        </w:rPr>
      </w:pPr>
      <w:bookmarkStart w:id="75" w:name="_Toc32048"/>
      <w:r>
        <w:rPr>
          <w:rFonts w:hint="default" w:ascii="Times New Roman" w:hAnsi="Times New Roman" w:cs="Times New Roman"/>
          <w:b/>
          <w:bCs/>
          <w:color w:val="auto"/>
          <w:kern w:val="2"/>
          <w:szCs w:val="24"/>
          <w:highlight w:val="none"/>
        </w:rPr>
        <w:t>4.3.5.污水管、沟设计</w:t>
      </w:r>
      <w:bookmarkEnd w:id="75"/>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厂区管网主要包括工艺污水管、工艺污泥管、空气管、超越/溢流管、给水管、回用水管、雨水管、污水管、电力沟/加药管沟等管线，共计10余种。管线的布置原则为：</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（1）满足各种管道的功能及使用要求；</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（2）各管线的平面及竖向必须保证足够的管道布置空间；</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（3）重力管道应充分利用地形坡度，尽可能顺坡布置；</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（4）各构筑物之间连接管道尽量以直线形式布置，缩短距离，减少交叉；</w:t>
      </w:r>
    </w:p>
    <w:p>
      <w:pPr>
        <w:pStyle w:val="10"/>
        <w:spacing w:before="0" w:after="0" w:line="360" w:lineRule="auto"/>
        <w:ind w:firstLine="480" w:firstLineChars="200"/>
        <w:jc w:val="both"/>
        <w:rPr>
          <w:rFonts w:hint="default" w:ascii="Times New Roman" w:hAnsi="Times New Roman" w:eastAsia="宋体" w:cs="Times New Roman"/>
          <w:color w:val="auto"/>
          <w:kern w:val="2"/>
          <w:szCs w:val="24"/>
          <w:highlight w:val="none"/>
          <w:lang w:eastAsia="zh-CN"/>
        </w:rPr>
      </w:pPr>
      <w:r>
        <w:rPr>
          <w:rFonts w:hint="default" w:ascii="Times New Roman" w:hAnsi="Times New Roman" w:cs="Times New Roman"/>
          <w:color w:val="auto"/>
          <w:kern w:val="2"/>
          <w:szCs w:val="24"/>
          <w:highlight w:val="none"/>
        </w:rPr>
        <w:t>（5）当交叉管线高程发生矛盾时，按照小管让大管、压力管让重力管的布置原则</w:t>
      </w:r>
      <w:r>
        <w:rPr>
          <w:rFonts w:hint="default" w:ascii="Times New Roman" w:hAnsi="Times New Roman" w:cs="Times New Roman"/>
          <w:color w:val="auto"/>
          <w:kern w:val="2"/>
          <w:szCs w:val="24"/>
          <w:highlight w:val="none"/>
          <w:lang w:eastAsia="zh-CN"/>
        </w:rPr>
        <w:t>。</w:t>
      </w:r>
    </w:p>
    <w:p>
      <w:pPr>
        <w:pStyle w:val="10"/>
        <w:spacing w:before="0" w:after="0" w:line="360" w:lineRule="auto"/>
        <w:jc w:val="both"/>
        <w:outlineLvl w:val="1"/>
        <w:rPr>
          <w:rFonts w:hint="default" w:ascii="Times New Roman" w:hAnsi="Times New Roman" w:cs="Times New Roman"/>
          <w:b/>
          <w:bCs/>
          <w:color w:val="auto"/>
          <w:kern w:val="2"/>
          <w:szCs w:val="24"/>
          <w:highlight w:val="none"/>
        </w:rPr>
      </w:pPr>
      <w:bookmarkStart w:id="76" w:name="_Toc29450"/>
      <w:r>
        <w:rPr>
          <w:rFonts w:hint="default" w:ascii="Times New Roman" w:hAnsi="Times New Roman" w:cs="Times New Roman"/>
          <w:b/>
          <w:bCs/>
          <w:color w:val="auto"/>
          <w:kern w:val="2"/>
          <w:szCs w:val="24"/>
          <w:highlight w:val="none"/>
        </w:rPr>
        <w:t>4.4.废污水处理措施及影响</w:t>
      </w:r>
      <w:bookmarkEnd w:id="76"/>
    </w:p>
    <w:p>
      <w:pPr>
        <w:pStyle w:val="10"/>
        <w:spacing w:before="0" w:after="0" w:line="360" w:lineRule="auto"/>
        <w:ind w:firstLine="480" w:firstLineChars="200"/>
        <w:jc w:val="both"/>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本工程建成后，收集进入本污水处理厂的废水将达到《城镇污水处理厂污染物排放标准》(GB181918-2002）一级B标准后再进行排放，滔溪排污口河段水质没有发生改变，本工程为区域污水收集处理工程，将拦截大量的可能直接排入滔溪的生活污水，可在一定程度上缓解居民生活污水对此河段的污染，能够大大削减区域内排水的污染物排放量，相比生活污水未被处理随意排放的情形，可减少生活污水污染物对水域的冲击，但仍需占用部分水域纳污能力。</w:t>
      </w:r>
    </w:p>
    <w:p>
      <w:pPr>
        <w:pStyle w:val="10"/>
        <w:spacing w:before="0" w:after="0" w:line="360" w:lineRule="auto"/>
        <w:jc w:val="both"/>
        <w:outlineLvl w:val="1"/>
        <w:rPr>
          <w:rFonts w:hint="default" w:ascii="Times New Roman" w:hAnsi="Times New Roman" w:cs="Times New Roman"/>
          <w:b/>
          <w:bCs/>
          <w:color w:val="auto"/>
          <w:kern w:val="2"/>
          <w:szCs w:val="24"/>
          <w:highlight w:val="none"/>
        </w:rPr>
      </w:pPr>
      <w:bookmarkStart w:id="77" w:name="_Toc30093"/>
      <w:r>
        <w:rPr>
          <w:rFonts w:hint="default" w:ascii="Times New Roman" w:hAnsi="Times New Roman" w:cs="Times New Roman"/>
          <w:b/>
          <w:bCs/>
          <w:color w:val="auto"/>
          <w:kern w:val="2"/>
          <w:szCs w:val="24"/>
          <w:highlight w:val="none"/>
        </w:rPr>
        <w:t>4.5.入河排污口设置方案</w:t>
      </w:r>
      <w:bookmarkEnd w:id="77"/>
    </w:p>
    <w:p>
      <w:pPr>
        <w:wordWrap w:val="0"/>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安化县滔溪镇污水处理厂处理规模250m³/d，设置的排污口坐标为东经东经111.593244292°，北纬28.351393649°，出水执行《城镇污水处理厂污染物排放标准》（GB18918-2002）一级B标准。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入河排污口地点：</w:t>
      </w:r>
      <w:r>
        <w:rPr>
          <w:rFonts w:hint="default" w:ascii="Times New Roman" w:hAnsi="Times New Roman" w:cs="Times New Roman"/>
          <w:color w:val="auto"/>
          <w:sz w:val="24"/>
          <w:szCs w:val="24"/>
          <w:highlight w:val="none"/>
          <w:u w:val="single"/>
        </w:rPr>
        <w:t>湖南省益阳市安化县滔溪镇滔溪社区</w:t>
      </w:r>
    </w:p>
    <w:p>
      <w:pPr>
        <w:spacing w:line="360" w:lineRule="auto"/>
        <w:ind w:firstLine="480" w:firstLineChars="200"/>
        <w:jc w:val="left"/>
        <w:rPr>
          <w:rFonts w:hint="default" w:ascii="Times New Roman" w:hAnsi="Times New Roman" w:cs="Times New Roman"/>
          <w:color w:val="auto"/>
          <w:sz w:val="24"/>
          <w:szCs w:val="24"/>
          <w:highlight w:val="none"/>
          <w:u w:val="single"/>
        </w:rPr>
      </w:pPr>
      <w:r>
        <w:rPr>
          <w:rFonts w:hint="default" w:ascii="Times New Roman" w:hAnsi="Times New Roman" w:cs="Times New Roman"/>
          <w:bCs/>
          <w:color w:val="auto"/>
          <w:sz w:val="24"/>
          <w:highlight w:val="none"/>
          <w:u w:val="single"/>
        </w:rPr>
        <w:t>入河排污口位</w:t>
      </w:r>
      <w:r>
        <w:rPr>
          <w:rFonts w:hint="default" w:ascii="Times New Roman" w:hAnsi="Times New Roman" w:cs="Times New Roman"/>
          <w:color w:val="auto"/>
          <w:sz w:val="24"/>
          <w:szCs w:val="24"/>
          <w:highlight w:val="none"/>
          <w:u w:val="single"/>
        </w:rPr>
        <w:t>置：东经111.593244292°，北纬28.351393649°</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入河排污口类型：新建</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入河排污口分类：生活污水入河排污口</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排放方式：连续排放</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入河方式：管道</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排入水体名称：滔溪</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排入的水功能区：滔溪安化滔溪镇保留区</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入河排污口废水排放量：91250m</w:t>
      </w:r>
      <w:r>
        <w:rPr>
          <w:rFonts w:hint="default" w:ascii="Times New Roman" w:hAnsi="Times New Roman" w:cs="Times New Roman"/>
          <w:bCs/>
          <w:color w:val="auto"/>
          <w:sz w:val="24"/>
          <w:highlight w:val="none"/>
          <w:u w:val="single"/>
          <w:vertAlign w:val="superscript"/>
        </w:rPr>
        <w:t>3</w:t>
      </w:r>
      <w:r>
        <w:rPr>
          <w:rFonts w:hint="default" w:ascii="Times New Roman" w:hAnsi="Times New Roman" w:cs="Times New Roman"/>
          <w:bCs/>
          <w:color w:val="auto"/>
          <w:sz w:val="24"/>
          <w:highlight w:val="none"/>
          <w:u w:val="single"/>
        </w:rPr>
        <w:t>/d</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入河排污口名称：</w:t>
      </w:r>
      <w:r>
        <w:rPr>
          <w:rFonts w:hint="default" w:ascii="Times New Roman" w:hAnsi="Times New Roman" w:cs="Times New Roman"/>
          <w:bCs/>
          <w:color w:val="auto"/>
          <w:sz w:val="24"/>
          <w:szCs w:val="24"/>
          <w:highlight w:val="none"/>
          <w:u w:val="single"/>
        </w:rPr>
        <w:t>安化县滔溪镇污水处理厂</w:t>
      </w:r>
      <w:r>
        <w:rPr>
          <w:rFonts w:hint="default" w:ascii="Times New Roman" w:hAnsi="Times New Roman" w:cs="Times New Roman"/>
          <w:bCs/>
          <w:color w:val="auto"/>
          <w:sz w:val="24"/>
          <w:highlight w:val="none"/>
          <w:u w:val="single"/>
        </w:rPr>
        <w:t>废水入河排污口</w:t>
      </w:r>
    </w:p>
    <w:p>
      <w:pPr>
        <w:pStyle w:val="10"/>
        <w:spacing w:before="0" w:after="0" w:line="360" w:lineRule="auto"/>
        <w:ind w:firstLine="480" w:firstLineChars="200"/>
        <w:jc w:val="both"/>
        <w:rPr>
          <w:rFonts w:hint="default" w:ascii="Times New Roman" w:hAnsi="Times New Roman" w:cs="Times New Roman"/>
          <w:bCs/>
          <w:color w:val="auto"/>
          <w:highlight w:val="none"/>
          <w:u w:val="singl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bCs/>
          <w:color w:val="auto"/>
          <w:highlight w:val="none"/>
          <w:u w:val="single"/>
        </w:rPr>
        <w:t>各污染物排放浓度及排放量为：COD：5.475</w:t>
      </w:r>
      <w:r>
        <w:rPr>
          <w:rFonts w:hint="default" w:ascii="Times New Roman" w:hAnsi="Times New Roman" w:cs="Times New Roman"/>
          <w:bCs/>
          <w:color w:val="auto"/>
          <w:szCs w:val="21"/>
          <w:highlight w:val="none"/>
          <w:u w:val="single"/>
        </w:rPr>
        <w:t>t/a（60mg/L）、</w:t>
      </w:r>
      <w:r>
        <w:rPr>
          <w:rFonts w:hint="default" w:ascii="Times New Roman" w:hAnsi="Times New Roman" w:cs="Times New Roman"/>
          <w:bCs/>
          <w:color w:val="auto"/>
          <w:highlight w:val="none"/>
          <w:u w:val="single"/>
        </w:rPr>
        <w:t>BOD</w:t>
      </w:r>
      <w:r>
        <w:rPr>
          <w:rFonts w:hint="default" w:ascii="Times New Roman" w:hAnsi="Times New Roman" w:cs="Times New Roman"/>
          <w:bCs/>
          <w:color w:val="auto"/>
          <w:highlight w:val="none"/>
          <w:u w:val="single"/>
          <w:vertAlign w:val="subscript"/>
        </w:rPr>
        <w:t>5</w:t>
      </w:r>
      <w:r>
        <w:rPr>
          <w:rFonts w:hint="default" w:ascii="Times New Roman" w:hAnsi="Times New Roman" w:cs="Times New Roman"/>
          <w:bCs/>
          <w:color w:val="auto"/>
          <w:szCs w:val="21"/>
          <w:highlight w:val="none"/>
          <w:u w:val="single"/>
        </w:rPr>
        <w:t>：1.825t/a（20mg/L）、</w:t>
      </w:r>
      <w:r>
        <w:rPr>
          <w:rFonts w:hint="default" w:ascii="Times New Roman" w:hAnsi="Times New Roman" w:cs="Times New Roman"/>
          <w:bCs/>
          <w:color w:val="auto"/>
          <w:highlight w:val="none"/>
          <w:u w:val="single"/>
        </w:rPr>
        <w:t>SS：</w:t>
      </w:r>
      <w:r>
        <w:rPr>
          <w:rFonts w:hint="default" w:ascii="Times New Roman" w:hAnsi="Times New Roman" w:cs="Times New Roman"/>
          <w:bCs/>
          <w:color w:val="auto"/>
          <w:szCs w:val="21"/>
          <w:highlight w:val="none"/>
          <w:u w:val="single"/>
        </w:rPr>
        <w:t>1.825t/a（20mg/L）、</w:t>
      </w:r>
      <w:r>
        <w:rPr>
          <w:rFonts w:hint="default" w:ascii="Times New Roman" w:hAnsi="Times New Roman" w:cs="Times New Roman"/>
          <w:bCs/>
          <w:color w:val="auto"/>
          <w:highlight w:val="none"/>
          <w:u w:val="single"/>
        </w:rPr>
        <w:t>氨氮：0.73t/a（8mg/L）、1.369</w:t>
      </w:r>
      <w:r>
        <w:rPr>
          <w:rFonts w:hint="default" w:ascii="Times New Roman" w:hAnsi="Times New Roman" w:cs="Times New Roman"/>
          <w:bCs/>
          <w:color w:val="auto"/>
          <w:kern w:val="2"/>
          <w:szCs w:val="24"/>
          <w:highlight w:val="none"/>
          <w:u w:val="single"/>
        </w:rPr>
        <w:t>t/a</w:t>
      </w:r>
      <w:r>
        <w:rPr>
          <w:rFonts w:hint="default" w:ascii="Times New Roman" w:hAnsi="Times New Roman" w:cs="Times New Roman"/>
          <w:bCs/>
          <w:color w:val="auto"/>
          <w:szCs w:val="21"/>
          <w:highlight w:val="none"/>
          <w:u w:val="single"/>
        </w:rPr>
        <w:t>（15mg/L）、</w:t>
      </w:r>
      <w:r>
        <w:rPr>
          <w:rFonts w:hint="default" w:ascii="Times New Roman" w:hAnsi="Times New Roman" w:cs="Times New Roman"/>
          <w:bCs/>
          <w:color w:val="auto"/>
          <w:highlight w:val="none"/>
          <w:u w:val="single"/>
        </w:rPr>
        <w:t>TN：</w:t>
      </w:r>
      <w:r>
        <w:rPr>
          <w:rFonts w:hint="default" w:ascii="Times New Roman" w:hAnsi="Times New Roman" w:cs="Times New Roman"/>
          <w:bCs/>
          <w:color w:val="auto"/>
          <w:szCs w:val="21"/>
          <w:highlight w:val="none"/>
          <w:u w:val="single"/>
        </w:rPr>
        <w:t>1.825t/a（20mg/L）、</w:t>
      </w:r>
      <w:r>
        <w:rPr>
          <w:rFonts w:hint="default" w:ascii="Times New Roman" w:hAnsi="Times New Roman" w:cs="Times New Roman"/>
          <w:bCs/>
          <w:color w:val="auto"/>
          <w:highlight w:val="none"/>
          <w:u w:val="single"/>
        </w:rPr>
        <w:t>TP：</w:t>
      </w:r>
      <w:r>
        <w:rPr>
          <w:rFonts w:hint="default" w:ascii="Times New Roman" w:hAnsi="Times New Roman" w:cs="Times New Roman"/>
          <w:bCs/>
          <w:color w:val="auto"/>
          <w:kern w:val="2"/>
          <w:szCs w:val="24"/>
          <w:highlight w:val="none"/>
          <w:u w:val="single"/>
        </w:rPr>
        <w:t>0.091t/a</w:t>
      </w:r>
      <w:r>
        <w:rPr>
          <w:rFonts w:hint="default" w:ascii="Times New Roman" w:hAnsi="Times New Roman" w:cs="Times New Roman"/>
          <w:bCs/>
          <w:color w:val="auto"/>
          <w:szCs w:val="21"/>
          <w:highlight w:val="none"/>
          <w:u w:val="single"/>
        </w:rPr>
        <w:t>（1mg/L）。</w:t>
      </w:r>
    </w:p>
    <w:p>
      <w:pPr>
        <w:spacing w:line="360" w:lineRule="auto"/>
        <w:jc w:val="center"/>
        <w:outlineLvl w:val="0"/>
        <w:rPr>
          <w:rFonts w:hint="default" w:ascii="Times New Roman" w:hAnsi="Times New Roman" w:cs="Times New Roman"/>
          <w:bCs/>
          <w:color w:val="auto"/>
          <w:sz w:val="24"/>
          <w:highlight w:val="none"/>
        </w:rPr>
      </w:pPr>
      <w:bookmarkStart w:id="78" w:name="_Toc11842"/>
      <w:r>
        <w:rPr>
          <w:rFonts w:hint="default" w:ascii="Times New Roman" w:hAnsi="Times New Roman" w:cs="Times New Roman"/>
          <w:b/>
          <w:bCs/>
          <w:color w:val="auto"/>
          <w:kern w:val="0"/>
          <w:sz w:val="32"/>
          <w:szCs w:val="32"/>
          <w:highlight w:val="none"/>
        </w:rPr>
        <w:t>5  入河排污口设置可行性分析</w:t>
      </w:r>
      <w:bookmarkEnd w:id="78"/>
    </w:p>
    <w:p>
      <w:pPr>
        <w:spacing w:line="360" w:lineRule="auto"/>
        <w:jc w:val="left"/>
        <w:outlineLvl w:val="1"/>
        <w:rPr>
          <w:rFonts w:hint="default" w:ascii="Times New Roman" w:hAnsi="Times New Roman" w:cs="Times New Roman"/>
          <w:b/>
          <w:color w:val="auto"/>
          <w:sz w:val="24"/>
          <w:highlight w:val="none"/>
        </w:rPr>
      </w:pPr>
      <w:bookmarkStart w:id="79" w:name="_Toc15894"/>
      <w:r>
        <w:rPr>
          <w:rFonts w:hint="default" w:ascii="Times New Roman" w:hAnsi="Times New Roman" w:cs="Times New Roman"/>
          <w:b/>
          <w:color w:val="auto"/>
          <w:sz w:val="24"/>
          <w:highlight w:val="none"/>
        </w:rPr>
        <w:t>5.1.水功能区（水域）对入河排污口的设置要求</w:t>
      </w:r>
      <w:bookmarkEnd w:id="79"/>
    </w:p>
    <w:p>
      <w:pPr>
        <w:spacing w:line="360" w:lineRule="auto"/>
        <w:ind w:firstLine="482" w:firstLineChars="200"/>
        <w:jc w:val="left"/>
        <w:outlineLvl w:val="2"/>
        <w:rPr>
          <w:rFonts w:hint="default" w:ascii="Times New Roman" w:hAnsi="Times New Roman" w:cs="Times New Roman"/>
          <w:bCs/>
          <w:color w:val="auto"/>
          <w:sz w:val="24"/>
          <w:highlight w:val="none"/>
        </w:rPr>
      </w:pPr>
      <w:bookmarkStart w:id="80" w:name="_Toc12464"/>
      <w:r>
        <w:rPr>
          <w:rFonts w:hint="default" w:ascii="Times New Roman" w:hAnsi="Times New Roman" w:cs="Times New Roman"/>
          <w:b/>
          <w:color w:val="auto"/>
          <w:sz w:val="24"/>
          <w:highlight w:val="none"/>
        </w:rPr>
        <w:t>5.1.1.与产业政策、区域入河排污口布设规划符合性分析</w:t>
      </w:r>
      <w:bookmarkEnd w:id="80"/>
    </w:p>
    <w:p>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本污水处理工程不属于《产业结构调整指导目录（2019年本)》修正版规定的限制类、淘汰类中，项目属符合国家法律、法规相关政策。</w:t>
      </w:r>
    </w:p>
    <w:p>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项目所在区域无入河排污口布设规划。</w:t>
      </w:r>
    </w:p>
    <w:p>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《湖南省贯彻落实&lt;水污染防治行动计划&gt;实施方案（2016-2020年）》中提出“强化城镇生活污染治理，加快城镇污水处理设施建设与改造”，因此，安化县滔溪镇污水处理厂建设符合国家水污染防治规划。</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1" w:name="_Toc17103"/>
      <w:r>
        <w:rPr>
          <w:rFonts w:hint="default" w:ascii="Times New Roman" w:hAnsi="Times New Roman" w:cs="Times New Roman"/>
          <w:b/>
          <w:color w:val="auto"/>
          <w:sz w:val="24"/>
          <w:highlight w:val="none"/>
        </w:rPr>
        <w:t>5.1.2.与地方国家经济与城镇发展规划符合性分析</w:t>
      </w:r>
      <w:bookmarkEnd w:id="81"/>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安化县滔溪镇污水处理厂有利于区域水环境的改善，是滔溪镇重点环保基础设施工程。因此项目建设符合安化县滔溪镇的发展规划。</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2" w:name="_Toc7707"/>
      <w:r>
        <w:rPr>
          <w:rFonts w:hint="default" w:ascii="Times New Roman" w:hAnsi="Times New Roman" w:cs="Times New Roman"/>
          <w:b/>
          <w:color w:val="auto"/>
          <w:sz w:val="24"/>
          <w:highlight w:val="none"/>
        </w:rPr>
        <w:t>5.1.3.与水资源管理和环保要求符合性分析</w:t>
      </w:r>
      <w:bookmarkEnd w:id="82"/>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收集处理纳污范围内的生活污水达标后排放，截留了直接进入滔溪的生活污水，消减了进入水体的污染物量，也便于集中处理及管理，确保达标排放，环境效益明显。因此，本工程的建设符合水资源管理、环保要求。</w:t>
      </w:r>
    </w:p>
    <w:p>
      <w:pPr>
        <w:spacing w:line="360" w:lineRule="auto"/>
        <w:ind w:firstLine="482" w:firstLineChars="200"/>
        <w:jc w:val="left"/>
        <w:outlineLvl w:val="2"/>
        <w:rPr>
          <w:rFonts w:hint="default" w:ascii="Times New Roman" w:hAnsi="Times New Roman" w:cs="Times New Roman"/>
          <w:bCs/>
          <w:color w:val="auto"/>
          <w:sz w:val="24"/>
          <w:highlight w:val="none"/>
        </w:rPr>
      </w:pPr>
      <w:bookmarkStart w:id="83" w:name="_Toc10478"/>
      <w:r>
        <w:rPr>
          <w:rFonts w:hint="default" w:ascii="Times New Roman" w:hAnsi="Times New Roman" w:cs="Times New Roman"/>
          <w:b/>
          <w:color w:val="auto"/>
          <w:sz w:val="24"/>
          <w:highlight w:val="none"/>
        </w:rPr>
        <w:t>5.1.4.与水功能区管理要求符合性分析</w:t>
      </w:r>
      <w:bookmarkEnd w:id="83"/>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根据《中华人民共和国水法》，在全国范围内对江河、湖泊、水库、运河、渠道等地表水体实行水功能区管理，水功能区划采用两级体系，一级水功能区分四类：保护区、保留区、开发利用区和缓冲区；二级区划在一级功能区划的开发利用区内分为七类：饮用水源区、工业用水区、渔业用水区、景观娱乐用水区、农业用水区、过渡区、排污控制区。</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根据水利部颁布，于2003年7月1日实施的《水功能区管理办法》(水资源[2003]233号文)第九条之规定：水功能区的管理应执行水功能区划确定的保护目标。保护区禁止进行不利于功能保护的活动，同时应遵守现行法律法规的规定。同时根据《湖南省一级水功能区划》，排污口纳污河流属于滔溪安化滔溪镇保留区</w:t>
      </w:r>
      <w:r>
        <w:rPr>
          <w:rFonts w:hint="default" w:ascii="Times New Roman" w:hAnsi="Times New Roman" w:cs="Times New Roman"/>
          <w:color w:val="auto"/>
          <w:sz w:val="24"/>
          <w:szCs w:val="24"/>
          <w:highlight w:val="none"/>
          <w:u w:val="single"/>
        </w:rPr>
        <w:t>，河流目前的主要功能为灌溉，水质管理目标为Ⅱ类</w:t>
      </w:r>
      <w:r>
        <w:rPr>
          <w:rFonts w:hint="default" w:ascii="Times New Roman" w:hAnsi="Times New Roman" w:cs="Times New Roman"/>
          <w:bCs/>
          <w:color w:val="auto"/>
          <w:sz w:val="24"/>
          <w:highlight w:val="none"/>
          <w:u w:val="single"/>
        </w:rPr>
        <w:t>。</w:t>
      </w:r>
    </w:p>
    <w:p>
      <w:pPr>
        <w:pStyle w:val="10"/>
        <w:spacing w:before="0" w:after="0" w:line="360" w:lineRule="auto"/>
        <w:ind w:firstLine="480" w:firstLineChars="200"/>
        <w:jc w:val="both"/>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lang w:val="en-US" w:eastAsia="zh-CN"/>
        </w:rPr>
        <w:t>根据调查和收集资料，</w:t>
      </w:r>
      <w:r>
        <w:rPr>
          <w:rFonts w:hint="default" w:ascii="Times New Roman" w:hAnsi="Times New Roman" w:cs="Times New Roman"/>
          <w:bCs/>
          <w:color w:val="auto"/>
          <w:sz w:val="24"/>
          <w:highlight w:val="none"/>
          <w:u w:val="single"/>
        </w:rPr>
        <w:t>安化县</w:t>
      </w:r>
      <w:r>
        <w:rPr>
          <w:rFonts w:hint="default" w:ascii="Times New Roman" w:hAnsi="Times New Roman" w:cs="Times New Roman"/>
          <w:bCs/>
          <w:color w:val="auto"/>
          <w:sz w:val="24"/>
          <w:highlight w:val="none"/>
          <w:u w:val="single"/>
          <w:lang w:val="en-US" w:eastAsia="zh-CN"/>
        </w:rPr>
        <w:t>滔溪镇有乡镇水厂一座，其取水口位于滔溪支流朱阳溪汇入口上游6.7km，该支流汇入口位于安化县滔溪镇污水处理厂滔溪排放口上游1.7km处，其位置关系详见附图4《污水处理厂排放口与滔溪水厂朱阳溪饮用水水源保护区取水口相对关系图》，因此</w:t>
      </w:r>
      <w:r>
        <w:rPr>
          <w:rFonts w:hint="default" w:ascii="Times New Roman" w:hAnsi="Times New Roman" w:cs="Times New Roman"/>
          <w:bCs/>
          <w:color w:val="auto"/>
          <w:sz w:val="24"/>
          <w:highlight w:val="none"/>
          <w:u w:val="single"/>
        </w:rPr>
        <w:t>本入河排污口不涉及生活饮用水一、二级保护区。</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4" w:name="_Toc32065"/>
      <w:r>
        <w:rPr>
          <w:rFonts w:hint="default" w:ascii="Times New Roman" w:hAnsi="Times New Roman" w:cs="Times New Roman"/>
          <w:b/>
          <w:color w:val="auto"/>
          <w:sz w:val="24"/>
          <w:highlight w:val="none"/>
        </w:rPr>
        <w:t>5.1.5.与《中华人民共和国水法》符合性分析</w:t>
      </w:r>
      <w:bookmarkEnd w:id="84"/>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根据《中华人民共和国水法》（主席令四十八号，2016年）：“第三十二条 县级以上人民政府水行政主管部门或者流域管理机构应当按照水功能区对水质的要求和水体的自然净化能力，核定该水域的纳污能力，向环境保护行政主管部门提出该水域的限制排污总量意见。”由于益阳市该河段段未提出限制排污总量，根据《入河排污口管理技术导则》（SL532-2011），未提出限制排污总量意见，以不超过纳污能力为限。“第三十四条 禁止在饮用水水源保护区内设置排污口。在江河、湖泊新建、改建或者扩大排污口，应当经过有管辖权的水行政主管部门或者流域管理机构同意，由环境保护行政主管部门负责对该建设项目的环境影响报告书进行审批。”</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滔溪水质现状良好，纳污能力较强，具备足够的容量消纳安化县滔溪镇污水处理厂外排的废污水。安化县滔溪镇污水处理厂入河排污口位置不在饮用水水源保护区范围内</w:t>
      </w:r>
      <w:r>
        <w:rPr>
          <w:rFonts w:hint="default" w:ascii="Times New Roman" w:hAnsi="Times New Roman" w:cs="Times New Roman"/>
          <w:bCs/>
          <w:color w:val="auto"/>
          <w:sz w:val="24"/>
          <w:highlight w:val="none"/>
          <w:u w:val="single"/>
        </w:rPr>
        <w:t>（</w:t>
      </w:r>
      <w:r>
        <w:rPr>
          <w:rFonts w:hint="default" w:ascii="Times New Roman" w:hAnsi="Times New Roman" w:cs="Times New Roman"/>
          <w:bCs/>
          <w:color w:val="auto"/>
          <w:sz w:val="24"/>
          <w:highlight w:val="none"/>
          <w:u w:val="single"/>
          <w:lang w:val="en-US" w:eastAsia="zh-CN"/>
        </w:rPr>
        <w:t>所在乡镇水厂取水口在滔溪支流朱阳溪汇入口上游6.7km，该支流汇入口位于安化县滔溪镇污水处理厂滔溪排放口上游1.7km处）</w:t>
      </w:r>
      <w:r>
        <w:rPr>
          <w:rFonts w:hint="default" w:ascii="Times New Roman" w:hAnsi="Times New Roman" w:cs="Times New Roman"/>
          <w:bCs/>
          <w:color w:val="auto"/>
          <w:sz w:val="24"/>
          <w:highlight w:val="none"/>
        </w:rPr>
        <w:t>。综上所述，安化县滔溪镇污水处理厂入河排污口设置符合《中华人民共和国水法》规定。</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5" w:name="_Toc272"/>
      <w:r>
        <w:rPr>
          <w:rFonts w:hint="default" w:ascii="Times New Roman" w:hAnsi="Times New Roman" w:cs="Times New Roman"/>
          <w:b/>
          <w:color w:val="auto"/>
          <w:sz w:val="24"/>
          <w:highlight w:val="none"/>
        </w:rPr>
        <w:t>5.1.6.与《中华人民共和国渔业法》符合性分析</w:t>
      </w:r>
      <w:bookmarkEnd w:id="85"/>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中华人民共和国渔业法》（主席令2013年第8号）：“第三十五条进行水下爆破、勘探、施工作业，对渔业资源有严重影响的，作业单位应当事先同有关县级以上人民政府渔业行政主管部门协商，采取措施，防止或者减少对渔业资源的损害；造成渔业资源损失的，由有关县级以上人民政府责令赔偿。”安化县滔溪镇污水处理厂入河排污口设置不涉及水下爆破、勘探、施工作业，符合《中华人民共和国渔业法》相关规定要求。</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6" w:name="_Toc5570"/>
      <w:r>
        <w:rPr>
          <w:rFonts w:hint="default" w:ascii="Times New Roman" w:hAnsi="Times New Roman" w:cs="Times New Roman"/>
          <w:b/>
          <w:color w:val="auto"/>
          <w:sz w:val="24"/>
          <w:highlight w:val="none"/>
        </w:rPr>
        <w:t>5.1.7.与《入河排污口监督管理办法》符合性分析</w:t>
      </w:r>
      <w:bookmarkEnd w:id="86"/>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安化县滔溪镇污水处理厂入河排污口位于</w:t>
      </w:r>
      <w:r>
        <w:rPr>
          <w:rFonts w:hint="default" w:ascii="Times New Roman" w:hAnsi="Times New Roman" w:cs="Times New Roman"/>
          <w:color w:val="auto"/>
          <w:sz w:val="24"/>
          <w:szCs w:val="24"/>
          <w:highlight w:val="none"/>
        </w:rPr>
        <w:t>湖南省益阳市安化县滔溪镇滔溪社区</w:t>
      </w:r>
      <w:r>
        <w:rPr>
          <w:rFonts w:hint="default" w:ascii="Times New Roman" w:hAnsi="Times New Roman" w:cs="Times New Roman"/>
          <w:bCs/>
          <w:color w:val="auto"/>
          <w:sz w:val="24"/>
          <w:highlight w:val="none"/>
        </w:rPr>
        <w:t>，外排废污水通过管道进入河流。根据现场勘查及查阅相关资料，安化县滔溪镇污水处理厂入河排污口位置不在饮用水水源保护区范围内；根据《《湖南省一级水功能区划》，安化县滔溪镇污水处理厂入河排污口排污口纳污河流为滔溪安化滔溪镇保留区</w:t>
      </w:r>
      <w:r>
        <w:rPr>
          <w:rFonts w:hint="default" w:ascii="Times New Roman" w:hAnsi="Times New Roman" w:cs="Times New Roman"/>
          <w:color w:val="auto"/>
          <w:sz w:val="24"/>
          <w:szCs w:val="24"/>
          <w:highlight w:val="none"/>
        </w:rPr>
        <w:t>，河流目前的主要功能为灌溉，水质管理目标为Ⅱ类</w:t>
      </w:r>
      <w:r>
        <w:rPr>
          <w:rFonts w:hint="default" w:ascii="Times New Roman" w:hAnsi="Times New Roman" w:cs="Times New Roman"/>
          <w:bCs/>
          <w:color w:val="auto"/>
          <w:sz w:val="24"/>
          <w:highlight w:val="none"/>
        </w:rPr>
        <w:t>，根据河段污染物河流二维模型计算，安化县滔溪镇污水处理厂污水排放不会对滔溪水质造成较大影响，不会影响其Ⅱ类地表水水质要求的水质管理目标。不属于水利部《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7" w:name="_Toc20480"/>
      <w:r>
        <w:rPr>
          <w:rFonts w:hint="default" w:ascii="Times New Roman" w:hAnsi="Times New Roman" w:cs="Times New Roman"/>
          <w:b/>
          <w:color w:val="auto"/>
          <w:sz w:val="24"/>
          <w:highlight w:val="none"/>
        </w:rPr>
        <w:t>5.1.8.与《湖南省入河排污口监督管理办法》符合性分析</w:t>
      </w:r>
      <w:bookmarkEnd w:id="87"/>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安化县滔溪镇污水处理厂入河排污口位于</w:t>
      </w:r>
      <w:r>
        <w:rPr>
          <w:rFonts w:hint="default" w:ascii="Times New Roman" w:hAnsi="Times New Roman" w:cs="Times New Roman"/>
          <w:color w:val="auto"/>
          <w:sz w:val="24"/>
          <w:szCs w:val="24"/>
          <w:highlight w:val="none"/>
        </w:rPr>
        <w:t>湖南省益阳市安化县滔溪镇滔溪社区</w:t>
      </w:r>
      <w:r>
        <w:rPr>
          <w:rFonts w:hint="default" w:ascii="Times New Roman" w:hAnsi="Times New Roman" w:cs="Times New Roman"/>
          <w:bCs/>
          <w:color w:val="auto"/>
          <w:sz w:val="24"/>
          <w:highlight w:val="none"/>
        </w:rPr>
        <w:t>，外排废污水通过管道进入河流。根据现场勘查及查阅相关资料，安化县滔溪镇污水处理厂入河排污口位置不在饮用水水源保护区范围内；根据《《湖南省一级水功能区划》，安化县滔溪镇污水处理厂入河排污口排污口纳污河流滔溪安化滔溪镇保留区</w:t>
      </w:r>
      <w:r>
        <w:rPr>
          <w:rFonts w:hint="default" w:ascii="Times New Roman" w:hAnsi="Times New Roman" w:cs="Times New Roman"/>
          <w:color w:val="auto"/>
          <w:sz w:val="24"/>
          <w:szCs w:val="24"/>
          <w:highlight w:val="none"/>
        </w:rPr>
        <w:t>，河流目前的主要功能为灌溉，水质管理目标为Ⅱ类</w:t>
      </w:r>
      <w:r>
        <w:rPr>
          <w:rFonts w:hint="default" w:ascii="Times New Roman" w:hAnsi="Times New Roman" w:cs="Times New Roman"/>
          <w:bCs/>
          <w:color w:val="auto"/>
          <w:sz w:val="24"/>
          <w:highlight w:val="none"/>
        </w:rPr>
        <w:t>，根据河段污染物河流二维模型计算，安化县滔溪镇污水处理厂污水排放不会对滔溪水质造成较大影响，不会影响其Ⅱ类地表水水质要求的水质管理目标。滔溪本次论证范围内无其他取水口，安化县滔溪镇污水处理厂排污口的设置不会影响滔溪防洪要求，排污口位置不在自然保护区、湿地公园内，符合国家法律法规和产业政策要求。不属于《湖南省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88" w:name="_Toc28215"/>
      <w:r>
        <w:rPr>
          <w:rFonts w:hint="default" w:ascii="Times New Roman" w:hAnsi="Times New Roman" w:cs="Times New Roman"/>
          <w:b/>
          <w:color w:val="auto"/>
          <w:sz w:val="24"/>
          <w:highlight w:val="none"/>
        </w:rPr>
        <w:t>5.1.9.水域纳污能力限制可行性分析</w:t>
      </w:r>
      <w:bookmarkEnd w:id="88"/>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与《入河排污口设置论证报告技术导则》（征求意见稿）可行性分析结论对比分析</w:t>
      </w:r>
    </w:p>
    <w:p>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表5-1  入河排污口设置可行性分析结论对比分析</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500"/>
        <w:gridCol w:w="3305"/>
        <w:gridCol w:w="1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709"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3500"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明确事项</w:t>
            </w:r>
          </w:p>
        </w:tc>
        <w:tc>
          <w:tcPr>
            <w:tcW w:w="3305"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情况说明</w:t>
            </w:r>
          </w:p>
        </w:tc>
        <w:tc>
          <w:tcPr>
            <w:tcW w:w="1008"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设置单位建设项目是否符合国家法律法规和相关产业政策，是否符合区域产业结构布局和行业发展规划；</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安化县滔溪镇污水处理厂项目符合国家产业政策的要求，选址未占用基本农田，选址不属于当地城镇发展用地范围。项目选址不违背当地发展规划要求。</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设置单位已有建设项目的立项、施工、验收、运行是否合法依规，是否满足取水许可、清洁生产、达标排放与总量控制、水功能区限排、入河排污口管理等要求；</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项目立项、环评符合相关法规，外排的污水能够达标排放，符合总量控制要求。</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入河排污口设置位置是否符合入河排污口布设规划，可能影响范围内有无重要敏感保护目标；与第三方有无纠纷，以及纠纷是否已处理妥当； </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安化县滔溪镇污水处理厂入河排污口可能影响范围无重要敏感保护目标及第三方取水用户。</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入河排污口设置是否造成水功能区（水域）水质明显超标，或改变水功能区（水域）的水质类别；</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本项目外排水为生活污水，排放量低、污染物易于降解，不会造成水质超标或改变水质类型。</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入河排污口设置是否明显增加水功能区（水域）纳污总量，是否满足水功能区限排要求；</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本项目外排生活污水量较低，受纳水体纳污总量较好，本项目可满足水域限排要求。</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入河排污口设置对周边水生态是否产生重大影响，以及是否有相应保护措施；</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本项目外排污废水为生活污水，无一类污染物排放，不会对周边水生态噪声重大影响。</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入河排污口设置是否存在重大水污染事故风险因素，以及是否有相应防范措施；</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安化县滔溪镇污水处理厂不在水污染事故风险因素，厂区设有事故池，具有相应防范措施。</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入河排污工程方案是否满足地下水保护和河道管理要求；</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厂区地面采取混凝土硬化处理，有效阻隔项目废水污染物渗漏，满足地下水保护要求；不属于水利部《入河排污口监督管理办法》和《湖南省入河排污口监督管理办法》不予设置入河排污口的情形。</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3500"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入河排污口设置是否可行。对基本可行的，应提出可行的限制条件或方案调整意见。</w:t>
            </w:r>
          </w:p>
        </w:tc>
        <w:tc>
          <w:tcPr>
            <w:tcW w:w="3305"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安化县滔溪镇污水处理厂入河排污口可行，无制约因素。</w:t>
            </w:r>
          </w:p>
        </w:tc>
        <w:tc>
          <w:tcPr>
            <w:tcW w:w="1008"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综上分析，</w:t>
      </w:r>
      <w:r>
        <w:rPr>
          <w:rFonts w:hint="default" w:ascii="Times New Roman" w:hAnsi="Times New Roman" w:cs="Times New Roman"/>
          <w:color w:val="auto"/>
          <w:sz w:val="24"/>
          <w:szCs w:val="24"/>
          <w:highlight w:val="none"/>
        </w:rPr>
        <w:t>安化县滔溪镇污水处理厂</w:t>
      </w:r>
      <w:r>
        <w:rPr>
          <w:rFonts w:hint="default" w:ascii="Times New Roman" w:hAnsi="Times New Roman" w:cs="Times New Roman"/>
          <w:color w:val="auto"/>
          <w:sz w:val="24"/>
          <w:highlight w:val="none"/>
        </w:rPr>
        <w:t>入河排污口设置符合国家和省监督管理要求。受纳水体滔溪纳污能力较好，具备</w:t>
      </w:r>
      <w:r>
        <w:rPr>
          <w:rFonts w:hint="eastAsia" w:cs="Times New Roman"/>
          <w:color w:val="auto"/>
          <w:sz w:val="24"/>
          <w:highlight w:val="none"/>
          <w:lang w:eastAsia="zh-CN"/>
        </w:rPr>
        <w:t>消纳安化县</w:t>
      </w:r>
      <w:r>
        <w:rPr>
          <w:rFonts w:hint="default" w:ascii="Times New Roman" w:hAnsi="Times New Roman" w:cs="Times New Roman"/>
          <w:color w:val="auto"/>
          <w:sz w:val="24"/>
          <w:szCs w:val="24"/>
          <w:highlight w:val="none"/>
        </w:rPr>
        <w:t>滔溪镇污水处理厂</w:t>
      </w:r>
      <w:r>
        <w:rPr>
          <w:rFonts w:hint="default" w:ascii="Times New Roman" w:hAnsi="Times New Roman" w:cs="Times New Roman"/>
          <w:color w:val="auto"/>
          <w:sz w:val="24"/>
          <w:highlight w:val="none"/>
        </w:rPr>
        <w:t>排放的废污水污染物。污染物排放总量未超出生态环境主管部门限制排放总量。因此，本次论证认为</w:t>
      </w:r>
      <w:r>
        <w:rPr>
          <w:rFonts w:hint="default" w:ascii="Times New Roman" w:hAnsi="Times New Roman" w:cs="Times New Roman"/>
          <w:color w:val="auto"/>
          <w:sz w:val="24"/>
          <w:szCs w:val="24"/>
          <w:highlight w:val="none"/>
        </w:rPr>
        <w:t>安化县滔溪镇污水处理厂</w:t>
      </w:r>
      <w:r>
        <w:rPr>
          <w:rFonts w:hint="default" w:ascii="Times New Roman" w:hAnsi="Times New Roman" w:cs="Times New Roman"/>
          <w:color w:val="auto"/>
          <w:sz w:val="24"/>
          <w:highlight w:val="none"/>
        </w:rPr>
        <w:t>入河排污口设置可行。</w:t>
      </w:r>
    </w:p>
    <w:p>
      <w:pPr>
        <w:spacing w:line="360" w:lineRule="auto"/>
        <w:jc w:val="left"/>
        <w:outlineLvl w:val="1"/>
        <w:rPr>
          <w:rFonts w:hint="default" w:ascii="Times New Roman" w:hAnsi="Times New Roman" w:cs="Times New Roman"/>
          <w:b/>
          <w:color w:val="auto"/>
          <w:sz w:val="24"/>
          <w:highlight w:val="none"/>
        </w:rPr>
      </w:pPr>
      <w:bookmarkStart w:id="89" w:name="_Toc19180"/>
      <w:r>
        <w:rPr>
          <w:rFonts w:hint="default" w:ascii="Times New Roman" w:hAnsi="Times New Roman" w:cs="Times New Roman"/>
          <w:b/>
          <w:color w:val="auto"/>
          <w:sz w:val="24"/>
          <w:highlight w:val="none"/>
        </w:rPr>
        <w:t>5.2.水功能区（水域）纳污能力及限制排放总量</w:t>
      </w:r>
      <w:bookmarkEnd w:id="89"/>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本项目直接纳污水体为滔溪，为滔溪安化滔溪镇保留区</w:t>
      </w:r>
      <w:r>
        <w:rPr>
          <w:rFonts w:hint="default" w:ascii="Times New Roman" w:hAnsi="Times New Roman" w:cs="Times New Roman"/>
          <w:color w:val="auto"/>
          <w:sz w:val="24"/>
          <w:szCs w:val="24"/>
          <w:highlight w:val="none"/>
          <w:u w:val="single"/>
        </w:rPr>
        <w:t>，河流目前的主要功能为灌溉，水质管理目标为Ⅱ类</w:t>
      </w:r>
      <w:r>
        <w:rPr>
          <w:rFonts w:hint="default" w:ascii="Times New Roman" w:hAnsi="Times New Roman" w:cs="Times New Roman"/>
          <w:bCs/>
          <w:color w:val="auto"/>
          <w:sz w:val="24"/>
          <w:highlight w:val="none"/>
          <w:u w:val="single"/>
        </w:rPr>
        <w:t>。本次论证根据现状用水功能和下一级水功能区水质目标要求，按照《水域纳污能力计算规程》（GB/T25173-2010）的规定，结合河流现状实测水质资料，采用数学模型计算法，以项目入河排污口处下游为计算断面，核算确定其河段纳污能力。限制排放总量以不超过纳污能力为限。</w:t>
      </w:r>
    </w:p>
    <w:p>
      <w:pPr>
        <w:spacing w:line="360" w:lineRule="auto"/>
        <w:ind w:firstLine="482" w:firstLineChars="200"/>
        <w:jc w:val="left"/>
        <w:outlineLvl w:val="2"/>
        <w:rPr>
          <w:rFonts w:hint="default" w:ascii="Times New Roman" w:hAnsi="Times New Roman" w:cs="Times New Roman"/>
          <w:b/>
          <w:color w:val="auto"/>
          <w:sz w:val="24"/>
          <w:highlight w:val="none"/>
          <w:u w:val="single"/>
        </w:rPr>
      </w:pPr>
      <w:bookmarkStart w:id="90" w:name="_Toc29743"/>
      <w:r>
        <w:rPr>
          <w:rFonts w:hint="default" w:ascii="Times New Roman" w:hAnsi="Times New Roman" w:cs="Times New Roman"/>
          <w:b/>
          <w:color w:val="auto"/>
          <w:sz w:val="24"/>
          <w:highlight w:val="none"/>
          <w:u w:val="single"/>
        </w:rPr>
        <w:t>5.2.1.项目入河排污口处滔溪纳污能力核算</w:t>
      </w:r>
      <w:bookmarkEnd w:id="90"/>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（1）计算规程</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根据水功能区管理要求、《水纳污能力计算规程》（SL348-2006），结合河流现状实测水质资料，以纳污口上游500m处为计算断面，核算确定其河段纳污能力。</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本评价地表水环境影响预测采用完全混合模式计算，公式如下：</w:t>
      </w:r>
    </w:p>
    <w:p>
      <w:pPr>
        <w:spacing w:line="360" w:lineRule="auto"/>
        <w:ind w:firstLine="420" w:firstLineChars="200"/>
        <w:jc w:val="center"/>
        <w:rPr>
          <w:rFonts w:hint="default" w:ascii="Times New Roman" w:hAnsi="Times New Roman" w:cs="Times New Roman"/>
          <w:bCs/>
          <w:color w:val="auto"/>
          <w:highlight w:val="none"/>
          <w:u w:val="single"/>
          <w:vertAlign w:val="superscript"/>
        </w:rPr>
      </w:pPr>
      <w:r>
        <w:rPr>
          <w:rFonts w:hint="default" w:ascii="Times New Roman" w:hAnsi="Times New Roman" w:cs="Times New Roman"/>
          <w:bCs/>
          <w:color w:val="auto"/>
          <w:highlight w:val="none"/>
          <w:u w:val="single"/>
        </w:rPr>
        <w:drawing>
          <wp:inline distT="0" distB="0" distL="114300" distR="114300">
            <wp:extent cx="1641475" cy="277495"/>
            <wp:effectExtent l="0" t="0" r="0" b="0"/>
            <wp:docPr id="13" name="图片 10" descr="C:\Users\ADMINI~1\AppData\Local\Temp\ksohtml60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C:\Users\ADMINI~1\AppData\Local\Temp\ksohtml6060\wps1.png"/>
                    <pic:cNvPicPr>
                      <a:picLocks noChangeAspect="1"/>
                    </pic:cNvPicPr>
                  </pic:nvPicPr>
                  <pic:blipFill>
                    <a:blip r:embed="rId8"/>
                    <a:stretch>
                      <a:fillRect/>
                    </a:stretch>
                  </pic:blipFill>
                  <pic:spPr>
                    <a:xfrm>
                      <a:off x="0" y="0"/>
                      <a:ext cx="1641475" cy="277495"/>
                    </a:xfrm>
                    <a:prstGeom prst="rect">
                      <a:avLst/>
                    </a:prstGeom>
                    <a:noFill/>
                    <a:ln>
                      <a:noFill/>
                    </a:ln>
                  </pic:spPr>
                </pic:pic>
              </a:graphicData>
            </a:graphic>
          </wp:inline>
        </w:drawing>
      </w:r>
    </w:p>
    <w:p>
      <w:pPr>
        <w:spacing w:line="360" w:lineRule="auto"/>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式中：</w:t>
      </w:r>
      <w:r>
        <w:rPr>
          <w:rFonts w:hint="default" w:ascii="Times New Roman" w:hAnsi="Times New Roman" w:cs="Times New Roman"/>
          <w:bCs/>
          <w:color w:val="auto"/>
          <w:sz w:val="24"/>
          <w:highlight w:val="none"/>
          <w:u w:val="single"/>
        </w:rPr>
        <w:drawing>
          <wp:inline distT="0" distB="0" distL="114300" distR="114300">
            <wp:extent cx="209550" cy="172085"/>
            <wp:effectExtent l="0" t="0" r="3810" b="11430"/>
            <wp:docPr id="14" name="图片 11" descr="C:\Users\ADMINI~1\AppData\Local\Temp\ksohtml606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C:\Users\ADMINI~1\AppData\Local\Temp\ksohtml6060\wps2.png"/>
                    <pic:cNvPicPr>
                      <a:picLocks noChangeAspect="1"/>
                    </pic:cNvPicPr>
                  </pic:nvPicPr>
                  <pic:blipFill>
                    <a:blip r:embed="rId9"/>
                    <a:stretch>
                      <a:fillRect/>
                    </a:stretch>
                  </pic:blipFill>
                  <pic:spPr>
                    <a:xfrm>
                      <a:off x="0" y="0"/>
                      <a:ext cx="209550" cy="172085"/>
                    </a:xfrm>
                    <a:prstGeom prst="rect">
                      <a:avLst/>
                    </a:prstGeom>
                    <a:noFill/>
                    <a:ln>
                      <a:noFill/>
                    </a:ln>
                  </pic:spPr>
                </pic:pic>
              </a:graphicData>
            </a:graphic>
          </wp:inline>
        </w:drawing>
      </w:r>
      <w:r>
        <w:rPr>
          <w:rFonts w:hint="default" w:ascii="Times New Roman" w:hAnsi="Times New Roman" w:cs="Times New Roman"/>
          <w:bCs/>
          <w:color w:val="auto"/>
          <w:sz w:val="24"/>
          <w:highlight w:val="none"/>
          <w:u w:val="single"/>
        </w:rPr>
        <w:t>—水域纳污能力，g/s；</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u w:val="single"/>
        </w:rPr>
        <w:drawing>
          <wp:inline distT="0" distB="0" distL="114300" distR="114300">
            <wp:extent cx="209550" cy="224790"/>
            <wp:effectExtent l="0" t="0" r="3810" b="3175"/>
            <wp:docPr id="16" name="图片 12" descr="C:\Users\ADMINI~1\AppData\Local\Temp\ksohtml606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C:\Users\ADMINI~1\AppData\Local\Temp\ksohtml6060\wps3.png"/>
                    <pic:cNvPicPr>
                      <a:picLocks noChangeAspect="1"/>
                    </pic:cNvPicPr>
                  </pic:nvPicPr>
                  <pic:blipFill>
                    <a:blip r:embed="rId10"/>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auto"/>
          <w:sz w:val="24"/>
          <w:highlight w:val="none"/>
          <w:u w:val="single"/>
        </w:rPr>
        <w:t>—水质目标浓度值，mg/L；</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u w:val="single"/>
        </w:rPr>
        <w:drawing>
          <wp:inline distT="0" distB="0" distL="114300" distR="114300">
            <wp:extent cx="209550" cy="224790"/>
            <wp:effectExtent l="0" t="0" r="0" b="3175"/>
            <wp:docPr id="15" name="图片 13" descr="C:\Users\ADMINI~1\AppData\Local\Temp\ksohtml606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C:\Users\ADMINI~1\AppData\Local\Temp\ksohtml6060\wps4.png"/>
                    <pic:cNvPicPr>
                      <a:picLocks noChangeAspect="1"/>
                    </pic:cNvPicPr>
                  </pic:nvPicPr>
                  <pic:blipFill>
                    <a:blip r:embed="rId11"/>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auto"/>
          <w:sz w:val="24"/>
          <w:highlight w:val="none"/>
          <w:u w:val="single"/>
        </w:rPr>
        <w:t>—初始断面的污染物浓度，mg/L；</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u w:val="single"/>
        </w:rPr>
        <w:drawing>
          <wp:inline distT="0" distB="0" distL="114300" distR="114300">
            <wp:extent cx="149860" cy="209550"/>
            <wp:effectExtent l="0" t="0" r="2540" b="0"/>
            <wp:docPr id="17" name="图片 14" descr="C:\Users\ADMINI~1\AppData\Local\Temp\ksohtml606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C:\Users\ADMINI~1\AppData\Local\Temp\ksohtml6060\wps5.png"/>
                    <pic:cNvPicPr>
                      <a:picLocks noChangeAspect="1"/>
                    </pic:cNvPicPr>
                  </pic:nvPicPr>
                  <pic:blipFill>
                    <a:blip r:embed="rId12"/>
                    <a:stretch>
                      <a:fillRect/>
                    </a:stretch>
                  </pic:blipFill>
                  <pic:spPr>
                    <a:xfrm>
                      <a:off x="0" y="0"/>
                      <a:ext cx="149860" cy="209550"/>
                    </a:xfrm>
                    <a:prstGeom prst="rect">
                      <a:avLst/>
                    </a:prstGeom>
                    <a:noFill/>
                    <a:ln>
                      <a:noFill/>
                    </a:ln>
                  </pic:spPr>
                </pic:pic>
              </a:graphicData>
            </a:graphic>
          </wp:inline>
        </w:drawing>
      </w:r>
      <w:r>
        <w:rPr>
          <w:rFonts w:hint="default" w:ascii="Times New Roman" w:hAnsi="Times New Roman" w:cs="Times New Roman"/>
          <w:bCs/>
          <w:color w:val="auto"/>
          <w:sz w:val="24"/>
          <w:highlight w:val="none"/>
          <w:u w:val="single"/>
        </w:rPr>
        <w:t>—初始断面的入流流量，m</w:t>
      </w:r>
      <w:r>
        <w:rPr>
          <w:rFonts w:hint="default" w:ascii="Times New Roman" w:hAnsi="Times New Roman" w:cs="Times New Roman"/>
          <w:bCs/>
          <w:color w:val="auto"/>
          <w:sz w:val="24"/>
          <w:highlight w:val="none"/>
          <w:u w:val="single"/>
          <w:vertAlign w:val="superscript"/>
        </w:rPr>
        <w:t>3</w:t>
      </w:r>
      <w:r>
        <w:rPr>
          <w:rFonts w:hint="default" w:ascii="Times New Roman" w:hAnsi="Times New Roman" w:cs="Times New Roman"/>
          <w:bCs/>
          <w:color w:val="auto"/>
          <w:sz w:val="24"/>
          <w:highlight w:val="none"/>
          <w:u w:val="single"/>
        </w:rPr>
        <w:t>/s；</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 xml:space="preserve">  </w:t>
      </w:r>
      <w:r>
        <w:rPr>
          <w:rFonts w:hint="default" w:ascii="Times New Roman" w:hAnsi="Times New Roman" w:cs="Times New Roman"/>
          <w:bCs/>
          <w:color w:val="auto"/>
          <w:sz w:val="24"/>
          <w:highlight w:val="none"/>
          <w:u w:val="single"/>
        </w:rPr>
        <w:drawing>
          <wp:inline distT="0" distB="0" distL="114300" distR="114300">
            <wp:extent cx="217170" cy="217170"/>
            <wp:effectExtent l="0" t="0" r="11430" b="12065"/>
            <wp:docPr id="12" name="图片 15" descr="C:\Users\ADMINI~1\AppData\Local\Temp\ksohtml606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C:\Users\ADMINI~1\AppData\Local\Temp\ksohtml6060\wps6.png"/>
                    <pic:cNvPicPr>
                      <a:picLocks noChangeAspect="1"/>
                    </pic:cNvPicPr>
                  </pic:nvPicPr>
                  <pic:blipFill>
                    <a:blip r:embed="rId13"/>
                    <a:stretch>
                      <a:fillRect/>
                    </a:stretch>
                  </pic:blipFill>
                  <pic:spPr>
                    <a:xfrm>
                      <a:off x="0" y="0"/>
                      <a:ext cx="217170" cy="217170"/>
                    </a:xfrm>
                    <a:prstGeom prst="rect">
                      <a:avLst/>
                    </a:prstGeom>
                    <a:noFill/>
                    <a:ln>
                      <a:noFill/>
                    </a:ln>
                  </pic:spPr>
                </pic:pic>
              </a:graphicData>
            </a:graphic>
          </wp:inline>
        </w:drawing>
      </w:r>
      <w:r>
        <w:rPr>
          <w:rFonts w:hint="default" w:ascii="Times New Roman" w:hAnsi="Times New Roman" w:cs="Times New Roman"/>
          <w:bCs/>
          <w:color w:val="auto"/>
          <w:sz w:val="24"/>
          <w:highlight w:val="none"/>
          <w:u w:val="single"/>
        </w:rPr>
        <w:t>—废污水排放流量，m</w:t>
      </w:r>
      <w:r>
        <w:rPr>
          <w:rFonts w:hint="default" w:ascii="Times New Roman" w:hAnsi="Times New Roman" w:cs="Times New Roman"/>
          <w:bCs/>
          <w:color w:val="auto"/>
          <w:sz w:val="24"/>
          <w:highlight w:val="none"/>
          <w:u w:val="single"/>
          <w:vertAlign w:val="superscript"/>
        </w:rPr>
        <w:t>3</w:t>
      </w:r>
      <w:r>
        <w:rPr>
          <w:rFonts w:hint="default" w:ascii="Times New Roman" w:hAnsi="Times New Roman" w:cs="Times New Roman"/>
          <w:bCs/>
          <w:color w:val="auto"/>
          <w:sz w:val="24"/>
          <w:highlight w:val="none"/>
          <w:u w:val="single"/>
        </w:rPr>
        <w:t>/s 。</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水质控制指标采用能反映水体污染特征的COD、氨氮及TP作为必控指标。初始断面污染物浓度以W</w:t>
      </w:r>
      <w:r>
        <w:rPr>
          <w:rFonts w:hint="default" w:ascii="Times New Roman" w:hAnsi="Times New Roman" w:cs="Times New Roman"/>
          <w:bCs/>
          <w:color w:val="auto"/>
          <w:sz w:val="24"/>
          <w:highlight w:val="none"/>
          <w:u w:val="single"/>
          <w:vertAlign w:val="subscript"/>
        </w:rPr>
        <w:t>1</w:t>
      </w:r>
      <w:r>
        <w:rPr>
          <w:rFonts w:hint="default" w:ascii="Times New Roman" w:hAnsi="Times New Roman" w:cs="Times New Roman"/>
          <w:bCs/>
          <w:color w:val="auto"/>
          <w:sz w:val="24"/>
          <w:highlight w:val="none"/>
          <w:u w:val="single"/>
        </w:rPr>
        <w:t>断面实测现状值确定，水质目标浓度为《地表水环境质量标准》（GB3838-2002）Ⅱ类水质标准。</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（2）水文数据</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其详细水文数据如下所示：</w:t>
      </w:r>
    </w:p>
    <w:p>
      <w:pPr>
        <w:spacing w:line="360" w:lineRule="auto"/>
        <w:ind w:firstLine="482" w:firstLineChars="200"/>
        <w:jc w:val="center"/>
        <w:rPr>
          <w:rFonts w:hint="default" w:ascii="Times New Roman" w:hAnsi="Times New Roman" w:cs="Times New Roman"/>
          <w:b/>
          <w:color w:val="auto"/>
          <w:sz w:val="24"/>
          <w:highlight w:val="none"/>
          <w:u w:val="single"/>
        </w:rPr>
      </w:pPr>
      <w:r>
        <w:rPr>
          <w:rFonts w:hint="default" w:ascii="Times New Roman" w:hAnsi="Times New Roman" w:cs="Times New Roman"/>
          <w:b/>
          <w:color w:val="auto"/>
          <w:sz w:val="24"/>
          <w:highlight w:val="none"/>
          <w:u w:val="single"/>
        </w:rPr>
        <w:t>表5-2  排污口断面滔溪枯水期水文数据</w:t>
      </w:r>
    </w:p>
    <w:tbl>
      <w:tblPr>
        <w:tblStyle w:val="21"/>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26"/>
        <w:gridCol w:w="1957"/>
        <w:gridCol w:w="1802"/>
        <w:gridCol w:w="1802"/>
        <w:gridCol w:w="203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543" w:type="pct"/>
            <w:vMerge w:val="restar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时期</w:t>
            </w:r>
          </w:p>
        </w:tc>
        <w:tc>
          <w:tcPr>
            <w:tcW w:w="1148"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平均流速</w:t>
            </w:r>
            <w:r>
              <w:rPr>
                <w:rFonts w:hint="default" w:ascii="Times New Roman" w:hAnsi="Times New Roman" w:cs="Times New Roman"/>
                <w:color w:val="auto"/>
                <w:highlight w:val="none"/>
                <w:u w:val="single"/>
              </w:rPr>
              <w:t>（m/s）</w:t>
            </w:r>
          </w:p>
        </w:tc>
        <w:tc>
          <w:tcPr>
            <w:tcW w:w="1057"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平均水深</w:t>
            </w:r>
            <w:r>
              <w:rPr>
                <w:rFonts w:hint="default" w:ascii="Times New Roman" w:hAnsi="Times New Roman" w:cs="Times New Roman"/>
                <w:color w:val="auto"/>
                <w:highlight w:val="none"/>
                <w:u w:val="single"/>
              </w:rPr>
              <w:t>（m）</w:t>
            </w:r>
          </w:p>
        </w:tc>
        <w:tc>
          <w:tcPr>
            <w:tcW w:w="1057"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平均河宽</w:t>
            </w:r>
            <w:r>
              <w:rPr>
                <w:rFonts w:hint="default" w:ascii="Times New Roman" w:hAnsi="Times New Roman" w:cs="Times New Roman"/>
                <w:color w:val="auto"/>
                <w:highlight w:val="none"/>
                <w:u w:val="single"/>
              </w:rPr>
              <w:t>（m）</w:t>
            </w:r>
          </w:p>
        </w:tc>
        <w:tc>
          <w:tcPr>
            <w:tcW w:w="1192"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平均流量</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543" w:type="pct"/>
            <w:vMerge w:val="continue"/>
            <w:tcBorders>
              <w:top w:val="single" w:color="auto" w:sz="8" w:space="0"/>
              <w:left w:val="single" w:color="auto" w:sz="8" w:space="0"/>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1148"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1192"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43"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枯水期</w:t>
            </w:r>
          </w:p>
        </w:tc>
        <w:tc>
          <w:tcPr>
            <w:tcW w:w="1148"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0.3</w:t>
            </w:r>
          </w:p>
        </w:tc>
        <w:tc>
          <w:tcPr>
            <w:tcW w:w="105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1.5</w:t>
            </w:r>
          </w:p>
        </w:tc>
        <w:tc>
          <w:tcPr>
            <w:tcW w:w="105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25</w:t>
            </w:r>
          </w:p>
        </w:tc>
        <w:tc>
          <w:tcPr>
            <w:tcW w:w="11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11.25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543"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平水期</w:t>
            </w:r>
          </w:p>
        </w:tc>
        <w:tc>
          <w:tcPr>
            <w:tcW w:w="1148"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0.5</w:t>
            </w:r>
          </w:p>
        </w:tc>
        <w:tc>
          <w:tcPr>
            <w:tcW w:w="105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w:t>
            </w:r>
          </w:p>
        </w:tc>
        <w:tc>
          <w:tcPr>
            <w:tcW w:w="105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c>
          <w:tcPr>
            <w:tcW w:w="11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r>
    </w:tbl>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（3）计算结果</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滔溪纳污能力计算结果见下表。</w:t>
      </w:r>
    </w:p>
    <w:p>
      <w:pPr>
        <w:spacing w:line="36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表5-3  滔溪枯水期纳污能力计算一览表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初始断面的污染物浓度C</w:t>
            </w:r>
            <w:r>
              <w:rPr>
                <w:rFonts w:hint="default" w:ascii="Times New Roman" w:hAnsi="Times New Roman" w:cs="Times New Roman"/>
                <w:color w:val="auto"/>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10</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0.031</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15</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0.5</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w:t>
            </w:r>
            <w:r>
              <w:rPr>
                <w:rFonts w:hint="default" w:ascii="Times New Roman" w:hAnsi="Times New Roman" w:cs="Times New Roman"/>
                <w:color w:val="auto"/>
                <w:kern w:val="0"/>
                <w:highlight w:val="none"/>
                <w:u w:val="single"/>
                <w:vertAlign w:val="superscript"/>
              </w:rPr>
              <w:t>3</w:t>
            </w:r>
            <w:r>
              <w:rPr>
                <w:rFonts w:hint="default" w:ascii="Times New Roman" w:hAnsi="Times New Roman" w:cs="Times New Roman"/>
                <w:color w:val="auto"/>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w:t>
            </w:r>
            <w:r>
              <w:rPr>
                <w:rFonts w:hint="default" w:ascii="Times New Roman" w:hAnsi="Times New Roman" w:cs="Times New Roman"/>
                <w:color w:val="auto"/>
                <w:kern w:val="0"/>
                <w:highlight w:val="none"/>
                <w:u w:val="single"/>
                <w:vertAlign w:val="superscript"/>
              </w:rPr>
              <w:t>3</w:t>
            </w:r>
            <w:r>
              <w:rPr>
                <w:rFonts w:hint="default" w:ascii="Times New Roman" w:hAnsi="Times New Roman" w:cs="Times New Roman"/>
                <w:color w:val="auto"/>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0.00289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56.26</w:t>
            </w:r>
          </w:p>
        </w:tc>
        <w:tc>
          <w:tcPr>
            <w:tcW w:w="1462"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5.28</w:t>
            </w:r>
          </w:p>
        </w:tc>
        <w:tc>
          <w:tcPr>
            <w:tcW w:w="1413"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auto"/>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1774.21</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31.54</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31.94</w:t>
            </w:r>
          </w:p>
        </w:tc>
      </w:tr>
    </w:tbl>
    <w:p>
      <w:pPr>
        <w:spacing w:line="36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表5-4  滔溪平水期纳污能力计算一览表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auto"/>
                <w:kern w:val="0"/>
                <w:highlight w:val="none"/>
                <w:u w:val="single"/>
              </w:rPr>
            </w:pPr>
            <w:r>
              <w:rPr>
                <w:rFonts w:hint="default" w:ascii="Times New Roman" w:hAnsi="Times New Roman" w:cs="Times New Roman"/>
                <w:b/>
                <w:bCs/>
                <w:color w:val="auto"/>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初始断面的污染物浓度C</w:t>
            </w:r>
            <w:r>
              <w:rPr>
                <w:rFonts w:hint="default" w:ascii="Times New Roman" w:hAnsi="Times New Roman" w:cs="Times New Roman"/>
                <w:color w:val="auto"/>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10</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0.031</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15</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0.5</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w:t>
            </w:r>
            <w:r>
              <w:rPr>
                <w:rFonts w:hint="default" w:ascii="Times New Roman" w:hAnsi="Times New Roman" w:cs="Times New Roman"/>
                <w:color w:val="auto"/>
                <w:kern w:val="0"/>
                <w:highlight w:val="none"/>
                <w:u w:val="single"/>
                <w:vertAlign w:val="superscript"/>
              </w:rPr>
              <w:t>3</w:t>
            </w:r>
            <w:r>
              <w:rPr>
                <w:rFonts w:hint="default" w:ascii="Times New Roman" w:hAnsi="Times New Roman" w:cs="Times New Roman"/>
                <w:color w:val="auto"/>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m</w:t>
            </w:r>
            <w:r>
              <w:rPr>
                <w:rFonts w:hint="default" w:ascii="Times New Roman" w:hAnsi="Times New Roman" w:cs="Times New Roman"/>
                <w:color w:val="auto"/>
                <w:kern w:val="0"/>
                <w:highlight w:val="none"/>
                <w:u w:val="single"/>
                <w:vertAlign w:val="superscript"/>
              </w:rPr>
              <w:t>3</w:t>
            </w:r>
            <w:r>
              <w:rPr>
                <w:rFonts w:hint="default" w:ascii="Times New Roman" w:hAnsi="Times New Roman" w:cs="Times New Roman"/>
                <w:color w:val="auto"/>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0.00289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150.01</w:t>
            </w:r>
          </w:p>
        </w:tc>
        <w:tc>
          <w:tcPr>
            <w:tcW w:w="1462"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14.07</w:t>
            </w:r>
          </w:p>
        </w:tc>
        <w:tc>
          <w:tcPr>
            <w:tcW w:w="1413" w:type="dxa"/>
            <w:vAlign w:val="center"/>
          </w:tcPr>
          <w:p>
            <w:pPr>
              <w:widowControl/>
              <w:jc w:val="center"/>
              <w:textAlignment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lang w:bidi="ar"/>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auto"/>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4730.86</w:t>
            </w:r>
          </w:p>
        </w:tc>
        <w:tc>
          <w:tcPr>
            <w:tcW w:w="857"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443.75</w:t>
            </w:r>
          </w:p>
        </w:tc>
        <w:tc>
          <w:tcPr>
            <w:tcW w:w="829" w:type="pct"/>
            <w:vAlign w:val="center"/>
          </w:tcPr>
          <w:p>
            <w:pPr>
              <w:spacing w:line="320" w:lineRule="exact"/>
              <w:jc w:val="center"/>
              <w:rPr>
                <w:rFonts w:hint="default" w:ascii="Times New Roman" w:hAnsi="Times New Roman" w:cs="Times New Roman"/>
                <w:color w:val="auto"/>
                <w:kern w:val="0"/>
                <w:highlight w:val="none"/>
                <w:u w:val="single"/>
              </w:rPr>
            </w:pPr>
            <w:r>
              <w:rPr>
                <w:rFonts w:hint="default" w:ascii="Times New Roman" w:hAnsi="Times New Roman" w:cs="Times New Roman"/>
                <w:color w:val="auto"/>
                <w:kern w:val="0"/>
                <w:highlight w:val="none"/>
                <w:u w:val="single"/>
              </w:rPr>
              <w:t>85.16</w:t>
            </w:r>
          </w:p>
        </w:tc>
      </w:tr>
    </w:tbl>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表中所计算的数据为90%频率枯水期、平水期来水情况下，以设计规模流量排放污水的纳污能力。由上表可知，该污水处理厂CODcr、TP以及NH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-N排放量三项指标均未超过纳污能力。</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91" w:name="_Toc18931"/>
      <w:r>
        <w:rPr>
          <w:rFonts w:hint="default" w:ascii="Times New Roman" w:hAnsi="Times New Roman" w:cs="Times New Roman"/>
          <w:b/>
          <w:color w:val="auto"/>
          <w:sz w:val="24"/>
          <w:highlight w:val="none"/>
        </w:rPr>
        <w:t>5.2.2.区域水功能区（水域）纳污情况</w:t>
      </w:r>
      <w:bookmarkEnd w:id="91"/>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水域水质现状调查情况，本项目入河排污口上、下游共设置3个监测断面，下游监测断面其监测值可反映滔溪的环境质量现状。由监测数据可知，下游监测断面能达到水质管理目标，滔溪现状环境质量良好，现状污染物排放量未超过该水域纳污能力。</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92" w:name="_Toc25833"/>
      <w:r>
        <w:rPr>
          <w:rFonts w:hint="default" w:ascii="Times New Roman" w:hAnsi="Times New Roman" w:cs="Times New Roman"/>
          <w:b/>
          <w:color w:val="auto"/>
          <w:sz w:val="24"/>
          <w:highlight w:val="none"/>
        </w:rPr>
        <w:t>5.2.3.入河排污口的设置可行性分析</w:t>
      </w:r>
      <w:bookmarkEnd w:id="92"/>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根据《关于进一步做好全省水资源管理“三条红线”控制指标分解确定工作的通知》（湘水资源〔2016〕5号）精神，对照湖南省2020年水资源管理“三条红线”控制指标，本排污口相关符合性分析如下：</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(1)符合国家产业政策及国家水污染防治规划。</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(2)符合地方国家经济与城镇发展规划。</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(3)符合水资源管理和环保要求。</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(4)符合水功能区管理要求。</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(5)入河排污量远小于纳污能力。</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(6)纳污河段只有此项目排污口，影响能力有限。</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综上所述，安化县滔溪镇污水处理厂排污口满足产业政策以及水污染防治规范，满足城镇发展规划，符合水资源管理要求以及水功能区管理要求，符合生态敏感区的要求，因此排污口设计是可行的。</w:t>
      </w:r>
    </w:p>
    <w:p>
      <w:pPr>
        <w:spacing w:line="360" w:lineRule="auto"/>
        <w:ind w:firstLine="480" w:firstLineChars="200"/>
        <w:jc w:val="left"/>
        <w:rPr>
          <w:rFonts w:hint="default" w:ascii="Times New Roman" w:hAnsi="Times New Roman" w:cs="Times New Roman"/>
          <w:bCs/>
          <w:color w:val="auto"/>
          <w:sz w:val="24"/>
          <w:highlight w:val="none"/>
        </w:rPr>
      </w:pPr>
    </w:p>
    <w:p>
      <w:pPr>
        <w:pStyle w:val="9"/>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pStyle w:val="9"/>
        <w:jc w:val="center"/>
        <w:outlineLvl w:val="0"/>
        <w:rPr>
          <w:rFonts w:hint="default" w:ascii="Times New Roman" w:hAnsi="Times New Roman" w:cs="Times New Roman"/>
          <w:b/>
          <w:bCs/>
          <w:color w:val="auto"/>
          <w:kern w:val="0"/>
          <w:sz w:val="32"/>
          <w:szCs w:val="32"/>
          <w:highlight w:val="none"/>
        </w:rPr>
      </w:pPr>
      <w:bookmarkStart w:id="93" w:name="_Toc19573"/>
      <w:r>
        <w:rPr>
          <w:rFonts w:hint="default" w:ascii="Times New Roman" w:hAnsi="Times New Roman" w:cs="Times New Roman"/>
          <w:b/>
          <w:bCs/>
          <w:color w:val="auto"/>
          <w:kern w:val="0"/>
          <w:sz w:val="32"/>
          <w:szCs w:val="32"/>
          <w:highlight w:val="none"/>
        </w:rPr>
        <w:t>6  入河排污口设置合理性分析</w:t>
      </w:r>
      <w:bookmarkEnd w:id="93"/>
    </w:p>
    <w:p>
      <w:pPr>
        <w:spacing w:line="360" w:lineRule="auto"/>
        <w:jc w:val="left"/>
        <w:outlineLvl w:val="1"/>
        <w:rPr>
          <w:rFonts w:hint="default" w:ascii="Times New Roman" w:hAnsi="Times New Roman" w:cs="Times New Roman"/>
          <w:b/>
          <w:color w:val="auto"/>
          <w:sz w:val="24"/>
          <w:highlight w:val="none"/>
        </w:rPr>
      </w:pPr>
      <w:bookmarkStart w:id="94" w:name="_Toc1278"/>
      <w:r>
        <w:rPr>
          <w:rFonts w:hint="default" w:ascii="Times New Roman" w:hAnsi="Times New Roman" w:cs="Times New Roman"/>
          <w:b/>
          <w:color w:val="auto"/>
          <w:sz w:val="24"/>
          <w:highlight w:val="none"/>
        </w:rPr>
        <w:t>6.1.入河排污口设置影响范围</w:t>
      </w:r>
      <w:bookmarkEnd w:id="94"/>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为分析安化县滔溪镇污水处理厂排污对滔溪的影响，根据滔溪工程断面河段的河道地形及水力特性，采用《水域能纳污能力计算规范》(GB/T25173-2010)规定的河流二维模型计算预测入河废污水的影响范围及对所在河段水功能区和水生态的影响。</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为全面分析安化县滔溪镇污水处理厂退水对水功能区的影响，分以下两种情况分别论证：</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（1）安化县滔溪镇污水处理厂正常运行情况下退水对滔溪的影响;</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（2）安化县滔溪镇污水处理厂事故排放情况下退水对滔溪的影响。</w:t>
      </w:r>
    </w:p>
    <w:p>
      <w:pPr>
        <w:spacing w:line="360" w:lineRule="auto"/>
        <w:jc w:val="left"/>
        <w:outlineLvl w:val="1"/>
        <w:rPr>
          <w:rFonts w:hint="default" w:ascii="Times New Roman" w:hAnsi="Times New Roman" w:cs="Times New Roman"/>
          <w:b/>
          <w:color w:val="auto"/>
          <w:sz w:val="24"/>
          <w:highlight w:val="none"/>
        </w:rPr>
      </w:pPr>
      <w:bookmarkStart w:id="95" w:name="_Toc1161"/>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2</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val="en-US" w:eastAsia="zh-CN"/>
        </w:rPr>
        <w:t>水环境</w:t>
      </w:r>
      <w:r>
        <w:rPr>
          <w:rFonts w:hint="default" w:ascii="Times New Roman" w:hAnsi="Times New Roman" w:cs="Times New Roman"/>
          <w:b/>
          <w:color w:val="auto"/>
          <w:sz w:val="24"/>
          <w:highlight w:val="none"/>
        </w:rPr>
        <w:t>预测影响分析</w:t>
      </w:r>
      <w:bookmarkEnd w:id="95"/>
    </w:p>
    <w:p>
      <w:pPr>
        <w:adjustRightInd w:val="0"/>
        <w:snapToGrid w:val="0"/>
        <w:spacing w:line="360" w:lineRule="auto"/>
        <w:ind w:firstLine="480" w:firstLineChars="200"/>
        <w:outlineLvl w:val="2"/>
        <w:rPr>
          <w:rFonts w:hint="default" w:ascii="Times New Roman" w:hAnsi="Times New Roman" w:cs="Times New Roman"/>
          <w:color w:val="auto"/>
          <w:sz w:val="24"/>
          <w:highlight w:val="none"/>
        </w:rPr>
      </w:pPr>
      <w:bookmarkStart w:id="96" w:name="_Toc15517"/>
      <w:bookmarkStart w:id="97" w:name="_Toc23719"/>
      <w:bookmarkStart w:id="98" w:name="_Toc26214"/>
      <w:r>
        <w:rPr>
          <w:rFonts w:hint="default" w:ascii="Times New Roman" w:hAnsi="Times New Roman" w:cs="Times New Roman"/>
          <w:color w:val="auto"/>
          <w:sz w:val="24"/>
          <w:highlight w:val="none"/>
        </w:rPr>
        <w:t>（1）废水排放量</w:t>
      </w:r>
      <w:bookmarkEnd w:id="96"/>
      <w:bookmarkEnd w:id="97"/>
      <w:bookmarkEnd w:id="98"/>
    </w:p>
    <w:p>
      <w:pPr>
        <w:pStyle w:val="20"/>
        <w:widowControl w:val="0"/>
        <w:adjustRightInd w:val="0"/>
        <w:snapToGrid w:val="0"/>
        <w:spacing w:before="0" w:beforeAutospacing="0" w:after="0" w:afterAutospacing="0" w:line="360" w:lineRule="auto"/>
        <w:ind w:firstLine="480" w:firstLineChars="200"/>
        <w:jc w:val="both"/>
        <w:rPr>
          <w:rFonts w:hint="default" w:ascii="Times New Roman" w:hAnsi="Times New Roman" w:cs="Times New Roman"/>
          <w:color w:val="auto"/>
          <w:kern w:val="11"/>
          <w:szCs w:val="24"/>
          <w:highlight w:val="none"/>
        </w:rPr>
      </w:pPr>
      <w:r>
        <w:rPr>
          <w:rFonts w:hint="default" w:ascii="Times New Roman" w:hAnsi="Times New Roman" w:cs="Times New Roman"/>
          <w:color w:val="auto"/>
          <w:kern w:val="11"/>
          <w:szCs w:val="24"/>
          <w:highlight w:val="none"/>
        </w:rPr>
        <w:t>本项目废水排放量为250m</w:t>
      </w:r>
      <w:r>
        <w:rPr>
          <w:rFonts w:hint="default" w:ascii="Times New Roman" w:hAnsi="Times New Roman" w:cs="Times New Roman"/>
          <w:color w:val="auto"/>
          <w:kern w:val="11"/>
          <w:szCs w:val="24"/>
          <w:highlight w:val="none"/>
          <w:vertAlign w:val="superscript"/>
        </w:rPr>
        <w:t>3</w:t>
      </w:r>
      <w:r>
        <w:rPr>
          <w:rFonts w:hint="default" w:ascii="Times New Roman" w:hAnsi="Times New Roman" w:cs="Times New Roman"/>
          <w:color w:val="auto"/>
          <w:kern w:val="11"/>
          <w:szCs w:val="24"/>
          <w:highlight w:val="none"/>
        </w:rPr>
        <w:t>/d，尾水自排污口排出，直接进入滔溪。出水执行《城镇污水处理厂污染物排放标准》（GB18918-2002）一级B标准。</w:t>
      </w:r>
    </w:p>
    <w:p>
      <w:pPr>
        <w:adjustRightInd w:val="0"/>
        <w:snapToGrid w:val="0"/>
        <w:spacing w:line="360" w:lineRule="auto"/>
        <w:ind w:firstLine="480" w:firstLineChars="200"/>
        <w:outlineLvl w:val="2"/>
        <w:rPr>
          <w:rFonts w:hint="default" w:ascii="Times New Roman" w:hAnsi="Times New Roman" w:cs="Times New Roman"/>
          <w:color w:val="auto"/>
          <w:sz w:val="24"/>
          <w:highlight w:val="none"/>
        </w:rPr>
      </w:pPr>
      <w:bookmarkStart w:id="99" w:name="_Toc28795"/>
      <w:bookmarkStart w:id="100" w:name="_Toc29457"/>
      <w:bookmarkStart w:id="101" w:name="_Toc19333"/>
      <w:r>
        <w:rPr>
          <w:rFonts w:hint="default" w:ascii="Times New Roman" w:hAnsi="Times New Roman" w:cs="Times New Roman"/>
          <w:color w:val="auto"/>
          <w:sz w:val="24"/>
          <w:highlight w:val="none"/>
        </w:rPr>
        <w:t>（2）预测因子</w:t>
      </w:r>
      <w:bookmarkEnd w:id="99"/>
      <w:bookmarkEnd w:id="100"/>
      <w:bookmarkEnd w:id="101"/>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根据项目排污特征，选取污染因子COD、NH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-N、TP作为预测因子。</w:t>
      </w:r>
    </w:p>
    <w:p>
      <w:pPr>
        <w:adjustRightInd w:val="0"/>
        <w:snapToGrid w:val="0"/>
        <w:spacing w:line="360" w:lineRule="auto"/>
        <w:ind w:firstLine="480" w:firstLineChars="200"/>
        <w:outlineLvl w:val="2"/>
        <w:rPr>
          <w:rFonts w:hint="default" w:ascii="Times New Roman" w:hAnsi="Times New Roman" w:cs="Times New Roman"/>
          <w:color w:val="auto"/>
          <w:sz w:val="24"/>
          <w:highlight w:val="none"/>
        </w:rPr>
      </w:pPr>
      <w:bookmarkStart w:id="102" w:name="_Toc32190"/>
      <w:bookmarkStart w:id="103" w:name="_Toc21009"/>
      <w:bookmarkStart w:id="104" w:name="_Toc14192"/>
      <w:r>
        <w:rPr>
          <w:rFonts w:hint="default" w:ascii="Times New Roman" w:hAnsi="Times New Roman" w:cs="Times New Roman"/>
          <w:color w:val="auto"/>
          <w:sz w:val="24"/>
          <w:highlight w:val="none"/>
        </w:rPr>
        <w:t>（3）预测范围</w:t>
      </w:r>
      <w:bookmarkEnd w:id="102"/>
      <w:bookmarkEnd w:id="103"/>
      <w:bookmarkEnd w:id="104"/>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11"/>
          <w:sz w:val="24"/>
          <w:highlight w:val="none"/>
        </w:rPr>
        <w:t>排污口下游（滔溪）</w:t>
      </w:r>
      <w:r>
        <w:rPr>
          <w:rFonts w:hint="default" w:ascii="Times New Roman" w:hAnsi="Times New Roman" w:cs="Times New Roman"/>
          <w:color w:val="auto"/>
          <w:sz w:val="24"/>
          <w:highlight w:val="none"/>
        </w:rPr>
        <w:t>。</w:t>
      </w:r>
    </w:p>
    <w:p>
      <w:pPr>
        <w:adjustRightInd w:val="0"/>
        <w:snapToGrid w:val="0"/>
        <w:spacing w:line="360" w:lineRule="auto"/>
        <w:ind w:firstLine="480" w:firstLineChars="200"/>
        <w:outlineLvl w:val="2"/>
        <w:rPr>
          <w:rFonts w:hint="default" w:ascii="Times New Roman" w:hAnsi="Times New Roman" w:cs="Times New Roman"/>
          <w:color w:val="auto"/>
          <w:sz w:val="24"/>
          <w:highlight w:val="none"/>
        </w:rPr>
      </w:pPr>
      <w:bookmarkStart w:id="105" w:name="_Toc23366"/>
      <w:bookmarkStart w:id="106" w:name="_Toc14608"/>
      <w:bookmarkStart w:id="107" w:name="_Toc12169"/>
      <w:r>
        <w:rPr>
          <w:rFonts w:hint="default" w:ascii="Times New Roman" w:hAnsi="Times New Roman" w:cs="Times New Roman"/>
          <w:color w:val="auto"/>
          <w:sz w:val="24"/>
          <w:highlight w:val="none"/>
        </w:rPr>
        <w:t>（4）预测时段</w:t>
      </w:r>
      <w:bookmarkEnd w:id="105"/>
      <w:bookmarkEnd w:id="106"/>
      <w:bookmarkEnd w:id="107"/>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11"/>
          <w:sz w:val="24"/>
          <w:highlight w:val="none"/>
        </w:rPr>
        <w:t>滔溪</w:t>
      </w:r>
      <w:r>
        <w:rPr>
          <w:rFonts w:hint="default" w:ascii="Times New Roman" w:hAnsi="Times New Roman" w:cs="Times New Roman"/>
          <w:color w:val="auto"/>
          <w:sz w:val="24"/>
          <w:highlight w:val="none"/>
        </w:rPr>
        <w:t>枯水期、平水期。</w:t>
      </w:r>
    </w:p>
    <w:p>
      <w:pPr>
        <w:adjustRightInd w:val="0"/>
        <w:snapToGrid w:val="0"/>
        <w:spacing w:line="360" w:lineRule="auto"/>
        <w:ind w:firstLine="480" w:firstLineChars="200"/>
        <w:outlineLvl w:val="2"/>
        <w:rPr>
          <w:rFonts w:hint="default" w:ascii="Times New Roman" w:hAnsi="Times New Roman" w:cs="Times New Roman"/>
          <w:color w:val="auto"/>
          <w:sz w:val="24"/>
          <w:highlight w:val="none"/>
        </w:rPr>
      </w:pPr>
      <w:bookmarkStart w:id="108" w:name="_Toc26171"/>
      <w:bookmarkStart w:id="109" w:name="_Toc1204"/>
      <w:bookmarkStart w:id="110" w:name="_Toc10916"/>
      <w:r>
        <w:rPr>
          <w:rFonts w:hint="default" w:ascii="Times New Roman" w:hAnsi="Times New Roman" w:cs="Times New Roman"/>
          <w:color w:val="auto"/>
          <w:sz w:val="24"/>
          <w:highlight w:val="none"/>
        </w:rPr>
        <w:t>（5）预测情景</w:t>
      </w:r>
      <w:bookmarkEnd w:id="108"/>
      <w:bookmarkEnd w:id="109"/>
      <w:bookmarkEnd w:id="110"/>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预测废水在正常排放及非正常（事故）排放情况下对</w:t>
      </w:r>
      <w:r>
        <w:rPr>
          <w:rFonts w:hint="default" w:ascii="Times New Roman" w:hAnsi="Times New Roman" w:cs="Times New Roman"/>
          <w:color w:val="auto"/>
          <w:kern w:val="11"/>
          <w:sz w:val="24"/>
          <w:highlight w:val="none"/>
        </w:rPr>
        <w:t>滔溪</w:t>
      </w:r>
      <w:r>
        <w:rPr>
          <w:rFonts w:hint="default" w:ascii="Times New Roman" w:hAnsi="Times New Roman" w:cs="Times New Roman"/>
          <w:color w:val="auto"/>
          <w:sz w:val="24"/>
          <w:highlight w:val="none"/>
        </w:rPr>
        <w:t>水质的影响。</w:t>
      </w:r>
    </w:p>
    <w:p>
      <w:pPr>
        <w:adjustRightInd w:val="0"/>
        <w:snapToGrid w:val="0"/>
        <w:spacing w:line="360" w:lineRule="auto"/>
        <w:ind w:firstLine="480" w:firstLineChars="200"/>
        <w:outlineLvl w:val="2"/>
        <w:rPr>
          <w:rFonts w:hint="default" w:ascii="Times New Roman" w:hAnsi="Times New Roman" w:cs="Times New Roman"/>
          <w:color w:val="auto"/>
          <w:highlight w:val="none"/>
        </w:rPr>
      </w:pPr>
      <w:bookmarkStart w:id="111" w:name="_Toc29740"/>
      <w:bookmarkStart w:id="112" w:name="_Toc17940"/>
      <w:bookmarkStart w:id="113" w:name="_Toc2643"/>
      <w:r>
        <w:rPr>
          <w:rFonts w:hint="default" w:ascii="Times New Roman" w:hAnsi="Times New Roman" w:cs="Times New Roman"/>
          <w:color w:val="auto"/>
          <w:sz w:val="24"/>
          <w:highlight w:val="none"/>
        </w:rPr>
        <w:t>（6）预测参数</w:t>
      </w:r>
      <w:bookmarkEnd w:id="111"/>
      <w:bookmarkEnd w:id="112"/>
      <w:bookmarkEnd w:id="113"/>
    </w:p>
    <w:p>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以总排放量为预测源强，污染源参数表如下：</w:t>
      </w:r>
    </w:p>
    <w:p>
      <w:pPr>
        <w:pStyle w:val="27"/>
        <w:ind w:firstLine="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w:t>
      </w:r>
      <w:r>
        <w:rPr>
          <w:rFonts w:hint="default" w:ascii="Times New Roman" w:hAnsi="Times New Roman" w:cs="Times New Roman"/>
          <w:b/>
          <w:color w:val="auto"/>
          <w:sz w:val="24"/>
          <w:szCs w:val="24"/>
          <w:highlight w:val="none"/>
          <w:lang w:val="en-US"/>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rPr>
        <w:t xml:space="preserve">1 </w:t>
      </w:r>
      <w:r>
        <w:rPr>
          <w:rFonts w:hint="default" w:ascii="Times New Roman" w:hAnsi="Times New Roman" w:cs="Times New Roman"/>
          <w:b/>
          <w:color w:val="auto"/>
          <w:sz w:val="24"/>
          <w:szCs w:val="24"/>
          <w:highlight w:val="none"/>
        </w:rPr>
        <w:t xml:space="preserve"> 污染源参数</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737"/>
        <w:gridCol w:w="2737"/>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类型</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正常排污</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事故排污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流量（m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污染因子</w:t>
            </w:r>
          </w:p>
        </w:tc>
        <w:tc>
          <w:tcPr>
            <w:tcW w:w="1019"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auto"/>
                <w:highlight w:val="non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auto"/>
                <w:highlight w:val="non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TP（mg/L）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r>
    </w:tbl>
    <w:p>
      <w:pPr>
        <w:spacing w:line="32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注：*根据《城镇污水处理厂污染物排放标准》（GB18918-2002）一级B标准，氨氮因子的最高允许排放浓度为8（15）mg/L，其中括号外数值为＞12℃时的控制指标，括号内数值为水温≤12℃时的控制指标，本次选取最不利情况进行预测。</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滔溪流速、水深、河宽、流量等水文水质的相关基础资料；污染物降解系数根据《全国地表水水环境容量核定技术复核要点》中一般河道水质降解系数参考值表进行选取；污染物横向扩散系数采用泰勒法计算（公式①）；污染物纵向扩散系数采用爱尔德法计算（公式②）：</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3133090" cy="245745"/>
            <wp:effectExtent l="0" t="0" r="6350" b="13335"/>
            <wp:docPr id="24" name="图片 21" descr="C:\Users\ADMINI~1\AppData\Local\Temp\ksohtml773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C:\Users\ADMINI~1\AppData\Local\Temp\ksohtml7736\wps3.jpg"/>
                    <pic:cNvPicPr>
                      <a:picLocks noChangeAspect="1"/>
                    </pic:cNvPicPr>
                  </pic:nvPicPr>
                  <pic:blipFill>
                    <a:blip r:embed="rId14"/>
                    <a:stretch>
                      <a:fillRect/>
                    </a:stretch>
                  </pic:blipFill>
                  <pic:spPr>
                    <a:xfrm>
                      <a:off x="0" y="0"/>
                      <a:ext cx="3133090" cy="245745"/>
                    </a:xfrm>
                    <a:prstGeom prst="rect">
                      <a:avLst/>
                    </a:prstGeom>
                    <a:noFill/>
                    <a:ln>
                      <a:noFill/>
                    </a:ln>
                  </pic:spPr>
                </pic:pic>
              </a:graphicData>
            </a:graphic>
          </wp:inline>
        </w:drawing>
      </w:r>
      <w:r>
        <w:rPr>
          <w:rFonts w:hint="default" w:ascii="Times New Roman" w:hAnsi="Times New Roman" w:cs="Times New Roman"/>
          <w:color w:val="auto"/>
          <w:sz w:val="24"/>
          <w:highlight w:val="none"/>
        </w:rPr>
        <w:t>①</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551305" cy="234315"/>
            <wp:effectExtent l="0" t="0" r="3175" b="9525"/>
            <wp:docPr id="25" name="图片 22" descr="1632646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1632646106(1)"/>
                    <pic:cNvPicPr>
                      <a:picLocks noChangeAspect="1"/>
                    </pic:cNvPicPr>
                  </pic:nvPicPr>
                  <pic:blipFill>
                    <a:blip r:embed="rId15"/>
                    <a:stretch>
                      <a:fillRect/>
                    </a:stretch>
                  </pic:blipFill>
                  <pic:spPr>
                    <a:xfrm>
                      <a:off x="0" y="0"/>
                      <a:ext cx="1551305" cy="234315"/>
                    </a:xfrm>
                    <a:prstGeom prst="rect">
                      <a:avLst/>
                    </a:prstGeom>
                    <a:noFill/>
                    <a:ln>
                      <a:noFill/>
                    </a:ln>
                  </pic:spPr>
                </pic:pic>
              </a:graphicData>
            </a:graphic>
          </wp:inline>
        </w:drawing>
      </w:r>
      <w:r>
        <w:rPr>
          <w:rFonts w:hint="default" w:ascii="Times New Roman" w:hAnsi="Times New Roman" w:cs="Times New Roman"/>
          <w:color w:val="auto"/>
          <w:sz w:val="24"/>
          <w:highlight w:val="none"/>
        </w:rPr>
        <w:t>②</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式中：My——横向扩散系数m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/s；</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Mx——纵向扩散系数m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/s；</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H——河流水深，m；</w:t>
      </w:r>
    </w:p>
    <w:p>
      <w:pPr>
        <w:spacing w:line="360" w:lineRule="auto"/>
        <w:ind w:firstLine="48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B——水面宽度，m；</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g——重力加速度，m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/s；</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Hi——河流坡度，取0.0214。</w:t>
      </w:r>
    </w:p>
    <w:p>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根据滔溪水文数据，本项目地表水预测参数如下：</w:t>
      </w: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 xml:space="preserve">6-2 </w:t>
      </w:r>
      <w:r>
        <w:rPr>
          <w:rFonts w:hint="default" w:ascii="Times New Roman" w:hAnsi="Times New Roman" w:cs="Times New Roman"/>
          <w:b/>
          <w:color w:val="auto"/>
          <w:sz w:val="24"/>
          <w:szCs w:val="24"/>
          <w:highlight w:val="none"/>
          <w:u w:val="single"/>
        </w:rPr>
        <w:t xml:space="preserve"> 地表水预测参数</w:t>
      </w:r>
    </w:p>
    <w:tbl>
      <w:tblPr>
        <w:tblStyle w:val="21"/>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41"/>
        <w:gridCol w:w="940"/>
        <w:gridCol w:w="800"/>
        <w:gridCol w:w="800"/>
        <w:gridCol w:w="1008"/>
        <w:gridCol w:w="669"/>
        <w:gridCol w:w="809"/>
        <w:gridCol w:w="733"/>
        <w:gridCol w:w="1008"/>
        <w:gridCol w:w="100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9" w:hRule="atLeast"/>
          <w:jc w:val="center"/>
        </w:trPr>
        <w:tc>
          <w:tcPr>
            <w:tcW w:w="435" w:type="pct"/>
            <w:vMerge w:val="restar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时期</w:t>
            </w:r>
          </w:p>
        </w:tc>
        <w:tc>
          <w:tcPr>
            <w:tcW w:w="55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w:t>
            </w:r>
          </w:p>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流速</w:t>
            </w:r>
            <w:r>
              <w:rPr>
                <w:rFonts w:hint="default" w:ascii="Times New Roman" w:hAnsi="Times New Roman" w:cs="Times New Roman"/>
                <w:color w:val="auto"/>
                <w:highlight w:val="none"/>
                <w:u w:val="single"/>
              </w:rPr>
              <w:t>（m/s）</w:t>
            </w:r>
          </w:p>
        </w:tc>
        <w:tc>
          <w:tcPr>
            <w:tcW w:w="469"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w:t>
            </w:r>
          </w:p>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水深</w:t>
            </w:r>
            <w:r>
              <w:rPr>
                <w:rFonts w:hint="default" w:ascii="Times New Roman" w:hAnsi="Times New Roman" w:cs="Times New Roman"/>
                <w:color w:val="auto"/>
                <w:highlight w:val="none"/>
                <w:u w:val="single"/>
              </w:rPr>
              <w:t>（m）</w:t>
            </w:r>
          </w:p>
        </w:tc>
        <w:tc>
          <w:tcPr>
            <w:tcW w:w="469"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w:t>
            </w:r>
          </w:p>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河宽</w:t>
            </w:r>
            <w:r>
              <w:rPr>
                <w:rFonts w:hint="default" w:ascii="Times New Roman" w:hAnsi="Times New Roman" w:cs="Times New Roman"/>
                <w:color w:val="auto"/>
                <w:highlight w:val="none"/>
                <w:u w:val="single"/>
              </w:rPr>
              <w:t>（m）</w:t>
            </w:r>
          </w:p>
        </w:tc>
        <w:tc>
          <w:tcPr>
            <w:tcW w:w="59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平均流量</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c>
          <w:tcPr>
            <w:tcW w:w="1297" w:type="pct"/>
            <w:gridSpan w:val="3"/>
            <w:tcBorders>
              <w:top w:val="single" w:color="auto" w:sz="8" w:space="0"/>
              <w:left w:val="nil"/>
              <w:bottom w:val="single" w:color="auto" w:sz="8" w:space="0"/>
              <w:right w:val="single" w:color="auto" w:sz="8" w:space="0"/>
            </w:tcBorders>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污染物降解系数</w:t>
            </w:r>
            <w:r>
              <w:rPr>
                <w:rFonts w:hint="default" w:ascii="Times New Roman" w:hAnsi="Times New Roman" w:cs="Times New Roman"/>
                <w:color w:val="auto"/>
                <w:highlight w:val="none"/>
                <w:u w:val="single"/>
              </w:rPr>
              <w:t>（d</w:t>
            </w:r>
            <w:r>
              <w:rPr>
                <w:rFonts w:hint="default" w:ascii="Times New Roman" w:hAnsi="Times New Roman" w:cs="Times New Roman"/>
                <w:color w:val="auto"/>
                <w:highlight w:val="none"/>
                <w:u w:val="single"/>
                <w:vertAlign w:val="superscript"/>
              </w:rPr>
              <w:t>-1</w:t>
            </w:r>
            <w:r>
              <w:rPr>
                <w:rFonts w:hint="default" w:ascii="Times New Roman" w:hAnsi="Times New Roman" w:cs="Times New Roman"/>
                <w:color w:val="auto"/>
                <w:highlight w:val="none"/>
                <w:u w:val="single"/>
              </w:rPr>
              <w:t>）</w:t>
            </w:r>
          </w:p>
        </w:tc>
        <w:tc>
          <w:tcPr>
            <w:tcW w:w="59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污染物横向扩散系数</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2</w:t>
            </w:r>
            <w:r>
              <w:rPr>
                <w:rFonts w:hint="default" w:ascii="Times New Roman" w:hAnsi="Times New Roman" w:cs="Times New Roman"/>
                <w:color w:val="auto"/>
                <w:highlight w:val="none"/>
                <w:u w:val="single"/>
              </w:rPr>
              <w:t>/s）</w:t>
            </w:r>
          </w:p>
        </w:tc>
        <w:tc>
          <w:tcPr>
            <w:tcW w:w="592" w:type="pct"/>
            <w:vMerge w:val="restart"/>
            <w:tcBorders>
              <w:top w:val="single" w:color="auto" w:sz="8" w:space="0"/>
              <w:left w:val="nil"/>
              <w:right w:val="single" w:color="auto" w:sz="8" w:space="0"/>
            </w:tcBorders>
            <w:vAlign w:val="center"/>
          </w:tcPr>
          <w:p>
            <w:pPr>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污染物纵向扩散系数</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2</w:t>
            </w:r>
            <w:r>
              <w:rPr>
                <w:rFonts w:hint="default" w:ascii="Times New Roman" w:hAnsi="Times New Roman" w:cs="Times New Roman"/>
                <w:color w:val="auto"/>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5" w:hRule="atLeast"/>
          <w:jc w:val="center"/>
        </w:trPr>
        <w:tc>
          <w:tcPr>
            <w:tcW w:w="435" w:type="pct"/>
            <w:vMerge w:val="continue"/>
            <w:tcBorders>
              <w:top w:val="single" w:color="auto" w:sz="8" w:space="0"/>
              <w:left w:val="single" w:color="auto" w:sz="8" w:space="0"/>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55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469"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469"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59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393"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NH</w:t>
            </w:r>
            <w:r>
              <w:rPr>
                <w:rFonts w:hint="default" w:ascii="Times New Roman" w:hAnsi="Times New Roman" w:cs="Times New Roman"/>
                <w:color w:val="auto"/>
                <w:highlight w:val="none"/>
                <w:u w:val="single"/>
                <w:vertAlign w:val="subscript"/>
              </w:rPr>
              <w:t>3</w:t>
            </w:r>
            <w:r>
              <w:rPr>
                <w:rFonts w:hint="default" w:ascii="Times New Roman" w:hAnsi="Times New Roman" w:cs="Times New Roman"/>
                <w:color w:val="auto"/>
                <w:highlight w:val="none"/>
                <w:u w:val="single"/>
              </w:rPr>
              <w:t>-N</w:t>
            </w:r>
          </w:p>
        </w:tc>
        <w:tc>
          <w:tcPr>
            <w:tcW w:w="42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TP</w:t>
            </w:r>
          </w:p>
        </w:tc>
        <w:tc>
          <w:tcPr>
            <w:tcW w:w="59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c>
          <w:tcPr>
            <w:tcW w:w="592" w:type="pct"/>
            <w:vMerge w:val="continue"/>
            <w:tcBorders>
              <w:left w:val="nil"/>
              <w:bottom w:val="single" w:color="auto" w:sz="8" w:space="0"/>
              <w:right w:val="single" w:color="auto" w:sz="8" w:space="0"/>
            </w:tcBorders>
            <w:vAlign w:val="center"/>
          </w:tcPr>
          <w:p>
            <w:pPr>
              <w:widowControl/>
              <w:jc w:val="left"/>
              <w:rPr>
                <w:rFonts w:hint="default" w:ascii="Times New Roman" w:hAnsi="Times New Roman" w:cs="Times New Roman"/>
                <w:color w:val="auto"/>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35"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平水期</w:t>
            </w:r>
          </w:p>
        </w:tc>
        <w:tc>
          <w:tcPr>
            <w:tcW w:w="55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0.5</w:t>
            </w:r>
          </w:p>
        </w:tc>
        <w:tc>
          <w:tcPr>
            <w:tcW w:w="46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w:t>
            </w:r>
          </w:p>
        </w:tc>
        <w:tc>
          <w:tcPr>
            <w:tcW w:w="46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30</w:t>
            </w:r>
          </w:p>
        </w:tc>
        <w:tc>
          <w:tcPr>
            <w:tcW w:w="393"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0.18</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0.15</w:t>
            </w:r>
          </w:p>
        </w:tc>
        <w:tc>
          <w:tcPr>
            <w:tcW w:w="42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0.034</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1.3074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435"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枯水期</w:t>
            </w:r>
          </w:p>
        </w:tc>
        <w:tc>
          <w:tcPr>
            <w:tcW w:w="55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0.3</w:t>
            </w:r>
          </w:p>
        </w:tc>
        <w:tc>
          <w:tcPr>
            <w:tcW w:w="46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1.5</w:t>
            </w:r>
          </w:p>
        </w:tc>
        <w:tc>
          <w:tcPr>
            <w:tcW w:w="46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25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11.25</w:t>
            </w:r>
          </w:p>
        </w:tc>
        <w:tc>
          <w:tcPr>
            <w:tcW w:w="669" w:type="dxa"/>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0.18</w:t>
            </w:r>
          </w:p>
        </w:tc>
        <w:tc>
          <w:tcPr>
            <w:tcW w:w="809" w:type="dxa"/>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0.15</w:t>
            </w:r>
          </w:p>
        </w:tc>
        <w:tc>
          <w:tcPr>
            <w:tcW w:w="733" w:type="dxa"/>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0.0238</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0.849</w:t>
            </w:r>
          </w:p>
        </w:tc>
      </w:tr>
    </w:tbl>
    <w:p>
      <w:pPr>
        <w:spacing w:line="360" w:lineRule="auto"/>
        <w:ind w:firstLine="480" w:firstLineChars="200"/>
        <w:outlineLvl w:val="2"/>
        <w:rPr>
          <w:rFonts w:hint="default" w:ascii="Times New Roman" w:hAnsi="Times New Roman" w:cs="Times New Roman"/>
          <w:color w:val="auto"/>
          <w:sz w:val="24"/>
          <w:highlight w:val="none"/>
        </w:rPr>
      </w:pPr>
      <w:bookmarkStart w:id="114" w:name="_Toc3333"/>
      <w:bookmarkStart w:id="115" w:name="_Toc1805"/>
      <w:bookmarkStart w:id="116" w:name="_Toc18099"/>
      <w:r>
        <w:rPr>
          <w:rFonts w:hint="default" w:ascii="Times New Roman" w:hAnsi="Times New Roman" w:cs="Times New Roman"/>
          <w:color w:val="auto"/>
          <w:sz w:val="24"/>
          <w:highlight w:val="none"/>
        </w:rPr>
        <w:t>（7）混合过程段估算</w:t>
      </w:r>
      <w:bookmarkEnd w:id="114"/>
      <w:bookmarkEnd w:id="115"/>
      <w:bookmarkEnd w:id="116"/>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根据HJ2.3-2018，混合过程段长度估算公式如下：</w:t>
      </w:r>
    </w:p>
    <w:p>
      <w:pPr>
        <w:spacing w:line="360" w:lineRule="auto"/>
        <w:ind w:firstLine="465"/>
        <w:jc w:val="center"/>
        <w:rPr>
          <w:rFonts w:hint="default" w:ascii="Times New Roman" w:hAnsi="Times New Roman" w:cs="Times New Roman"/>
          <w:bCs/>
          <w:color w:val="auto"/>
          <w:highlight w:val="none"/>
          <w:u w:val="single"/>
        </w:rPr>
      </w:pPr>
      <w:r>
        <w:rPr>
          <w:rFonts w:hint="default" w:ascii="Times New Roman" w:hAnsi="Times New Roman" w:cs="Times New Roman"/>
          <w:color w:val="auto"/>
          <w:highlight w:val="none"/>
        </w:rPr>
        <w:drawing>
          <wp:inline distT="0" distB="0" distL="114300" distR="114300">
            <wp:extent cx="2786380" cy="628650"/>
            <wp:effectExtent l="0" t="0" r="13970" b="0"/>
            <wp:docPr id="26" name="图片 23" descr="C:\Users\ADMINI~1\AppData\Local\Temp\ksohtml773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descr="C:\Users\ADMINI~1\AppData\Local\Temp\ksohtml7736\wps4.png"/>
                    <pic:cNvPicPr>
                      <a:picLocks noChangeAspect="1"/>
                    </pic:cNvPicPr>
                  </pic:nvPicPr>
                  <pic:blipFill>
                    <a:blip r:embed="rId16"/>
                    <a:stretch>
                      <a:fillRect/>
                    </a:stretch>
                  </pic:blipFill>
                  <pic:spPr>
                    <a:xfrm>
                      <a:off x="0" y="0"/>
                      <a:ext cx="2786380" cy="628650"/>
                    </a:xfrm>
                    <a:prstGeom prst="rect">
                      <a:avLst/>
                    </a:prstGeom>
                    <a:noFill/>
                    <a:ln>
                      <a:noFill/>
                    </a:ln>
                  </pic:spPr>
                </pic:pic>
              </a:graphicData>
            </a:graphic>
          </wp:inline>
        </w:drawing>
      </w:r>
    </w:p>
    <w:p>
      <w:pPr>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p>
    <w:p>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Lm——混合段长度，m；</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B——水面宽度，m；</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a——排放口到岸边的距离，m；</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u——断面流速，m/s；</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Ey——污染物横向扩散系数，m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/s。</w:t>
      </w:r>
    </w:p>
    <w:p>
      <w:pPr>
        <w:wordWrap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平水期和枯水期排放口到岸边的距离分别为0、2m，因此根据上述公式计算可得，在滔溪平水期、枯水期流量下混合过程段长度分别为5802m、3485m，因此污水排入滔溪后，存在一定距离的混合，因此本次平水期、枯水期预测河段为滔溪下游至滔溪与洢水交界处。</w:t>
      </w:r>
    </w:p>
    <w:p>
      <w:pPr>
        <w:spacing w:line="360" w:lineRule="auto"/>
        <w:ind w:firstLine="480" w:firstLineChars="200"/>
        <w:jc w:val="left"/>
        <w:outlineLvl w:val="2"/>
        <w:rPr>
          <w:rFonts w:hint="default" w:ascii="Times New Roman" w:hAnsi="Times New Roman" w:cs="Times New Roman"/>
          <w:bCs/>
          <w:color w:val="auto"/>
          <w:sz w:val="24"/>
          <w:highlight w:val="none"/>
        </w:rPr>
      </w:pPr>
      <w:bookmarkStart w:id="117" w:name="_Toc12646"/>
      <w:bookmarkStart w:id="118" w:name="_Toc14979"/>
      <w:bookmarkStart w:id="119" w:name="_Toc21500"/>
      <w:r>
        <w:rPr>
          <w:rFonts w:hint="default" w:ascii="Times New Roman" w:hAnsi="Times New Roman" w:cs="Times New Roman"/>
          <w:bCs/>
          <w:color w:val="auto"/>
          <w:sz w:val="24"/>
          <w:highlight w:val="none"/>
        </w:rPr>
        <w:t>（8）预测模型</w:t>
      </w:r>
      <w:bookmarkEnd w:id="117"/>
      <w:bookmarkEnd w:id="118"/>
      <w:bookmarkEnd w:id="119"/>
    </w:p>
    <w:p>
      <w:pPr>
        <w:widowControl/>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混合过程段</w:t>
      </w:r>
      <w:r>
        <w:rPr>
          <w:rFonts w:hint="default" w:ascii="Times New Roman" w:hAnsi="Times New Roman" w:cs="Times New Roman"/>
          <w:color w:val="auto"/>
          <w:kern w:val="0"/>
          <w:sz w:val="24"/>
          <w:highlight w:val="none"/>
        </w:rPr>
        <w:t>预测模式采用HJ2.3-2018中平面二维数学模型，根据导则中的公式（E.35），不考虑岸边反射影响的宽浅型平直恒定均匀河流，岸边点源稳定排放，浓度公式为：</w:t>
      </w:r>
    </w:p>
    <w:p>
      <w:pPr>
        <w:widowControl/>
        <w:spacing w:line="360" w:lineRule="auto"/>
        <w:jc w:val="center"/>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drawing>
          <wp:inline distT="0" distB="0" distL="0" distR="0">
            <wp:extent cx="4152900" cy="476250"/>
            <wp:effectExtent l="0" t="0" r="7620" b="11430"/>
            <wp:docPr id="38" name="图片 38" descr="C:\Users\ADMINI~1\AppData\Local\Temp\ksohtml773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ksohtml7736\wps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152900" cy="476250"/>
                    </a:xfrm>
                    <a:prstGeom prst="rect">
                      <a:avLst/>
                    </a:prstGeom>
                    <a:noFill/>
                    <a:ln>
                      <a:noFill/>
                    </a:ln>
                  </pic:spPr>
                </pic:pic>
              </a:graphicData>
            </a:graphic>
          </wp:inline>
        </w:drawing>
      </w:r>
    </w:p>
    <w:p>
      <w:pPr>
        <w:widowControl/>
        <w:spacing w:line="360" w:lineRule="auto"/>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式中：C（x,y）－污染带内任意一点（x,y）的预测浓度，mg/L；</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m－污染物排放速率，g/s；</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C</w:t>
      </w:r>
      <w:r>
        <w:rPr>
          <w:rFonts w:hint="default" w:ascii="Times New Roman" w:hAnsi="Times New Roman" w:cs="Times New Roman"/>
          <w:color w:val="auto"/>
          <w:kern w:val="0"/>
          <w:sz w:val="24"/>
          <w:highlight w:val="none"/>
          <w:vertAlign w:val="subscript"/>
        </w:rPr>
        <w:t>h</w:t>
      </w:r>
      <w:r>
        <w:rPr>
          <w:rFonts w:hint="default" w:ascii="Times New Roman" w:hAnsi="Times New Roman" w:cs="Times New Roman"/>
          <w:color w:val="auto"/>
          <w:kern w:val="0"/>
          <w:sz w:val="24"/>
          <w:highlight w:val="none"/>
        </w:rPr>
        <w:t>－河流上游污染物浓度，mg/L，取项目排污口上游500m监测结果平均值：COD：10mg/L，氨氮0.031mg/L，总磷0.01L；</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k－污染物综合衰减系数，s</w:t>
      </w:r>
      <w:r>
        <w:rPr>
          <w:rFonts w:hint="default" w:ascii="Times New Roman" w:hAnsi="Times New Roman" w:cs="Times New Roman"/>
          <w:color w:val="auto"/>
          <w:kern w:val="0"/>
          <w:sz w:val="24"/>
          <w:highlight w:val="none"/>
          <w:vertAlign w:val="superscript"/>
        </w:rPr>
        <w:t>-1</w:t>
      </w:r>
      <w:r>
        <w:rPr>
          <w:rFonts w:hint="default" w:ascii="Times New Roman" w:hAnsi="Times New Roman" w:cs="Times New Roman"/>
          <w:color w:val="auto"/>
          <w:kern w:val="0"/>
          <w:sz w:val="24"/>
          <w:highlight w:val="none"/>
        </w:rPr>
        <w:t>；</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E</w:t>
      </w:r>
      <w:r>
        <w:rPr>
          <w:rFonts w:hint="default" w:ascii="Times New Roman" w:hAnsi="Times New Roman" w:cs="Times New Roman"/>
          <w:color w:val="auto"/>
          <w:kern w:val="0"/>
          <w:sz w:val="24"/>
          <w:highlight w:val="none"/>
          <w:vertAlign w:val="subscript"/>
        </w:rPr>
        <w:t>y</w:t>
      </w:r>
      <w:r>
        <w:rPr>
          <w:rFonts w:hint="default" w:ascii="Times New Roman" w:hAnsi="Times New Roman" w:cs="Times New Roman"/>
          <w:color w:val="auto"/>
          <w:kern w:val="0"/>
          <w:sz w:val="24"/>
          <w:highlight w:val="none"/>
        </w:rPr>
        <w:t>－污染物横向扩散系数，m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/s；</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u－河段平均流速，m/s；</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h－河段平均水深，m；</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x－预测点至排污口的距离，m；</w:t>
      </w:r>
    </w:p>
    <w:p>
      <w:pPr>
        <w:widowControl/>
        <w:spacing w:line="360" w:lineRule="auto"/>
        <w:ind w:firstLine="720" w:firstLineChars="300"/>
        <w:jc w:val="left"/>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rPr>
        <w:t>y－预测点至岸边的距离，m。</w:t>
      </w:r>
    </w:p>
    <w:p>
      <w:pPr>
        <w:widowControl/>
        <w:spacing w:line="360" w:lineRule="auto"/>
        <w:ind w:firstLine="480" w:firstLineChars="200"/>
        <w:jc w:val="left"/>
        <w:outlineLvl w:val="2"/>
        <w:rPr>
          <w:rFonts w:hint="default" w:ascii="Times New Roman" w:hAnsi="Times New Roman" w:cs="Times New Roman"/>
          <w:color w:val="auto"/>
          <w:kern w:val="0"/>
          <w:sz w:val="24"/>
          <w:highlight w:val="none"/>
        </w:rPr>
      </w:pPr>
      <w:bookmarkStart w:id="120" w:name="_Toc18800"/>
      <w:bookmarkStart w:id="121" w:name="_Toc13615"/>
      <w:bookmarkStart w:id="122" w:name="_Toc9946"/>
      <w:r>
        <w:rPr>
          <w:rFonts w:hint="default" w:ascii="Times New Roman" w:hAnsi="Times New Roman" w:cs="Times New Roman"/>
          <w:color w:val="auto"/>
          <w:kern w:val="0"/>
          <w:sz w:val="24"/>
          <w:highlight w:val="none"/>
        </w:rPr>
        <w:t>（9）正常排放预测结果</w:t>
      </w:r>
      <w:bookmarkEnd w:id="120"/>
      <w:bookmarkEnd w:id="121"/>
      <w:bookmarkEnd w:id="122"/>
    </w:p>
    <w:p>
      <w:pPr>
        <w:widowControl/>
        <w:spacing w:line="360" w:lineRule="auto"/>
        <w:ind w:firstLine="480" w:firstLineChars="200"/>
        <w:jc w:val="left"/>
        <w:rPr>
          <w:rFonts w:hint="default" w:ascii="Times New Roman" w:hAnsi="Times New Roman" w:cs="Times New Roman"/>
          <w:bCs/>
          <w:color w:val="auto"/>
          <w:sz w:val="24"/>
          <w:szCs w:val="24"/>
          <w:highlight w:val="none"/>
        </w:rPr>
      </w:pPr>
      <w:r>
        <w:rPr>
          <w:rFonts w:hint="default" w:ascii="Times New Roman" w:hAnsi="Times New Roman" w:cs="Times New Roman"/>
          <w:color w:val="auto"/>
          <w:kern w:val="0"/>
          <w:sz w:val="24"/>
          <w:szCs w:val="24"/>
          <w:highlight w:val="none"/>
        </w:rPr>
        <w:t>①</w:t>
      </w:r>
      <w:bookmarkStart w:id="123" w:name="_Ref64794166"/>
      <w:bookmarkEnd w:id="123"/>
      <w:r>
        <w:rPr>
          <w:rFonts w:hint="default" w:ascii="Times New Roman" w:hAnsi="Times New Roman" w:cs="Times New Roman"/>
          <w:color w:val="auto"/>
          <w:kern w:val="0"/>
          <w:sz w:val="24"/>
          <w:szCs w:val="24"/>
          <w:highlight w:val="none"/>
        </w:rPr>
        <w:t>平水</w:t>
      </w:r>
      <w:r>
        <w:rPr>
          <w:rFonts w:hint="default" w:ascii="Times New Roman" w:hAnsi="Times New Roman" w:cs="Times New Roman"/>
          <w:bCs/>
          <w:color w:val="auto"/>
          <w:sz w:val="24"/>
          <w:szCs w:val="24"/>
          <w:highlight w:val="none"/>
        </w:rPr>
        <w:t>期</w:t>
      </w:r>
    </w:p>
    <w:p>
      <w:pPr>
        <w:pStyle w:val="27"/>
        <w:spacing w:line="360" w:lineRule="exact"/>
        <w:ind w:firstLine="0"/>
        <w:jc w:val="center"/>
        <w:rPr>
          <w:rFonts w:hint="default" w:ascii="Times New Roman" w:hAnsi="Times New Roman" w:cs="Times New Roman"/>
          <w:b/>
          <w:color w:val="auto"/>
          <w:sz w:val="24"/>
          <w:szCs w:val="24"/>
          <w:highlight w:val="none"/>
        </w:rPr>
      </w:pPr>
    </w:p>
    <w:p>
      <w:pPr>
        <w:pStyle w:val="27"/>
        <w:spacing w:line="360" w:lineRule="exact"/>
        <w:ind w:firstLine="0"/>
        <w:rPr>
          <w:rFonts w:hint="default" w:ascii="Times New Roman" w:hAnsi="Times New Roman" w:cs="Times New Roman"/>
          <w:b/>
          <w:color w:val="auto"/>
          <w:sz w:val="24"/>
          <w:szCs w:val="24"/>
          <w:highlight w:val="none"/>
        </w:rPr>
      </w:pPr>
    </w:p>
    <w:p>
      <w:pPr>
        <w:pStyle w:val="27"/>
        <w:spacing w:line="360" w:lineRule="exact"/>
        <w:ind w:firstLine="0"/>
        <w:jc w:val="center"/>
        <w:rPr>
          <w:rFonts w:hint="default" w:ascii="Times New Roman" w:hAnsi="Times New Roman" w:cs="Times New Roman"/>
          <w:b/>
          <w:color w:val="auto"/>
          <w:sz w:val="24"/>
          <w:szCs w:val="24"/>
          <w:highlight w:val="none"/>
        </w:rPr>
        <w:sectPr>
          <w:pgSz w:w="11906" w:h="16838"/>
          <w:pgMar w:top="1644" w:right="1800" w:bottom="1814" w:left="1800" w:header="851" w:footer="992" w:gutter="0"/>
          <w:cols w:space="720" w:num="1"/>
          <w:docGrid w:type="lines" w:linePitch="312" w:charSpace="0"/>
        </w:sectPr>
      </w:pP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 xml:space="preserve">6-3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平水</w:t>
      </w:r>
      <w:r>
        <w:rPr>
          <w:rFonts w:hint="default" w:ascii="Times New Roman" w:hAnsi="Times New Roman" w:cs="Times New Roman"/>
          <w:b/>
          <w:color w:val="auto"/>
          <w:sz w:val="24"/>
          <w:szCs w:val="24"/>
          <w:highlight w:val="none"/>
          <w:u w:val="single"/>
        </w:rPr>
        <w:t>期正常排放COD预测结果  单位：mg/L</w:t>
      </w:r>
    </w:p>
    <w:tbl>
      <w:tblPr>
        <w:tblStyle w:val="21"/>
        <w:tblW w:w="5000" w:type="pct"/>
        <w:tblInd w:w="0" w:type="dxa"/>
        <w:tblLayout w:type="autofit"/>
        <w:tblCellMar>
          <w:top w:w="0" w:type="dxa"/>
          <w:left w:w="108" w:type="dxa"/>
          <w:bottom w:w="0" w:type="dxa"/>
          <w:right w:w="108" w:type="dxa"/>
        </w:tblCellMar>
      </w:tblPr>
      <w:tblGrid>
        <w:gridCol w:w="1890"/>
        <w:gridCol w:w="2339"/>
        <w:gridCol w:w="2339"/>
        <w:gridCol w:w="2339"/>
        <w:gridCol w:w="2339"/>
        <w:gridCol w:w="2350"/>
      </w:tblGrid>
      <w:tr>
        <w:tblPrEx>
          <w:tblCellMar>
            <w:top w:w="0" w:type="dxa"/>
            <w:left w:w="108" w:type="dxa"/>
            <w:bottom w:w="0" w:type="dxa"/>
            <w:right w:w="108" w:type="dxa"/>
          </w:tblCellMar>
        </w:tblPrEx>
        <w:trPr>
          <w:trHeight w:val="283" w:hRule="atLeast"/>
        </w:trPr>
        <w:tc>
          <w:tcPr>
            <w:tcW w:w="695"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 xml:space="preserve">  y</w:t>
            </w:r>
          </w:p>
          <w:p>
            <w:pP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4304" w:type="pct"/>
            <w:gridSpan w:val="5"/>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COD（mg/L）</w:t>
            </w:r>
          </w:p>
        </w:tc>
      </w:tr>
      <w:tr>
        <w:tblPrEx>
          <w:tblCellMar>
            <w:top w:w="0" w:type="dxa"/>
            <w:left w:w="108" w:type="dxa"/>
            <w:bottom w:w="0" w:type="dxa"/>
            <w:right w:w="108" w:type="dxa"/>
          </w:tblCellMar>
        </w:tblPrEx>
        <w:trPr>
          <w:trHeight w:val="283" w:hRule="atLeast"/>
        </w:trPr>
        <w:tc>
          <w:tcPr>
            <w:tcW w:w="695"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highlight w:val="none"/>
                <w:u w:val="single"/>
              </w:rPr>
            </w:pPr>
          </w:p>
        </w:tc>
        <w:tc>
          <w:tcPr>
            <w:tcW w:w="86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86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86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86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24</w:t>
            </w:r>
          </w:p>
        </w:tc>
        <w:tc>
          <w:tcPr>
            <w:tcW w:w="86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10.02747929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10.00000024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20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10.04028667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10.00011793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10.04194279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10.00085827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10.03945829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10.00382575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10.00000145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10.03227349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10.01004929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10.00019588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10.01618464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10.01281625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10.00583084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10.00024981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10.00002352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10.01158139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10.01030599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10.00695144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10.00143885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10.00044154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10.00668003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10.00642522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10.00563486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10.00333321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10.00224827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3500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10.00617228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10.00596991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10.00533466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10.00340143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10.00242704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4000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10.00576122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10.00559560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10.00507099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10.00342041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10.00254576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4500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10.00541942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10.00528072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10.00483826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10.00340939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10.00262220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10.00512925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10.00501095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10.00463145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10.00337991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10.00266868 </w:t>
            </w:r>
          </w:p>
        </w:tc>
      </w:tr>
      <w:tr>
        <w:tblPrEx>
          <w:tblCellMar>
            <w:top w:w="0" w:type="dxa"/>
            <w:left w:w="108" w:type="dxa"/>
            <w:bottom w:w="0" w:type="dxa"/>
            <w:right w:w="108" w:type="dxa"/>
          </w:tblCellMar>
        </w:tblPrEx>
        <w:trPr>
          <w:trHeight w:val="283" w:hRule="atLeast"/>
        </w:trPr>
        <w:tc>
          <w:tcPr>
            <w:tcW w:w="695"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10.00353640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10.00349538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10.00336041 </w:t>
            </w:r>
          </w:p>
        </w:tc>
        <w:tc>
          <w:tcPr>
            <w:tcW w:w="233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10.00287069 </w:t>
            </w:r>
          </w:p>
        </w:tc>
        <w:tc>
          <w:tcPr>
            <w:tcW w:w="235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10.00255083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 xml:space="preserve">6-4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平水</w:t>
      </w:r>
      <w:r>
        <w:rPr>
          <w:rFonts w:hint="default" w:ascii="Times New Roman" w:hAnsi="Times New Roman" w:cs="Times New Roman"/>
          <w:b/>
          <w:color w:val="auto"/>
          <w:sz w:val="24"/>
          <w:szCs w:val="24"/>
          <w:highlight w:val="none"/>
          <w:u w:val="single"/>
        </w:rPr>
        <w:t>期正常排放NH</w:t>
      </w:r>
      <w:r>
        <w:rPr>
          <w:rFonts w:hint="default" w:ascii="Times New Roman" w:hAnsi="Times New Roman" w:cs="Times New Roman"/>
          <w:b/>
          <w:color w:val="auto"/>
          <w:sz w:val="24"/>
          <w:szCs w:val="24"/>
          <w:highlight w:val="none"/>
          <w:u w:val="single"/>
          <w:vertAlign w:val="subscript"/>
        </w:rPr>
        <w:t>3</w:t>
      </w:r>
      <w:r>
        <w:rPr>
          <w:rFonts w:hint="default" w:ascii="Times New Roman" w:hAnsi="Times New Roman" w:cs="Times New Roman"/>
          <w:b/>
          <w:color w:val="auto"/>
          <w:sz w:val="24"/>
          <w:szCs w:val="24"/>
          <w:highlight w:val="none"/>
          <w:u w:val="single"/>
        </w:rPr>
        <w:t>-N预测结果  单位：mg/L</w:t>
      </w:r>
    </w:p>
    <w:tbl>
      <w:tblPr>
        <w:tblStyle w:val="21"/>
        <w:tblW w:w="5000" w:type="pct"/>
        <w:tblInd w:w="0" w:type="dxa"/>
        <w:tblLayout w:type="autofit"/>
        <w:tblCellMar>
          <w:top w:w="0" w:type="dxa"/>
          <w:left w:w="108" w:type="dxa"/>
          <w:bottom w:w="0" w:type="dxa"/>
          <w:right w:w="108" w:type="dxa"/>
        </w:tblCellMar>
      </w:tblPr>
      <w:tblGrid>
        <w:gridCol w:w="3068"/>
        <w:gridCol w:w="2105"/>
        <w:gridCol w:w="2102"/>
        <w:gridCol w:w="2105"/>
        <w:gridCol w:w="2102"/>
        <w:gridCol w:w="2114"/>
      </w:tblGrid>
      <w:tr>
        <w:tblPrEx>
          <w:tblCellMar>
            <w:top w:w="0" w:type="dxa"/>
            <w:left w:w="108" w:type="dxa"/>
            <w:bottom w:w="0" w:type="dxa"/>
            <w:right w:w="108" w:type="dxa"/>
          </w:tblCellMar>
        </w:tblPrEx>
        <w:trPr>
          <w:trHeight w:val="283" w:hRule="atLeast"/>
        </w:trPr>
        <w:tc>
          <w:tcPr>
            <w:tcW w:w="112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auto"/>
                <w:highlight w:val="none"/>
                <w:u w:val="single"/>
              </w:rPr>
            </w:pPr>
            <w:bookmarkStart w:id="124" w:name="_Ref64794175"/>
            <w:bookmarkEnd w:id="124"/>
            <w:r>
              <w:rPr>
                <w:rFonts w:hint="default" w:ascii="Times New Roman" w:hAnsi="Times New Roman" w:cs="Times New Roman"/>
                <w:color w:val="auto"/>
                <w:highlight w:val="none"/>
                <w:u w:val="single"/>
              </w:rPr>
              <w:t xml:space="preserve">  y</w:t>
            </w:r>
          </w:p>
          <w:p>
            <w:pP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3871" w:type="pct"/>
            <w:gridSpan w:val="5"/>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NH</w:t>
            </w:r>
            <w:r>
              <w:rPr>
                <w:rFonts w:hint="default" w:ascii="Times New Roman" w:hAnsi="Times New Roman" w:cs="Times New Roman"/>
                <w:color w:val="auto"/>
                <w:highlight w:val="none"/>
                <w:u w:val="single"/>
                <w:vertAlign w:val="subscript"/>
              </w:rPr>
              <w:t>3</w:t>
            </w:r>
            <w:r>
              <w:rPr>
                <w:rFonts w:hint="default" w:ascii="Times New Roman" w:hAnsi="Times New Roman" w:cs="Times New Roman"/>
                <w:color w:val="auto"/>
                <w:highlight w:val="none"/>
                <w:u w:val="single"/>
              </w:rPr>
              <w:t>-N（mg/L）</w:t>
            </w:r>
          </w:p>
        </w:tc>
      </w:tr>
      <w:tr>
        <w:tblPrEx>
          <w:tblCellMar>
            <w:top w:w="0" w:type="dxa"/>
            <w:left w:w="108" w:type="dxa"/>
            <w:bottom w:w="0" w:type="dxa"/>
            <w:right w:w="108" w:type="dxa"/>
          </w:tblCellMar>
        </w:tblPrEx>
        <w:trPr>
          <w:trHeight w:val="283" w:hRule="atLeast"/>
        </w:trPr>
        <w:tc>
          <w:tcPr>
            <w:tcW w:w="112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highlight w:val="none"/>
                <w:u w:val="single"/>
              </w:rPr>
            </w:pP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24</w:t>
            </w:r>
          </w:p>
        </w:tc>
        <w:tc>
          <w:tcPr>
            <w:tcW w:w="77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0.03786982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20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0.04107167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0.03102948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0.04148570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0.03121457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0.04086457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0.03195644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0.03100036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0.03906837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0.03351232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0.03104897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0.03504616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0.03420406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0.03245771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0.03106245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0.03100588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0.03389535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0.03357650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0.03273786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0.03135971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0.03111039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0.03267001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0.03260630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0.03240871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0.03183330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0.03156207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0.03254307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0.03249248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0.03233366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0.03185036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0.03160676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0.03244031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0.03239890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0.03226775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0.03185510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0.03163644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0.03235486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0.03232018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0.03220957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0.03185235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0.03165555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0.03228231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0.03225274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0.03215786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0.03184498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0.03166717 </w:t>
            </w:r>
          </w:p>
        </w:tc>
      </w:tr>
      <w:tr>
        <w:tblPrEx>
          <w:tblCellMar>
            <w:top w:w="0" w:type="dxa"/>
            <w:left w:w="108" w:type="dxa"/>
            <w:bottom w:w="0" w:type="dxa"/>
            <w:right w:w="108" w:type="dxa"/>
          </w:tblCellMar>
        </w:tblPrEx>
        <w:trPr>
          <w:trHeight w:val="283" w:hRule="atLeast"/>
        </w:trPr>
        <w:tc>
          <w:tcPr>
            <w:tcW w:w="11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0.03188410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0.03187384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0.03184010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0.03171767 </w:t>
            </w:r>
          </w:p>
        </w:tc>
        <w:tc>
          <w:tcPr>
            <w:tcW w:w="2114"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0.03163771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 xml:space="preserve">6-5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平水</w:t>
      </w:r>
      <w:r>
        <w:rPr>
          <w:rFonts w:hint="default" w:ascii="Times New Roman" w:hAnsi="Times New Roman" w:cs="Times New Roman"/>
          <w:b/>
          <w:color w:val="auto"/>
          <w:sz w:val="24"/>
          <w:szCs w:val="24"/>
          <w:highlight w:val="none"/>
          <w:u w:val="single"/>
        </w:rPr>
        <w:t>期正常排放TP预测结果  单位：mg/L</w:t>
      </w:r>
    </w:p>
    <w:tbl>
      <w:tblPr>
        <w:tblStyle w:val="21"/>
        <w:tblW w:w="5000" w:type="pct"/>
        <w:tblInd w:w="0" w:type="dxa"/>
        <w:tblLayout w:type="autofit"/>
        <w:tblCellMar>
          <w:top w:w="0" w:type="dxa"/>
          <w:left w:w="108" w:type="dxa"/>
          <w:bottom w:w="0" w:type="dxa"/>
          <w:right w:w="108" w:type="dxa"/>
        </w:tblCellMar>
      </w:tblPr>
      <w:tblGrid>
        <w:gridCol w:w="3071"/>
        <w:gridCol w:w="2105"/>
        <w:gridCol w:w="2102"/>
        <w:gridCol w:w="2105"/>
        <w:gridCol w:w="2102"/>
        <w:gridCol w:w="2111"/>
      </w:tblGrid>
      <w:tr>
        <w:tblPrEx>
          <w:tblCellMar>
            <w:top w:w="0" w:type="dxa"/>
            <w:left w:w="108" w:type="dxa"/>
            <w:bottom w:w="0" w:type="dxa"/>
            <w:right w:w="108" w:type="dxa"/>
          </w:tblCellMar>
        </w:tblPrEx>
        <w:trPr>
          <w:trHeight w:val="283" w:hRule="atLeast"/>
        </w:trPr>
        <w:tc>
          <w:tcPr>
            <w:tcW w:w="1129"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  y</w:t>
            </w:r>
          </w:p>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870" w:type="pct"/>
            <w:gridSpan w:val="5"/>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TP（mg/L）</w:t>
            </w:r>
          </w:p>
        </w:tc>
      </w:tr>
      <w:tr>
        <w:tblPrEx>
          <w:tblCellMar>
            <w:top w:w="0" w:type="dxa"/>
            <w:left w:w="108" w:type="dxa"/>
            <w:bottom w:w="0" w:type="dxa"/>
            <w:right w:w="108" w:type="dxa"/>
          </w:tblCellMar>
        </w:tblPrEx>
        <w:trPr>
          <w:trHeight w:val="283" w:hRule="atLeast"/>
        </w:trPr>
        <w:tc>
          <w:tcPr>
            <w:tcW w:w="1129"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p>
        </w:tc>
        <w:tc>
          <w:tcPr>
            <w:tcW w:w="774"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773"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774"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773"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24</w:t>
            </w:r>
          </w:p>
        </w:tc>
        <w:tc>
          <w:tcPr>
            <w:tcW w:w="774"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0.01045799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0.01067144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0.01000197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0.01069905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0.01001430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50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0.01065764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0.01006376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0.01053789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0.01016749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0.01000326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0.01026974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0.01021360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0.01009718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0.01000416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0.01000039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0.01019302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0.01017177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0.01011586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0.01002398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0.01000736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0.01011133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0.01010709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0.01009391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0.01005555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0.01003747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0.01010287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0.01009950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0.01008891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0.01005669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0.01004045 </w:t>
            </w:r>
          </w:p>
        </w:tc>
      </w:tr>
      <w:tr>
        <w:tblPrEx>
          <w:tblCellMar>
            <w:top w:w="0" w:type="dxa"/>
            <w:left w:w="108" w:type="dxa"/>
            <w:bottom w:w="0" w:type="dxa"/>
            <w:right w:w="108" w:type="dxa"/>
          </w:tblCellMar>
        </w:tblPrEx>
        <w:trPr>
          <w:trHeight w:val="90"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4000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0.01009602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0.01009326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0.01008452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0.01005701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0.01004243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4500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0.01009032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0.01008801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0.01008064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0.01005682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0.01004370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0.01008549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0.01008352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0.01007719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0.01005633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0.01004448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0.01005894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0.01005826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0.01005601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0.01004784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0.01004251 </w:t>
            </w:r>
          </w:p>
        </w:tc>
      </w:tr>
    </w:tbl>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由</w:t>
      </w:r>
      <w:r>
        <w:rPr>
          <w:rFonts w:hint="default" w:ascii="Times New Roman" w:hAnsi="Times New Roman" w:cs="Times New Roman"/>
          <w:color w:val="auto"/>
          <w:sz w:val="24"/>
          <w:highlight w:val="none"/>
          <w:u w:val="single"/>
        </w:rPr>
        <w:t>上述预测结果</w:t>
      </w:r>
      <w:r>
        <w:rPr>
          <w:rFonts w:hint="default" w:ascii="Times New Roman" w:hAnsi="Times New Roman" w:cs="Times New Roman"/>
          <w:bCs/>
          <w:color w:val="auto"/>
          <w:sz w:val="24"/>
          <w:highlight w:val="none"/>
          <w:u w:val="single"/>
        </w:rPr>
        <w:t>可知，项目尾水正常排放下COD、NH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-N、TP在滔溪平水期沿程污染物浓度均符合《地表水环境质量标准》（GB3838-2002）Ⅱ类水质标准，对滔溪水质影响较小。</w:t>
      </w:r>
    </w:p>
    <w:p>
      <w:pPr>
        <w:widowControl/>
        <w:spacing w:line="360" w:lineRule="auto"/>
        <w:ind w:firstLine="480" w:firstLineChars="200"/>
        <w:jc w:val="left"/>
        <w:rPr>
          <w:rFonts w:hint="default" w:ascii="Times New Roman" w:hAnsi="Times New Roman" w:cs="Times New Roman"/>
          <w:bCs/>
          <w:color w:val="auto"/>
          <w:sz w:val="24"/>
          <w:szCs w:val="24"/>
          <w:highlight w:val="none"/>
          <w:u w:val="single"/>
        </w:rPr>
      </w:pPr>
      <w:bookmarkStart w:id="125" w:name="_Toc15356"/>
      <w:r>
        <w:rPr>
          <w:rFonts w:hint="default" w:ascii="Times New Roman" w:hAnsi="Times New Roman" w:cs="Times New Roman"/>
          <w:color w:val="auto"/>
          <w:kern w:val="0"/>
          <w:sz w:val="24"/>
          <w:szCs w:val="24"/>
          <w:highlight w:val="none"/>
          <w:u w:val="single"/>
          <w:lang w:val="en-US" w:eastAsia="zh-CN"/>
        </w:rPr>
        <w:t>②</w:t>
      </w:r>
      <w:r>
        <w:rPr>
          <w:rFonts w:hint="default" w:ascii="Times New Roman" w:hAnsi="Times New Roman" w:cs="Times New Roman"/>
          <w:color w:val="auto"/>
          <w:kern w:val="0"/>
          <w:sz w:val="24"/>
          <w:szCs w:val="24"/>
          <w:highlight w:val="none"/>
          <w:u w:val="single"/>
        </w:rPr>
        <w:t>枯水</w:t>
      </w:r>
      <w:r>
        <w:rPr>
          <w:rFonts w:hint="default" w:ascii="Times New Roman" w:hAnsi="Times New Roman" w:cs="Times New Roman"/>
          <w:bCs/>
          <w:color w:val="auto"/>
          <w:sz w:val="24"/>
          <w:szCs w:val="24"/>
          <w:highlight w:val="none"/>
          <w:u w:val="single"/>
        </w:rPr>
        <w:t>期</w:t>
      </w:r>
    </w:p>
    <w:p>
      <w:pPr>
        <w:pStyle w:val="27"/>
        <w:spacing w:line="360" w:lineRule="exact"/>
        <w:ind w:firstLine="0"/>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6</w:t>
      </w:r>
      <w:r>
        <w:rPr>
          <w:rFonts w:hint="default" w:ascii="Times New Roman" w:hAnsi="Times New Roman" w:cs="Times New Roman"/>
          <w:b/>
          <w:color w:val="auto"/>
          <w:sz w:val="24"/>
          <w:szCs w:val="24"/>
          <w:highlight w:val="none"/>
          <w:u w:val="single"/>
          <w:lang w:val="en-US"/>
        </w:rPr>
        <w:t xml:space="preserve">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枯水</w:t>
      </w:r>
      <w:r>
        <w:rPr>
          <w:rFonts w:hint="default" w:ascii="Times New Roman" w:hAnsi="Times New Roman" w:cs="Times New Roman"/>
          <w:b/>
          <w:color w:val="auto"/>
          <w:sz w:val="24"/>
          <w:szCs w:val="24"/>
          <w:highlight w:val="none"/>
          <w:u w:val="single"/>
        </w:rPr>
        <w:t>期正常排放COD预测结果  单位：mg/L</w:t>
      </w:r>
    </w:p>
    <w:tbl>
      <w:tblPr>
        <w:tblStyle w:val="21"/>
        <w:tblW w:w="5000" w:type="pct"/>
        <w:tblInd w:w="0" w:type="dxa"/>
        <w:tblLayout w:type="autofit"/>
        <w:tblCellMar>
          <w:top w:w="0" w:type="dxa"/>
          <w:left w:w="108" w:type="dxa"/>
          <w:bottom w:w="0" w:type="dxa"/>
          <w:right w:w="108" w:type="dxa"/>
        </w:tblCellMar>
      </w:tblPr>
      <w:tblGrid>
        <w:gridCol w:w="2284"/>
        <w:gridCol w:w="2826"/>
        <w:gridCol w:w="2826"/>
        <w:gridCol w:w="2826"/>
        <w:gridCol w:w="2834"/>
      </w:tblGrid>
      <w:tr>
        <w:tblPrEx>
          <w:tblCellMar>
            <w:top w:w="0" w:type="dxa"/>
            <w:left w:w="108" w:type="dxa"/>
            <w:bottom w:w="0" w:type="dxa"/>
            <w:right w:w="108" w:type="dxa"/>
          </w:tblCellMar>
        </w:tblPrEx>
        <w:trPr>
          <w:trHeight w:val="283" w:hRule="atLeast"/>
        </w:trPr>
        <w:tc>
          <w:tcPr>
            <w:tcW w:w="840"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 xml:space="preserve">  y</w:t>
            </w:r>
          </w:p>
          <w:p>
            <w:pPr>
              <w:adjustRightInd w:val="0"/>
              <w:snapToGrid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4159" w:type="pct"/>
            <w:gridSpan w:val="4"/>
            <w:tcBorders>
              <w:top w:val="single" w:color="auto" w:sz="4" w:space="0"/>
              <w:left w:val="nil"/>
              <w:bottom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COD（mg/L）</w:t>
            </w:r>
          </w:p>
        </w:tc>
      </w:tr>
      <w:tr>
        <w:tblPrEx>
          <w:tblCellMar>
            <w:top w:w="0" w:type="dxa"/>
            <w:left w:w="108" w:type="dxa"/>
            <w:bottom w:w="0" w:type="dxa"/>
            <w:right w:w="108" w:type="dxa"/>
          </w:tblCellMar>
        </w:tblPrEx>
        <w:trPr>
          <w:trHeight w:val="283" w:hRule="atLeast"/>
        </w:trPr>
        <w:tc>
          <w:tcPr>
            <w:tcW w:w="840"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cs="Times New Roman"/>
                <w:color w:val="auto"/>
                <w:highlight w:val="none"/>
                <w:u w:val="single"/>
              </w:rPr>
            </w:pPr>
          </w:p>
        </w:tc>
        <w:tc>
          <w:tcPr>
            <w:tcW w:w="1039"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1039"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1039"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1040"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25</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10.06923563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10.00000291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20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10.09189071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10.00059608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10.09254491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10.00321891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10.00000004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10.08477795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10.01130047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10.00001257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10.06796316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10.02481307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10.00082757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10.03349652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10.02738300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10.01387093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10.00091328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10.02387918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10.02159037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10.01536641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10.00394295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10.01365729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10.01320620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10.01179095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10.00749259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3500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10.01259553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10.01223809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10.01110496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10.00752890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4000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10.01173493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10.01144302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10.01051039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10.00748051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4500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10.01101846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10.01077449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10.00999027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10.00738413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10.01040947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10.01020180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10.00953101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10.00726088 </w:t>
            </w:r>
          </w:p>
        </w:tc>
      </w:tr>
      <w:tr>
        <w:tblPrEx>
          <w:tblCellMar>
            <w:top w:w="0" w:type="dxa"/>
            <w:left w:w="108" w:type="dxa"/>
            <w:bottom w:w="0" w:type="dxa"/>
            <w:right w:w="108" w:type="dxa"/>
          </w:tblCellMar>
        </w:tblPrEx>
        <w:trPr>
          <w:trHeight w:val="283" w:hRule="atLeast"/>
        </w:trPr>
        <w:tc>
          <w:tcPr>
            <w:tcW w:w="840"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10.00704869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10.00697802 </w:t>
            </w:r>
          </w:p>
        </w:tc>
        <w:tc>
          <w:tcPr>
            <w:tcW w:w="282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10.00674471 </w:t>
            </w:r>
          </w:p>
        </w:tc>
        <w:tc>
          <w:tcPr>
            <w:tcW w:w="283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10.00588692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7</w:t>
      </w:r>
      <w:r>
        <w:rPr>
          <w:rFonts w:hint="default" w:ascii="Times New Roman" w:hAnsi="Times New Roman" w:cs="Times New Roman"/>
          <w:b/>
          <w:color w:val="auto"/>
          <w:sz w:val="24"/>
          <w:szCs w:val="24"/>
          <w:highlight w:val="none"/>
          <w:u w:val="single"/>
          <w:lang w:val="en-US"/>
        </w:rPr>
        <w:t xml:space="preserve">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枯水</w:t>
      </w:r>
      <w:r>
        <w:rPr>
          <w:rFonts w:hint="default" w:ascii="Times New Roman" w:hAnsi="Times New Roman" w:cs="Times New Roman"/>
          <w:b/>
          <w:color w:val="auto"/>
          <w:sz w:val="24"/>
          <w:szCs w:val="24"/>
          <w:highlight w:val="none"/>
          <w:u w:val="single"/>
        </w:rPr>
        <w:t>期正常排放NH</w:t>
      </w:r>
      <w:r>
        <w:rPr>
          <w:rFonts w:hint="default" w:ascii="Times New Roman" w:hAnsi="Times New Roman" w:cs="Times New Roman"/>
          <w:b/>
          <w:color w:val="auto"/>
          <w:sz w:val="24"/>
          <w:szCs w:val="24"/>
          <w:highlight w:val="none"/>
          <w:u w:val="single"/>
          <w:vertAlign w:val="subscript"/>
        </w:rPr>
        <w:t>3</w:t>
      </w:r>
      <w:r>
        <w:rPr>
          <w:rFonts w:hint="default" w:ascii="Times New Roman" w:hAnsi="Times New Roman" w:cs="Times New Roman"/>
          <w:b/>
          <w:color w:val="auto"/>
          <w:sz w:val="24"/>
          <w:szCs w:val="24"/>
          <w:highlight w:val="none"/>
          <w:u w:val="single"/>
        </w:rPr>
        <w:t>-N预测结果  单位：mg/L</w:t>
      </w:r>
    </w:p>
    <w:tbl>
      <w:tblPr>
        <w:tblStyle w:val="21"/>
        <w:tblW w:w="5000" w:type="pct"/>
        <w:tblInd w:w="0" w:type="dxa"/>
        <w:tblLayout w:type="autofit"/>
        <w:tblCellMar>
          <w:top w:w="0" w:type="dxa"/>
          <w:left w:w="108" w:type="dxa"/>
          <w:bottom w:w="0" w:type="dxa"/>
          <w:right w:w="108" w:type="dxa"/>
        </w:tblCellMar>
      </w:tblPr>
      <w:tblGrid>
        <w:gridCol w:w="3631"/>
        <w:gridCol w:w="2491"/>
        <w:gridCol w:w="2489"/>
        <w:gridCol w:w="2491"/>
        <w:gridCol w:w="2494"/>
      </w:tblGrid>
      <w:tr>
        <w:tblPrEx>
          <w:tblCellMar>
            <w:top w:w="0" w:type="dxa"/>
            <w:left w:w="108" w:type="dxa"/>
            <w:bottom w:w="0" w:type="dxa"/>
            <w:right w:w="108" w:type="dxa"/>
          </w:tblCellMar>
        </w:tblPrEx>
        <w:trPr>
          <w:trHeight w:val="283" w:hRule="atLeast"/>
        </w:trPr>
        <w:tc>
          <w:tcPr>
            <w:tcW w:w="1335"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 xml:space="preserve">  y</w:t>
            </w:r>
          </w:p>
          <w:p>
            <w:pPr>
              <w:adjustRightInd w:val="0"/>
              <w:snapToGrid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3664" w:type="pct"/>
            <w:gridSpan w:val="4"/>
            <w:tcBorders>
              <w:top w:val="single" w:color="auto" w:sz="4" w:space="0"/>
              <w:left w:val="nil"/>
              <w:bottom w:val="single" w:color="auto" w:sz="4" w:space="0"/>
              <w:right w:val="single" w:color="auto" w:sz="4" w:space="0"/>
            </w:tcBorders>
            <w:vAlign w:val="center"/>
          </w:tcPr>
          <w:p>
            <w:pPr>
              <w:adjustRightInd w:val="0"/>
              <w:snapToGrid w:val="0"/>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NH</w:t>
            </w:r>
            <w:r>
              <w:rPr>
                <w:rFonts w:hint="default" w:ascii="Times New Roman" w:hAnsi="Times New Roman" w:cs="Times New Roman"/>
                <w:color w:val="auto"/>
                <w:highlight w:val="none"/>
                <w:u w:val="single"/>
                <w:vertAlign w:val="subscript"/>
              </w:rPr>
              <w:t>3</w:t>
            </w:r>
            <w:r>
              <w:rPr>
                <w:rFonts w:hint="default" w:ascii="Times New Roman" w:hAnsi="Times New Roman" w:cs="Times New Roman"/>
                <w:color w:val="auto"/>
                <w:highlight w:val="none"/>
                <w:u w:val="single"/>
              </w:rPr>
              <w:t>-N（mg/L）</w:t>
            </w:r>
          </w:p>
        </w:tc>
      </w:tr>
      <w:tr>
        <w:tblPrEx>
          <w:tblCellMar>
            <w:top w:w="0" w:type="dxa"/>
            <w:left w:w="108" w:type="dxa"/>
            <w:bottom w:w="0" w:type="dxa"/>
            <w:right w:w="108" w:type="dxa"/>
          </w:tblCellMar>
        </w:tblPrEx>
        <w:trPr>
          <w:trHeight w:val="283" w:hRule="atLeast"/>
        </w:trPr>
        <w:tc>
          <w:tcPr>
            <w:tcW w:w="1335"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rFonts w:hint="default" w:ascii="Times New Roman" w:hAnsi="Times New Roman" w:cs="Times New Roman"/>
                <w:color w:val="auto"/>
                <w:highlight w:val="none"/>
                <w:u w:val="single"/>
              </w:rPr>
            </w:pP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25</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0.04830891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0.03100073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20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0.05397268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0.03114902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0.05413623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0.03180473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0.03100001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0.05219449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0.03382512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0.03100314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0.04799079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0.03720327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0.03120689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0.03937413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0.03784575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0.03446773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0.03122832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0.03696979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0.03639759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0.03484160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0.03198574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0.03441432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0.03430155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0.03394774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0.03287315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3500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0.03414888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0.03405952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0.03377624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0.03288222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4000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0.03393373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0.03386075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0.03362760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0.03287013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4500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0.03375462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0.03369362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0.03349757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0.03284603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0.03360237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0.03355045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0.03338275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0.03281522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0.03276217 </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0.03274451 </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0.03268618 </w:t>
            </w:r>
          </w:p>
        </w:tc>
        <w:tc>
          <w:tcPr>
            <w:tcW w:w="917"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0.03247173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8</w:t>
      </w:r>
      <w:r>
        <w:rPr>
          <w:rFonts w:hint="default" w:ascii="Times New Roman" w:hAnsi="Times New Roman" w:cs="Times New Roman"/>
          <w:b/>
          <w:color w:val="auto"/>
          <w:sz w:val="24"/>
          <w:szCs w:val="24"/>
          <w:highlight w:val="none"/>
          <w:u w:val="single"/>
          <w:lang w:val="en-US"/>
        </w:rPr>
        <w:t xml:space="preserve">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枯水</w:t>
      </w:r>
      <w:r>
        <w:rPr>
          <w:rFonts w:hint="default" w:ascii="Times New Roman" w:hAnsi="Times New Roman" w:cs="Times New Roman"/>
          <w:b/>
          <w:color w:val="auto"/>
          <w:sz w:val="24"/>
          <w:szCs w:val="24"/>
          <w:highlight w:val="none"/>
          <w:u w:val="single"/>
        </w:rPr>
        <w:t>期正常排放TP预测结果  单位：mg/L</w:t>
      </w:r>
    </w:p>
    <w:tbl>
      <w:tblPr>
        <w:tblStyle w:val="21"/>
        <w:tblW w:w="5000" w:type="pct"/>
        <w:tblInd w:w="0" w:type="dxa"/>
        <w:tblLayout w:type="autofit"/>
        <w:tblCellMar>
          <w:top w:w="0" w:type="dxa"/>
          <w:left w:w="108" w:type="dxa"/>
          <w:bottom w:w="0" w:type="dxa"/>
          <w:right w:w="108" w:type="dxa"/>
        </w:tblCellMar>
      </w:tblPr>
      <w:tblGrid>
        <w:gridCol w:w="3631"/>
        <w:gridCol w:w="2491"/>
        <w:gridCol w:w="2489"/>
        <w:gridCol w:w="2491"/>
        <w:gridCol w:w="2494"/>
      </w:tblGrid>
      <w:tr>
        <w:tblPrEx>
          <w:tblCellMar>
            <w:top w:w="0" w:type="dxa"/>
            <w:left w:w="108" w:type="dxa"/>
            <w:bottom w:w="0" w:type="dxa"/>
            <w:right w:w="108" w:type="dxa"/>
          </w:tblCellMar>
        </w:tblPrEx>
        <w:trPr>
          <w:trHeight w:val="283" w:hRule="atLeast"/>
        </w:trPr>
        <w:tc>
          <w:tcPr>
            <w:tcW w:w="1335"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  y</w:t>
            </w:r>
          </w:p>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664" w:type="pct"/>
            <w:gridSpan w:val="4"/>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TP（mg/L）</w:t>
            </w:r>
          </w:p>
        </w:tc>
      </w:tr>
      <w:tr>
        <w:tblPrEx>
          <w:tblCellMar>
            <w:top w:w="0" w:type="dxa"/>
            <w:left w:w="108" w:type="dxa"/>
            <w:bottom w:w="0" w:type="dxa"/>
            <w:right w:w="108" w:type="dxa"/>
          </w:tblCellMar>
        </w:tblPrEx>
        <w:trPr>
          <w:trHeight w:val="283" w:hRule="atLeast"/>
        </w:trPr>
        <w:tc>
          <w:tcPr>
            <w:tcW w:w="1335" w:type="pct"/>
            <w:vMerge w:val="continue"/>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916"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915" w:type="pct"/>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25</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0.04830891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0.03100073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0.05397268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0.03114902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0.05413623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0.03180473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0.03100001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50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0.05219449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0.03382512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0.03100314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0.04799079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0.03720327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0.03120689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500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0.03937413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0.03784575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0.03446773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0.03122832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1000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0.03696979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0.03639759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0.03484160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0.03198574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0.03441432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0.03430155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0.03394774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0.03287315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3500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0.03414888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0.03405952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0.03377624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0.03288222 </w:t>
            </w:r>
          </w:p>
        </w:tc>
      </w:tr>
      <w:tr>
        <w:tblPrEx>
          <w:tblCellMar>
            <w:top w:w="0" w:type="dxa"/>
            <w:left w:w="108" w:type="dxa"/>
            <w:bottom w:w="0" w:type="dxa"/>
            <w:right w:w="108" w:type="dxa"/>
          </w:tblCellMar>
        </w:tblPrEx>
        <w:trPr>
          <w:trHeight w:val="90"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4000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0.03393373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0.03386075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0.03362760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0.03287013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4500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0.03375462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0.03369362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0.03349757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0.03284603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0.03360237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0.03355045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0.03338275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0.03281522 </w:t>
            </w:r>
          </w:p>
        </w:tc>
      </w:tr>
      <w:tr>
        <w:tblPrEx>
          <w:tblCellMar>
            <w:top w:w="0" w:type="dxa"/>
            <w:left w:w="108" w:type="dxa"/>
            <w:bottom w:w="0" w:type="dxa"/>
            <w:right w:w="108" w:type="dxa"/>
          </w:tblCellMar>
        </w:tblPrEx>
        <w:trPr>
          <w:trHeight w:val="283" w:hRule="atLeast"/>
        </w:trPr>
        <w:tc>
          <w:tcPr>
            <w:tcW w:w="1335" w:type="pct"/>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0.03276217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0.03274451 </w:t>
            </w:r>
          </w:p>
        </w:tc>
        <w:tc>
          <w:tcPr>
            <w:tcW w:w="2491"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0.03268618 </w:t>
            </w:r>
          </w:p>
        </w:tc>
        <w:tc>
          <w:tcPr>
            <w:tcW w:w="2494"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0.03247173 </w:t>
            </w:r>
          </w:p>
        </w:tc>
      </w:tr>
    </w:tbl>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由</w:t>
      </w:r>
      <w:r>
        <w:rPr>
          <w:rFonts w:hint="default" w:ascii="Times New Roman" w:hAnsi="Times New Roman" w:cs="Times New Roman"/>
          <w:color w:val="auto"/>
          <w:sz w:val="24"/>
          <w:highlight w:val="none"/>
          <w:u w:val="single"/>
        </w:rPr>
        <w:t>上述预测结果</w:t>
      </w:r>
      <w:r>
        <w:rPr>
          <w:rFonts w:hint="default" w:ascii="Times New Roman" w:hAnsi="Times New Roman" w:cs="Times New Roman"/>
          <w:bCs/>
          <w:color w:val="auto"/>
          <w:sz w:val="24"/>
          <w:highlight w:val="none"/>
          <w:u w:val="single"/>
        </w:rPr>
        <w:t>可知，项目尾水正常排放下COD、NH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-N、TP在滔溪枯水期沿程污染物浓度均符合《地表水环境质量标准》（GB3838-2002）Ⅱ类水质标准，对滔溪水质影响较小。</w:t>
      </w:r>
    </w:p>
    <w:p>
      <w:pPr>
        <w:spacing w:line="360" w:lineRule="auto"/>
        <w:ind w:firstLine="480" w:firstLineChars="200"/>
        <w:jc w:val="left"/>
        <w:outlineLvl w:val="2"/>
        <w:rPr>
          <w:rFonts w:hint="default" w:ascii="Times New Roman" w:hAnsi="Times New Roman" w:cs="Times New Roman"/>
          <w:bCs/>
          <w:color w:val="auto"/>
          <w:sz w:val="24"/>
          <w:highlight w:val="none"/>
          <w:u w:val="single"/>
        </w:rPr>
      </w:pPr>
      <w:bookmarkStart w:id="126" w:name="_Toc23918"/>
      <w:bookmarkStart w:id="127" w:name="_Toc14405"/>
      <w:r>
        <w:rPr>
          <w:rFonts w:hint="default" w:ascii="Times New Roman" w:hAnsi="Times New Roman" w:cs="Times New Roman"/>
          <w:bCs/>
          <w:color w:val="auto"/>
          <w:sz w:val="24"/>
          <w:highlight w:val="none"/>
          <w:u w:val="single"/>
        </w:rPr>
        <w:t>（10）事故排放预测结果</w:t>
      </w:r>
      <w:bookmarkEnd w:id="125"/>
      <w:bookmarkEnd w:id="126"/>
      <w:bookmarkEnd w:id="127"/>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lang w:val="en-US" w:eastAsia="zh-CN"/>
        </w:rPr>
        <w:t>①</w:t>
      </w:r>
      <w:r>
        <w:rPr>
          <w:rFonts w:hint="default" w:ascii="Times New Roman" w:hAnsi="Times New Roman" w:cs="Times New Roman"/>
          <w:bCs/>
          <w:color w:val="auto"/>
          <w:sz w:val="24"/>
          <w:highlight w:val="none"/>
          <w:u w:val="single"/>
        </w:rPr>
        <w:t>平水期</w:t>
      </w: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9</w:t>
      </w:r>
      <w:r>
        <w:rPr>
          <w:rFonts w:hint="default" w:ascii="Times New Roman" w:hAnsi="Times New Roman" w:cs="Times New Roman"/>
          <w:b/>
          <w:color w:val="auto"/>
          <w:sz w:val="24"/>
          <w:szCs w:val="24"/>
          <w:highlight w:val="none"/>
          <w:u w:val="single"/>
          <w:lang w:val="en-US"/>
        </w:rPr>
        <w:t xml:space="preserve">  平水期</w:t>
      </w:r>
      <w:r>
        <w:rPr>
          <w:rFonts w:hint="default" w:ascii="Times New Roman" w:hAnsi="Times New Roman" w:cs="Times New Roman"/>
          <w:b/>
          <w:color w:val="auto"/>
          <w:sz w:val="24"/>
          <w:szCs w:val="24"/>
          <w:highlight w:val="none"/>
          <w:u w:val="single"/>
        </w:rPr>
        <w:t>事故排放COD预测结果  单位：mg/L</w:t>
      </w:r>
    </w:p>
    <w:tbl>
      <w:tblPr>
        <w:tblStyle w:val="21"/>
        <w:tblW w:w="5000" w:type="pct"/>
        <w:tblInd w:w="0" w:type="dxa"/>
        <w:tblLayout w:type="autofit"/>
        <w:tblCellMar>
          <w:top w:w="0" w:type="dxa"/>
          <w:left w:w="108" w:type="dxa"/>
          <w:bottom w:w="0" w:type="dxa"/>
          <w:right w:w="108" w:type="dxa"/>
        </w:tblCellMar>
      </w:tblPr>
      <w:tblGrid>
        <w:gridCol w:w="3071"/>
        <w:gridCol w:w="2105"/>
        <w:gridCol w:w="2102"/>
        <w:gridCol w:w="2105"/>
        <w:gridCol w:w="2102"/>
        <w:gridCol w:w="2111"/>
      </w:tblGrid>
      <w:tr>
        <w:tblPrEx>
          <w:tblCellMar>
            <w:top w:w="0" w:type="dxa"/>
            <w:left w:w="108" w:type="dxa"/>
            <w:bottom w:w="0" w:type="dxa"/>
            <w:right w:w="108" w:type="dxa"/>
          </w:tblCellMar>
        </w:tblPrEx>
        <w:trPr>
          <w:trHeight w:val="397" w:hRule="atLeast"/>
        </w:trPr>
        <w:tc>
          <w:tcPr>
            <w:tcW w:w="1129"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 xml:space="preserve">  y</w:t>
            </w:r>
          </w:p>
          <w:p>
            <w:pP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3870" w:type="pct"/>
            <w:gridSpan w:val="5"/>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COD（mg/L）</w:t>
            </w:r>
          </w:p>
        </w:tc>
      </w:tr>
      <w:tr>
        <w:tblPrEx>
          <w:tblCellMar>
            <w:top w:w="0" w:type="dxa"/>
            <w:left w:w="108" w:type="dxa"/>
            <w:bottom w:w="0" w:type="dxa"/>
            <w:right w:w="108" w:type="dxa"/>
          </w:tblCellMar>
        </w:tblPrEx>
        <w:trPr>
          <w:trHeight w:val="397" w:hRule="atLeast"/>
        </w:trPr>
        <w:tc>
          <w:tcPr>
            <w:tcW w:w="1129"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highlight w:val="none"/>
                <w:u w:val="single"/>
              </w:rPr>
            </w:pP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6</w:t>
            </w: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12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24</w:t>
            </w: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highlight w:val="none"/>
                <w:u w:val="single"/>
                <w:lang w:bidi="ar"/>
              </w:rPr>
              <w:t>30</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10.10075739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10.00000086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20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10.14771781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10.00043239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10.15379022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10.00314697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10.14468039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10.01402776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10.00000533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10.11833614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10.03684739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10.00071822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10.05934369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10.04699292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10.02137976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10.00091598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10.00008626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1000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10.04246511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10.03778864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10.02548862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10.00527578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10.00161898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10.02449344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10.02355914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10.02066115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10.01222178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10.00824365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3500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10.02263168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10.02188968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10.01956041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10.01247189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10.00889915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10.02112447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10.02051720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10.01859364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10.01254150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10.00933444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highlight w:val="none"/>
                <w:u w:val="single"/>
                <w:lang w:bidi="ar"/>
              </w:rPr>
              <w:t>4500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10.01987122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10.01936262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10.01774030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10.01250109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10.00961475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5000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10.01880725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10.01837347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10.01698197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10.01239299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10.00978515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highlight w:val="none"/>
                <w:u w:val="single"/>
                <w:lang w:bidi="ar"/>
              </w:rPr>
            </w:pPr>
            <w:r>
              <w:rPr>
                <w:rFonts w:hint="default" w:ascii="Times New Roman" w:hAnsi="Times New Roman" w:cs="Times New Roman"/>
                <w:b/>
                <w:color w:val="auto"/>
                <w:kern w:val="0"/>
                <w:highlight w:val="none"/>
                <w:u w:val="single"/>
                <w:lang w:bidi="ar"/>
              </w:rPr>
              <w:t>10000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10.01296679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10.01281638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10.01232151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10.01052587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10.00935305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10</w:t>
      </w:r>
      <w:r>
        <w:rPr>
          <w:rFonts w:hint="default" w:ascii="Times New Roman" w:hAnsi="Times New Roman" w:cs="Times New Roman"/>
          <w:b/>
          <w:color w:val="auto"/>
          <w:sz w:val="24"/>
          <w:szCs w:val="24"/>
          <w:highlight w:val="none"/>
          <w:u w:val="single"/>
          <w:lang w:val="en-US"/>
        </w:rPr>
        <w:t xml:space="preserve">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平水</w:t>
      </w:r>
      <w:r>
        <w:rPr>
          <w:rFonts w:hint="default" w:ascii="Times New Roman" w:hAnsi="Times New Roman" w:cs="Times New Roman"/>
          <w:b/>
          <w:color w:val="auto"/>
          <w:sz w:val="24"/>
          <w:szCs w:val="24"/>
          <w:highlight w:val="none"/>
          <w:u w:val="single"/>
        </w:rPr>
        <w:t>期事故排放NH</w:t>
      </w:r>
      <w:r>
        <w:rPr>
          <w:rFonts w:hint="default" w:ascii="Times New Roman" w:hAnsi="Times New Roman" w:cs="Times New Roman"/>
          <w:b/>
          <w:color w:val="auto"/>
          <w:sz w:val="24"/>
          <w:szCs w:val="24"/>
          <w:highlight w:val="none"/>
          <w:u w:val="single"/>
          <w:vertAlign w:val="subscript"/>
        </w:rPr>
        <w:t>3</w:t>
      </w:r>
      <w:r>
        <w:rPr>
          <w:rFonts w:hint="default" w:ascii="Times New Roman" w:hAnsi="Times New Roman" w:cs="Times New Roman"/>
          <w:b/>
          <w:color w:val="auto"/>
          <w:sz w:val="24"/>
          <w:szCs w:val="24"/>
          <w:highlight w:val="none"/>
          <w:u w:val="single"/>
        </w:rPr>
        <w:t>-N预测结果  单位：mg/L</w:t>
      </w:r>
    </w:p>
    <w:tbl>
      <w:tblPr>
        <w:tblStyle w:val="21"/>
        <w:tblW w:w="5000" w:type="pct"/>
        <w:tblInd w:w="0" w:type="dxa"/>
        <w:tblLayout w:type="autofit"/>
        <w:tblCellMar>
          <w:top w:w="0" w:type="dxa"/>
          <w:left w:w="108" w:type="dxa"/>
          <w:bottom w:w="0" w:type="dxa"/>
          <w:right w:w="108" w:type="dxa"/>
        </w:tblCellMar>
      </w:tblPr>
      <w:tblGrid>
        <w:gridCol w:w="3071"/>
        <w:gridCol w:w="2105"/>
        <w:gridCol w:w="2102"/>
        <w:gridCol w:w="2105"/>
        <w:gridCol w:w="2102"/>
        <w:gridCol w:w="2111"/>
      </w:tblGrid>
      <w:tr>
        <w:tblPrEx>
          <w:tblCellMar>
            <w:top w:w="0" w:type="dxa"/>
            <w:left w:w="108" w:type="dxa"/>
            <w:bottom w:w="0" w:type="dxa"/>
            <w:right w:w="108" w:type="dxa"/>
          </w:tblCellMar>
        </w:tblPrEx>
        <w:trPr>
          <w:trHeight w:val="397" w:hRule="atLeast"/>
        </w:trPr>
        <w:tc>
          <w:tcPr>
            <w:tcW w:w="1129"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bookmarkStart w:id="128" w:name="_Ref65761902"/>
            <w:bookmarkEnd w:id="128"/>
            <w:r>
              <w:rPr>
                <w:rFonts w:hint="default" w:ascii="Times New Roman" w:hAnsi="Times New Roman" w:cs="Times New Roman"/>
                <w:color w:val="auto"/>
                <w:kern w:val="0"/>
                <w:highlight w:val="none"/>
                <w:u w:val="single"/>
                <w:lang w:bidi="ar"/>
              </w:rPr>
              <w:t xml:space="preserve">  y</w:t>
            </w:r>
          </w:p>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870" w:type="pct"/>
            <w:gridSpan w:val="5"/>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NH</w:t>
            </w:r>
            <w:r>
              <w:rPr>
                <w:rFonts w:hint="default" w:ascii="Times New Roman" w:hAnsi="Times New Roman" w:cs="Times New Roman"/>
                <w:color w:val="auto"/>
                <w:kern w:val="0"/>
                <w:highlight w:val="none"/>
                <w:u w:val="single"/>
                <w:vertAlign w:val="subscript"/>
                <w:lang w:bidi="ar"/>
              </w:rPr>
              <w:t>3</w:t>
            </w:r>
            <w:r>
              <w:rPr>
                <w:rFonts w:hint="default" w:ascii="Times New Roman" w:hAnsi="Times New Roman" w:cs="Times New Roman"/>
                <w:color w:val="auto"/>
                <w:kern w:val="0"/>
                <w:highlight w:val="none"/>
                <w:u w:val="single"/>
                <w:lang w:bidi="ar"/>
              </w:rPr>
              <w:t>-N（mg/L）</w:t>
            </w:r>
          </w:p>
        </w:tc>
      </w:tr>
      <w:tr>
        <w:tblPrEx>
          <w:tblCellMar>
            <w:top w:w="0" w:type="dxa"/>
            <w:left w:w="108" w:type="dxa"/>
            <w:bottom w:w="0" w:type="dxa"/>
            <w:right w:w="108" w:type="dxa"/>
          </w:tblCellMar>
        </w:tblPrEx>
        <w:trPr>
          <w:trHeight w:val="397" w:hRule="atLeast"/>
        </w:trPr>
        <w:tc>
          <w:tcPr>
            <w:tcW w:w="1129"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6</w:t>
            </w: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12</w:t>
            </w:r>
          </w:p>
        </w:tc>
        <w:tc>
          <w:tcPr>
            <w:tcW w:w="77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24</w:t>
            </w:r>
          </w:p>
        </w:tc>
        <w:tc>
          <w:tcPr>
            <w:tcW w:w="77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0.04473964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0.03100012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0.05114334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0.03105896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0.05197139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0.03142913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0.05072914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0.03291288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0.03100073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0.04713675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0.03602464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0.03109794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0.03909232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0.03740813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0.03391542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0.03112491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0.03101176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0.03679070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0.03615300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0.03447572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0.03171943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0.03122077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0.03434001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0.03421261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0.03381743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0.03266661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0.03212413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0.03408614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0.03398496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0.03366733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0.03270071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0.03221352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0.03388061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0.03379780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0.03353550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0.03271020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0.03227288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0.03370971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0.03364036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0.03341913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0.03270469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0.03231110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5000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0.03356463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0.03350547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0.03331572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0.03268995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0.03233434 </w:t>
            </w:r>
          </w:p>
        </w:tc>
      </w:tr>
      <w:tr>
        <w:tblPrEx>
          <w:tblCellMar>
            <w:top w:w="0" w:type="dxa"/>
            <w:left w:w="108" w:type="dxa"/>
            <w:bottom w:w="0" w:type="dxa"/>
            <w:right w:w="108" w:type="dxa"/>
          </w:tblCellMar>
        </w:tblPrEx>
        <w:trPr>
          <w:trHeight w:val="397"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10000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0.03276820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0.03274769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0.03268021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0.03243535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0.03227542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w:t>
      </w:r>
      <w:r>
        <w:rPr>
          <w:rFonts w:hint="default" w:ascii="Times New Roman" w:hAnsi="Times New Roman" w:cs="Times New Roman"/>
          <w:b/>
          <w:color w:val="auto"/>
          <w:sz w:val="24"/>
          <w:szCs w:val="24"/>
          <w:highlight w:val="none"/>
          <w:u w:val="single"/>
          <w:lang w:val="en-US" w:eastAsia="zh-CN"/>
        </w:rPr>
        <w:t>11</w:t>
      </w:r>
      <w:r>
        <w:rPr>
          <w:rFonts w:hint="default" w:ascii="Times New Roman" w:hAnsi="Times New Roman" w:cs="Times New Roman"/>
          <w:b/>
          <w:color w:val="auto"/>
          <w:sz w:val="24"/>
          <w:szCs w:val="24"/>
          <w:highlight w:val="none"/>
          <w:u w:val="single"/>
          <w:lang w:val="en-US"/>
        </w:rPr>
        <w:t xml:space="preserve">  平水</w:t>
      </w:r>
      <w:r>
        <w:rPr>
          <w:rFonts w:hint="default" w:ascii="Times New Roman" w:hAnsi="Times New Roman" w:cs="Times New Roman"/>
          <w:b/>
          <w:color w:val="auto"/>
          <w:sz w:val="24"/>
          <w:szCs w:val="24"/>
          <w:highlight w:val="none"/>
          <w:u w:val="single"/>
        </w:rPr>
        <w:t>期事故排放TP预测结果  单位：mg/L</w:t>
      </w:r>
    </w:p>
    <w:tbl>
      <w:tblPr>
        <w:tblStyle w:val="21"/>
        <w:tblW w:w="5000" w:type="pct"/>
        <w:tblInd w:w="0" w:type="dxa"/>
        <w:tblLayout w:type="autofit"/>
        <w:tblCellMar>
          <w:top w:w="0" w:type="dxa"/>
          <w:left w:w="108" w:type="dxa"/>
          <w:bottom w:w="0" w:type="dxa"/>
          <w:right w:w="108" w:type="dxa"/>
        </w:tblCellMar>
      </w:tblPr>
      <w:tblGrid>
        <w:gridCol w:w="3071"/>
        <w:gridCol w:w="2105"/>
        <w:gridCol w:w="2102"/>
        <w:gridCol w:w="2105"/>
        <w:gridCol w:w="2102"/>
        <w:gridCol w:w="2111"/>
      </w:tblGrid>
      <w:tr>
        <w:tblPrEx>
          <w:tblCellMar>
            <w:top w:w="0" w:type="dxa"/>
            <w:left w:w="108" w:type="dxa"/>
            <w:bottom w:w="0" w:type="dxa"/>
            <w:right w:w="108" w:type="dxa"/>
          </w:tblCellMar>
        </w:tblPrEx>
        <w:trPr>
          <w:trHeight w:val="283" w:hRule="atLeast"/>
        </w:trPr>
        <w:tc>
          <w:tcPr>
            <w:tcW w:w="1129"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  y</w:t>
            </w:r>
          </w:p>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870" w:type="pct"/>
            <w:gridSpan w:val="5"/>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TP（mg/L）</w:t>
            </w:r>
          </w:p>
        </w:tc>
      </w:tr>
      <w:tr>
        <w:tblPrEx>
          <w:tblCellMar>
            <w:top w:w="0" w:type="dxa"/>
            <w:left w:w="108" w:type="dxa"/>
            <w:bottom w:w="0" w:type="dxa"/>
            <w:right w:w="108" w:type="dxa"/>
          </w:tblCellMar>
        </w:tblPrEx>
        <w:trPr>
          <w:trHeight w:val="283" w:hRule="atLeast"/>
        </w:trPr>
        <w:tc>
          <w:tcPr>
            <w:tcW w:w="1129"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0.01137396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0.01201433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0.01000590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0.01209714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0.01004291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0.01197291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0.01019129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0.01161367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0.01050246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0.01000979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0.01080923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0.01064081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0.01029154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0.01001249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0.01000118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0.01057907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0.01051530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0.01034757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0.01007194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0.01002208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0.01033400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0.01032126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0.01028174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0.01016666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0.01011241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0.01030861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0.01029850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0.01026673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0.01017007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0.01012135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0.01028806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0.01027978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0.01025355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0.01017102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0.01012729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0.01027097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0.01026404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0.01024191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0.01017047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0.01013111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4500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0.01025646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0.01025055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0.01023157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0.01016900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0.01013343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5000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0.01017682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0.01017477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0.01016802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0.01014353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0.01012754 </w:t>
            </w:r>
          </w:p>
        </w:tc>
      </w:tr>
      <w:tr>
        <w:tblPrEx>
          <w:tblCellMar>
            <w:top w:w="0" w:type="dxa"/>
            <w:left w:w="108" w:type="dxa"/>
            <w:bottom w:w="0" w:type="dxa"/>
            <w:right w:w="108" w:type="dxa"/>
          </w:tblCellMar>
        </w:tblPrEx>
        <w:trPr>
          <w:trHeight w:val="283" w:hRule="atLeast"/>
        </w:trPr>
        <w:tc>
          <w:tcPr>
            <w:tcW w:w="1129"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10000</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0.01137396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0.01000001 </w:t>
            </w:r>
          </w:p>
        </w:tc>
        <w:tc>
          <w:tcPr>
            <w:tcW w:w="210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11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bl>
    <w:p>
      <w:pPr>
        <w:spacing w:line="360" w:lineRule="auto"/>
        <w:ind w:firstLine="480" w:firstLineChars="200"/>
        <w:jc w:val="left"/>
        <w:rPr>
          <w:rFonts w:hint="default" w:ascii="Times New Roman" w:hAnsi="Times New Roman" w:cs="Times New Roman"/>
          <w:color w:val="auto"/>
          <w:kern w:val="0"/>
          <w:sz w:val="24"/>
          <w:highlight w:val="none"/>
          <w:u w:val="singl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bCs/>
          <w:color w:val="auto"/>
          <w:sz w:val="24"/>
          <w:highlight w:val="none"/>
          <w:u w:val="single"/>
        </w:rPr>
        <w:t>根据</w:t>
      </w:r>
      <w:r>
        <w:rPr>
          <w:rFonts w:hint="default" w:ascii="Times New Roman" w:hAnsi="Times New Roman" w:cs="Times New Roman"/>
          <w:color w:val="auto"/>
          <w:sz w:val="24"/>
          <w:highlight w:val="none"/>
          <w:u w:val="single"/>
        </w:rPr>
        <w:t>上述</w:t>
      </w:r>
      <w:r>
        <w:rPr>
          <w:rFonts w:hint="default" w:ascii="Times New Roman" w:hAnsi="Times New Roman" w:cs="Times New Roman"/>
          <w:bCs/>
          <w:color w:val="auto"/>
          <w:sz w:val="24"/>
          <w:highlight w:val="none"/>
          <w:u w:val="single"/>
        </w:rPr>
        <w:t>预测结果可知，事故排放情况下，COD、NH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TP在滔溪平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lang w:val="en-US" w:eastAsia="zh-CN"/>
        </w:rPr>
        <w:t>①</w:t>
      </w:r>
      <w:r>
        <w:rPr>
          <w:rFonts w:hint="default" w:ascii="Times New Roman" w:hAnsi="Times New Roman" w:cs="Times New Roman"/>
          <w:bCs/>
          <w:color w:val="auto"/>
          <w:sz w:val="24"/>
          <w:highlight w:val="none"/>
          <w:u w:val="single"/>
        </w:rPr>
        <w:t>枯水期</w:t>
      </w: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6-12  枯水期</w:t>
      </w:r>
      <w:r>
        <w:rPr>
          <w:rFonts w:hint="default" w:ascii="Times New Roman" w:hAnsi="Times New Roman" w:cs="Times New Roman"/>
          <w:b/>
          <w:color w:val="auto"/>
          <w:sz w:val="24"/>
          <w:szCs w:val="24"/>
          <w:highlight w:val="none"/>
          <w:u w:val="single"/>
        </w:rPr>
        <w:t>事故排放COD预测结果  单位：mg/L</w:t>
      </w:r>
    </w:p>
    <w:tbl>
      <w:tblPr>
        <w:tblStyle w:val="21"/>
        <w:tblW w:w="5000" w:type="pct"/>
        <w:tblInd w:w="0" w:type="dxa"/>
        <w:tblLayout w:type="autofit"/>
        <w:tblCellMar>
          <w:top w:w="0" w:type="dxa"/>
          <w:left w:w="108" w:type="dxa"/>
          <w:bottom w:w="0" w:type="dxa"/>
          <w:right w:w="108" w:type="dxa"/>
        </w:tblCellMar>
      </w:tblPr>
      <w:tblGrid>
        <w:gridCol w:w="3633"/>
        <w:gridCol w:w="2488"/>
        <w:gridCol w:w="2486"/>
        <w:gridCol w:w="2489"/>
        <w:gridCol w:w="2489"/>
        <w:gridCol w:w="11"/>
      </w:tblGrid>
      <w:tr>
        <w:tblPrEx>
          <w:tblCellMar>
            <w:top w:w="0" w:type="dxa"/>
            <w:left w:w="108" w:type="dxa"/>
            <w:bottom w:w="0" w:type="dxa"/>
            <w:right w:w="108" w:type="dxa"/>
          </w:tblCellMar>
        </w:tblPrEx>
        <w:trPr>
          <w:trHeight w:val="397" w:hRule="atLeast"/>
        </w:trPr>
        <w:tc>
          <w:tcPr>
            <w:tcW w:w="1336"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 xml:space="preserve">  y</w:t>
            </w:r>
          </w:p>
          <w:p>
            <w:pP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x</w:t>
            </w:r>
          </w:p>
        </w:tc>
        <w:tc>
          <w:tcPr>
            <w:tcW w:w="3663" w:type="pct"/>
            <w:gridSpan w:val="5"/>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COD（mg/L）</w:t>
            </w:r>
          </w:p>
        </w:tc>
      </w:tr>
      <w:tr>
        <w:tblPrEx>
          <w:tblCellMar>
            <w:top w:w="0" w:type="dxa"/>
            <w:left w:w="108" w:type="dxa"/>
            <w:bottom w:w="0" w:type="dxa"/>
            <w:right w:w="108" w:type="dxa"/>
          </w:tblCellMar>
        </w:tblPrEx>
        <w:trPr>
          <w:gridAfter w:val="1"/>
          <w:wAfter w:w="2" w:type="pct"/>
          <w:trHeight w:val="397" w:hRule="atLeast"/>
        </w:trPr>
        <w:tc>
          <w:tcPr>
            <w:tcW w:w="1336"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auto"/>
                <w:highlight w:val="none"/>
                <w:u w:val="single"/>
              </w:rPr>
            </w:pP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w:t>
            </w:r>
          </w:p>
        </w:tc>
        <w:tc>
          <w:tcPr>
            <w:tcW w:w="91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6</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12</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25</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10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10.25386396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10.00001068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20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10.33693262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10.00218563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30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10.33933133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10.01180267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10.00000014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50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10.31085250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10.04143507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10.00004609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100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10.24919825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10.09098124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10.00303442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10.00000000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10.12282057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10.10040434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10.05086009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10.00334870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1000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10.08755699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10.07916469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10.05634350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10.01445750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3000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10.05007672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10.04842275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10.04323348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10.02747283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3500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10.04618360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10.04487300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10.04071820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10.02760595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4000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10.04302807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10.04195774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10.03853809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10.02742853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highlight w:val="none"/>
                <w:u w:val="single"/>
              </w:rPr>
            </w:pPr>
            <w:r>
              <w:rPr>
                <w:rFonts w:hint="default" w:ascii="Times New Roman" w:hAnsi="Times New Roman" w:cs="Times New Roman"/>
                <w:b/>
                <w:color w:val="auto"/>
                <w:kern w:val="0"/>
                <w:sz w:val="22"/>
                <w:szCs w:val="22"/>
                <w:highlight w:val="none"/>
                <w:u w:val="single"/>
                <w:lang w:bidi="ar"/>
              </w:rPr>
              <w:t>4500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10.04040102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10.03950646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10.03663098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10.02707514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5000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10.03816805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10.03740659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10.03494705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10.02662321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10000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10.02584519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10.02558608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10.02473062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10.02158539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p>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 xml:space="preserve">6-13 </w:t>
      </w:r>
      <w:r>
        <w:rPr>
          <w:rFonts w:hint="default" w:ascii="Times New Roman" w:hAnsi="Times New Roman" w:cs="Times New Roman"/>
          <w:b/>
          <w:color w:val="auto"/>
          <w:sz w:val="24"/>
          <w:szCs w:val="24"/>
          <w:highlight w:val="none"/>
          <w:u w:val="single"/>
        </w:rPr>
        <w:t xml:space="preserve"> </w:t>
      </w:r>
      <w:r>
        <w:rPr>
          <w:rFonts w:hint="default" w:ascii="Times New Roman" w:hAnsi="Times New Roman" w:cs="Times New Roman"/>
          <w:b/>
          <w:color w:val="auto"/>
          <w:sz w:val="24"/>
          <w:szCs w:val="24"/>
          <w:highlight w:val="none"/>
          <w:u w:val="single"/>
          <w:lang w:val="en-US"/>
        </w:rPr>
        <w:t>枯水</w:t>
      </w:r>
      <w:r>
        <w:rPr>
          <w:rFonts w:hint="default" w:ascii="Times New Roman" w:hAnsi="Times New Roman" w:cs="Times New Roman"/>
          <w:b/>
          <w:color w:val="auto"/>
          <w:sz w:val="24"/>
          <w:szCs w:val="24"/>
          <w:highlight w:val="none"/>
          <w:u w:val="single"/>
        </w:rPr>
        <w:t>期事故排放NH</w:t>
      </w:r>
      <w:r>
        <w:rPr>
          <w:rFonts w:hint="default" w:ascii="Times New Roman" w:hAnsi="Times New Roman" w:cs="Times New Roman"/>
          <w:b/>
          <w:color w:val="auto"/>
          <w:sz w:val="24"/>
          <w:szCs w:val="24"/>
          <w:highlight w:val="none"/>
          <w:u w:val="single"/>
          <w:vertAlign w:val="subscript"/>
        </w:rPr>
        <w:t>3</w:t>
      </w:r>
      <w:r>
        <w:rPr>
          <w:rFonts w:hint="default" w:ascii="Times New Roman" w:hAnsi="Times New Roman" w:cs="Times New Roman"/>
          <w:b/>
          <w:color w:val="auto"/>
          <w:sz w:val="24"/>
          <w:szCs w:val="24"/>
          <w:highlight w:val="none"/>
          <w:u w:val="single"/>
        </w:rPr>
        <w:t>-N预测结果  单位：mg/L</w:t>
      </w:r>
    </w:p>
    <w:tbl>
      <w:tblPr>
        <w:tblStyle w:val="21"/>
        <w:tblW w:w="5000" w:type="pct"/>
        <w:tblInd w:w="0" w:type="dxa"/>
        <w:tblLayout w:type="autofit"/>
        <w:tblCellMar>
          <w:top w:w="0" w:type="dxa"/>
          <w:left w:w="108" w:type="dxa"/>
          <w:bottom w:w="0" w:type="dxa"/>
          <w:right w:w="108" w:type="dxa"/>
        </w:tblCellMar>
      </w:tblPr>
      <w:tblGrid>
        <w:gridCol w:w="3633"/>
        <w:gridCol w:w="2488"/>
        <w:gridCol w:w="2486"/>
        <w:gridCol w:w="2489"/>
        <w:gridCol w:w="2489"/>
        <w:gridCol w:w="11"/>
      </w:tblGrid>
      <w:tr>
        <w:tblPrEx>
          <w:tblCellMar>
            <w:top w:w="0" w:type="dxa"/>
            <w:left w:w="108" w:type="dxa"/>
            <w:bottom w:w="0" w:type="dxa"/>
            <w:right w:w="108" w:type="dxa"/>
          </w:tblCellMar>
        </w:tblPrEx>
        <w:trPr>
          <w:trHeight w:val="397" w:hRule="atLeast"/>
        </w:trPr>
        <w:tc>
          <w:tcPr>
            <w:tcW w:w="1336"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  y</w:t>
            </w:r>
          </w:p>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663" w:type="pct"/>
            <w:gridSpan w:val="5"/>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NH</w:t>
            </w:r>
            <w:r>
              <w:rPr>
                <w:rFonts w:hint="default" w:ascii="Times New Roman" w:hAnsi="Times New Roman" w:cs="Times New Roman"/>
                <w:color w:val="auto"/>
                <w:kern w:val="0"/>
                <w:highlight w:val="none"/>
                <w:u w:val="single"/>
                <w:vertAlign w:val="subscript"/>
                <w:lang w:bidi="ar"/>
              </w:rPr>
              <w:t>3</w:t>
            </w:r>
            <w:r>
              <w:rPr>
                <w:rFonts w:hint="default" w:ascii="Times New Roman" w:hAnsi="Times New Roman" w:cs="Times New Roman"/>
                <w:color w:val="auto"/>
                <w:kern w:val="0"/>
                <w:highlight w:val="none"/>
                <w:u w:val="single"/>
                <w:lang w:bidi="ar"/>
              </w:rPr>
              <w:t>-N（mg/L）</w:t>
            </w:r>
          </w:p>
        </w:tc>
      </w:tr>
      <w:tr>
        <w:tblPrEx>
          <w:tblCellMar>
            <w:top w:w="0" w:type="dxa"/>
            <w:left w:w="108" w:type="dxa"/>
            <w:bottom w:w="0" w:type="dxa"/>
            <w:right w:w="108" w:type="dxa"/>
          </w:tblCellMar>
        </w:tblPrEx>
        <w:trPr>
          <w:gridAfter w:val="1"/>
          <w:wAfter w:w="2" w:type="pct"/>
          <w:trHeight w:val="397" w:hRule="atLeast"/>
        </w:trPr>
        <w:tc>
          <w:tcPr>
            <w:tcW w:w="1336"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w:t>
            </w:r>
          </w:p>
        </w:tc>
        <w:tc>
          <w:tcPr>
            <w:tcW w:w="91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6</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12</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25</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0.06561781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0.03100146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0.07694536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0.03129804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0.07727245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0.03260945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0.03100002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0.07338898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0.03665024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0.03100629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0.06498158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0.04340653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0.03141378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0.03100000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0.04774826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0.04469150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0.03793547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0.03145664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0.04293959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0.04179518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0.03868320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0.03297148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0.03782864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0.03760310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0.03689547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0.03474629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3500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0.03729776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0.03711905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0.03655248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0.03476445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4000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0.03686746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0.03672151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0.03625519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0.03474025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4500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0.03650923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0.03638724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0.03599513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0.03469206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5000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0.03620473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0.03610090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0.03576551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0.03463044 </w:t>
            </w:r>
          </w:p>
        </w:tc>
      </w:tr>
      <w:tr>
        <w:tblPrEx>
          <w:tblCellMar>
            <w:top w:w="0" w:type="dxa"/>
            <w:left w:w="108" w:type="dxa"/>
            <w:bottom w:w="0" w:type="dxa"/>
            <w:right w:w="108" w:type="dxa"/>
          </w:tblCellMar>
        </w:tblPrEx>
        <w:trPr>
          <w:gridAfter w:val="1"/>
          <w:wAfter w:w="2" w:type="pct"/>
          <w:trHeight w:val="397"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10000</w:t>
            </w:r>
          </w:p>
        </w:tc>
        <w:tc>
          <w:tcPr>
            <w:tcW w:w="2488"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0.03452434 </w:t>
            </w:r>
          </w:p>
        </w:tc>
        <w:tc>
          <w:tcPr>
            <w:tcW w:w="2486"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0.03448901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0.03437236 </w:t>
            </w:r>
          </w:p>
        </w:tc>
        <w:tc>
          <w:tcPr>
            <w:tcW w:w="2489" w:type="dxa"/>
            <w:tcBorders>
              <w:top w:val="single" w:color="auto" w:sz="4" w:space="0"/>
              <w:left w:val="nil"/>
              <w:bottom w:val="single" w:color="auto" w:sz="4" w:space="0"/>
              <w:right w:val="single" w:color="auto" w:sz="4" w:space="0"/>
            </w:tcBorders>
            <w:vAlign w:val="center"/>
          </w:tcPr>
          <w:p>
            <w:pPr>
              <w:widowControl/>
              <w:adjustRightInd w:val="0"/>
              <w:snapToGrid w:val="0"/>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0.03394346 </w:t>
            </w:r>
          </w:p>
        </w:tc>
      </w:tr>
    </w:tbl>
    <w:p>
      <w:pPr>
        <w:pStyle w:val="27"/>
        <w:spacing w:line="360" w:lineRule="exact"/>
        <w:ind w:firstLine="0"/>
        <w:jc w:val="center"/>
        <w:rPr>
          <w:rFonts w:hint="default" w:ascii="Times New Roman" w:hAnsi="Times New Roman" w:cs="Times New Roman"/>
          <w:b/>
          <w:color w:val="auto"/>
          <w:sz w:val="24"/>
          <w:szCs w:val="24"/>
          <w:highlight w:val="none"/>
          <w:u w:val="single"/>
        </w:rPr>
      </w:pPr>
      <w:r>
        <w:rPr>
          <w:rFonts w:hint="default" w:ascii="Times New Roman" w:hAnsi="Times New Roman" w:cs="Times New Roman"/>
          <w:b/>
          <w:color w:val="auto"/>
          <w:sz w:val="24"/>
          <w:szCs w:val="24"/>
          <w:highlight w:val="none"/>
          <w:u w:val="single"/>
        </w:rPr>
        <w:t>表</w:t>
      </w:r>
      <w:r>
        <w:rPr>
          <w:rFonts w:hint="default" w:ascii="Times New Roman" w:hAnsi="Times New Roman" w:cs="Times New Roman"/>
          <w:b/>
          <w:color w:val="auto"/>
          <w:sz w:val="24"/>
          <w:szCs w:val="24"/>
          <w:highlight w:val="none"/>
          <w:u w:val="single"/>
          <w:lang w:val="en-US"/>
        </w:rPr>
        <w:t>6-14  枯水</w:t>
      </w:r>
      <w:r>
        <w:rPr>
          <w:rFonts w:hint="default" w:ascii="Times New Roman" w:hAnsi="Times New Roman" w:cs="Times New Roman"/>
          <w:b/>
          <w:color w:val="auto"/>
          <w:sz w:val="24"/>
          <w:szCs w:val="24"/>
          <w:highlight w:val="none"/>
          <w:u w:val="single"/>
        </w:rPr>
        <w:t>期事故排放TP预测结果  单位：mg/L</w:t>
      </w:r>
    </w:p>
    <w:tbl>
      <w:tblPr>
        <w:tblStyle w:val="21"/>
        <w:tblW w:w="5000" w:type="pct"/>
        <w:tblInd w:w="0" w:type="dxa"/>
        <w:tblLayout w:type="autofit"/>
        <w:tblCellMar>
          <w:top w:w="0" w:type="dxa"/>
          <w:left w:w="108" w:type="dxa"/>
          <w:bottom w:w="0" w:type="dxa"/>
          <w:right w:w="108" w:type="dxa"/>
        </w:tblCellMar>
      </w:tblPr>
      <w:tblGrid>
        <w:gridCol w:w="3633"/>
        <w:gridCol w:w="2488"/>
        <w:gridCol w:w="2486"/>
        <w:gridCol w:w="2489"/>
        <w:gridCol w:w="2489"/>
        <w:gridCol w:w="11"/>
      </w:tblGrid>
      <w:tr>
        <w:tblPrEx>
          <w:tblCellMar>
            <w:top w:w="0" w:type="dxa"/>
            <w:left w:w="108" w:type="dxa"/>
            <w:bottom w:w="0" w:type="dxa"/>
            <w:right w:w="108" w:type="dxa"/>
          </w:tblCellMar>
        </w:tblPrEx>
        <w:trPr>
          <w:trHeight w:val="293" w:hRule="atLeast"/>
        </w:trPr>
        <w:tc>
          <w:tcPr>
            <w:tcW w:w="1336"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 xml:space="preserve">  y</w:t>
            </w:r>
          </w:p>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x</w:t>
            </w:r>
          </w:p>
        </w:tc>
        <w:tc>
          <w:tcPr>
            <w:tcW w:w="3663" w:type="pct"/>
            <w:gridSpan w:val="5"/>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highlight w:val="none"/>
                <w:u w:val="single"/>
                <w:lang w:bidi="ar"/>
              </w:rPr>
              <w:t>TP（mg/L）</w:t>
            </w:r>
          </w:p>
        </w:tc>
      </w:tr>
      <w:tr>
        <w:tblPrEx>
          <w:tblCellMar>
            <w:top w:w="0" w:type="dxa"/>
            <w:left w:w="108" w:type="dxa"/>
            <w:bottom w:w="0" w:type="dxa"/>
            <w:right w:w="108" w:type="dxa"/>
          </w:tblCellMar>
        </w:tblPrEx>
        <w:trPr>
          <w:gridAfter w:val="1"/>
          <w:wAfter w:w="2" w:type="pct"/>
          <w:trHeight w:val="283" w:hRule="atLeast"/>
        </w:trPr>
        <w:tc>
          <w:tcPr>
            <w:tcW w:w="1336"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2</w:t>
            </w:r>
          </w:p>
        </w:tc>
        <w:tc>
          <w:tcPr>
            <w:tcW w:w="914"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6</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12</w:t>
            </w:r>
          </w:p>
        </w:tc>
        <w:tc>
          <w:tcPr>
            <w:tcW w:w="91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25</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0.01346178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0.01000015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20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0.01459454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0.01002980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0.01462725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0.01016095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0.01423890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0.01056502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0.01000063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0.01339816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0.01124065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0.01004138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0.01000000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0.01167483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0.01136915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0.01069355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0.01004566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1000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0.01119396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0.01107952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0.01076832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0.01019715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0.01068286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0.01066031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0.01058955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0.01037463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3500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0.01062978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0.01061190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0.01055525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0.01037644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0.01058675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0.01057215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0.01052552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0.01037403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b/>
                <w:color w:val="auto"/>
                <w:kern w:val="0"/>
                <w:sz w:val="22"/>
                <w:szCs w:val="22"/>
                <w:highlight w:val="none"/>
                <w:u w:val="single"/>
                <w:lang w:bidi="ar"/>
              </w:rPr>
              <w:t>4500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0.01055092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0.01053872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0.01049951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0.01036921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5000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0.01052047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0.01051009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0.01047655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0.01036304 </w:t>
            </w:r>
          </w:p>
        </w:tc>
      </w:tr>
      <w:tr>
        <w:tblPrEx>
          <w:tblCellMar>
            <w:top w:w="0" w:type="dxa"/>
            <w:left w:w="108" w:type="dxa"/>
            <w:bottom w:w="0" w:type="dxa"/>
            <w:right w:w="108" w:type="dxa"/>
          </w:tblCellMar>
        </w:tblPrEx>
        <w:trPr>
          <w:gridAfter w:val="1"/>
          <w:wAfter w:w="2" w:type="pct"/>
          <w:trHeight w:val="283" w:hRule="atLeast"/>
        </w:trPr>
        <w:tc>
          <w:tcPr>
            <w:tcW w:w="1336"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auto"/>
                <w:kern w:val="0"/>
                <w:sz w:val="22"/>
                <w:szCs w:val="22"/>
                <w:highlight w:val="none"/>
                <w:u w:val="single"/>
                <w:lang w:bidi="ar"/>
              </w:rPr>
            </w:pPr>
            <w:r>
              <w:rPr>
                <w:rFonts w:hint="default" w:ascii="Times New Roman" w:hAnsi="Times New Roman" w:cs="Times New Roman"/>
                <w:b/>
                <w:color w:val="auto"/>
                <w:kern w:val="0"/>
                <w:sz w:val="22"/>
                <w:szCs w:val="22"/>
                <w:highlight w:val="none"/>
                <w:u w:val="single"/>
                <w:lang w:bidi="ar"/>
              </w:rPr>
              <w:t>10000</w:t>
            </w:r>
          </w:p>
        </w:tc>
        <w:tc>
          <w:tcPr>
            <w:tcW w:w="248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0.01035243 </w:t>
            </w:r>
          </w:p>
        </w:tc>
        <w:tc>
          <w:tcPr>
            <w:tcW w:w="248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0.01034890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0.01033724 </w:t>
            </w:r>
          </w:p>
        </w:tc>
        <w:tc>
          <w:tcPr>
            <w:tcW w:w="248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auto"/>
                <w:kern w:val="0"/>
                <w:sz w:val="22"/>
                <w:szCs w:val="22"/>
                <w:highlight w:val="none"/>
                <w:u w:val="single"/>
                <w:lang w:bidi="ar"/>
              </w:rPr>
            </w:pPr>
            <w:r>
              <w:rPr>
                <w:rFonts w:hint="default" w:ascii="Times New Roman" w:hAnsi="Times New Roman" w:cs="Times New Roman"/>
                <w:color w:val="auto"/>
                <w:kern w:val="0"/>
                <w:sz w:val="22"/>
                <w:szCs w:val="22"/>
                <w:highlight w:val="none"/>
                <w:u w:val="single"/>
                <w:lang w:bidi="ar"/>
              </w:rPr>
              <w:t xml:space="preserve">0.01029435 </w:t>
            </w:r>
          </w:p>
        </w:tc>
      </w:tr>
    </w:tbl>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u w:val="single"/>
        </w:rPr>
        <w:t>根据</w:t>
      </w:r>
      <w:r>
        <w:rPr>
          <w:rFonts w:hint="default" w:ascii="Times New Roman" w:hAnsi="Times New Roman" w:cs="Times New Roman"/>
          <w:color w:val="auto"/>
          <w:sz w:val="24"/>
          <w:highlight w:val="none"/>
          <w:u w:val="single"/>
        </w:rPr>
        <w:t>上述</w:t>
      </w:r>
      <w:r>
        <w:rPr>
          <w:rFonts w:hint="default" w:ascii="Times New Roman" w:hAnsi="Times New Roman" w:cs="Times New Roman"/>
          <w:bCs/>
          <w:color w:val="auto"/>
          <w:sz w:val="24"/>
          <w:highlight w:val="none"/>
          <w:u w:val="single"/>
        </w:rPr>
        <w:t>预测结果可知，事故排放情况下，COD、NH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TP在滔溪枯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r>
        <w:rPr>
          <w:rFonts w:hint="default" w:ascii="Times New Roman" w:hAnsi="Times New Roman" w:cs="Times New Roman"/>
          <w:bCs/>
          <w:color w:val="auto"/>
          <w:sz w:val="24"/>
          <w:highlight w:val="none"/>
        </w:rPr>
        <w:t>。</w:t>
      </w:r>
    </w:p>
    <w:p>
      <w:pPr>
        <w:widowControl/>
        <w:spacing w:line="360" w:lineRule="auto"/>
        <w:ind w:firstLine="480" w:firstLineChars="200"/>
        <w:jc w:val="left"/>
        <w:rPr>
          <w:rFonts w:hint="default" w:ascii="Times New Roman" w:hAnsi="Times New Roman" w:cs="Times New Roman"/>
          <w:color w:val="auto"/>
          <w:kern w:val="0"/>
          <w:sz w:val="24"/>
          <w:highlight w:val="none"/>
        </w:rPr>
        <w:sectPr>
          <w:pgSz w:w="16838" w:h="11906" w:orient="landscape"/>
          <w:pgMar w:top="1800" w:right="1644" w:bottom="1800" w:left="1814" w:header="851" w:footer="992" w:gutter="0"/>
          <w:cols w:space="720" w:num="1"/>
          <w:docGrid w:type="lines" w:linePitch="312" w:charSpace="0"/>
        </w:sectPr>
      </w:pPr>
    </w:p>
    <w:p>
      <w:pPr>
        <w:pStyle w:val="9"/>
        <w:outlineLvl w:val="1"/>
        <w:rPr>
          <w:rFonts w:hint="default" w:ascii="Times New Roman" w:hAnsi="Times New Roman" w:cs="Times New Roman"/>
          <w:b/>
          <w:color w:val="auto"/>
          <w:sz w:val="24"/>
          <w:highlight w:val="none"/>
        </w:rPr>
      </w:pPr>
      <w:bookmarkStart w:id="129" w:name="_Toc14179"/>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.对水功能区水质影响分析</w:t>
      </w:r>
      <w:bookmarkEnd w:id="129"/>
    </w:p>
    <w:p>
      <w:pPr>
        <w:wordWrap w:val="0"/>
        <w:spacing w:line="360" w:lineRule="auto"/>
        <w:ind w:firstLine="482" w:firstLineChars="200"/>
        <w:jc w:val="left"/>
        <w:outlineLvl w:val="2"/>
        <w:rPr>
          <w:rFonts w:hint="default" w:ascii="Times New Roman" w:hAnsi="Times New Roman" w:cs="Times New Roman"/>
          <w:b/>
          <w:color w:val="auto"/>
          <w:sz w:val="24"/>
          <w:highlight w:val="none"/>
        </w:rPr>
      </w:pPr>
      <w:bookmarkStart w:id="130" w:name="_Toc27547"/>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.1.对水质影响分析</w:t>
      </w:r>
      <w:bookmarkEnd w:id="130"/>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（1）正常排放情况下：</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在90%频率平水期、枯水期，CODcr、TP和NH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rPr>
        <w:t>-N等污染物进入河流后就可以达到《地表水环境质量标准》(GB3838-2002）Ⅱ类标准。污水处理厂正常运转的情况下，以污水处理厂规模污水处理量，排污口排放的污水不会对附近水域造成污染。</w:t>
      </w:r>
    </w:p>
    <w:p>
      <w:pPr>
        <w:numPr>
          <w:ilvl w:val="0"/>
          <w:numId w:val="7"/>
        </w:num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非正常排放情况下</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仅计算最不利情况即90%频率平水期、枯水期，安化县滔溪镇污水处理厂事故排放时由于处理设施事故运行时，污水直接排放入滔溪中，采用河流二维模型计算，污水进入和税后，COD</w:t>
      </w:r>
      <w:r>
        <w:rPr>
          <w:rFonts w:hint="default" w:ascii="Times New Roman" w:hAnsi="Times New Roman" w:cs="Times New Roman"/>
          <w:bCs/>
          <w:color w:val="auto"/>
          <w:sz w:val="24"/>
          <w:highlight w:val="none"/>
          <w:vertAlign w:val="subscript"/>
        </w:rPr>
        <w:t>cr</w:t>
      </w:r>
      <w:r>
        <w:rPr>
          <w:rFonts w:hint="default" w:ascii="Times New Roman" w:hAnsi="Times New Roman" w:cs="Times New Roman"/>
          <w:bCs/>
          <w:color w:val="auto"/>
          <w:sz w:val="24"/>
          <w:highlight w:val="none"/>
        </w:rPr>
        <w:t>、NH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rPr>
        <w:t>-N和TP预测值均达到地表水环境质量Ⅱ类标准；采用河流二维模型计算到污水处理系统事故运行情况下，CODcr、NH</w:t>
      </w:r>
      <w:r>
        <w:rPr>
          <w:rFonts w:hint="default" w:ascii="Times New Roman" w:hAnsi="Times New Roman" w:cs="Times New Roman"/>
          <w:bCs/>
          <w:color w:val="auto"/>
          <w:sz w:val="24"/>
          <w:highlight w:val="none"/>
          <w:vertAlign w:val="subscript"/>
        </w:rPr>
        <w:t>3</w:t>
      </w:r>
      <w:r>
        <w:rPr>
          <w:rFonts w:hint="default" w:ascii="Times New Roman" w:hAnsi="Times New Roman" w:cs="Times New Roman"/>
          <w:bCs/>
          <w:color w:val="auto"/>
          <w:sz w:val="24"/>
          <w:highlight w:val="none"/>
        </w:rPr>
        <w:t>-N和TP浓度数据的平均值在混合后即可达到和滔溪环境同样浓度。</w:t>
      </w:r>
    </w:p>
    <w:p>
      <w:pPr>
        <w:wordWrap w:val="0"/>
        <w:spacing w:line="360" w:lineRule="auto"/>
        <w:ind w:firstLine="482" w:firstLineChars="200"/>
        <w:jc w:val="left"/>
        <w:outlineLvl w:val="2"/>
        <w:rPr>
          <w:rFonts w:hint="default" w:ascii="Times New Roman" w:hAnsi="Times New Roman" w:cs="Times New Roman"/>
          <w:b/>
          <w:color w:val="auto"/>
          <w:sz w:val="24"/>
          <w:highlight w:val="none"/>
        </w:rPr>
      </w:pPr>
      <w:bookmarkStart w:id="131" w:name="_Toc5930"/>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.2.对水域纳污能力影响分析</w:t>
      </w:r>
      <w:bookmarkEnd w:id="131"/>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安化县滔溪镇污水处理厂接纳</w:t>
      </w:r>
      <w:r>
        <w:rPr>
          <w:rFonts w:hint="eastAsia" w:cs="Times New Roman"/>
          <w:bCs/>
          <w:color w:val="auto"/>
          <w:sz w:val="24"/>
          <w:highlight w:val="none"/>
          <w:lang w:eastAsia="zh-CN"/>
        </w:rPr>
        <w:t>范围内</w:t>
      </w:r>
      <w:r>
        <w:rPr>
          <w:rFonts w:hint="default" w:ascii="Times New Roman" w:hAnsi="Times New Roman" w:cs="Times New Roman"/>
          <w:bCs/>
          <w:color w:val="auto"/>
          <w:sz w:val="24"/>
          <w:highlight w:val="none"/>
        </w:rPr>
        <w:t>目前直排入滔溪的大部分污水水量约为250m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/d，处理后的水质达到《城镇污水处理厂污染物排放标准》(GB181918-2002）一级B标准。达标处理后的尾水由污水管排入滔</w:t>
      </w:r>
      <w:r>
        <w:rPr>
          <w:rFonts w:hint="default" w:ascii="Times New Roman" w:hAnsi="Times New Roman" w:cs="Times New Roman"/>
          <w:bCs/>
          <w:color w:val="auto"/>
          <w:sz w:val="24"/>
          <w:highlight w:val="none"/>
        </w:rPr>
        <w:t>溪。</w:t>
      </w:r>
    </w:p>
    <w:p>
      <w:pPr>
        <w:wordWrap w:val="0"/>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根据表5-3、5-4计算，污水处理厂污水排入的水功能区在枯水期、平水期的纳污能力分别为枯水期（CODcr：1774.21t/a，NH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-N：31.54t/a，TP：31.94t/a）、平水期（CODcr：4730.86t/a，NH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-N：443.75t/a，TP：85.16t/a），枯水期、平水期纳污能力远远大于污水处理厂排放值：CODcr：5.475t/a、NH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-N：0.73t/a，TP：0.09125t/a。本项目排污量远小于</w:t>
      </w:r>
      <w:r>
        <w:rPr>
          <w:rFonts w:hint="default" w:ascii="Times New Roman" w:hAnsi="Times New Roman" w:cs="Times New Roman"/>
          <w:bCs/>
          <w:color w:val="auto"/>
          <w:sz w:val="24"/>
          <w:highlight w:val="none"/>
          <w:u w:val="single"/>
          <w:lang w:val="en-US" w:eastAsia="zh-CN"/>
        </w:rPr>
        <w:t>滔溪</w:t>
      </w:r>
      <w:r>
        <w:rPr>
          <w:rFonts w:hint="default" w:ascii="Times New Roman" w:hAnsi="Times New Roman" w:cs="Times New Roman"/>
          <w:bCs/>
          <w:color w:val="auto"/>
          <w:sz w:val="24"/>
          <w:highlight w:val="none"/>
          <w:u w:val="single"/>
        </w:rPr>
        <w:t>纳污能力，对</w:t>
      </w:r>
      <w:r>
        <w:rPr>
          <w:rFonts w:hint="default" w:ascii="Times New Roman" w:hAnsi="Times New Roman" w:cs="Times New Roman"/>
          <w:bCs/>
          <w:color w:val="auto"/>
          <w:sz w:val="24"/>
          <w:highlight w:val="none"/>
          <w:u w:val="single"/>
          <w:lang w:val="en-US" w:eastAsia="zh-CN"/>
        </w:rPr>
        <w:t>滔溪</w:t>
      </w:r>
      <w:r>
        <w:rPr>
          <w:rFonts w:hint="default" w:ascii="Times New Roman" w:hAnsi="Times New Roman" w:cs="Times New Roman"/>
          <w:bCs/>
          <w:color w:val="auto"/>
          <w:sz w:val="24"/>
          <w:highlight w:val="none"/>
          <w:u w:val="single"/>
        </w:rPr>
        <w:t>纳污能力影响较小。</w:t>
      </w:r>
    </w:p>
    <w:p>
      <w:pPr>
        <w:wordWrap w:val="0"/>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综上分析，安化县滔溪镇污水处理</w:t>
      </w:r>
      <w:r>
        <w:rPr>
          <w:rFonts w:hint="default" w:ascii="Times New Roman" w:hAnsi="Times New Roman" w:cs="Times New Roman"/>
          <w:bCs/>
          <w:color w:val="auto"/>
          <w:sz w:val="24"/>
          <w:highlight w:val="none"/>
        </w:rPr>
        <w:t>厂建设后可削减服务区域污水中污染物排放，相较于污水处理厂建设之前本片区直排，污水处理厂建设后对污染物有较大程度的削减，更利于水质保护。</w:t>
      </w:r>
      <w:r>
        <w:rPr>
          <w:rFonts w:hint="default" w:ascii="Times New Roman" w:hAnsi="Times New Roman" w:cs="Times New Roman"/>
          <w:bCs/>
          <w:color w:val="auto"/>
          <w:sz w:val="24"/>
          <w:highlight w:val="none"/>
          <w:u w:val="single"/>
        </w:rPr>
        <w:t>污水处理厂污染物排放量远远低于滔溪纳污量，因此，污水处理厂污水排入滔溪是可行的。</w:t>
      </w:r>
    </w:p>
    <w:p>
      <w:pPr>
        <w:wordWrap w:val="0"/>
        <w:spacing w:line="360" w:lineRule="auto"/>
        <w:ind w:firstLine="482" w:firstLineChars="200"/>
        <w:jc w:val="left"/>
        <w:outlineLvl w:val="1"/>
        <w:rPr>
          <w:rFonts w:hint="default" w:ascii="Times New Roman" w:hAnsi="Times New Roman" w:cs="Times New Roman"/>
          <w:b/>
          <w:color w:val="auto"/>
          <w:sz w:val="24"/>
          <w:highlight w:val="none"/>
        </w:rPr>
      </w:pPr>
      <w:bookmarkStart w:id="132" w:name="_Toc25861"/>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.对水生态及相关敏感区的影响分析</w:t>
      </w:r>
      <w:bookmarkEnd w:id="132"/>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安化县滔溪镇污水处理厂的建设削减了入河污染物量；当污水处理工程正常运行时，仅对出水口局部水域范围造成影响，整个河段水质类别将不会发生明显变化；项目的建设对改善滔溪的水质、水环境及生态环境的保护将起到积极的作用，总体而言，对水资源的保护是有利的。</w:t>
      </w:r>
    </w:p>
    <w:p>
      <w:pPr>
        <w:wordWrap w:val="0"/>
        <w:spacing w:line="360" w:lineRule="auto"/>
        <w:ind w:firstLine="482" w:firstLineChars="200"/>
        <w:jc w:val="left"/>
        <w:outlineLvl w:val="1"/>
        <w:rPr>
          <w:rFonts w:hint="default" w:ascii="Times New Roman" w:hAnsi="Times New Roman" w:cs="Times New Roman"/>
          <w:bCs/>
          <w:color w:val="auto"/>
          <w:sz w:val="24"/>
          <w:highlight w:val="none"/>
        </w:rPr>
      </w:pPr>
      <w:bookmarkStart w:id="133" w:name="_Toc20048"/>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.对地下水的影响分析</w:t>
      </w:r>
      <w:bookmarkEnd w:id="133"/>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排污口河段不属于饮用水源保护区及其他需要保护的地热水、矿泉等区域,排污口附近有没有地下水出露点，其对区域的地下水水位的影响较小，不会造成地面沉降、地裂缝、土地盐渍化、沼泽化等本排污口河段不属于饮用水源保护区及其他需要保护的地热水、矿泉等区域，排污口附近有没有地下水出露点，其对区域的地下水水位的影响较小，不会造成地面沉降、地裂缝、土地盐渍化、沼泽化等环境水文地质问题,地下水的污染主要体现在运行期间污水管网破裂或渗漏造成的地下水质污染，同时根据区域水文地质调查，周边岩性主要为沉积岩，变质岩不多，第四系松散堆积物不甚发育;地下水为碳酸盐裂隙溶岩水。</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污水处理厂在运行期间，需加强管网运行维护与巡查监管，一方面按照管网设计运行参数严格控制运行，防止超负荷运行而引发爆管，从而导致污水外泄造成对地下水的影响；另一方面管网进水段做好悬浮物滤网保护，防止固体废物进入管网，引发管道堵塞、破裂，导致污水外泄造成对地下水产生不利影响。</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运行阶段，需严格按照相关规范、规程执行，健全安全监督、管理制度，制定应急工况下处置预案，防止因管网维护、管理不善而导致对地下水产生不利影响。</w:t>
      </w:r>
    </w:p>
    <w:p>
      <w:pPr>
        <w:wordWrap w:val="0"/>
        <w:spacing w:line="360" w:lineRule="auto"/>
        <w:ind w:firstLine="482" w:firstLineChars="200"/>
        <w:jc w:val="left"/>
        <w:outlineLvl w:val="1"/>
        <w:rPr>
          <w:rFonts w:hint="default" w:ascii="Times New Roman" w:hAnsi="Times New Roman" w:cs="Times New Roman"/>
          <w:b/>
          <w:color w:val="auto"/>
          <w:sz w:val="24"/>
          <w:highlight w:val="none"/>
        </w:rPr>
      </w:pPr>
      <w:bookmarkStart w:id="134" w:name="_Toc3209"/>
      <w:r>
        <w:rPr>
          <w:rFonts w:hint="default" w:ascii="Times New Roman" w:hAnsi="Times New Roman" w:cs="Times New Roman"/>
          <w:b/>
          <w:color w:val="auto"/>
          <w:sz w:val="24"/>
          <w:highlight w:val="none"/>
        </w:rPr>
        <w:t>6.</w:t>
      </w:r>
      <w:r>
        <w:rPr>
          <w:rFonts w:hint="default" w:ascii="Times New Roman" w:hAnsi="Times New Roman" w:cs="Times New Roman"/>
          <w:b/>
          <w:color w:val="auto"/>
          <w:sz w:val="24"/>
          <w:highlight w:val="none"/>
          <w:lang w:val="en-US" w:eastAsia="zh-CN"/>
        </w:rPr>
        <w:t>6</w:t>
      </w:r>
      <w:r>
        <w:rPr>
          <w:rFonts w:hint="default" w:ascii="Times New Roman" w:hAnsi="Times New Roman" w:cs="Times New Roman"/>
          <w:b/>
          <w:color w:val="auto"/>
          <w:sz w:val="24"/>
          <w:highlight w:val="none"/>
        </w:rPr>
        <w:t>.对第三者影响分析</w:t>
      </w:r>
      <w:bookmarkEnd w:id="134"/>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根据水质模型预测分析，废水在正常排放时对下游河段水质影响不大。</w:t>
      </w:r>
    </w:p>
    <w:p>
      <w:pPr>
        <w:wordWrap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现状调查，本项目入河排污口下游论证范围内的滔溪的主要功能为灌溉，入河排污口下游论证范围内无饮用水水源保护区，有少量农业取水口。因此，本项目入河排污口的设置不会对附近取水单位用水安全产生不良影响。</w:t>
      </w:r>
    </w:p>
    <w:p>
      <w:pPr>
        <w:wordWrap w:val="0"/>
        <w:spacing w:line="360" w:lineRule="auto"/>
        <w:ind w:firstLine="480" w:firstLineChars="200"/>
        <w:jc w:val="left"/>
        <w:rPr>
          <w:rFonts w:hint="default" w:ascii="Times New Roman" w:hAnsi="Times New Roman" w:cs="Times New Roman"/>
          <w:bCs/>
          <w:color w:val="auto"/>
          <w:sz w:val="24"/>
          <w:highlight w:val="none"/>
        </w:rPr>
      </w:pPr>
    </w:p>
    <w:p>
      <w:pPr>
        <w:wordWrap w:val="0"/>
        <w:spacing w:line="360" w:lineRule="auto"/>
        <w:ind w:firstLine="482" w:firstLineChars="200"/>
        <w:jc w:val="left"/>
        <w:rPr>
          <w:rFonts w:hint="default" w:ascii="Times New Roman" w:hAnsi="Times New Roman" w:cs="Times New Roman"/>
          <w:b/>
          <w:color w:val="auto"/>
          <w:sz w:val="24"/>
          <w:highlight w:val="none"/>
        </w:rPr>
        <w:sectPr>
          <w:pgSz w:w="11906" w:h="16838"/>
          <w:pgMar w:top="1644" w:right="1800" w:bottom="1814" w:left="1800" w:header="851" w:footer="992" w:gutter="0"/>
          <w:cols w:space="720" w:num="1"/>
          <w:docGrid w:type="lines" w:linePitch="312" w:charSpace="0"/>
        </w:sectPr>
      </w:pPr>
    </w:p>
    <w:p>
      <w:pPr>
        <w:pStyle w:val="3"/>
        <w:numPr>
          <w:ilvl w:val="0"/>
          <w:numId w:val="0"/>
        </w:numPr>
        <w:spacing w:before="156" w:after="156"/>
        <w:rPr>
          <w:rFonts w:hint="default" w:ascii="Times New Roman" w:hAnsi="Times New Roman" w:cs="Times New Roman"/>
          <w:color w:val="auto"/>
          <w:highlight w:val="none"/>
        </w:rPr>
      </w:pPr>
      <w:bookmarkStart w:id="135" w:name="_Toc14662"/>
      <w:bookmarkStart w:id="136" w:name="_Toc19331"/>
      <w:r>
        <w:rPr>
          <w:rFonts w:hint="default" w:ascii="Times New Roman" w:hAnsi="Times New Roman" w:cs="Times New Roman"/>
          <w:color w:val="auto"/>
          <w:highlight w:val="none"/>
        </w:rPr>
        <w:t>7  水环境保护措施</w:t>
      </w:r>
      <w:bookmarkEnd w:id="135"/>
      <w:bookmarkEnd w:id="136"/>
    </w:p>
    <w:p>
      <w:pPr>
        <w:spacing w:line="360" w:lineRule="auto"/>
        <w:jc w:val="left"/>
        <w:outlineLvl w:val="1"/>
        <w:rPr>
          <w:rFonts w:hint="default" w:ascii="Times New Roman" w:hAnsi="Times New Roman" w:cs="Times New Roman"/>
          <w:b/>
          <w:color w:val="auto"/>
          <w:sz w:val="24"/>
          <w:highlight w:val="none"/>
        </w:rPr>
      </w:pPr>
      <w:bookmarkStart w:id="137" w:name="_Toc10711"/>
      <w:r>
        <w:rPr>
          <w:rFonts w:hint="default" w:ascii="Times New Roman" w:hAnsi="Times New Roman" w:cs="Times New Roman"/>
          <w:b/>
          <w:color w:val="auto"/>
          <w:sz w:val="24"/>
          <w:highlight w:val="none"/>
        </w:rPr>
        <w:t>7.1.工程保护措施</w:t>
      </w:r>
      <w:bookmarkEnd w:id="137"/>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根据建设单位提供资料，结合现场踏勘结果，项目已建设完成，运营单位目前已采取各类措施，保证各类污染物达标排放，相关情况详见下表所示：</w:t>
      </w:r>
    </w:p>
    <w:p>
      <w:pPr>
        <w:spacing w:line="360" w:lineRule="auto"/>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表7-1  项目已采取各类工程保护措施一览表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528"/>
        <w:gridCol w:w="6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
                <w:color w:val="auto"/>
                <w:highlight w:val="none"/>
              </w:rPr>
            </w:pPr>
            <w:bookmarkStart w:id="138" w:name="_Toc4864"/>
            <w:bookmarkStart w:id="139" w:name="_Toc6286"/>
            <w:bookmarkStart w:id="140" w:name="_Toc28508"/>
            <w:bookmarkStart w:id="141" w:name="_Toc16768"/>
            <w:bookmarkStart w:id="142" w:name="_Toc12913"/>
            <w:bookmarkStart w:id="143" w:name="_Toc24783"/>
            <w:bookmarkStart w:id="144" w:name="_Toc25730"/>
            <w:r>
              <w:rPr>
                <w:rFonts w:hint="default" w:ascii="Times New Roman" w:hAnsi="Times New Roman" w:cs="Times New Roman"/>
                <w:b/>
                <w:color w:val="auto"/>
                <w:highlight w:val="none"/>
              </w:rPr>
              <w:t>编号</w:t>
            </w:r>
            <w:bookmarkEnd w:id="138"/>
            <w:bookmarkEnd w:id="139"/>
            <w:bookmarkEnd w:id="140"/>
            <w:bookmarkEnd w:id="141"/>
            <w:bookmarkEnd w:id="142"/>
            <w:bookmarkEnd w:id="143"/>
            <w:bookmarkEnd w:id="144"/>
          </w:p>
        </w:tc>
        <w:tc>
          <w:tcPr>
            <w:tcW w:w="1528" w:type="dxa"/>
          </w:tcPr>
          <w:p>
            <w:pPr>
              <w:jc w:val="center"/>
              <w:outlineLvl w:val="1"/>
              <w:rPr>
                <w:rFonts w:hint="default" w:ascii="Times New Roman" w:hAnsi="Times New Roman" w:cs="Times New Roman"/>
                <w:b/>
                <w:color w:val="auto"/>
                <w:highlight w:val="none"/>
              </w:rPr>
            </w:pPr>
            <w:bookmarkStart w:id="145" w:name="_Toc23608"/>
            <w:bookmarkStart w:id="146" w:name="_Toc27913"/>
            <w:bookmarkStart w:id="147" w:name="_Toc30612"/>
            <w:bookmarkStart w:id="148" w:name="_Toc15763"/>
            <w:bookmarkStart w:id="149" w:name="_Toc10222"/>
            <w:bookmarkStart w:id="150" w:name="_Toc28649"/>
            <w:bookmarkStart w:id="151" w:name="_Toc32062"/>
            <w:r>
              <w:rPr>
                <w:rFonts w:hint="default" w:ascii="Times New Roman" w:hAnsi="Times New Roman" w:cs="Times New Roman"/>
                <w:b/>
                <w:color w:val="auto"/>
                <w:highlight w:val="none"/>
              </w:rPr>
              <w:t>环境要素</w:t>
            </w:r>
            <w:bookmarkEnd w:id="145"/>
            <w:bookmarkEnd w:id="146"/>
            <w:bookmarkEnd w:id="147"/>
            <w:bookmarkEnd w:id="148"/>
            <w:bookmarkEnd w:id="149"/>
            <w:bookmarkEnd w:id="150"/>
            <w:bookmarkEnd w:id="151"/>
          </w:p>
        </w:tc>
        <w:tc>
          <w:tcPr>
            <w:tcW w:w="6017" w:type="dxa"/>
          </w:tcPr>
          <w:p>
            <w:pPr>
              <w:jc w:val="center"/>
              <w:outlineLvl w:val="1"/>
              <w:rPr>
                <w:rFonts w:hint="default" w:ascii="Times New Roman" w:hAnsi="Times New Roman" w:cs="Times New Roman"/>
                <w:b/>
                <w:color w:val="auto"/>
                <w:highlight w:val="none"/>
              </w:rPr>
            </w:pPr>
            <w:bookmarkStart w:id="152" w:name="_Toc6911"/>
            <w:bookmarkStart w:id="153" w:name="_Toc18343"/>
            <w:bookmarkStart w:id="154" w:name="_Toc21797"/>
            <w:bookmarkStart w:id="155" w:name="_Toc28556"/>
            <w:bookmarkStart w:id="156" w:name="_Toc25462"/>
            <w:bookmarkStart w:id="157" w:name="_Toc28333"/>
            <w:bookmarkStart w:id="158" w:name="_Toc15302"/>
            <w:r>
              <w:rPr>
                <w:rFonts w:hint="default" w:ascii="Times New Roman" w:hAnsi="Times New Roman" w:cs="Times New Roman"/>
                <w:b/>
                <w:color w:val="auto"/>
                <w:highlight w:val="none"/>
              </w:rPr>
              <w:t>已采取的措施</w:t>
            </w:r>
            <w:bookmarkEnd w:id="152"/>
            <w:bookmarkEnd w:id="153"/>
            <w:bookmarkEnd w:id="154"/>
            <w:bookmarkEnd w:id="155"/>
            <w:bookmarkEnd w:id="156"/>
            <w:bookmarkEnd w:id="157"/>
            <w:bookmarkEnd w:id="15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3"/>
            <w:vAlign w:val="center"/>
          </w:tcPr>
          <w:p>
            <w:pPr>
              <w:jc w:val="center"/>
              <w:outlineLvl w:val="1"/>
              <w:rPr>
                <w:rFonts w:hint="default" w:ascii="Times New Roman" w:hAnsi="Times New Roman" w:cs="Times New Roman"/>
                <w:b/>
                <w:color w:val="auto"/>
                <w:highlight w:val="none"/>
              </w:rPr>
            </w:pPr>
            <w:bookmarkStart w:id="159" w:name="_Toc24224"/>
            <w:bookmarkStart w:id="160" w:name="_Toc5508"/>
            <w:bookmarkStart w:id="161" w:name="_Toc32063"/>
            <w:bookmarkStart w:id="162" w:name="_Toc24226"/>
            <w:bookmarkStart w:id="163" w:name="_Toc11427"/>
            <w:bookmarkStart w:id="164" w:name="_Toc27121"/>
            <w:bookmarkStart w:id="165" w:name="_Toc32042"/>
            <w:r>
              <w:rPr>
                <w:rFonts w:hint="default" w:ascii="Times New Roman" w:hAnsi="Times New Roman" w:cs="Times New Roman"/>
                <w:b/>
                <w:color w:val="auto"/>
                <w:highlight w:val="none"/>
              </w:rPr>
              <w:t>运营期</w:t>
            </w:r>
            <w:bookmarkEnd w:id="159"/>
            <w:bookmarkEnd w:id="160"/>
            <w:bookmarkEnd w:id="161"/>
            <w:bookmarkEnd w:id="162"/>
            <w:bookmarkEnd w:id="163"/>
            <w:bookmarkEnd w:id="164"/>
            <w:bookmarkEnd w:id="16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166" w:name="_Toc22692"/>
            <w:bookmarkStart w:id="167" w:name="_Toc4070"/>
            <w:bookmarkStart w:id="168" w:name="_Toc27300"/>
            <w:bookmarkStart w:id="169" w:name="_Toc19749"/>
            <w:bookmarkStart w:id="170" w:name="_Toc27265"/>
            <w:bookmarkStart w:id="171" w:name="_Toc12035"/>
            <w:bookmarkStart w:id="172" w:name="_Toc15482"/>
            <w:r>
              <w:rPr>
                <w:rFonts w:hint="default" w:ascii="Times New Roman" w:hAnsi="Times New Roman" w:cs="Times New Roman"/>
                <w:bCs/>
                <w:color w:val="auto"/>
                <w:highlight w:val="none"/>
              </w:rPr>
              <w:t>1</w:t>
            </w:r>
            <w:bookmarkEnd w:id="166"/>
            <w:bookmarkEnd w:id="167"/>
            <w:bookmarkEnd w:id="168"/>
            <w:bookmarkEnd w:id="169"/>
            <w:bookmarkEnd w:id="170"/>
            <w:bookmarkEnd w:id="171"/>
            <w:bookmarkEnd w:id="172"/>
          </w:p>
        </w:tc>
        <w:tc>
          <w:tcPr>
            <w:tcW w:w="1528" w:type="dxa"/>
            <w:vAlign w:val="center"/>
          </w:tcPr>
          <w:p>
            <w:pPr>
              <w:jc w:val="center"/>
              <w:outlineLvl w:val="1"/>
              <w:rPr>
                <w:rFonts w:hint="default" w:ascii="Times New Roman" w:hAnsi="Times New Roman" w:cs="Times New Roman"/>
                <w:bCs/>
                <w:color w:val="auto"/>
                <w:highlight w:val="none"/>
              </w:rPr>
            </w:pPr>
            <w:bookmarkStart w:id="173" w:name="_Toc21348"/>
            <w:bookmarkStart w:id="174" w:name="_Toc14091"/>
            <w:bookmarkStart w:id="175" w:name="_Toc31222"/>
            <w:bookmarkStart w:id="176" w:name="_Toc31990"/>
            <w:bookmarkStart w:id="177" w:name="_Toc28726"/>
            <w:bookmarkStart w:id="178" w:name="_Toc30598"/>
            <w:bookmarkStart w:id="179" w:name="_Toc17603"/>
            <w:r>
              <w:rPr>
                <w:rFonts w:hint="default" w:ascii="Times New Roman" w:hAnsi="Times New Roman" w:cs="Times New Roman"/>
                <w:bCs/>
                <w:color w:val="auto"/>
                <w:highlight w:val="none"/>
              </w:rPr>
              <w:t>尾水排放</w:t>
            </w:r>
            <w:bookmarkEnd w:id="173"/>
            <w:bookmarkEnd w:id="174"/>
            <w:bookmarkEnd w:id="175"/>
            <w:bookmarkEnd w:id="176"/>
            <w:bookmarkEnd w:id="177"/>
            <w:bookmarkEnd w:id="178"/>
            <w:bookmarkEnd w:id="179"/>
          </w:p>
        </w:tc>
        <w:tc>
          <w:tcPr>
            <w:tcW w:w="6017" w:type="dxa"/>
          </w:tcPr>
          <w:p>
            <w:pPr>
              <w:outlineLvl w:val="1"/>
              <w:rPr>
                <w:rFonts w:hint="default" w:ascii="Times New Roman" w:hAnsi="Times New Roman" w:cs="Times New Roman"/>
                <w:bCs/>
                <w:color w:val="auto"/>
                <w:highlight w:val="none"/>
              </w:rPr>
            </w:pPr>
            <w:bookmarkStart w:id="180" w:name="_Toc4476"/>
            <w:bookmarkStart w:id="181" w:name="_Toc31868"/>
            <w:bookmarkStart w:id="182" w:name="_Toc3508"/>
            <w:bookmarkStart w:id="183" w:name="_Toc5445"/>
            <w:bookmarkStart w:id="184" w:name="_Toc19611"/>
            <w:bookmarkStart w:id="185" w:name="_Toc19084"/>
            <w:bookmarkStart w:id="186" w:name="_Toc10023"/>
            <w:r>
              <w:rPr>
                <w:rFonts w:hint="default" w:ascii="Times New Roman" w:hAnsi="Times New Roman" w:cs="Times New Roman"/>
                <w:bCs/>
                <w:color w:val="auto"/>
                <w:highlight w:val="none"/>
              </w:rPr>
              <w:t>设置消毒设备，</w:t>
            </w:r>
            <w:bookmarkEnd w:id="180"/>
            <w:bookmarkEnd w:id="181"/>
            <w:bookmarkStart w:id="187" w:name="_Toc26045"/>
            <w:bookmarkStart w:id="188" w:name="_Toc30826"/>
            <w:r>
              <w:rPr>
                <w:rFonts w:hint="default" w:ascii="Times New Roman" w:hAnsi="Times New Roman" w:cs="Times New Roman"/>
                <w:bCs/>
                <w:color w:val="auto"/>
                <w:highlight w:val="none"/>
              </w:rPr>
              <w:t>安装流量计等</w:t>
            </w:r>
            <w:bookmarkEnd w:id="182"/>
            <w:bookmarkEnd w:id="183"/>
            <w:bookmarkEnd w:id="184"/>
            <w:bookmarkEnd w:id="185"/>
            <w:bookmarkEnd w:id="186"/>
            <w:bookmarkEnd w:id="187"/>
            <w:bookmarkEnd w:id="18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189" w:name="_Toc28164"/>
            <w:bookmarkStart w:id="190" w:name="_Toc15438"/>
            <w:bookmarkStart w:id="191" w:name="_Toc12460"/>
            <w:bookmarkStart w:id="192" w:name="_Toc31566"/>
            <w:bookmarkStart w:id="193" w:name="_Toc29902"/>
            <w:bookmarkStart w:id="194" w:name="_Toc19628"/>
            <w:bookmarkStart w:id="195" w:name="_Toc25708"/>
            <w:r>
              <w:rPr>
                <w:rFonts w:hint="default" w:ascii="Times New Roman" w:hAnsi="Times New Roman" w:cs="Times New Roman"/>
                <w:bCs/>
                <w:color w:val="auto"/>
                <w:highlight w:val="none"/>
              </w:rPr>
              <w:t>2</w:t>
            </w:r>
            <w:bookmarkEnd w:id="189"/>
            <w:bookmarkEnd w:id="190"/>
            <w:bookmarkEnd w:id="191"/>
            <w:bookmarkEnd w:id="192"/>
            <w:bookmarkEnd w:id="193"/>
            <w:bookmarkEnd w:id="194"/>
            <w:bookmarkEnd w:id="195"/>
          </w:p>
        </w:tc>
        <w:tc>
          <w:tcPr>
            <w:tcW w:w="1528" w:type="dxa"/>
            <w:vAlign w:val="center"/>
          </w:tcPr>
          <w:p>
            <w:pPr>
              <w:jc w:val="center"/>
              <w:outlineLvl w:val="1"/>
              <w:rPr>
                <w:rFonts w:hint="default" w:ascii="Times New Roman" w:hAnsi="Times New Roman" w:cs="Times New Roman"/>
                <w:bCs/>
                <w:color w:val="auto"/>
                <w:highlight w:val="none"/>
              </w:rPr>
            </w:pPr>
            <w:bookmarkStart w:id="196" w:name="_Toc7550"/>
            <w:bookmarkStart w:id="197" w:name="_Toc15428"/>
            <w:bookmarkStart w:id="198" w:name="_Toc31792"/>
            <w:bookmarkStart w:id="199" w:name="_Toc14437"/>
            <w:bookmarkStart w:id="200" w:name="_Toc24889"/>
            <w:bookmarkStart w:id="201" w:name="_Toc32338"/>
            <w:bookmarkStart w:id="202" w:name="_Toc15547"/>
            <w:r>
              <w:rPr>
                <w:rFonts w:hint="default" w:ascii="Times New Roman" w:hAnsi="Times New Roman" w:cs="Times New Roman"/>
                <w:bCs/>
                <w:color w:val="auto"/>
                <w:highlight w:val="none"/>
              </w:rPr>
              <w:t>废气</w:t>
            </w:r>
            <w:bookmarkEnd w:id="196"/>
            <w:bookmarkEnd w:id="197"/>
            <w:bookmarkEnd w:id="198"/>
            <w:bookmarkEnd w:id="199"/>
            <w:bookmarkEnd w:id="200"/>
            <w:bookmarkEnd w:id="201"/>
            <w:bookmarkEnd w:id="202"/>
          </w:p>
        </w:tc>
        <w:tc>
          <w:tcPr>
            <w:tcW w:w="6017" w:type="dxa"/>
          </w:tcPr>
          <w:p>
            <w:pPr>
              <w:outlineLvl w:val="1"/>
              <w:rPr>
                <w:rFonts w:hint="default" w:ascii="Times New Roman" w:hAnsi="Times New Roman" w:cs="Times New Roman"/>
                <w:bCs/>
                <w:color w:val="auto"/>
                <w:highlight w:val="none"/>
              </w:rPr>
            </w:pPr>
            <w:bookmarkStart w:id="203" w:name="_Toc21359"/>
            <w:bookmarkStart w:id="204" w:name="_Toc10808"/>
            <w:bookmarkStart w:id="205" w:name="_Toc27721"/>
            <w:bookmarkStart w:id="206" w:name="_Toc11231"/>
            <w:bookmarkStart w:id="207" w:name="_Toc23734"/>
            <w:bookmarkStart w:id="208" w:name="_Toc1256"/>
            <w:bookmarkStart w:id="209" w:name="_Toc2853"/>
            <w:r>
              <w:rPr>
                <w:rFonts w:hint="default" w:ascii="Times New Roman" w:hAnsi="Times New Roman" w:cs="Times New Roman"/>
                <w:bCs/>
                <w:color w:val="auto"/>
                <w:highlight w:val="none"/>
              </w:rPr>
              <w:t>定期进行恶臭气体的环境监测，喷洒除臭剂</w:t>
            </w:r>
            <w:bookmarkEnd w:id="203"/>
            <w:bookmarkEnd w:id="204"/>
            <w:bookmarkStart w:id="210" w:name="_Toc21306"/>
            <w:bookmarkStart w:id="211" w:name="_Toc6904"/>
            <w:r>
              <w:rPr>
                <w:rFonts w:hint="default" w:ascii="Times New Roman" w:hAnsi="Times New Roman" w:cs="Times New Roman"/>
                <w:bCs/>
                <w:color w:val="auto"/>
                <w:highlight w:val="none"/>
              </w:rPr>
              <w:t>，使用全封闭的环保车辆进行清运，及时清运隔栅所截留的固废，设置绿化隔离带</w:t>
            </w:r>
            <w:bookmarkEnd w:id="205"/>
            <w:bookmarkEnd w:id="206"/>
            <w:bookmarkEnd w:id="207"/>
            <w:bookmarkEnd w:id="208"/>
            <w:bookmarkEnd w:id="209"/>
            <w:bookmarkEnd w:id="210"/>
            <w:bookmarkEnd w:id="21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212" w:name="_Toc17508"/>
            <w:bookmarkStart w:id="213" w:name="_Toc2994"/>
            <w:bookmarkStart w:id="214" w:name="_Toc14031"/>
            <w:bookmarkStart w:id="215" w:name="_Toc24390"/>
            <w:bookmarkStart w:id="216" w:name="_Toc18101"/>
            <w:bookmarkStart w:id="217" w:name="_Toc20309"/>
            <w:bookmarkStart w:id="218" w:name="_Toc17111"/>
            <w:r>
              <w:rPr>
                <w:rFonts w:hint="default" w:ascii="Times New Roman" w:hAnsi="Times New Roman" w:cs="Times New Roman"/>
                <w:bCs/>
                <w:color w:val="auto"/>
                <w:highlight w:val="none"/>
              </w:rPr>
              <w:t>3</w:t>
            </w:r>
            <w:bookmarkEnd w:id="212"/>
            <w:bookmarkEnd w:id="213"/>
            <w:bookmarkEnd w:id="214"/>
            <w:bookmarkEnd w:id="215"/>
            <w:bookmarkEnd w:id="216"/>
            <w:bookmarkEnd w:id="217"/>
            <w:bookmarkEnd w:id="218"/>
          </w:p>
        </w:tc>
        <w:tc>
          <w:tcPr>
            <w:tcW w:w="1528" w:type="dxa"/>
            <w:vAlign w:val="center"/>
          </w:tcPr>
          <w:p>
            <w:pPr>
              <w:jc w:val="center"/>
              <w:outlineLvl w:val="1"/>
              <w:rPr>
                <w:rFonts w:hint="default" w:ascii="Times New Roman" w:hAnsi="Times New Roman" w:cs="Times New Roman"/>
                <w:bCs/>
                <w:color w:val="auto"/>
                <w:highlight w:val="none"/>
              </w:rPr>
            </w:pPr>
            <w:bookmarkStart w:id="219" w:name="_Toc7980"/>
            <w:bookmarkStart w:id="220" w:name="_Toc1250"/>
            <w:bookmarkStart w:id="221" w:name="_Toc16066"/>
            <w:bookmarkStart w:id="222" w:name="_Toc5843"/>
            <w:bookmarkStart w:id="223" w:name="_Toc968"/>
            <w:bookmarkStart w:id="224" w:name="_Toc22580"/>
            <w:bookmarkStart w:id="225" w:name="_Toc30755"/>
            <w:r>
              <w:rPr>
                <w:rFonts w:hint="default" w:ascii="Times New Roman" w:hAnsi="Times New Roman" w:cs="Times New Roman"/>
                <w:bCs/>
                <w:color w:val="auto"/>
                <w:highlight w:val="none"/>
              </w:rPr>
              <w:t>噪声</w:t>
            </w:r>
            <w:bookmarkEnd w:id="219"/>
            <w:bookmarkEnd w:id="220"/>
            <w:bookmarkEnd w:id="221"/>
            <w:bookmarkEnd w:id="222"/>
            <w:bookmarkEnd w:id="223"/>
            <w:bookmarkEnd w:id="224"/>
            <w:bookmarkEnd w:id="225"/>
          </w:p>
        </w:tc>
        <w:tc>
          <w:tcPr>
            <w:tcW w:w="6017" w:type="dxa"/>
          </w:tcPr>
          <w:p>
            <w:pPr>
              <w:outlineLvl w:val="1"/>
              <w:rPr>
                <w:rFonts w:hint="default" w:ascii="Times New Roman" w:hAnsi="Times New Roman" w:cs="Times New Roman"/>
                <w:bCs/>
                <w:color w:val="auto"/>
                <w:highlight w:val="none"/>
              </w:rPr>
            </w:pPr>
            <w:bookmarkStart w:id="226" w:name="_Toc16078"/>
            <w:bookmarkStart w:id="227" w:name="_Toc20240"/>
            <w:bookmarkStart w:id="228" w:name="_Toc841"/>
            <w:bookmarkStart w:id="229" w:name="_Toc30864"/>
            <w:bookmarkStart w:id="230" w:name="_Toc585"/>
            <w:bookmarkStart w:id="231" w:name="_Toc18083"/>
            <w:bookmarkStart w:id="232" w:name="_Toc13193"/>
            <w:r>
              <w:rPr>
                <w:rFonts w:hint="default" w:ascii="Times New Roman" w:hAnsi="Times New Roman" w:cs="Times New Roman"/>
                <w:bCs/>
                <w:color w:val="auto"/>
                <w:highlight w:val="none"/>
              </w:rPr>
              <w:t>选用低噪声、动静设备；厂房隔声、吸声及绿化</w:t>
            </w:r>
            <w:bookmarkEnd w:id="226"/>
            <w:bookmarkEnd w:id="227"/>
            <w:bookmarkEnd w:id="228"/>
            <w:bookmarkEnd w:id="229"/>
            <w:bookmarkEnd w:id="230"/>
            <w:bookmarkEnd w:id="231"/>
            <w:bookmarkEnd w:id="23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233" w:name="_Toc25170"/>
            <w:bookmarkStart w:id="234" w:name="_Toc8201"/>
            <w:bookmarkStart w:id="235" w:name="_Toc11111"/>
            <w:bookmarkStart w:id="236" w:name="_Toc16787"/>
            <w:bookmarkStart w:id="237" w:name="_Toc24489"/>
            <w:bookmarkStart w:id="238" w:name="_Toc3562"/>
            <w:bookmarkStart w:id="239" w:name="_Toc24100"/>
            <w:r>
              <w:rPr>
                <w:rFonts w:hint="default" w:ascii="Times New Roman" w:hAnsi="Times New Roman" w:cs="Times New Roman"/>
                <w:bCs/>
                <w:color w:val="auto"/>
                <w:highlight w:val="none"/>
              </w:rPr>
              <w:t>4</w:t>
            </w:r>
            <w:bookmarkEnd w:id="233"/>
            <w:bookmarkEnd w:id="234"/>
            <w:bookmarkEnd w:id="235"/>
            <w:bookmarkEnd w:id="236"/>
            <w:bookmarkEnd w:id="237"/>
            <w:bookmarkEnd w:id="238"/>
            <w:bookmarkEnd w:id="239"/>
          </w:p>
        </w:tc>
        <w:tc>
          <w:tcPr>
            <w:tcW w:w="1528" w:type="dxa"/>
            <w:vAlign w:val="center"/>
          </w:tcPr>
          <w:p>
            <w:pPr>
              <w:jc w:val="center"/>
              <w:outlineLvl w:val="1"/>
              <w:rPr>
                <w:rFonts w:hint="default" w:ascii="Times New Roman" w:hAnsi="Times New Roman" w:cs="Times New Roman"/>
                <w:bCs/>
                <w:color w:val="auto"/>
                <w:highlight w:val="none"/>
              </w:rPr>
            </w:pPr>
            <w:bookmarkStart w:id="240" w:name="_Toc5798"/>
            <w:bookmarkStart w:id="241" w:name="_Toc8192"/>
            <w:bookmarkStart w:id="242" w:name="_Toc357"/>
            <w:bookmarkStart w:id="243" w:name="_Toc7872"/>
            <w:bookmarkStart w:id="244" w:name="_Toc31806"/>
            <w:bookmarkStart w:id="245" w:name="_Toc4030"/>
            <w:bookmarkStart w:id="246" w:name="_Toc15328"/>
            <w:r>
              <w:rPr>
                <w:rFonts w:hint="default" w:ascii="Times New Roman" w:hAnsi="Times New Roman" w:cs="Times New Roman"/>
                <w:bCs/>
                <w:color w:val="auto"/>
                <w:highlight w:val="none"/>
              </w:rPr>
              <w:t>固废</w:t>
            </w:r>
            <w:bookmarkEnd w:id="240"/>
            <w:bookmarkEnd w:id="241"/>
            <w:bookmarkEnd w:id="242"/>
            <w:bookmarkEnd w:id="243"/>
            <w:bookmarkEnd w:id="244"/>
            <w:bookmarkEnd w:id="245"/>
            <w:bookmarkEnd w:id="246"/>
          </w:p>
        </w:tc>
        <w:tc>
          <w:tcPr>
            <w:tcW w:w="6017" w:type="dxa"/>
          </w:tcPr>
          <w:p>
            <w:pPr>
              <w:outlineLvl w:val="1"/>
              <w:rPr>
                <w:rFonts w:hint="default" w:ascii="Times New Roman" w:hAnsi="Times New Roman" w:cs="Times New Roman"/>
                <w:b/>
                <w:color w:val="auto"/>
                <w:highlight w:val="none"/>
              </w:rPr>
            </w:pPr>
            <w:bookmarkStart w:id="247" w:name="_Toc11707"/>
            <w:bookmarkStart w:id="248" w:name="_Toc16811"/>
            <w:bookmarkStart w:id="249" w:name="_Toc9486"/>
            <w:bookmarkStart w:id="250" w:name="_Toc4822"/>
            <w:bookmarkStart w:id="251" w:name="_Toc20405"/>
            <w:bookmarkStart w:id="252" w:name="_Toc29256"/>
            <w:bookmarkStart w:id="253" w:name="_Toc28218"/>
            <w:r>
              <w:rPr>
                <w:rFonts w:hint="default" w:ascii="Times New Roman" w:hAnsi="Times New Roman" w:cs="Times New Roman"/>
                <w:bCs/>
                <w:color w:val="auto"/>
                <w:highlight w:val="none"/>
              </w:rPr>
              <w:t>栅渣、沉砂和生活垃圾运由环卫部门统一清运；</w:t>
            </w:r>
            <w:bookmarkEnd w:id="247"/>
            <w:bookmarkEnd w:id="248"/>
            <w:bookmarkStart w:id="254" w:name="_Toc20664"/>
            <w:bookmarkStart w:id="255" w:name="_Toc10762"/>
            <w:r>
              <w:rPr>
                <w:rFonts w:hint="default" w:ascii="Times New Roman" w:hAnsi="Times New Roman" w:cs="Times New Roman"/>
                <w:bCs/>
                <w:color w:val="auto"/>
                <w:highlight w:val="none"/>
              </w:rPr>
              <w:t>废紫外灯管作为危废委托有资质的单位外运处置</w:t>
            </w:r>
            <w:bookmarkEnd w:id="254"/>
            <w:bookmarkEnd w:id="255"/>
            <w:bookmarkStart w:id="256" w:name="_Toc12343"/>
            <w:bookmarkStart w:id="257" w:name="_Toc32032"/>
            <w:r>
              <w:rPr>
                <w:rFonts w:hint="default" w:ascii="Times New Roman" w:hAnsi="Times New Roman" w:cs="Times New Roman"/>
                <w:bCs/>
                <w:color w:val="auto"/>
                <w:highlight w:val="none"/>
              </w:rPr>
              <w:t>。</w:t>
            </w:r>
            <w:bookmarkEnd w:id="249"/>
            <w:bookmarkEnd w:id="250"/>
            <w:bookmarkEnd w:id="251"/>
            <w:bookmarkEnd w:id="252"/>
            <w:bookmarkEnd w:id="253"/>
            <w:bookmarkEnd w:id="256"/>
            <w:bookmarkEnd w:id="25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258" w:name="_Toc20398"/>
            <w:bookmarkStart w:id="259" w:name="_Toc18118"/>
            <w:bookmarkStart w:id="260" w:name="_Toc8730"/>
            <w:bookmarkStart w:id="261" w:name="_Toc17320"/>
            <w:bookmarkStart w:id="262" w:name="_Toc21438"/>
            <w:bookmarkStart w:id="263" w:name="_Toc29325"/>
            <w:bookmarkStart w:id="264" w:name="_Toc2033"/>
            <w:r>
              <w:rPr>
                <w:rFonts w:hint="default" w:ascii="Times New Roman" w:hAnsi="Times New Roman" w:cs="Times New Roman"/>
                <w:bCs/>
                <w:color w:val="auto"/>
                <w:highlight w:val="none"/>
              </w:rPr>
              <w:t>5</w:t>
            </w:r>
            <w:bookmarkEnd w:id="258"/>
            <w:bookmarkEnd w:id="259"/>
            <w:bookmarkEnd w:id="260"/>
            <w:bookmarkEnd w:id="261"/>
            <w:bookmarkEnd w:id="262"/>
            <w:bookmarkEnd w:id="263"/>
            <w:bookmarkEnd w:id="264"/>
          </w:p>
        </w:tc>
        <w:tc>
          <w:tcPr>
            <w:tcW w:w="1528" w:type="dxa"/>
            <w:vAlign w:val="center"/>
          </w:tcPr>
          <w:p>
            <w:pPr>
              <w:jc w:val="center"/>
              <w:outlineLvl w:val="1"/>
              <w:rPr>
                <w:rFonts w:hint="default" w:ascii="Times New Roman" w:hAnsi="Times New Roman" w:cs="Times New Roman"/>
                <w:bCs/>
                <w:color w:val="auto"/>
                <w:highlight w:val="none"/>
              </w:rPr>
            </w:pPr>
            <w:bookmarkStart w:id="265" w:name="_Toc678"/>
            <w:bookmarkStart w:id="266" w:name="_Toc6758"/>
            <w:bookmarkStart w:id="267" w:name="_Toc25444"/>
            <w:bookmarkStart w:id="268" w:name="_Toc11860"/>
            <w:bookmarkStart w:id="269" w:name="_Toc891"/>
            <w:bookmarkStart w:id="270" w:name="_Toc11086"/>
            <w:bookmarkStart w:id="271" w:name="_Toc11819"/>
            <w:r>
              <w:rPr>
                <w:rFonts w:hint="default" w:ascii="Times New Roman" w:hAnsi="Times New Roman" w:cs="Times New Roman"/>
                <w:bCs/>
                <w:color w:val="auto"/>
                <w:highlight w:val="none"/>
              </w:rPr>
              <w:t>生态环境</w:t>
            </w:r>
            <w:bookmarkEnd w:id="265"/>
            <w:bookmarkEnd w:id="266"/>
            <w:bookmarkEnd w:id="267"/>
            <w:bookmarkEnd w:id="268"/>
            <w:bookmarkEnd w:id="269"/>
            <w:bookmarkEnd w:id="270"/>
            <w:bookmarkEnd w:id="271"/>
          </w:p>
        </w:tc>
        <w:tc>
          <w:tcPr>
            <w:tcW w:w="6017" w:type="dxa"/>
          </w:tcPr>
          <w:p>
            <w:pPr>
              <w:outlineLvl w:val="1"/>
              <w:rPr>
                <w:rFonts w:hint="default" w:ascii="Times New Roman" w:hAnsi="Times New Roman" w:cs="Times New Roman"/>
                <w:bCs/>
                <w:color w:val="auto"/>
                <w:highlight w:val="none"/>
              </w:rPr>
            </w:pPr>
            <w:bookmarkStart w:id="272" w:name="_Toc9299"/>
            <w:bookmarkStart w:id="273" w:name="_Toc24506"/>
            <w:bookmarkStart w:id="274" w:name="_Toc3599"/>
            <w:bookmarkStart w:id="275" w:name="_Toc9753"/>
            <w:bookmarkStart w:id="276" w:name="_Toc28448"/>
            <w:bookmarkStart w:id="277" w:name="_Toc19965"/>
            <w:bookmarkStart w:id="278" w:name="_Toc4176"/>
            <w:r>
              <w:rPr>
                <w:rFonts w:hint="default" w:ascii="Times New Roman" w:hAnsi="Times New Roman" w:cs="Times New Roman"/>
                <w:bCs/>
                <w:color w:val="auto"/>
                <w:highlight w:val="none"/>
              </w:rPr>
              <w:t>厂区绿化</w:t>
            </w:r>
            <w:bookmarkEnd w:id="272"/>
            <w:bookmarkEnd w:id="273"/>
            <w:bookmarkEnd w:id="274"/>
            <w:bookmarkEnd w:id="275"/>
            <w:bookmarkEnd w:id="276"/>
            <w:bookmarkEnd w:id="277"/>
            <w:bookmarkEnd w:id="27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auto"/>
                <w:highlight w:val="none"/>
              </w:rPr>
            </w:pPr>
            <w:bookmarkStart w:id="279" w:name="_Toc1240"/>
            <w:bookmarkStart w:id="280" w:name="_Toc18909"/>
            <w:bookmarkStart w:id="281" w:name="_Toc7886"/>
            <w:bookmarkStart w:id="282" w:name="_Toc762"/>
            <w:bookmarkStart w:id="283" w:name="_Toc32721"/>
            <w:bookmarkStart w:id="284" w:name="_Toc27727"/>
            <w:bookmarkStart w:id="285" w:name="_Toc7832"/>
            <w:r>
              <w:rPr>
                <w:rFonts w:hint="default" w:ascii="Times New Roman" w:hAnsi="Times New Roman" w:cs="Times New Roman"/>
                <w:bCs/>
                <w:color w:val="auto"/>
                <w:highlight w:val="none"/>
              </w:rPr>
              <w:t>6</w:t>
            </w:r>
            <w:bookmarkEnd w:id="279"/>
            <w:bookmarkEnd w:id="280"/>
            <w:bookmarkEnd w:id="281"/>
            <w:bookmarkEnd w:id="282"/>
            <w:bookmarkEnd w:id="283"/>
            <w:bookmarkEnd w:id="284"/>
            <w:bookmarkEnd w:id="285"/>
          </w:p>
        </w:tc>
        <w:tc>
          <w:tcPr>
            <w:tcW w:w="1528" w:type="dxa"/>
            <w:vAlign w:val="center"/>
          </w:tcPr>
          <w:p>
            <w:pPr>
              <w:jc w:val="center"/>
              <w:outlineLvl w:val="1"/>
              <w:rPr>
                <w:rFonts w:hint="default" w:ascii="Times New Roman" w:hAnsi="Times New Roman" w:cs="Times New Roman"/>
                <w:bCs/>
                <w:color w:val="auto"/>
                <w:highlight w:val="none"/>
              </w:rPr>
            </w:pPr>
            <w:bookmarkStart w:id="286" w:name="_Toc10044"/>
            <w:bookmarkStart w:id="287" w:name="_Toc9411"/>
            <w:bookmarkStart w:id="288" w:name="_Toc910"/>
            <w:bookmarkStart w:id="289" w:name="_Toc26122"/>
            <w:bookmarkStart w:id="290" w:name="_Toc12067"/>
            <w:bookmarkStart w:id="291" w:name="_Toc26641"/>
            <w:bookmarkStart w:id="292" w:name="_Toc31753"/>
            <w:r>
              <w:rPr>
                <w:rFonts w:hint="default" w:ascii="Times New Roman" w:hAnsi="Times New Roman" w:cs="Times New Roman"/>
                <w:bCs/>
                <w:color w:val="auto"/>
                <w:highlight w:val="none"/>
              </w:rPr>
              <w:t>地下水</w:t>
            </w:r>
            <w:bookmarkEnd w:id="286"/>
            <w:bookmarkEnd w:id="287"/>
            <w:bookmarkEnd w:id="288"/>
            <w:bookmarkEnd w:id="289"/>
            <w:bookmarkEnd w:id="290"/>
            <w:bookmarkEnd w:id="291"/>
            <w:bookmarkEnd w:id="292"/>
          </w:p>
        </w:tc>
        <w:tc>
          <w:tcPr>
            <w:tcW w:w="6017" w:type="dxa"/>
          </w:tcPr>
          <w:p>
            <w:pPr>
              <w:outlineLvl w:val="1"/>
              <w:rPr>
                <w:rFonts w:hint="default" w:ascii="Times New Roman" w:hAnsi="Times New Roman" w:cs="Times New Roman"/>
                <w:bCs/>
                <w:color w:val="auto"/>
                <w:highlight w:val="none"/>
              </w:rPr>
            </w:pPr>
            <w:bookmarkStart w:id="293" w:name="_Toc16647"/>
            <w:bookmarkStart w:id="294" w:name="_Toc19020"/>
            <w:bookmarkStart w:id="295" w:name="_Toc23140"/>
            <w:bookmarkStart w:id="296" w:name="_Toc27874"/>
            <w:bookmarkStart w:id="297" w:name="_Toc18416"/>
            <w:bookmarkStart w:id="298" w:name="_Toc19199"/>
            <w:bookmarkStart w:id="299" w:name="_Toc6021"/>
            <w:r>
              <w:rPr>
                <w:rFonts w:hint="default" w:ascii="Times New Roman" w:hAnsi="Times New Roman" w:cs="Times New Roman"/>
                <w:bCs/>
                <w:color w:val="auto"/>
                <w:highlight w:val="none"/>
              </w:rPr>
              <w:t>厂区、构筑物防渗</w:t>
            </w:r>
            <w:bookmarkEnd w:id="293"/>
            <w:bookmarkEnd w:id="294"/>
            <w:bookmarkEnd w:id="295"/>
            <w:bookmarkEnd w:id="296"/>
            <w:bookmarkEnd w:id="297"/>
            <w:bookmarkEnd w:id="298"/>
            <w:bookmarkEnd w:id="299"/>
          </w:p>
        </w:tc>
      </w:tr>
    </w:tbl>
    <w:p>
      <w:pPr>
        <w:spacing w:line="360" w:lineRule="auto"/>
        <w:jc w:val="left"/>
        <w:outlineLvl w:val="1"/>
        <w:rPr>
          <w:rFonts w:hint="default" w:ascii="Times New Roman" w:hAnsi="Times New Roman" w:cs="Times New Roman"/>
          <w:b/>
          <w:color w:val="auto"/>
          <w:sz w:val="24"/>
          <w:highlight w:val="none"/>
        </w:rPr>
      </w:pPr>
      <w:bookmarkStart w:id="300" w:name="_Toc921"/>
      <w:r>
        <w:rPr>
          <w:rFonts w:hint="default" w:ascii="Times New Roman" w:hAnsi="Times New Roman" w:cs="Times New Roman"/>
          <w:b/>
          <w:color w:val="auto"/>
          <w:sz w:val="24"/>
          <w:highlight w:val="none"/>
        </w:rPr>
        <w:t>7.2.管理措施</w:t>
      </w:r>
      <w:bookmarkEnd w:id="300"/>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301" w:name="_Toc13816"/>
      <w:r>
        <w:rPr>
          <w:rFonts w:hint="default" w:ascii="Times New Roman" w:hAnsi="Times New Roman" w:cs="Times New Roman"/>
          <w:b/>
          <w:color w:val="auto"/>
          <w:sz w:val="24"/>
          <w:highlight w:val="none"/>
        </w:rPr>
        <w:t>7.2.1.水生态保护措施</w:t>
      </w:r>
      <w:bookmarkEnd w:id="301"/>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应加强对废水处理设施的日常管理，对各污水处理设备定期进行检修和维护，确保废水处理设施正常运营，确保排污水质稳定达标；同时制定非正常排放的预防和应急措施，杜绝和预防污水非正常排放的发生。</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302" w:name="_Toc25721"/>
      <w:r>
        <w:rPr>
          <w:rFonts w:hint="default" w:ascii="Times New Roman" w:hAnsi="Times New Roman" w:cs="Times New Roman"/>
          <w:b/>
          <w:color w:val="auto"/>
          <w:sz w:val="24"/>
          <w:highlight w:val="none"/>
        </w:rPr>
        <w:t>7.2.2.事故排污时应急处理措施</w:t>
      </w:r>
      <w:bookmarkEnd w:id="302"/>
    </w:p>
    <w:p>
      <w:pPr>
        <w:spacing w:line="360" w:lineRule="auto"/>
        <w:ind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7.2.2.1.预防措施</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1）成立应急领导小组，制定水污染事件应急预案，落实各工作人员的责任，平时加强对员工的技术培训和演练，建立技术考核档案，管理人员要求有较高的业务水平和管理水平，主要操作人员上岗前严格进行理论和实际操作培训，做到持证上岗。</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（2）提高事故缓冲能力，主要水工构筑物配备相应的处理设备（如回流泵、回流管道、仪表及阀门等）。</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（3）选用优质设备，对各种机械电器、仪表等设备，选择质量优良、故障率低、便于维修的产品。</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（4）加强事故源头监控，定期巡检、调节、保养、维修，及时发现有可能引起事故的异常运行苗头、事故隐患。</w:t>
      </w:r>
    </w:p>
    <w:p>
      <w:pPr>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（5）严格控制各处理单元的水量、水质、停留时间、负荷强度等工艺参数，确保处理效果的稳定性。加强进出水的监测工作。</w:t>
      </w:r>
    </w:p>
    <w:p>
      <w:pPr>
        <w:spacing w:line="360" w:lineRule="auto"/>
        <w:ind w:firstLine="482" w:firstLineChars="200"/>
        <w:jc w:val="left"/>
        <w:rPr>
          <w:rFonts w:hint="default" w:ascii="Times New Roman" w:hAnsi="Times New Roman" w:cs="Times New Roman"/>
          <w:b/>
          <w:color w:val="auto"/>
          <w:sz w:val="24"/>
          <w:highlight w:val="none"/>
          <w:u w:val="single"/>
        </w:rPr>
      </w:pPr>
      <w:r>
        <w:rPr>
          <w:rFonts w:hint="default" w:ascii="Times New Roman" w:hAnsi="Times New Roman" w:cs="Times New Roman"/>
          <w:b/>
          <w:color w:val="auto"/>
          <w:sz w:val="24"/>
          <w:highlight w:val="none"/>
          <w:u w:val="single"/>
        </w:rPr>
        <w:t>7.2.2.2.应急处理措施</w:t>
      </w:r>
    </w:p>
    <w:p>
      <w:pPr>
        <w:pStyle w:val="37"/>
        <w:ind w:firstLine="480"/>
        <w:rPr>
          <w:rFonts w:hint="default" w:ascii="Times New Roman" w:hAnsi="Times New Roman" w:eastAsia="宋体" w:cs="Times New Roman"/>
          <w:bCs/>
          <w:color w:val="auto"/>
          <w:sz w:val="24"/>
          <w:highlight w:val="none"/>
          <w:u w:val="single"/>
          <w:lang w:val="en-US" w:eastAsia="zh-CN"/>
        </w:rPr>
      </w:pPr>
      <w:r>
        <w:rPr>
          <w:rFonts w:hint="eastAsia" w:ascii="Times New Roman" w:hAnsi="Times New Roman" w:cs="Times New Roman"/>
          <w:color w:val="auto"/>
          <w:highlight w:val="none"/>
          <w:u w:val="single"/>
          <w:lang w:eastAsia="zh-CN"/>
        </w:rPr>
        <w:t>污水处理厂</w:t>
      </w:r>
      <w:r>
        <w:rPr>
          <w:rFonts w:hint="eastAsia" w:cs="Times New Roman"/>
          <w:color w:val="auto"/>
          <w:highlight w:val="none"/>
          <w:u w:val="single"/>
          <w:lang w:val="en-US" w:eastAsia="zh-CN"/>
        </w:rPr>
        <w:t>运营单位应</w:t>
      </w:r>
      <w:r>
        <w:rPr>
          <w:rFonts w:hint="default" w:ascii="Times New Roman" w:hAnsi="Times New Roman" w:cs="Times New Roman"/>
          <w:color w:val="auto"/>
          <w:kern w:val="0"/>
          <w:highlight w:val="none"/>
          <w:u w:val="single"/>
        </w:rPr>
        <w:t>建立健全突发环境污染事件应急救援体系，</w:t>
      </w:r>
      <w:r>
        <w:rPr>
          <w:rFonts w:hint="eastAsia" w:cs="Times New Roman"/>
          <w:color w:val="auto"/>
          <w:kern w:val="0"/>
          <w:highlight w:val="none"/>
          <w:u w:val="single"/>
          <w:lang w:val="en-US" w:eastAsia="zh-CN"/>
        </w:rPr>
        <w:t>并配齐相应应急物质，</w:t>
      </w:r>
      <w:r>
        <w:rPr>
          <w:rFonts w:hint="default" w:ascii="Times New Roman" w:hAnsi="Times New Roman" w:cs="Times New Roman"/>
          <w:color w:val="auto"/>
          <w:kern w:val="0"/>
          <w:highlight w:val="none"/>
          <w:u w:val="single"/>
        </w:rPr>
        <w:t>确保</w:t>
      </w:r>
      <w:r>
        <w:rPr>
          <w:rFonts w:hint="eastAsia" w:ascii="Times New Roman" w:hAnsi="Times New Roman" w:cs="Times New Roman"/>
          <w:color w:val="auto"/>
          <w:highlight w:val="none"/>
          <w:u w:val="single"/>
          <w:lang w:eastAsia="zh-CN"/>
        </w:rPr>
        <w:t>污水处理厂</w:t>
      </w:r>
      <w:r>
        <w:rPr>
          <w:rFonts w:hint="default" w:ascii="Times New Roman" w:hAnsi="Times New Roman" w:cs="Times New Roman"/>
          <w:color w:val="auto"/>
          <w:kern w:val="0"/>
          <w:highlight w:val="none"/>
          <w:u w:val="single"/>
        </w:rPr>
        <w:t>在发生环境污染事件时，各项应急工作能够快速、高效、有序地启动和运行，最大限度减轻污染事故对环境造成的损失，保障公众生命健康和财产安全，保护环境。</w:t>
      </w:r>
      <w:r>
        <w:rPr>
          <w:rFonts w:hint="eastAsia" w:ascii="Times New Roman" w:hAnsi="Times New Roman" w:cs="Times New Roman"/>
          <w:bCs/>
          <w:color w:val="auto"/>
          <w:sz w:val="24"/>
          <w:highlight w:val="none"/>
          <w:u w:val="single"/>
          <w:lang w:val="en-US" w:eastAsia="zh-CN"/>
        </w:rPr>
        <w:t>根据污水处理厂运营的特点，重点防控</w:t>
      </w:r>
      <w:r>
        <w:rPr>
          <w:rFonts w:hint="eastAsia" w:cs="Times New Roman"/>
          <w:bCs/>
          <w:color w:val="auto"/>
          <w:sz w:val="24"/>
          <w:highlight w:val="none"/>
          <w:u w:val="single"/>
          <w:lang w:val="en-US" w:eastAsia="zh-CN"/>
        </w:rPr>
        <w:t>如下风险事件</w:t>
      </w:r>
      <w:r>
        <w:rPr>
          <w:rFonts w:hint="eastAsia" w:ascii="Times New Roman" w:hAnsi="Times New Roman" w:cs="Times New Roman"/>
          <w:bCs/>
          <w:color w:val="auto"/>
          <w:sz w:val="24"/>
          <w:highlight w:val="none"/>
          <w:u w:val="single"/>
          <w:lang w:eastAsia="zh-CN"/>
        </w:rPr>
        <w:t>，</w:t>
      </w:r>
      <w:r>
        <w:rPr>
          <w:rFonts w:hint="eastAsia" w:cs="Times New Roman"/>
          <w:bCs/>
          <w:color w:val="auto"/>
          <w:sz w:val="24"/>
          <w:highlight w:val="none"/>
          <w:u w:val="single"/>
          <w:lang w:val="en-US" w:eastAsia="zh-CN"/>
        </w:rPr>
        <w:t>并及时采取有效</w:t>
      </w:r>
      <w:r>
        <w:rPr>
          <w:rFonts w:hint="eastAsia" w:ascii="Times New Roman" w:hAnsi="Times New Roman" w:cs="Times New Roman"/>
          <w:bCs/>
          <w:color w:val="auto"/>
          <w:sz w:val="24"/>
          <w:highlight w:val="none"/>
          <w:u w:val="single"/>
          <w:lang w:val="en-US" w:eastAsia="zh-CN"/>
        </w:rPr>
        <w:t>应急处理措施</w:t>
      </w:r>
      <w:r>
        <w:rPr>
          <w:rFonts w:hint="eastAsia" w:cs="Times New Roman"/>
          <w:bCs/>
          <w:color w:val="auto"/>
          <w:sz w:val="24"/>
          <w:highlight w:val="none"/>
          <w:u w:val="single"/>
          <w:lang w:val="en-US" w:eastAsia="zh-CN"/>
        </w:rPr>
        <w:t>。</w:t>
      </w:r>
    </w:p>
    <w:p>
      <w:pPr>
        <w:spacing w:line="360" w:lineRule="auto"/>
        <w:ind w:firstLine="480" w:firstLineChars="200"/>
        <w:jc w:val="left"/>
        <w:rPr>
          <w:rFonts w:hint="eastAsia" w:ascii="Times New Roman" w:hAnsi="Times New Roman" w:cs="Times New Roman"/>
          <w:bCs/>
          <w:color w:val="auto"/>
          <w:sz w:val="24"/>
          <w:highlight w:val="none"/>
          <w:u w:val="single"/>
          <w:lang w:val="en-US" w:eastAsia="zh-CN"/>
        </w:rPr>
      </w:pPr>
      <w:r>
        <w:rPr>
          <w:rFonts w:hint="default" w:ascii="Times New Roman" w:hAnsi="Times New Roman" w:cs="Times New Roman"/>
          <w:bCs/>
          <w:color w:val="auto"/>
          <w:sz w:val="24"/>
          <w:highlight w:val="none"/>
          <w:u w:val="single"/>
          <w:lang w:val="en-US" w:eastAsia="zh-CN"/>
        </w:rPr>
        <w:t>（1）类型</w:t>
      </w:r>
      <w:r>
        <w:rPr>
          <w:rFonts w:hint="eastAsia" w:ascii="Times New Roman" w:hAnsi="Times New Roman" w:cs="Times New Roman"/>
          <w:bCs/>
          <w:color w:val="auto"/>
          <w:sz w:val="24"/>
          <w:highlight w:val="none"/>
          <w:u w:val="single"/>
          <w:lang w:val="en-US" w:eastAsia="zh-CN"/>
        </w:rPr>
        <w:t>一</w:t>
      </w:r>
    </w:p>
    <w:p>
      <w:pPr>
        <w:spacing w:line="360" w:lineRule="auto"/>
        <w:ind w:firstLine="480" w:firstLineChars="200"/>
        <w:jc w:val="left"/>
        <w:rPr>
          <w:rFonts w:hint="default" w:ascii="Times New Roman" w:hAnsi="Times New Roman" w:cs="Times New Roman"/>
          <w:bCs/>
          <w:color w:val="auto"/>
          <w:sz w:val="24"/>
          <w:highlight w:val="none"/>
          <w:u w:val="single"/>
          <w:lang w:val="en-US" w:eastAsia="zh-CN"/>
        </w:rPr>
      </w:pPr>
      <w:r>
        <w:rPr>
          <w:rFonts w:hint="default" w:ascii="Times New Roman" w:hAnsi="Times New Roman" w:cs="Times New Roman"/>
          <w:bCs/>
          <w:color w:val="auto"/>
          <w:sz w:val="24"/>
          <w:highlight w:val="none"/>
          <w:u w:val="single"/>
          <w:lang w:val="en-US" w:eastAsia="zh-CN"/>
        </w:rPr>
        <w:t>事故类型：因停电、污水处理单元处理设施故障或损坏等原因导致污水未经处理或处理不达标便排入</w:t>
      </w:r>
      <w:r>
        <w:rPr>
          <w:rFonts w:hint="eastAsia" w:ascii="Times New Roman" w:hAnsi="Times New Roman" w:cs="Times New Roman"/>
          <w:bCs/>
          <w:color w:val="auto"/>
          <w:sz w:val="24"/>
          <w:highlight w:val="none"/>
          <w:u w:val="single"/>
          <w:lang w:val="en-US" w:eastAsia="zh-CN"/>
        </w:rPr>
        <w:t>湄江河</w:t>
      </w:r>
      <w:r>
        <w:rPr>
          <w:rFonts w:hint="default" w:ascii="Times New Roman" w:hAnsi="Times New Roman" w:cs="Times New Roman"/>
          <w:bCs/>
          <w:color w:val="auto"/>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应急处理措施：①</w:t>
      </w:r>
      <w:r>
        <w:rPr>
          <w:rFonts w:hint="default" w:ascii="Times New Roman" w:hAnsi="Times New Roman" w:cs="Times New Roman"/>
          <w:bCs/>
          <w:color w:val="auto"/>
          <w:sz w:val="24"/>
          <w:highlight w:val="none"/>
          <w:u w:val="single"/>
          <w:lang w:val="en-US" w:eastAsia="zh-CN"/>
        </w:rPr>
        <w:t>应急处理人员应立即关闭</w:t>
      </w:r>
      <w:r>
        <w:rPr>
          <w:rFonts w:hint="eastAsia" w:ascii="Times New Roman" w:hAnsi="Times New Roman" w:cs="Times New Roman"/>
          <w:bCs/>
          <w:color w:val="auto"/>
          <w:sz w:val="24"/>
          <w:highlight w:val="none"/>
          <w:u w:val="single"/>
          <w:lang w:val="en-US" w:eastAsia="zh-CN"/>
        </w:rPr>
        <w:t>计量渠</w:t>
      </w:r>
      <w:r>
        <w:rPr>
          <w:rFonts w:hint="default" w:ascii="Times New Roman" w:hAnsi="Times New Roman" w:cs="Times New Roman"/>
          <w:bCs/>
          <w:color w:val="auto"/>
          <w:sz w:val="24"/>
          <w:highlight w:val="none"/>
          <w:u w:val="single"/>
          <w:lang w:val="en-US" w:eastAsia="zh-CN"/>
        </w:rPr>
        <w:t>出水阀门，同时立即启动回流泵，将</w:t>
      </w:r>
      <w:r>
        <w:rPr>
          <w:rFonts w:hint="eastAsia" w:ascii="Times New Roman" w:hAnsi="Times New Roman" w:cs="Times New Roman"/>
          <w:bCs/>
          <w:color w:val="auto"/>
          <w:sz w:val="24"/>
          <w:highlight w:val="none"/>
          <w:u w:val="single"/>
          <w:lang w:val="en-US" w:eastAsia="zh-CN"/>
        </w:rPr>
        <w:t>计量渠污</w:t>
      </w:r>
      <w:r>
        <w:rPr>
          <w:rFonts w:hint="default" w:ascii="Times New Roman" w:hAnsi="Times New Roman" w:cs="Times New Roman"/>
          <w:bCs/>
          <w:color w:val="auto"/>
          <w:sz w:val="24"/>
          <w:highlight w:val="none"/>
          <w:u w:val="single"/>
          <w:lang w:val="en-US" w:eastAsia="zh-CN"/>
        </w:rPr>
        <w:t>水泵入</w:t>
      </w:r>
      <w:r>
        <w:rPr>
          <w:rFonts w:hint="eastAsia" w:ascii="Times New Roman" w:hAnsi="Times New Roman" w:cs="Times New Roman"/>
          <w:bCs/>
          <w:color w:val="auto"/>
          <w:sz w:val="24"/>
          <w:highlight w:val="none"/>
          <w:u w:val="single"/>
          <w:lang w:val="en-US" w:eastAsia="zh-CN"/>
        </w:rPr>
        <w:t>一体化污水处理设备</w:t>
      </w:r>
      <w:r>
        <w:rPr>
          <w:rFonts w:hint="default" w:ascii="Times New Roman" w:hAnsi="Times New Roman" w:cs="Times New Roman"/>
          <w:bCs/>
          <w:color w:val="auto"/>
          <w:sz w:val="24"/>
          <w:highlight w:val="none"/>
          <w:u w:val="single"/>
          <w:lang w:val="en-US" w:eastAsia="zh-CN"/>
        </w:rPr>
        <w:t>，防止</w:t>
      </w:r>
      <w:r>
        <w:rPr>
          <w:rFonts w:hint="eastAsia" w:ascii="Times New Roman" w:hAnsi="Times New Roman" w:cs="Times New Roman"/>
          <w:bCs/>
          <w:color w:val="auto"/>
          <w:sz w:val="24"/>
          <w:highlight w:val="none"/>
          <w:u w:val="single"/>
          <w:lang w:val="en-US" w:eastAsia="zh-CN"/>
        </w:rPr>
        <w:t>计量渠</w:t>
      </w:r>
      <w:r>
        <w:rPr>
          <w:rFonts w:hint="default" w:ascii="Times New Roman" w:hAnsi="Times New Roman" w:cs="Times New Roman"/>
          <w:bCs/>
          <w:color w:val="auto"/>
          <w:sz w:val="24"/>
          <w:highlight w:val="none"/>
          <w:u w:val="single"/>
          <w:lang w:val="en-US" w:eastAsia="zh-CN"/>
        </w:rPr>
        <w:t>排水</w:t>
      </w:r>
      <w:r>
        <w:rPr>
          <w:rFonts w:hint="eastAsia" w:ascii="Times New Roman" w:hAnsi="Times New Roman" w:cs="Times New Roman"/>
          <w:bCs/>
          <w:color w:val="auto"/>
          <w:sz w:val="24"/>
          <w:highlight w:val="none"/>
          <w:u w:val="single"/>
          <w:lang w:val="en-US" w:eastAsia="zh-CN"/>
        </w:rPr>
        <w:t>；②</w:t>
      </w:r>
      <w:r>
        <w:rPr>
          <w:rFonts w:hint="default" w:ascii="Times New Roman" w:hAnsi="Times New Roman" w:cs="Times New Roman"/>
          <w:bCs/>
          <w:color w:val="auto"/>
          <w:sz w:val="24"/>
          <w:highlight w:val="none"/>
          <w:u w:val="single"/>
          <w:lang w:val="en-US" w:eastAsia="zh-CN"/>
        </w:rPr>
        <w:t>开启联通</w:t>
      </w:r>
      <w:r>
        <w:rPr>
          <w:rFonts w:hint="eastAsia" w:ascii="Times New Roman" w:hAnsi="Times New Roman" w:cs="Times New Roman"/>
          <w:bCs/>
          <w:color w:val="auto"/>
          <w:sz w:val="24"/>
          <w:highlight w:val="none"/>
          <w:u w:val="single"/>
          <w:lang w:val="en-US" w:eastAsia="zh-CN"/>
        </w:rPr>
        <w:t>调节</w:t>
      </w:r>
      <w:r>
        <w:rPr>
          <w:rFonts w:hint="default" w:ascii="Times New Roman" w:hAnsi="Times New Roman" w:cs="Times New Roman"/>
          <w:bCs/>
          <w:color w:val="auto"/>
          <w:sz w:val="24"/>
          <w:highlight w:val="none"/>
          <w:u w:val="single"/>
          <w:lang w:val="en-US" w:eastAsia="zh-CN"/>
        </w:rPr>
        <w:t>池阀门，将进水切入</w:t>
      </w:r>
      <w:r>
        <w:rPr>
          <w:rFonts w:hint="eastAsia" w:ascii="Times New Roman" w:hAnsi="Times New Roman" w:cs="Times New Roman"/>
          <w:bCs/>
          <w:color w:val="auto"/>
          <w:sz w:val="24"/>
          <w:highlight w:val="none"/>
          <w:u w:val="single"/>
          <w:lang w:val="en-US" w:eastAsia="zh-CN"/>
        </w:rPr>
        <w:t>调节</w:t>
      </w:r>
      <w:r>
        <w:rPr>
          <w:rFonts w:hint="default" w:ascii="Times New Roman" w:hAnsi="Times New Roman" w:cs="Times New Roman"/>
          <w:bCs/>
          <w:color w:val="auto"/>
          <w:sz w:val="24"/>
          <w:highlight w:val="none"/>
          <w:u w:val="single"/>
          <w:lang w:val="en-US" w:eastAsia="zh-CN"/>
        </w:rPr>
        <w:t>池暂存</w:t>
      </w:r>
      <w:r>
        <w:rPr>
          <w:rFonts w:hint="eastAsia" w:ascii="Times New Roman" w:hAnsi="Times New Roman" w:cs="Times New Roman"/>
          <w:bCs/>
          <w:color w:val="auto"/>
          <w:sz w:val="24"/>
          <w:highlight w:val="none"/>
          <w:u w:val="single"/>
          <w:lang w:val="en-US" w:eastAsia="zh-CN"/>
        </w:rPr>
        <w:t>；③</w:t>
      </w:r>
      <w:r>
        <w:rPr>
          <w:rFonts w:hint="default" w:ascii="Times New Roman" w:hAnsi="Times New Roman" w:cs="Times New Roman"/>
          <w:bCs/>
          <w:color w:val="auto"/>
          <w:sz w:val="24"/>
          <w:highlight w:val="none"/>
          <w:u w:val="single"/>
          <w:lang w:val="en-US" w:eastAsia="zh-CN"/>
        </w:rPr>
        <w:t>立即组织队伍对污水处理系统故障原因进行排查及维修。</w:t>
      </w:r>
    </w:p>
    <w:p>
      <w:pPr>
        <w:spacing w:line="360" w:lineRule="auto"/>
        <w:ind w:firstLine="480" w:firstLineChars="200"/>
        <w:jc w:val="left"/>
        <w:rPr>
          <w:rFonts w:hint="eastAsia"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（2）</w:t>
      </w:r>
      <w:r>
        <w:rPr>
          <w:rFonts w:hint="default" w:ascii="Times New Roman" w:hAnsi="Times New Roman" w:cs="Times New Roman"/>
          <w:bCs/>
          <w:color w:val="auto"/>
          <w:sz w:val="24"/>
          <w:highlight w:val="none"/>
          <w:u w:val="single"/>
          <w:lang w:val="en-US" w:eastAsia="zh-CN"/>
        </w:rPr>
        <w:t>类型</w:t>
      </w:r>
      <w:r>
        <w:rPr>
          <w:rFonts w:hint="eastAsia" w:ascii="Times New Roman" w:hAnsi="Times New Roman" w:cs="Times New Roman"/>
          <w:bCs/>
          <w:color w:val="auto"/>
          <w:sz w:val="24"/>
          <w:highlight w:val="none"/>
          <w:u w:val="single"/>
          <w:lang w:val="en-US" w:eastAsia="zh-CN"/>
        </w:rPr>
        <w:t>二</w:t>
      </w:r>
    </w:p>
    <w:p>
      <w:pPr>
        <w:spacing w:line="360" w:lineRule="auto"/>
        <w:ind w:firstLine="480" w:firstLineChars="200"/>
        <w:jc w:val="left"/>
        <w:rPr>
          <w:rFonts w:hint="default" w:ascii="Times New Roman" w:hAnsi="Times New Roman" w:cs="Times New Roman"/>
          <w:bCs/>
          <w:color w:val="auto"/>
          <w:sz w:val="24"/>
          <w:highlight w:val="none"/>
          <w:u w:val="single"/>
          <w:lang w:val="en-US" w:eastAsia="zh-CN"/>
        </w:rPr>
      </w:pPr>
      <w:r>
        <w:rPr>
          <w:rFonts w:hint="default" w:ascii="Times New Roman" w:hAnsi="Times New Roman" w:cs="Times New Roman"/>
          <w:bCs/>
          <w:color w:val="auto"/>
          <w:sz w:val="24"/>
          <w:highlight w:val="none"/>
          <w:u w:val="single"/>
          <w:lang w:val="en-US" w:eastAsia="zh-CN"/>
        </w:rPr>
        <w:t>事故类型：池体、地面输送管道因常年腐蚀导致其发生破裂，使污水发生泄露，若未有效截流，可能导致未处理的废水经雨水管道排入排水沟进而进入地表水</w:t>
      </w:r>
      <w:r>
        <w:rPr>
          <w:rFonts w:hint="eastAsia" w:ascii="Times New Roman" w:hAnsi="Times New Roman" w:cs="Times New Roman"/>
          <w:bCs/>
          <w:color w:val="auto"/>
          <w:sz w:val="24"/>
          <w:highlight w:val="none"/>
          <w:u w:val="single"/>
          <w:lang w:val="en-US" w:eastAsia="zh-CN"/>
        </w:rPr>
        <w:t>体</w:t>
      </w:r>
      <w:r>
        <w:rPr>
          <w:rFonts w:hint="default" w:ascii="Times New Roman" w:hAnsi="Times New Roman" w:cs="Times New Roman"/>
          <w:bCs/>
          <w:color w:val="auto"/>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应急处理措施：①</w:t>
      </w:r>
      <w:r>
        <w:rPr>
          <w:rFonts w:hint="default" w:ascii="Times New Roman" w:hAnsi="Times New Roman" w:cs="Times New Roman"/>
          <w:bCs/>
          <w:color w:val="auto"/>
          <w:sz w:val="24"/>
          <w:highlight w:val="none"/>
          <w:u w:val="single"/>
          <w:lang w:val="en-US" w:eastAsia="zh-CN"/>
        </w:rPr>
        <w:t>应急处理人员应立即赶往现场关闭</w:t>
      </w:r>
      <w:r>
        <w:rPr>
          <w:rFonts w:hint="eastAsia" w:ascii="Times New Roman" w:hAnsi="Times New Roman" w:cs="Times New Roman"/>
          <w:bCs/>
          <w:color w:val="auto"/>
          <w:sz w:val="24"/>
          <w:highlight w:val="none"/>
          <w:u w:val="single"/>
          <w:lang w:val="en-US" w:eastAsia="zh-CN"/>
        </w:rPr>
        <w:t>雨水</w:t>
      </w:r>
      <w:r>
        <w:rPr>
          <w:rFonts w:hint="default" w:ascii="Times New Roman" w:hAnsi="Times New Roman" w:cs="Times New Roman"/>
          <w:bCs/>
          <w:color w:val="auto"/>
          <w:sz w:val="24"/>
          <w:highlight w:val="none"/>
          <w:u w:val="single"/>
          <w:lang w:val="en-US" w:eastAsia="zh-CN"/>
        </w:rPr>
        <w:t>出水阀门，</w:t>
      </w:r>
      <w:r>
        <w:rPr>
          <w:rFonts w:hint="eastAsia" w:ascii="Times New Roman" w:hAnsi="Times New Roman" w:cs="Times New Roman"/>
          <w:bCs/>
          <w:color w:val="auto"/>
          <w:sz w:val="24"/>
          <w:highlight w:val="none"/>
          <w:u w:val="single"/>
          <w:lang w:val="en-US" w:eastAsia="zh-CN"/>
        </w:rPr>
        <w:t>②根据破裂区域进行有效截留</w:t>
      </w:r>
      <w:r>
        <w:rPr>
          <w:rFonts w:hint="default" w:ascii="Times New Roman" w:hAnsi="Times New Roman" w:cs="Times New Roman"/>
          <w:bCs/>
          <w:color w:val="auto"/>
          <w:sz w:val="24"/>
          <w:highlight w:val="none"/>
          <w:u w:val="single"/>
          <w:lang w:val="en-US" w:eastAsia="zh-CN"/>
        </w:rPr>
        <w:t>，并及时开启事故水泵，将泄漏的污水泵入</w:t>
      </w:r>
      <w:r>
        <w:rPr>
          <w:rFonts w:hint="eastAsia" w:ascii="Times New Roman" w:hAnsi="Times New Roman" w:cs="Times New Roman"/>
          <w:bCs/>
          <w:color w:val="auto"/>
          <w:sz w:val="24"/>
          <w:highlight w:val="none"/>
          <w:u w:val="single"/>
          <w:lang w:val="en-US" w:eastAsia="zh-CN"/>
        </w:rPr>
        <w:t>调节池；</w:t>
      </w:r>
      <w:r>
        <w:rPr>
          <w:rFonts w:hint="default" w:ascii="Times New Roman" w:hAnsi="Times New Roman" w:cs="Times New Roman"/>
          <w:bCs/>
          <w:color w:val="auto"/>
          <w:sz w:val="24"/>
          <w:highlight w:val="none"/>
          <w:u w:val="single"/>
          <w:lang w:val="en-US" w:eastAsia="zh-CN"/>
        </w:rPr>
        <w:t>③立即组织队伍对泄露管道进行维修。</w:t>
      </w:r>
    </w:p>
    <w:p>
      <w:pPr>
        <w:spacing w:line="360" w:lineRule="auto"/>
        <w:ind w:firstLine="480" w:firstLineChars="200"/>
        <w:jc w:val="left"/>
        <w:rPr>
          <w:rFonts w:hint="eastAsia"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（3）</w:t>
      </w:r>
      <w:r>
        <w:rPr>
          <w:rFonts w:hint="default" w:ascii="Times New Roman" w:hAnsi="Times New Roman" w:cs="Times New Roman"/>
          <w:bCs/>
          <w:color w:val="auto"/>
          <w:sz w:val="24"/>
          <w:highlight w:val="none"/>
          <w:u w:val="single"/>
          <w:lang w:val="en-US" w:eastAsia="zh-CN"/>
        </w:rPr>
        <w:t>类型</w:t>
      </w:r>
      <w:r>
        <w:rPr>
          <w:rFonts w:hint="eastAsia" w:ascii="Times New Roman" w:hAnsi="Times New Roman" w:cs="Times New Roman"/>
          <w:bCs/>
          <w:color w:val="auto"/>
          <w:sz w:val="24"/>
          <w:highlight w:val="none"/>
          <w:u w:val="single"/>
          <w:lang w:val="en-US" w:eastAsia="zh-CN"/>
        </w:rPr>
        <w:t>三</w:t>
      </w:r>
    </w:p>
    <w:p>
      <w:pPr>
        <w:spacing w:line="360" w:lineRule="auto"/>
        <w:ind w:firstLine="480" w:firstLineChars="200"/>
        <w:jc w:val="left"/>
        <w:rPr>
          <w:rFonts w:hint="eastAsia"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事故类型：</w:t>
      </w:r>
      <w:r>
        <w:rPr>
          <w:rFonts w:hint="default" w:ascii="Times New Roman" w:hAnsi="Times New Roman" w:cs="Times New Roman"/>
          <w:bCs/>
          <w:color w:val="auto"/>
          <w:sz w:val="24"/>
          <w:highlight w:val="none"/>
          <w:u w:val="single"/>
          <w:lang w:val="en-US" w:eastAsia="zh-CN"/>
        </w:rPr>
        <w:t>外部风险源事故排放导致进水水质严重超标</w:t>
      </w:r>
      <w:r>
        <w:rPr>
          <w:rFonts w:hint="eastAsia" w:ascii="Times New Roman" w:hAnsi="Times New Roman" w:cs="Times New Roman"/>
          <w:bCs/>
          <w:color w:val="auto"/>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auto"/>
          <w:sz w:val="24"/>
          <w:highlight w:val="none"/>
          <w:u w:val="single"/>
          <w:lang w:val="en-US" w:eastAsia="zh-CN"/>
        </w:rPr>
      </w:pPr>
      <w:r>
        <w:rPr>
          <w:rFonts w:hint="eastAsia" w:ascii="Times New Roman" w:hAnsi="Times New Roman" w:cs="Times New Roman"/>
          <w:bCs/>
          <w:color w:val="auto"/>
          <w:sz w:val="24"/>
          <w:highlight w:val="none"/>
          <w:u w:val="single"/>
          <w:lang w:val="en-US" w:eastAsia="zh-CN"/>
        </w:rPr>
        <w:t>应急处理措施：</w:t>
      </w:r>
      <w:r>
        <w:rPr>
          <w:rFonts w:hint="default" w:ascii="Times New Roman" w:hAnsi="Times New Roman" w:cs="Times New Roman"/>
          <w:bCs/>
          <w:color w:val="auto"/>
          <w:sz w:val="24"/>
          <w:highlight w:val="none"/>
          <w:u w:val="single"/>
          <w:lang w:val="en-US" w:eastAsia="zh-CN"/>
        </w:rPr>
        <w:t>①</w:t>
      </w:r>
      <w:r>
        <w:rPr>
          <w:rFonts w:hint="eastAsia" w:ascii="Times New Roman" w:hAnsi="Times New Roman" w:cs="Times New Roman"/>
          <w:bCs/>
          <w:color w:val="auto"/>
          <w:sz w:val="24"/>
          <w:highlight w:val="none"/>
          <w:u w:val="single"/>
          <w:lang w:val="en-US" w:eastAsia="zh-CN"/>
        </w:rPr>
        <w:t>开启切换阀门，</w:t>
      </w:r>
      <w:r>
        <w:rPr>
          <w:rFonts w:hint="default" w:ascii="Times New Roman" w:hAnsi="Times New Roman" w:cs="Times New Roman"/>
          <w:bCs/>
          <w:color w:val="auto"/>
          <w:sz w:val="24"/>
          <w:highlight w:val="none"/>
          <w:u w:val="single"/>
          <w:lang w:val="en-US" w:eastAsia="zh-CN"/>
        </w:rPr>
        <w:t>将</w:t>
      </w:r>
      <w:r>
        <w:rPr>
          <w:rFonts w:hint="eastAsia" w:ascii="Times New Roman" w:hAnsi="Times New Roman" w:cs="Times New Roman"/>
          <w:bCs/>
          <w:color w:val="auto"/>
          <w:sz w:val="24"/>
          <w:highlight w:val="none"/>
          <w:u w:val="single"/>
          <w:lang w:val="en-US" w:eastAsia="zh-CN"/>
        </w:rPr>
        <w:t>污水排入备用污水处理设施</w:t>
      </w:r>
      <w:r>
        <w:rPr>
          <w:rFonts w:hint="default" w:ascii="Times New Roman" w:hAnsi="Times New Roman" w:cs="Times New Roman"/>
          <w:bCs/>
          <w:color w:val="auto"/>
          <w:sz w:val="24"/>
          <w:highlight w:val="none"/>
          <w:u w:val="single"/>
          <w:lang w:val="en-US" w:eastAsia="zh-CN"/>
        </w:rPr>
        <w:t>；</w:t>
      </w:r>
      <w:r>
        <w:rPr>
          <w:rFonts w:hint="eastAsia" w:ascii="Times New Roman" w:hAnsi="Times New Roman" w:cs="Times New Roman"/>
          <w:bCs/>
          <w:color w:val="auto"/>
          <w:sz w:val="24"/>
          <w:highlight w:val="none"/>
          <w:u w:val="single"/>
          <w:lang w:val="en-US" w:eastAsia="zh-CN"/>
        </w:rPr>
        <w:t>②</w:t>
      </w:r>
      <w:r>
        <w:rPr>
          <w:rFonts w:hint="default" w:ascii="Times New Roman" w:hAnsi="Times New Roman" w:cs="Times New Roman"/>
          <w:bCs/>
          <w:color w:val="auto"/>
          <w:sz w:val="24"/>
          <w:highlight w:val="none"/>
          <w:u w:val="single"/>
          <w:lang w:val="en-US" w:eastAsia="zh-CN"/>
        </w:rPr>
        <w:t>立即组织人员对</w:t>
      </w:r>
      <w:r>
        <w:rPr>
          <w:rFonts w:hint="eastAsia" w:ascii="Times New Roman" w:hAnsi="Times New Roman" w:cs="Times New Roman"/>
          <w:bCs/>
          <w:color w:val="auto"/>
          <w:sz w:val="24"/>
          <w:highlight w:val="none"/>
          <w:u w:val="single"/>
          <w:lang w:val="en-US" w:eastAsia="zh-CN"/>
        </w:rPr>
        <w:t>排放</w:t>
      </w:r>
      <w:r>
        <w:rPr>
          <w:rFonts w:hint="default" w:ascii="Times New Roman" w:hAnsi="Times New Roman" w:cs="Times New Roman"/>
          <w:bCs/>
          <w:color w:val="auto"/>
          <w:sz w:val="24"/>
          <w:highlight w:val="none"/>
          <w:u w:val="single"/>
          <w:lang w:val="en-US" w:eastAsia="zh-CN"/>
        </w:rPr>
        <w:t>废水水质进行监测分析，然后视监测结果采取分类处理</w:t>
      </w:r>
      <w:r>
        <w:rPr>
          <w:rFonts w:hint="eastAsia" w:ascii="Times New Roman" w:hAnsi="Times New Roman" w:cs="Times New Roman"/>
          <w:bCs/>
          <w:color w:val="auto"/>
          <w:sz w:val="24"/>
          <w:highlight w:val="none"/>
          <w:u w:val="single"/>
          <w:lang w:val="en-US" w:eastAsia="zh-CN"/>
        </w:rPr>
        <w:t>；③</w:t>
      </w:r>
      <w:r>
        <w:rPr>
          <w:rFonts w:hint="default" w:ascii="Times New Roman" w:hAnsi="Times New Roman" w:cs="Times New Roman"/>
          <w:bCs/>
          <w:color w:val="auto"/>
          <w:sz w:val="24"/>
          <w:highlight w:val="none"/>
          <w:u w:val="single"/>
          <w:lang w:val="en-US" w:eastAsia="zh-CN"/>
        </w:rPr>
        <w:t>应针对特殊污染物进行预处理，</w:t>
      </w:r>
      <w:r>
        <w:rPr>
          <w:rFonts w:hint="eastAsia" w:ascii="Times New Roman" w:hAnsi="Times New Roman" w:cs="Times New Roman"/>
          <w:bCs/>
          <w:color w:val="auto"/>
          <w:sz w:val="24"/>
          <w:highlight w:val="none"/>
          <w:u w:val="single"/>
          <w:lang w:val="en-US" w:eastAsia="zh-CN"/>
        </w:rPr>
        <w:t>根据</w:t>
      </w:r>
      <w:r>
        <w:rPr>
          <w:rFonts w:hint="default" w:ascii="Times New Roman" w:hAnsi="Times New Roman" w:cs="Times New Roman"/>
          <w:bCs/>
          <w:color w:val="auto"/>
          <w:sz w:val="24"/>
          <w:highlight w:val="none"/>
          <w:u w:val="single"/>
          <w:lang w:val="en-US" w:eastAsia="zh-CN"/>
        </w:rPr>
        <w:t>污水性质投加碱性物质或酸性物质等方法，</w:t>
      </w:r>
      <w:r>
        <w:rPr>
          <w:rFonts w:hint="eastAsia" w:ascii="Times New Roman" w:hAnsi="Times New Roman" w:cs="Times New Roman"/>
          <w:bCs/>
          <w:color w:val="auto"/>
          <w:sz w:val="24"/>
          <w:highlight w:val="none"/>
          <w:u w:val="single"/>
          <w:lang w:val="en-US" w:eastAsia="zh-CN"/>
        </w:rPr>
        <w:t>进一步</w:t>
      </w:r>
      <w:r>
        <w:rPr>
          <w:rFonts w:hint="default" w:ascii="Times New Roman" w:hAnsi="Times New Roman" w:cs="Times New Roman"/>
          <w:bCs/>
          <w:color w:val="auto"/>
          <w:sz w:val="24"/>
          <w:highlight w:val="none"/>
          <w:u w:val="single"/>
          <w:lang w:val="en-US" w:eastAsia="zh-CN"/>
        </w:rPr>
        <w:t>处理合格后</w:t>
      </w:r>
      <w:r>
        <w:rPr>
          <w:rFonts w:hint="eastAsia" w:ascii="Times New Roman" w:hAnsi="Times New Roman" w:cs="Times New Roman"/>
          <w:bCs/>
          <w:color w:val="auto"/>
          <w:sz w:val="24"/>
          <w:highlight w:val="none"/>
          <w:u w:val="single"/>
          <w:lang w:val="en-US" w:eastAsia="zh-CN"/>
        </w:rPr>
        <w:t>方可排放；对于本污水处理厂处理工艺无法处置的废水应及时转运外委处理。</w:t>
      </w:r>
    </w:p>
    <w:p>
      <w:pPr>
        <w:spacing w:line="360" w:lineRule="auto"/>
        <w:ind w:firstLine="482" w:firstLineChars="200"/>
        <w:outlineLvl w:val="2"/>
        <w:rPr>
          <w:rFonts w:hint="default" w:ascii="Times New Roman" w:hAnsi="Times New Roman" w:cs="Times New Roman"/>
          <w:b/>
          <w:bCs/>
          <w:color w:val="auto"/>
          <w:sz w:val="24"/>
          <w:highlight w:val="none"/>
        </w:rPr>
      </w:pPr>
      <w:bookmarkStart w:id="303" w:name="_Toc19405"/>
      <w:r>
        <w:rPr>
          <w:rFonts w:hint="default" w:ascii="Times New Roman" w:hAnsi="Times New Roman" w:cs="Times New Roman"/>
          <w:b/>
          <w:bCs/>
          <w:color w:val="auto"/>
          <w:sz w:val="24"/>
          <w:highlight w:val="none"/>
        </w:rPr>
        <w:t>7.2.3.环境管理</w:t>
      </w:r>
      <w:bookmarkEnd w:id="303"/>
    </w:p>
    <w:p>
      <w:pPr>
        <w:numPr>
          <w:ilvl w:val="0"/>
          <w:numId w:val="8"/>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环境管理机构及职责</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建立由总经理负责的环境管理机构，从上到下建立起环境目标责任制、岗位责任制。环境管理机构的基本职责为：</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①宣传、组织贯彻国家有关环境保护的方针、政策、法令和条例，搞好范围内的环境保护工作；</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②执行上级生态环境主管部门建立的各种环境管理制度；</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③监督项目环保设施和设备的安装、调试和运行，保证“三同时”验收合格；</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④领导并组织项目运行期（包括非正常运行期）的环境监测工作，建立档案。依据核定的污染物排放总量控制指标和污染物排放标准来指导和规范污水处理厂各部门的运行管理；</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⑤调查、处理污染事故与污染纠纷，开展环保教育、技术培训和学术交流活动，提高工作人员素质；</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⑥设置专人负责污水处理站的运行维护。</w:t>
      </w:r>
    </w:p>
    <w:p>
      <w:pPr>
        <w:numPr>
          <w:ilvl w:val="0"/>
          <w:numId w:val="8"/>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排污口规范化建设及管理</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口是企业排放污染物进入环境的通道，强化排污口的管理是实施污染物总量控制的基础工作之一，也是区域环境管理逐步实现污染物排放科学化、定量化的重要手段。根据《入河排污口管理技术导则》（SL532-2011）规范化设置入河排污口，主要内容如下：</w:t>
      </w:r>
    </w:p>
    <w:p>
      <w:pPr>
        <w:numPr>
          <w:ilvl w:val="0"/>
          <w:numId w:val="9"/>
        </w:num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排污口技术要求</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①入河排污口设置应便于采集样品、便于计量监测、便于日常现场监督检查。</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②入河排污口应设置在设计洪水淹没线之上，工程设施应符合防洪要求。</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③入河排污口不得设暗管通入河道底部，如特殊情况需要设管道的，必须留出观测窗口，以便于采样和监督。</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入河排污口处应设置明显的标志牌，标志牌内容包括入河排污口编号、入河排污口名称、入河排污口地理位置和经纬度坐标、排入水功能区名称及水质保护目标、入河排污口设置单位以及入河排污口设置审批单位及监督电话。</w:t>
      </w:r>
    </w:p>
    <w:p>
      <w:pPr>
        <w:numPr>
          <w:ilvl w:val="0"/>
          <w:numId w:val="9"/>
        </w:num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排污口标志</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入河排污口标志的设置应按照《环境保护图形标志排放口》（GB15562.1-1995）、《关于印发排放口标志牌技术规格的通知》中有关规定执行，设置与之相适应的环境保护图形标志牌。</w:t>
      </w:r>
    </w:p>
    <w:p>
      <w:pPr>
        <w:numPr>
          <w:ilvl w:val="0"/>
          <w:numId w:val="9"/>
        </w:num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排污口建档要求</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排污单位应建立排污口基础资料和管理档案，如：排污单位名称、排污口性质及编号、排放主要污染物种类等。</w:t>
      </w:r>
    </w:p>
    <w:p>
      <w:pPr>
        <w:numPr>
          <w:ilvl w:val="0"/>
          <w:numId w:val="9"/>
        </w:num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排污口环境保护设施管理要求</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①规范整治排污口有关环境保护设施（如：标志牌等），加强日常监督管理，排污单位应将环保设施纳入本单位设备管理，制定相应的管理办法和规章制度。</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②排污单位应配备专职人员对排污口进行管理，做到责任明确、奖罚分明。</w:t>
      </w:r>
    </w:p>
    <w:p>
      <w:pPr>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表7-2  排污口（源）标志牌设置要求</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6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要求</w:t>
            </w:r>
          </w:p>
        </w:tc>
        <w:tc>
          <w:tcPr>
            <w:tcW w:w="7077" w:type="dxa"/>
            <w:vAlign w:val="center"/>
          </w:tcPr>
          <w:p>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废水排放口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提示符号</w:t>
            </w:r>
          </w:p>
        </w:tc>
        <w:tc>
          <w:tcPr>
            <w:tcW w:w="707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032250" cy="2512060"/>
                  <wp:effectExtent l="0" t="0" r="6350" b="2540"/>
                  <wp:docPr id="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
                          <pic:cNvPicPr>
                            <a:picLocks noChangeAspect="1"/>
                          </pic:cNvPicPr>
                        </pic:nvPicPr>
                        <pic:blipFill>
                          <a:blip r:embed="rId18"/>
                          <a:stretch>
                            <a:fillRect/>
                          </a:stretch>
                        </pic:blipFill>
                        <pic:spPr>
                          <a:xfrm>
                            <a:off x="0" y="0"/>
                            <a:ext cx="4032250" cy="2512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功能</w:t>
            </w:r>
          </w:p>
        </w:tc>
        <w:tc>
          <w:tcPr>
            <w:tcW w:w="707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背景颜色</w:t>
            </w:r>
          </w:p>
        </w:tc>
        <w:tc>
          <w:tcPr>
            <w:tcW w:w="707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底和立柱为绿色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图形颜色</w:t>
            </w:r>
          </w:p>
        </w:tc>
        <w:tc>
          <w:tcPr>
            <w:tcW w:w="707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图案、边框、支架和文字为白色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辅助标志内容</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（1）排放口标志名称；（2）单位名称；（3）编号；（4）污染物种类；（5）XX 生态环境局监制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辅助标志字形</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黑体字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标志牌尺寸</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平面固定式标志牌外形尺寸：480×300mm</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立式固定式标志牌外形尺寸：420×420mm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高度要求</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标志牌最上端距地面2m，地下0.3m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标志牌材料</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1、标志牌采用 1.5～2mm 冷轧钢板；</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2、立柱采用 38×4 无缝钢管；</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3、表面采用搪瓷或者反光贴膜。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标志牌的表面处理</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1、搪瓷处理或贴膜处理；</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2、标志牌的端面及立柱要经过防腐处理。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标志牌的外观质量要求</w:t>
            </w:r>
          </w:p>
        </w:tc>
        <w:tc>
          <w:tcPr>
            <w:tcW w:w="7077" w:type="dxa"/>
            <w:vAlign w:val="center"/>
          </w:tcPr>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1、标志牌、立柱无明显变形；</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2、标志牌表面无气泡，膜或搪瓷无脱落；</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3、图案清晰，色泽一致，不得有明显缺损；</w:t>
            </w:r>
          </w:p>
          <w:p>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4、标志牌的表面不应有开裂、脱落及其它破损。</w:t>
            </w:r>
          </w:p>
        </w:tc>
      </w:tr>
    </w:tbl>
    <w:p>
      <w:pPr>
        <w:numPr>
          <w:ilvl w:val="0"/>
          <w:numId w:val="8"/>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环境保护措施</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①每年组织一次突发环境事件应急演练，按照应急预案管理要求至少每三年修订、更新一次，制定水环境突发环境事件专项应急预案。</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②项目复产后尽快组织完成剩余产品生产环境保护验收工作，并在全国建设项目竣工环境保护验收信息平台上填报相关信息。</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③按照排污许可证要求委托有检测资质的第三方检测公司完成污染物排放自行监测，并建立环境管理台账。</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④若项目复产后项目性质、规模、地点、生产工艺、环境保护措施发生重大变动应先完善环境影响评价手续后方可进行试生产。</w:t>
      </w:r>
    </w:p>
    <w:p>
      <w:pPr>
        <w:numPr>
          <w:ilvl w:val="0"/>
          <w:numId w:val="8"/>
        </w:numPr>
        <w:spacing w:line="360" w:lineRule="auto"/>
        <w:ind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监督管理措施</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①宣传、组织、贯彻国家有关水生态环境保护的方针、政策、法令和条例，搞好项目运行期间环境保护工作，执行上级主管部门建立的各种环境管理制度。</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②加强水资源保护的宣传，加强水法规定的宣贯，提高企业全员水资源保护的意识。</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③对项目涉及水域要进行水质监测，并协助当地环保部门做好水污染防治工作。</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④在污水处置设施出现故障时，应立即停产检修，严格禁止未经处理废水排放。</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⑤建立水质保护管理措施，并不断充实和完善各项管理制度。健全水质保护管理机构，实行统一领导，分区负责，保障各项水质保护规章制度有效实施。</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⑥积极开展环保教育、技术培训和学术交流活动，提高员工素质，推广利用先进技术和经验。</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⑦加强水功能区水质监测工作，及时了解水功能区的水环境状况，依照相关法律由地方水行政主管部门加强监督管理，确保达到水功能区管理目标。</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⑧对排污口按照“一口一册”要求建立统一档案，实现相关部门对入河排污口数据信息共享。</w:t>
      </w:r>
    </w:p>
    <w:p>
      <w:pPr>
        <w:spacing w:line="360" w:lineRule="auto"/>
        <w:ind w:firstLine="482" w:firstLineChars="200"/>
        <w:jc w:val="left"/>
        <w:outlineLvl w:val="1"/>
        <w:rPr>
          <w:rFonts w:hint="default" w:ascii="Times New Roman" w:hAnsi="Times New Roman" w:cs="Times New Roman"/>
          <w:b/>
          <w:color w:val="auto"/>
          <w:sz w:val="24"/>
          <w:highlight w:val="none"/>
        </w:rPr>
      </w:pPr>
      <w:bookmarkStart w:id="304" w:name="_Toc12856"/>
      <w:r>
        <w:rPr>
          <w:rFonts w:hint="default" w:ascii="Times New Roman" w:hAnsi="Times New Roman" w:cs="Times New Roman"/>
          <w:b/>
          <w:color w:val="auto"/>
          <w:sz w:val="24"/>
          <w:highlight w:val="none"/>
        </w:rPr>
        <w:t>7.3.排污口设置验收要求</w:t>
      </w:r>
      <w:bookmarkEnd w:id="304"/>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入河排污口试运行满3个月，正式投入使用前，入河排污口设置单位应向有管辖权的县级以上人民政府入河排污口主管部门提出入河排污口设置验收申请，验收合格后方可投入运行。验收内容包括：</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污水处理设施验收合格；</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入河排污口设置审批手续完备，技术资料齐全；</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入河排污口已按行政许可决定的要求建成，污水排放符合行政许可决定中提出的标准及总量控制要求；</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污水处理设施水质水量监测设备、报送信息方式符合有关规定的要求；</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有完善的水污染事件应急预案，风险控制措施落实到位；</w:t>
      </w: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有关水资源保护措施全面落实。</w:t>
      </w:r>
    </w:p>
    <w:p>
      <w:pPr>
        <w:spacing w:line="360" w:lineRule="auto"/>
        <w:ind w:firstLine="482" w:firstLineChars="200"/>
        <w:jc w:val="left"/>
        <w:outlineLvl w:val="1"/>
        <w:rPr>
          <w:rFonts w:hint="default" w:ascii="Times New Roman" w:hAnsi="Times New Roman" w:cs="Times New Roman"/>
          <w:bCs/>
          <w:color w:val="auto"/>
          <w:sz w:val="24"/>
          <w:highlight w:val="none"/>
          <w:u w:val="single"/>
        </w:rPr>
      </w:pPr>
      <w:bookmarkStart w:id="305" w:name="_Toc2804"/>
      <w:r>
        <w:rPr>
          <w:rFonts w:hint="default" w:ascii="Times New Roman" w:hAnsi="Times New Roman" w:cs="Times New Roman"/>
          <w:b/>
          <w:color w:val="auto"/>
          <w:sz w:val="24"/>
          <w:highlight w:val="none"/>
          <w:u w:val="single"/>
        </w:rPr>
        <w:t>7.4.环境监测方案</w:t>
      </w:r>
      <w:bookmarkEnd w:id="305"/>
    </w:p>
    <w:p>
      <w:pPr>
        <w:spacing w:line="360" w:lineRule="auto"/>
        <w:ind w:firstLine="480" w:firstLineChars="200"/>
        <w:jc w:val="left"/>
        <w:rPr>
          <w:rFonts w:hint="default" w:ascii="Times New Roman" w:hAnsi="Times New Roman" w:cs="Times New Roman"/>
          <w:b/>
          <w:bCs/>
          <w:color w:val="auto"/>
          <w:sz w:val="24"/>
          <w:highlight w:val="none"/>
          <w:u w:val="single"/>
        </w:rPr>
      </w:pPr>
      <w:r>
        <w:rPr>
          <w:rFonts w:hint="default" w:ascii="Times New Roman" w:hAnsi="Times New Roman" w:cs="Times New Roman"/>
          <w:bCs/>
          <w:color w:val="auto"/>
          <w:sz w:val="24"/>
          <w:highlight w:val="none"/>
          <w:u w:val="single"/>
        </w:rPr>
        <w:t>本项目</w:t>
      </w:r>
      <w:r>
        <w:rPr>
          <w:rFonts w:hint="eastAsia" w:cs="Times New Roman"/>
          <w:bCs/>
          <w:color w:val="auto"/>
          <w:sz w:val="24"/>
          <w:highlight w:val="none"/>
          <w:u w:val="single"/>
          <w:lang w:val="en-US" w:eastAsia="zh-CN"/>
        </w:rPr>
        <w:t>为</w:t>
      </w:r>
      <w:r>
        <w:rPr>
          <w:rFonts w:hint="default" w:ascii="Times New Roman" w:hAnsi="Times New Roman" w:cs="Times New Roman"/>
          <w:bCs/>
          <w:color w:val="auto"/>
          <w:sz w:val="24"/>
          <w:highlight w:val="none"/>
          <w:u w:val="single"/>
        </w:rPr>
        <w:t>城乡污水集中处理场所</w:t>
      </w:r>
      <w:r>
        <w:rPr>
          <w:rFonts w:hint="eastAsia" w:cs="Times New Roman"/>
          <w:bCs/>
          <w:color w:val="auto"/>
          <w:sz w:val="24"/>
          <w:highlight w:val="none"/>
          <w:u w:val="single"/>
          <w:lang w:val="en-US" w:eastAsia="zh-CN"/>
        </w:rPr>
        <w:t>的排放口，但其排水量小于500m³/d，</w:t>
      </w:r>
      <w:r>
        <w:rPr>
          <w:rFonts w:hint="default" w:ascii="Times New Roman" w:hAnsi="Times New Roman" w:cs="Times New Roman"/>
          <w:bCs/>
          <w:color w:val="auto"/>
          <w:sz w:val="24"/>
          <w:highlight w:val="none"/>
          <w:u w:val="single"/>
        </w:rPr>
        <w:t>因此</w:t>
      </w:r>
      <w:r>
        <w:rPr>
          <w:rFonts w:hint="eastAsia" w:cs="Times New Roman"/>
          <w:bCs/>
          <w:color w:val="auto"/>
          <w:sz w:val="24"/>
          <w:highlight w:val="none"/>
          <w:u w:val="single"/>
          <w:lang w:val="en-US" w:eastAsia="zh-CN"/>
        </w:rPr>
        <w:t>可参考</w:t>
      </w:r>
      <w:r>
        <w:rPr>
          <w:rFonts w:hint="default" w:ascii="Times New Roman" w:hAnsi="Times New Roman" w:cs="Times New Roman"/>
          <w:bCs/>
          <w:color w:val="auto"/>
          <w:sz w:val="24"/>
          <w:highlight w:val="none"/>
          <w:u w:val="single"/>
        </w:rPr>
        <w:t>《排污许可证申请与核发技术规范 水处理（试行）》（HJ978-2018）和《排污单位自行监测技术指南 水处理》（HJ1083-2020）中排污单位的要求提出</w:t>
      </w:r>
      <w:r>
        <w:rPr>
          <w:rFonts w:hint="eastAsia" w:cs="Times New Roman"/>
          <w:bCs/>
          <w:color w:val="auto"/>
          <w:sz w:val="24"/>
          <w:highlight w:val="none"/>
          <w:u w:val="single"/>
          <w:lang w:val="en-US" w:eastAsia="zh-CN"/>
        </w:rPr>
        <w:t>的废水及水环境</w:t>
      </w:r>
      <w:r>
        <w:rPr>
          <w:rFonts w:hint="default" w:ascii="Times New Roman" w:hAnsi="Times New Roman" w:cs="Times New Roman"/>
          <w:bCs/>
          <w:color w:val="auto"/>
          <w:sz w:val="24"/>
          <w:highlight w:val="none"/>
          <w:u w:val="single"/>
        </w:rPr>
        <w:t>监测计划，具体见下表。</w:t>
      </w:r>
    </w:p>
    <w:p>
      <w:pPr>
        <w:spacing w:line="320" w:lineRule="exact"/>
        <w:jc w:val="center"/>
        <w:rPr>
          <w:rFonts w:hint="default" w:ascii="Times New Roman" w:hAnsi="Times New Roman" w:cs="Times New Roman"/>
          <w:b/>
          <w:bCs/>
          <w:color w:val="auto"/>
          <w:highlight w:val="none"/>
          <w:u w:val="single"/>
        </w:rPr>
      </w:pPr>
      <w:r>
        <w:rPr>
          <w:rFonts w:hint="default" w:ascii="Times New Roman" w:hAnsi="Times New Roman" w:cs="Times New Roman"/>
          <w:b/>
          <w:bCs/>
          <w:color w:val="auto"/>
          <w:highlight w:val="none"/>
          <w:u w:val="single"/>
        </w:rPr>
        <w:t>表7-1  废水监测工作计划</w:t>
      </w:r>
    </w:p>
    <w:tbl>
      <w:tblPr>
        <w:tblStyle w:val="21"/>
        <w:tblW w:w="85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3627"/>
        <w:gridCol w:w="1104"/>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
                <w:color w:val="auto"/>
                <w:highlight w:val="none"/>
                <w:u w:val="single"/>
              </w:rPr>
            </w:pPr>
            <w:r>
              <w:rPr>
                <w:rFonts w:hint="default" w:ascii="Times New Roman" w:hAnsi="Times New Roman" w:cs="Times New Roman"/>
                <w:b/>
                <w:color w:val="auto"/>
                <w:highlight w:val="none"/>
                <w:u w:val="single"/>
              </w:rPr>
              <w:t>监测点位</w:t>
            </w:r>
          </w:p>
        </w:tc>
        <w:tc>
          <w:tcPr>
            <w:tcW w:w="3627" w:type="dxa"/>
            <w:vAlign w:val="center"/>
          </w:tcPr>
          <w:p>
            <w:pPr>
              <w:spacing w:line="320" w:lineRule="exact"/>
              <w:jc w:val="center"/>
              <w:rPr>
                <w:rFonts w:hint="default" w:ascii="Times New Roman" w:hAnsi="Times New Roman" w:cs="Times New Roman"/>
                <w:b/>
                <w:color w:val="auto"/>
                <w:highlight w:val="none"/>
                <w:u w:val="single"/>
              </w:rPr>
            </w:pPr>
            <w:r>
              <w:rPr>
                <w:rFonts w:hint="default" w:ascii="Times New Roman" w:hAnsi="Times New Roman" w:cs="Times New Roman"/>
                <w:b/>
                <w:color w:val="auto"/>
                <w:highlight w:val="none"/>
                <w:u w:val="single"/>
              </w:rPr>
              <w:t>监测指标</w:t>
            </w:r>
          </w:p>
        </w:tc>
        <w:tc>
          <w:tcPr>
            <w:tcW w:w="1104" w:type="dxa"/>
            <w:vAlign w:val="center"/>
          </w:tcPr>
          <w:p>
            <w:pPr>
              <w:spacing w:line="320" w:lineRule="exact"/>
              <w:jc w:val="center"/>
              <w:rPr>
                <w:rFonts w:hint="default" w:ascii="Times New Roman" w:hAnsi="Times New Roman" w:cs="Times New Roman"/>
                <w:b/>
                <w:color w:val="auto"/>
                <w:highlight w:val="none"/>
                <w:u w:val="single"/>
              </w:rPr>
            </w:pPr>
            <w:r>
              <w:rPr>
                <w:rFonts w:hint="default" w:ascii="Times New Roman" w:hAnsi="Times New Roman" w:cs="Times New Roman"/>
                <w:b/>
                <w:color w:val="auto"/>
                <w:highlight w:val="none"/>
                <w:u w:val="single"/>
              </w:rPr>
              <w:t>监测频次</w:t>
            </w:r>
          </w:p>
        </w:tc>
        <w:tc>
          <w:tcPr>
            <w:tcW w:w="2114" w:type="dxa"/>
            <w:vAlign w:val="center"/>
          </w:tcPr>
          <w:p>
            <w:pPr>
              <w:spacing w:line="320" w:lineRule="exact"/>
              <w:jc w:val="center"/>
              <w:rPr>
                <w:rFonts w:hint="default" w:ascii="Times New Roman" w:hAnsi="Times New Roman" w:cs="Times New Roman"/>
                <w:b/>
                <w:color w:val="auto"/>
                <w:highlight w:val="none"/>
                <w:u w:val="single"/>
              </w:rPr>
            </w:pPr>
            <w:r>
              <w:rPr>
                <w:rFonts w:hint="default" w:ascii="Times New Roman" w:hAnsi="Times New Roman" w:cs="Times New Roman"/>
                <w:b/>
                <w:color w:val="auto"/>
                <w:highlight w:val="none"/>
                <w:u w:val="singl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cs="Times New Roman"/>
                <w:bCs/>
                <w:color w:val="auto"/>
                <w:highlight w:val="none"/>
                <w:u w:val="single"/>
              </w:rPr>
              <w:t>进水监测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cs="Times New Roman"/>
                <w:bCs/>
                <w:color w:val="auto"/>
                <w:highlight w:val="none"/>
                <w:u w:val="single"/>
              </w:rPr>
              <w:t>进水总管</w:t>
            </w:r>
          </w:p>
        </w:tc>
        <w:tc>
          <w:tcPr>
            <w:tcW w:w="3627" w:type="dxa"/>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default" w:ascii="Times New Roman" w:hAnsi="Times New Roman" w:cs="Times New Roman"/>
                <w:bCs/>
                <w:color w:val="auto"/>
                <w:highlight w:val="none"/>
                <w:u w:val="single"/>
              </w:rPr>
              <w:t>氨氮</w:t>
            </w:r>
            <w:r>
              <w:rPr>
                <w:rFonts w:hint="eastAsia" w:cs="Times New Roman"/>
                <w:bCs/>
                <w:color w:val="auto"/>
                <w:highlight w:val="none"/>
                <w:u w:val="single"/>
                <w:lang w:eastAsia="zh-CN"/>
              </w:rPr>
              <w:t>、</w:t>
            </w:r>
            <w:r>
              <w:rPr>
                <w:rFonts w:hint="default" w:ascii="Times New Roman" w:hAnsi="Times New Roman" w:cs="Times New Roman"/>
                <w:bCs/>
                <w:color w:val="auto"/>
                <w:highlight w:val="none"/>
                <w:u w:val="single"/>
              </w:rPr>
              <w:t>总磷、总氮</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default" w:ascii="Times New Roman" w:hAnsi="Times New Roman" w:cs="Times New Roman"/>
                <w:bCs/>
                <w:color w:val="auto"/>
                <w:highlight w:val="none"/>
                <w:u w:val="single"/>
              </w:rPr>
            </w:pPr>
            <w:r>
              <w:rPr>
                <w:rFonts w:hint="eastAsia" w:cs="Times New Roman"/>
                <w:bCs/>
                <w:color w:val="auto"/>
                <w:highlight w:val="none"/>
                <w:u w:val="single"/>
                <w:lang w:val="en-US" w:eastAsia="zh-CN"/>
              </w:rPr>
              <w:t>半年</w:t>
            </w:r>
          </w:p>
        </w:tc>
        <w:tc>
          <w:tcPr>
            <w:tcW w:w="2114" w:type="dxa"/>
            <w:vAlign w:val="center"/>
          </w:tcPr>
          <w:p>
            <w:pPr>
              <w:spacing w:line="320" w:lineRule="exact"/>
              <w:jc w:val="center"/>
              <w:rPr>
                <w:rFonts w:hint="default" w:ascii="Times New Roman" w:hAnsi="Times New Roman" w:eastAsia="宋体" w:cs="Times New Roman"/>
                <w:bCs/>
                <w:color w:val="auto"/>
                <w:highlight w:val="none"/>
                <w:u w:val="single"/>
                <w:lang w:val="en-US" w:eastAsia="zh-CN"/>
              </w:rPr>
            </w:pPr>
            <w:r>
              <w:rPr>
                <w:rFonts w:hint="eastAsia" w:cs="Times New Roman"/>
                <w:bCs/>
                <w:color w:val="auto"/>
                <w:highlight w:val="none"/>
                <w:u w:val="single"/>
                <w:lang w:val="en-US" w:eastAsia="zh-CN"/>
              </w:rPr>
              <w:t>污水处理厂设计标准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cs="Times New Roman"/>
                <w:bCs/>
                <w:color w:val="auto"/>
                <w:highlight w:val="none"/>
                <w:u w:val="single"/>
              </w:rPr>
              <w:t>出水监测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cs="Times New Roman"/>
                <w:bCs/>
                <w:color w:val="auto"/>
                <w:highlight w:val="none"/>
                <w:u w:val="single"/>
              </w:rPr>
              <w:t>废水总排口</w:t>
            </w:r>
          </w:p>
        </w:tc>
        <w:tc>
          <w:tcPr>
            <w:tcW w:w="3627" w:type="dxa"/>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PH、悬浮物、五日生化需氧量、化学需氧量、阴离子、总氮、氨氮、总磷、石油类、动植物油、粪大肠菌群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eastAsia" w:ascii="Times New Roman" w:hAnsi="Times New Roman" w:eastAsia="宋体" w:cs="Times New Roman"/>
                <w:bCs/>
                <w:color w:val="auto"/>
                <w:highlight w:val="none"/>
                <w:u w:val="single"/>
                <w:lang w:eastAsia="zh-CN"/>
              </w:rPr>
            </w:pPr>
            <w:r>
              <w:rPr>
                <w:rFonts w:hint="eastAsia" w:cs="Times New Roman"/>
                <w:bCs/>
                <w:color w:val="auto"/>
                <w:highlight w:val="none"/>
                <w:u w:val="single"/>
                <w:lang w:val="en-US" w:eastAsia="zh-CN"/>
              </w:rPr>
              <w:t>半年</w:t>
            </w:r>
          </w:p>
        </w:tc>
        <w:tc>
          <w:tcPr>
            <w:tcW w:w="2114" w:type="dxa"/>
            <w:vAlign w:val="center"/>
          </w:tcPr>
          <w:p>
            <w:pPr>
              <w:spacing w:line="320" w:lineRule="exact"/>
              <w:jc w:val="center"/>
              <w:rPr>
                <w:rFonts w:hint="default" w:ascii="Times New Roman" w:hAnsi="Times New Roman" w:cs="Times New Roman"/>
                <w:bCs/>
                <w:color w:val="auto"/>
                <w:highlight w:val="none"/>
                <w:u w:val="single"/>
              </w:rPr>
            </w:pPr>
            <w:r>
              <w:rPr>
                <w:rFonts w:hint="default" w:ascii="Times New Roman" w:hAnsi="Times New Roman" w:cs="Times New Roman"/>
                <w:bCs/>
                <w:color w:val="auto"/>
                <w:highlight w:val="none"/>
                <w:u w:val="single"/>
              </w:rPr>
              <w:t>《城镇污水处理厂污染物排放标准》（GB18918-2002）</w:t>
            </w:r>
            <w:r>
              <w:rPr>
                <w:rFonts w:hint="eastAsia" w:cs="Times New Roman"/>
                <w:bCs/>
                <w:color w:val="auto"/>
                <w:highlight w:val="none"/>
                <w:u w:val="single"/>
                <w:lang w:val="en-US" w:eastAsia="zh-CN"/>
              </w:rPr>
              <w:t>中</w:t>
            </w:r>
            <w:r>
              <w:rPr>
                <w:rFonts w:hint="default" w:ascii="Times New Roman" w:hAnsi="Times New Roman" w:cs="Times New Roman"/>
                <w:bCs/>
                <w:color w:val="auto"/>
                <w:highlight w:val="none"/>
                <w:u w:val="single"/>
              </w:rPr>
              <w:t>一级</w:t>
            </w:r>
            <w:r>
              <w:rPr>
                <w:rFonts w:hint="eastAsia" w:cs="Times New Roman"/>
                <w:bCs/>
                <w:color w:val="auto"/>
                <w:highlight w:val="none"/>
                <w:u w:val="single"/>
                <w:lang w:val="en-US" w:eastAsia="zh-CN"/>
              </w:rPr>
              <w:t>B</w:t>
            </w:r>
            <w:r>
              <w:rPr>
                <w:rFonts w:hint="default" w:ascii="Times New Roman" w:hAnsi="Times New Roman" w:cs="Times New Roman"/>
                <w:bCs/>
                <w:color w:val="auto"/>
                <w:highlight w:val="none"/>
                <w:u w:val="singl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default" w:ascii="Times New Roman" w:hAnsi="Times New Roman" w:cs="Times New Roman"/>
                <w:bCs/>
                <w:color w:val="auto"/>
                <w:highlight w:val="none"/>
                <w:u w:val="single"/>
              </w:rPr>
            </w:pPr>
            <w:r>
              <w:rPr>
                <w:rFonts w:hint="eastAsia" w:ascii="Times New Roman" w:hAnsi="Times New Roman" w:cs="Times New Roman"/>
                <w:color w:val="auto"/>
                <w:highlight w:val="none"/>
                <w:u w:val="single"/>
                <w:lang w:val="en-US" w:eastAsia="zh-CN"/>
              </w:rPr>
              <w:t>受纳水体</w:t>
            </w:r>
            <w:r>
              <w:rPr>
                <w:rFonts w:hint="default" w:ascii="Times New Roman" w:hAnsi="Times New Roman" w:cs="Times New Roman"/>
                <w:color w:val="auto"/>
                <w:highlight w:val="none"/>
                <w:u w:val="single"/>
              </w:rPr>
              <w:t>排污口上游500m</w:t>
            </w:r>
          </w:p>
        </w:tc>
        <w:tc>
          <w:tcPr>
            <w:tcW w:w="3627" w:type="dxa"/>
            <w:vMerge w:val="restart"/>
            <w:vAlign w:val="center"/>
          </w:tcPr>
          <w:p>
            <w:pPr>
              <w:spacing w:line="320" w:lineRule="exact"/>
              <w:jc w:val="center"/>
              <w:rPr>
                <w:rFonts w:hint="default" w:ascii="Times New Roman" w:hAnsi="Times New Roman" w:eastAsia="宋体" w:cs="Times New Roman"/>
                <w:bCs/>
                <w:color w:val="auto"/>
                <w:highlight w:val="none"/>
                <w:u w:val="single"/>
                <w:lang w:val="en-US" w:eastAsia="zh-CN"/>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eastAsia" w:ascii="Times New Roman" w:hAnsi="Times New Roman" w:eastAsia="宋体" w:cs="Times New Roman"/>
                <w:b w:val="0"/>
                <w:bCs/>
                <w:i w:val="0"/>
                <w:color w:val="auto"/>
                <w:kern w:val="0"/>
                <w:sz w:val="21"/>
                <w:szCs w:val="21"/>
                <w:highlight w:val="none"/>
                <w:u w:val="single"/>
                <w:lang w:val="en-US" w:eastAsia="zh-CN" w:bidi="ar"/>
              </w:rPr>
              <w:t>、</w:t>
            </w:r>
            <w:r>
              <w:rPr>
                <w:rFonts w:hint="default" w:ascii="Times New Roman" w:hAnsi="Times New Roman" w:eastAsia="宋体" w:cs="Times New Roman"/>
                <w:b w:val="0"/>
                <w:bCs/>
                <w:i w:val="0"/>
                <w:color w:val="auto"/>
                <w:kern w:val="0"/>
                <w:sz w:val="21"/>
                <w:szCs w:val="21"/>
                <w:highlight w:val="none"/>
                <w:u w:val="single"/>
                <w:lang w:val="en-US" w:eastAsia="zh-CN" w:bidi="ar"/>
              </w:rPr>
              <w:t>总氮、氨氮、总磷、石油类、粪大肠菌群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Merge w:val="restart"/>
            <w:vAlign w:val="center"/>
          </w:tcPr>
          <w:p>
            <w:pPr>
              <w:spacing w:line="320" w:lineRule="exact"/>
              <w:jc w:val="center"/>
              <w:rPr>
                <w:rFonts w:hint="eastAsia" w:ascii="Times New Roman" w:hAnsi="Times New Roman" w:eastAsia="宋体" w:cs="Times New Roman"/>
                <w:bCs/>
                <w:color w:val="auto"/>
                <w:highlight w:val="none"/>
                <w:u w:val="single"/>
                <w:lang w:eastAsia="zh-CN"/>
              </w:rPr>
            </w:pPr>
            <w:r>
              <w:rPr>
                <w:rFonts w:hint="eastAsia" w:cs="Times New Roman"/>
                <w:bCs/>
                <w:color w:val="auto"/>
                <w:highlight w:val="none"/>
                <w:u w:val="single"/>
                <w:lang w:val="en-US" w:eastAsia="zh-CN"/>
              </w:rPr>
              <w:t>年</w:t>
            </w:r>
          </w:p>
        </w:tc>
        <w:tc>
          <w:tcPr>
            <w:tcW w:w="2114" w:type="dxa"/>
            <w:vMerge w:val="restart"/>
            <w:vAlign w:val="center"/>
          </w:tcPr>
          <w:p>
            <w:pPr>
              <w:spacing w:line="320" w:lineRule="exact"/>
              <w:jc w:val="center"/>
              <w:rPr>
                <w:rFonts w:hint="eastAsia" w:ascii="Times New Roman" w:hAnsi="Times New Roman" w:eastAsia="宋体" w:cs="Times New Roman"/>
                <w:bCs/>
                <w:color w:val="auto"/>
                <w:highlight w:val="none"/>
                <w:u w:val="single"/>
                <w:lang w:val="en-US" w:eastAsia="zh-CN"/>
              </w:rPr>
            </w:pPr>
            <w:r>
              <w:rPr>
                <w:rFonts w:hint="default" w:ascii="Times New Roman" w:hAnsi="Times New Roman" w:cs="Times New Roman"/>
                <w:color w:val="auto"/>
                <w:kern w:val="2"/>
                <w:szCs w:val="24"/>
                <w:highlight w:val="none"/>
                <w:u w:val="single"/>
              </w:rPr>
              <w:t>《地表水环境质量标准》（GB3838-2002）</w:t>
            </w:r>
            <w:r>
              <w:rPr>
                <w:rFonts w:hint="eastAsia" w:ascii="Times New Roman" w:hAnsi="Times New Roman" w:cs="Times New Roman"/>
                <w:color w:val="auto"/>
                <w:kern w:val="2"/>
                <w:szCs w:val="24"/>
                <w:highlight w:val="none"/>
                <w:u w:val="single"/>
                <w:lang w:val="en-US" w:eastAsia="zh-CN"/>
              </w:rPr>
              <w:t>中</w:t>
            </w:r>
            <w:r>
              <w:rPr>
                <w:rFonts w:hint="default" w:ascii="Times New Roman" w:hAnsi="Times New Roman" w:cs="Times New Roman"/>
                <w:color w:val="auto"/>
                <w:kern w:val="2"/>
                <w:szCs w:val="24"/>
                <w:highlight w:val="none"/>
                <w:u w:val="single"/>
              </w:rPr>
              <w:t>Ⅱ类</w:t>
            </w:r>
            <w:r>
              <w:rPr>
                <w:rFonts w:hint="eastAsia" w:ascii="Times New Roman" w:hAnsi="Times New Roman" w:cs="Times New Roman"/>
                <w:color w:val="auto"/>
                <w:kern w:val="2"/>
                <w:szCs w:val="24"/>
                <w:highlight w:val="none"/>
                <w:u w:val="singl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eastAsia" w:ascii="Times New Roman" w:hAnsi="Times New Roman" w:cs="Times New Roman"/>
                <w:color w:val="auto"/>
                <w:highlight w:val="none"/>
                <w:u w:val="single"/>
                <w:lang w:val="en-US" w:eastAsia="zh-CN"/>
              </w:rPr>
            </w:pPr>
            <w:r>
              <w:rPr>
                <w:rFonts w:hint="eastAsia" w:ascii="Times New Roman" w:hAnsi="Times New Roman" w:cs="Times New Roman"/>
                <w:color w:val="auto"/>
                <w:highlight w:val="none"/>
                <w:u w:val="single"/>
                <w:lang w:val="en-US" w:eastAsia="zh-CN"/>
              </w:rPr>
              <w:t>受纳水体</w:t>
            </w:r>
            <w:r>
              <w:rPr>
                <w:rFonts w:hint="default" w:ascii="Times New Roman" w:hAnsi="Times New Roman" w:cs="Times New Roman"/>
                <w:color w:val="auto"/>
                <w:highlight w:val="none"/>
                <w:u w:val="single"/>
              </w:rPr>
              <w:t>排污口下游500m</w:t>
            </w:r>
          </w:p>
        </w:tc>
        <w:tc>
          <w:tcPr>
            <w:tcW w:w="3627" w:type="dxa"/>
            <w:vMerge w:val="continue"/>
            <w:vAlign w:val="center"/>
          </w:tcPr>
          <w:p>
            <w:pPr>
              <w:spacing w:line="320" w:lineRule="exact"/>
              <w:jc w:val="center"/>
              <w:rPr>
                <w:rFonts w:hint="default" w:ascii="Times New Roman" w:hAnsi="Times New Roman" w:cs="Times New Roman"/>
                <w:bCs/>
                <w:color w:val="auto"/>
                <w:sz w:val="24"/>
                <w:highlight w:val="none"/>
                <w:u w:val="single"/>
              </w:rPr>
            </w:pPr>
          </w:p>
        </w:tc>
        <w:tc>
          <w:tcPr>
            <w:tcW w:w="1104" w:type="dxa"/>
            <w:vMerge w:val="continue"/>
            <w:vAlign w:val="center"/>
          </w:tcPr>
          <w:p>
            <w:pPr>
              <w:spacing w:line="320" w:lineRule="exact"/>
              <w:jc w:val="center"/>
              <w:rPr>
                <w:rFonts w:hint="eastAsia" w:cs="Times New Roman"/>
                <w:bCs/>
                <w:color w:val="auto"/>
                <w:highlight w:val="none"/>
                <w:u w:val="single"/>
                <w:lang w:val="en-US" w:eastAsia="zh-CN"/>
              </w:rPr>
            </w:pPr>
          </w:p>
        </w:tc>
        <w:tc>
          <w:tcPr>
            <w:tcW w:w="2114" w:type="dxa"/>
            <w:vMerge w:val="continue"/>
            <w:vAlign w:val="center"/>
          </w:tcPr>
          <w:p>
            <w:pPr>
              <w:spacing w:line="320" w:lineRule="exact"/>
              <w:jc w:val="center"/>
              <w:rPr>
                <w:rFonts w:hint="default" w:ascii="Times New Roman" w:hAnsi="Times New Roman" w:cs="Times New Roman"/>
                <w:color w:val="auto"/>
                <w:kern w:val="2"/>
                <w:szCs w:val="24"/>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default" w:ascii="Times New Roman" w:hAnsi="Times New Roman" w:cs="Times New Roman"/>
                <w:bCs/>
                <w:color w:val="auto"/>
                <w:highlight w:val="none"/>
                <w:u w:val="single"/>
              </w:rPr>
            </w:pPr>
            <w:r>
              <w:rPr>
                <w:rFonts w:hint="eastAsia" w:ascii="Times New Roman" w:hAnsi="Times New Roman" w:cs="Times New Roman"/>
                <w:color w:val="auto"/>
                <w:highlight w:val="none"/>
                <w:u w:val="single"/>
                <w:lang w:val="en-US" w:eastAsia="zh-CN"/>
              </w:rPr>
              <w:t>受纳水体</w:t>
            </w:r>
            <w:r>
              <w:rPr>
                <w:rFonts w:hint="default" w:ascii="Times New Roman" w:hAnsi="Times New Roman" w:cs="Times New Roman"/>
                <w:color w:val="auto"/>
                <w:highlight w:val="none"/>
                <w:u w:val="single"/>
              </w:rPr>
              <w:t>排污口下游</w:t>
            </w:r>
            <w:r>
              <w:rPr>
                <w:rFonts w:hint="eastAsia" w:ascii="Times New Roman" w:hAnsi="Times New Roman" w:cs="Times New Roman"/>
                <w:color w:val="auto"/>
                <w:highlight w:val="none"/>
                <w:u w:val="single"/>
                <w:lang w:val="en-US" w:eastAsia="zh-CN"/>
              </w:rPr>
              <w:t>1</w:t>
            </w:r>
            <w:r>
              <w:rPr>
                <w:rFonts w:hint="default" w:ascii="Times New Roman" w:hAnsi="Times New Roman" w:cs="Times New Roman"/>
                <w:color w:val="auto"/>
                <w:highlight w:val="none"/>
                <w:u w:val="single"/>
              </w:rPr>
              <w:t>500m</w:t>
            </w:r>
          </w:p>
        </w:tc>
        <w:tc>
          <w:tcPr>
            <w:tcW w:w="3627" w:type="dxa"/>
            <w:vMerge w:val="continue"/>
            <w:vAlign w:val="center"/>
          </w:tcPr>
          <w:p>
            <w:pPr>
              <w:spacing w:line="320" w:lineRule="exact"/>
              <w:jc w:val="center"/>
              <w:rPr>
                <w:rFonts w:hint="default" w:ascii="Times New Roman" w:hAnsi="Times New Roman" w:cs="Times New Roman"/>
                <w:bCs/>
                <w:color w:val="auto"/>
                <w:highlight w:val="none"/>
                <w:u w:val="single"/>
              </w:rPr>
            </w:pPr>
          </w:p>
        </w:tc>
        <w:tc>
          <w:tcPr>
            <w:tcW w:w="1104" w:type="dxa"/>
            <w:vMerge w:val="continue"/>
            <w:vAlign w:val="center"/>
          </w:tcPr>
          <w:p>
            <w:pPr>
              <w:spacing w:line="320" w:lineRule="exact"/>
              <w:jc w:val="center"/>
              <w:rPr>
                <w:rFonts w:hint="default" w:ascii="Times New Roman" w:hAnsi="Times New Roman" w:cs="Times New Roman"/>
                <w:bCs/>
                <w:color w:val="auto"/>
                <w:highlight w:val="none"/>
                <w:u w:val="single"/>
              </w:rPr>
            </w:pPr>
          </w:p>
        </w:tc>
        <w:tc>
          <w:tcPr>
            <w:tcW w:w="2114" w:type="dxa"/>
            <w:vMerge w:val="continue"/>
            <w:vAlign w:val="center"/>
          </w:tcPr>
          <w:p>
            <w:pPr>
              <w:spacing w:line="320" w:lineRule="exact"/>
              <w:jc w:val="center"/>
              <w:rPr>
                <w:rFonts w:hint="default" w:ascii="Times New Roman" w:hAnsi="Times New Roman" w:cs="Times New Roman"/>
                <w:bCs/>
                <w:color w:val="auto"/>
                <w:highlight w:val="none"/>
                <w:u w:val="single"/>
              </w:rPr>
            </w:pPr>
          </w:p>
        </w:tc>
      </w:tr>
    </w:tbl>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p>
    <w:p>
      <w:pPr>
        <w:numPr>
          <w:ilvl w:val="0"/>
          <w:numId w:val="10"/>
        </w:numPr>
        <w:spacing w:line="360" w:lineRule="auto"/>
        <w:ind w:firstLine="480" w:firstLineChars="200"/>
        <w:jc w:val="left"/>
        <w:rPr>
          <w:rFonts w:hint="default" w:ascii="Times New Roman" w:hAnsi="Times New Roman" w:cs="Times New Roman"/>
          <w:bCs/>
          <w:color w:val="auto"/>
          <w:sz w:val="24"/>
          <w:highlight w:val="none"/>
        </w:rPr>
        <w:sectPr>
          <w:pgSz w:w="11906" w:h="16838"/>
          <w:pgMar w:top="1644" w:right="1800" w:bottom="1814" w:left="1800" w:header="851" w:footer="992" w:gutter="0"/>
          <w:cols w:space="720" w:num="1"/>
          <w:docGrid w:type="lines" w:linePitch="312" w:charSpace="0"/>
        </w:sectPr>
      </w:pPr>
    </w:p>
    <w:p>
      <w:pPr>
        <w:pStyle w:val="10"/>
        <w:outlineLvl w:val="0"/>
        <w:rPr>
          <w:rFonts w:hint="default" w:ascii="Times New Roman" w:hAnsi="Times New Roman" w:cs="Times New Roman"/>
          <w:b/>
          <w:bCs/>
          <w:color w:val="auto"/>
          <w:kern w:val="20"/>
          <w:sz w:val="36"/>
          <w:szCs w:val="36"/>
          <w:highlight w:val="none"/>
        </w:rPr>
      </w:pPr>
      <w:bookmarkStart w:id="306" w:name="_Toc31034"/>
      <w:r>
        <w:rPr>
          <w:rFonts w:hint="default" w:ascii="Times New Roman" w:hAnsi="Times New Roman" w:cs="Times New Roman"/>
          <w:b/>
          <w:bCs/>
          <w:color w:val="auto"/>
          <w:kern w:val="20"/>
          <w:sz w:val="36"/>
          <w:szCs w:val="36"/>
          <w:highlight w:val="none"/>
        </w:rPr>
        <w:t>8  论证结论与意见</w:t>
      </w:r>
      <w:bookmarkEnd w:id="306"/>
    </w:p>
    <w:p>
      <w:pPr>
        <w:spacing w:line="360" w:lineRule="auto"/>
        <w:ind w:left="420" w:leftChars="200"/>
        <w:jc w:val="left"/>
        <w:outlineLvl w:val="1"/>
        <w:rPr>
          <w:rFonts w:hint="default" w:ascii="Times New Roman" w:hAnsi="Times New Roman" w:cs="Times New Roman"/>
          <w:b/>
          <w:color w:val="auto"/>
          <w:sz w:val="24"/>
          <w:highlight w:val="none"/>
        </w:rPr>
      </w:pPr>
      <w:bookmarkStart w:id="307" w:name="_Toc12198"/>
      <w:r>
        <w:rPr>
          <w:rFonts w:hint="default" w:ascii="Times New Roman" w:hAnsi="Times New Roman" w:cs="Times New Roman"/>
          <w:b/>
          <w:color w:val="auto"/>
          <w:sz w:val="24"/>
          <w:highlight w:val="none"/>
        </w:rPr>
        <w:t>8.1.论证结论</w:t>
      </w:r>
      <w:bookmarkEnd w:id="307"/>
    </w:p>
    <w:p>
      <w:pPr>
        <w:spacing w:line="360" w:lineRule="auto"/>
        <w:ind w:left="420" w:leftChars="200" w:firstLine="482" w:firstLineChars="200"/>
        <w:jc w:val="left"/>
        <w:outlineLvl w:val="2"/>
        <w:rPr>
          <w:rFonts w:hint="default" w:ascii="Times New Roman" w:hAnsi="Times New Roman" w:cs="Times New Roman"/>
          <w:b/>
          <w:color w:val="auto"/>
          <w:sz w:val="24"/>
          <w:highlight w:val="none"/>
        </w:rPr>
      </w:pPr>
      <w:bookmarkStart w:id="308" w:name="_Toc2197"/>
      <w:r>
        <w:rPr>
          <w:rFonts w:hint="default" w:ascii="Times New Roman" w:hAnsi="Times New Roman" w:cs="Times New Roman"/>
          <w:b/>
          <w:color w:val="auto"/>
          <w:sz w:val="24"/>
          <w:highlight w:val="none"/>
        </w:rPr>
        <w:t>8.1.1.排污口基本情况</w:t>
      </w:r>
      <w:bookmarkEnd w:id="308"/>
    </w:p>
    <w:p>
      <w:pPr>
        <w:spacing w:line="360" w:lineRule="auto"/>
        <w:ind w:firstLine="480" w:firstLineChars="200"/>
        <w:jc w:val="left"/>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安化县滔溪镇污水处理厂一期处理规模250m³/d，设置的排污口坐标为东经111.593244292°，北纬28.351393649°，出水执行《城镇污水处理厂污染物排放标准》（GB18918-2002）一级B标准。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入河排污口地点：湖南省益阳市安化县滔溪镇滔溪社区滔溪左岸</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入河排污口位置：东经111.593244292°，北纬28.351393649°</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入河排污口类型：新建</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入河排污口分类：生活污水入河排污口</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排放方式：连续排放</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入河方式：管道</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排入水体名称：滔溪</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排入的水功能区：滔溪安化滔溪镇保留区</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入河排污口废水排放量：250m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入河排污口名称：</w:t>
      </w:r>
      <w:r>
        <w:rPr>
          <w:rFonts w:hint="default" w:ascii="Times New Roman" w:hAnsi="Times New Roman" w:cs="Times New Roman"/>
          <w:bCs/>
          <w:color w:val="auto"/>
          <w:sz w:val="24"/>
          <w:szCs w:val="24"/>
          <w:highlight w:val="none"/>
        </w:rPr>
        <w:t>安化县滔溪镇污水处理厂</w:t>
      </w:r>
      <w:r>
        <w:rPr>
          <w:rFonts w:hint="default" w:ascii="Times New Roman" w:hAnsi="Times New Roman" w:cs="Times New Roman"/>
          <w:bCs/>
          <w:color w:val="auto"/>
          <w:sz w:val="24"/>
          <w:highlight w:val="none"/>
        </w:rPr>
        <w:t>废水入河排污口</w:t>
      </w:r>
    </w:p>
    <w:p>
      <w:pPr>
        <w:pStyle w:val="10"/>
        <w:spacing w:before="0" w:after="0" w:line="360" w:lineRule="auto"/>
        <w:ind w:firstLine="480" w:firstLineChars="200"/>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各污染物排放浓度及排放量为：COD：5.475</w:t>
      </w:r>
      <w:r>
        <w:rPr>
          <w:rFonts w:hint="default" w:ascii="Times New Roman" w:hAnsi="Times New Roman" w:cs="Times New Roman"/>
          <w:bCs/>
          <w:color w:val="auto"/>
          <w:kern w:val="2"/>
          <w:szCs w:val="24"/>
          <w:highlight w:val="none"/>
        </w:rPr>
        <w:t>t/a</w:t>
      </w:r>
      <w:r>
        <w:rPr>
          <w:rFonts w:hint="default" w:ascii="Times New Roman" w:hAnsi="Times New Roman" w:cs="Times New Roman"/>
          <w:bCs/>
          <w:color w:val="auto"/>
          <w:szCs w:val="21"/>
          <w:highlight w:val="none"/>
        </w:rPr>
        <w:t>（60mg/L）、</w:t>
      </w:r>
      <w:r>
        <w:rPr>
          <w:rFonts w:hint="default" w:ascii="Times New Roman" w:hAnsi="Times New Roman" w:cs="Times New Roman"/>
          <w:bCs/>
          <w:color w:val="auto"/>
          <w:highlight w:val="none"/>
        </w:rPr>
        <w:t>BOD</w:t>
      </w:r>
      <w:r>
        <w:rPr>
          <w:rFonts w:hint="default" w:ascii="Times New Roman" w:hAnsi="Times New Roman" w:cs="Times New Roman"/>
          <w:bCs/>
          <w:color w:val="auto"/>
          <w:highlight w:val="none"/>
          <w:vertAlign w:val="subscript"/>
        </w:rPr>
        <w:t>5</w:t>
      </w:r>
      <w:r>
        <w:rPr>
          <w:rFonts w:hint="default" w:ascii="Times New Roman" w:hAnsi="Times New Roman" w:cs="Times New Roman"/>
          <w:bCs/>
          <w:color w:val="auto"/>
          <w:highlight w:val="none"/>
        </w:rPr>
        <w:t>：1.875</w:t>
      </w:r>
      <w:r>
        <w:rPr>
          <w:rFonts w:hint="default" w:ascii="Times New Roman" w:hAnsi="Times New Roman" w:cs="Times New Roman"/>
          <w:bCs/>
          <w:color w:val="auto"/>
          <w:kern w:val="2"/>
          <w:szCs w:val="24"/>
          <w:highlight w:val="none"/>
        </w:rPr>
        <w:t>t/a</w:t>
      </w:r>
      <w:r>
        <w:rPr>
          <w:rFonts w:hint="default" w:ascii="Times New Roman" w:hAnsi="Times New Roman" w:cs="Times New Roman"/>
          <w:bCs/>
          <w:color w:val="auto"/>
          <w:szCs w:val="21"/>
          <w:highlight w:val="none"/>
        </w:rPr>
        <w:t>（20mg/L）、</w:t>
      </w:r>
      <w:r>
        <w:rPr>
          <w:rFonts w:hint="default" w:ascii="Times New Roman" w:hAnsi="Times New Roman" w:cs="Times New Roman"/>
          <w:bCs/>
          <w:color w:val="auto"/>
          <w:highlight w:val="none"/>
        </w:rPr>
        <w:t>SS：1.825</w:t>
      </w:r>
      <w:r>
        <w:rPr>
          <w:rFonts w:hint="default" w:ascii="Times New Roman" w:hAnsi="Times New Roman" w:cs="Times New Roman"/>
          <w:bCs/>
          <w:color w:val="auto"/>
          <w:kern w:val="2"/>
          <w:szCs w:val="24"/>
          <w:highlight w:val="none"/>
        </w:rPr>
        <w:t>t/a</w:t>
      </w:r>
      <w:r>
        <w:rPr>
          <w:rFonts w:hint="default" w:ascii="Times New Roman" w:hAnsi="Times New Roman" w:cs="Times New Roman"/>
          <w:bCs/>
          <w:color w:val="auto"/>
          <w:szCs w:val="21"/>
          <w:highlight w:val="none"/>
        </w:rPr>
        <w:t>（20mg/L）、</w:t>
      </w:r>
      <w:r>
        <w:rPr>
          <w:rFonts w:hint="default" w:ascii="Times New Roman" w:hAnsi="Times New Roman" w:cs="Times New Roman"/>
          <w:bCs/>
          <w:color w:val="auto"/>
          <w:highlight w:val="none"/>
        </w:rPr>
        <w:t>氨氮：0.73t/a（8mg/L）、</w:t>
      </w:r>
      <w:r>
        <w:rPr>
          <w:rFonts w:hint="default" w:ascii="Times New Roman" w:hAnsi="Times New Roman" w:cs="Times New Roman"/>
          <w:bCs/>
          <w:color w:val="auto"/>
          <w:kern w:val="2"/>
          <w:szCs w:val="24"/>
          <w:highlight w:val="none"/>
        </w:rPr>
        <w:t>1.369t/a</w:t>
      </w:r>
      <w:r>
        <w:rPr>
          <w:rFonts w:hint="default" w:ascii="Times New Roman" w:hAnsi="Times New Roman" w:cs="Times New Roman"/>
          <w:bCs/>
          <w:color w:val="auto"/>
          <w:szCs w:val="21"/>
          <w:highlight w:val="none"/>
        </w:rPr>
        <w:t>（15mg/L）、</w:t>
      </w:r>
      <w:r>
        <w:rPr>
          <w:rFonts w:hint="default" w:ascii="Times New Roman" w:hAnsi="Times New Roman" w:cs="Times New Roman"/>
          <w:bCs/>
          <w:color w:val="auto"/>
          <w:highlight w:val="none"/>
        </w:rPr>
        <w:t>TN：1.825</w:t>
      </w:r>
      <w:r>
        <w:rPr>
          <w:rFonts w:hint="default" w:ascii="Times New Roman" w:hAnsi="Times New Roman" w:cs="Times New Roman"/>
          <w:bCs/>
          <w:color w:val="auto"/>
          <w:kern w:val="2"/>
          <w:szCs w:val="24"/>
          <w:highlight w:val="none"/>
        </w:rPr>
        <w:t>t/a</w:t>
      </w:r>
      <w:r>
        <w:rPr>
          <w:rFonts w:hint="default" w:ascii="Times New Roman" w:hAnsi="Times New Roman" w:cs="Times New Roman"/>
          <w:bCs/>
          <w:color w:val="auto"/>
          <w:szCs w:val="21"/>
          <w:highlight w:val="none"/>
        </w:rPr>
        <w:t>（20mg/L）、</w:t>
      </w:r>
      <w:r>
        <w:rPr>
          <w:rFonts w:hint="default" w:ascii="Times New Roman" w:hAnsi="Times New Roman" w:cs="Times New Roman"/>
          <w:bCs/>
          <w:color w:val="auto"/>
          <w:highlight w:val="none"/>
        </w:rPr>
        <w:t>TP：</w:t>
      </w:r>
      <w:r>
        <w:rPr>
          <w:rFonts w:hint="default" w:ascii="Times New Roman" w:hAnsi="Times New Roman" w:cs="Times New Roman"/>
          <w:bCs/>
          <w:color w:val="auto"/>
          <w:kern w:val="2"/>
          <w:szCs w:val="24"/>
          <w:highlight w:val="none"/>
        </w:rPr>
        <w:t>0.091t/a</w:t>
      </w:r>
      <w:r>
        <w:rPr>
          <w:rFonts w:hint="default" w:ascii="Times New Roman" w:hAnsi="Times New Roman" w:cs="Times New Roman"/>
          <w:bCs/>
          <w:color w:val="auto"/>
          <w:szCs w:val="21"/>
          <w:highlight w:val="none"/>
        </w:rPr>
        <w:t>（1mg/L）</w:t>
      </w:r>
      <w:r>
        <w:rPr>
          <w:rFonts w:hint="default" w:ascii="Times New Roman" w:hAnsi="Times New Roman" w:cs="Times New Roman"/>
          <w:bCs/>
          <w:color w:val="auto"/>
          <w:highlight w:val="none"/>
        </w:rPr>
        <w:t>。</w:t>
      </w:r>
    </w:p>
    <w:p>
      <w:pPr>
        <w:spacing w:line="360" w:lineRule="auto"/>
        <w:ind w:left="420" w:leftChars="200" w:firstLine="482" w:firstLineChars="200"/>
        <w:jc w:val="left"/>
        <w:outlineLvl w:val="2"/>
        <w:rPr>
          <w:rFonts w:hint="default" w:ascii="Times New Roman" w:hAnsi="Times New Roman" w:cs="Times New Roman"/>
          <w:b/>
          <w:color w:val="auto"/>
          <w:sz w:val="24"/>
          <w:highlight w:val="none"/>
        </w:rPr>
      </w:pPr>
      <w:bookmarkStart w:id="309" w:name="_Toc16634"/>
      <w:bookmarkStart w:id="310" w:name="_Toc18786"/>
      <w:r>
        <w:rPr>
          <w:rFonts w:hint="default" w:ascii="Times New Roman" w:hAnsi="Times New Roman" w:cs="Times New Roman"/>
          <w:b/>
          <w:color w:val="auto"/>
          <w:sz w:val="24"/>
          <w:highlight w:val="none"/>
          <w:lang w:val="en-US" w:eastAsia="zh-CN"/>
        </w:rPr>
        <w:t>8.1.2</w:t>
      </w:r>
      <w:r>
        <w:rPr>
          <w:rFonts w:hint="default" w:ascii="Times New Roman" w:hAnsi="Times New Roman" w:cs="Times New Roman"/>
          <w:b/>
          <w:color w:val="auto"/>
          <w:sz w:val="24"/>
          <w:highlight w:val="none"/>
        </w:rPr>
        <w:t>所在水功能区（水域）纳污状况分析</w:t>
      </w:r>
      <w:bookmarkEnd w:id="309"/>
      <w:bookmarkEnd w:id="310"/>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single"/>
        </w:rPr>
      </w:pPr>
      <w:r>
        <w:rPr>
          <w:rFonts w:hint="default" w:ascii="Times New Roman" w:hAnsi="Times New Roman" w:cs="Times New Roman"/>
          <w:color w:val="auto"/>
          <w:kern w:val="2"/>
          <w:szCs w:val="24"/>
          <w:highlight w:val="none"/>
          <w:u w:val="single"/>
        </w:rPr>
        <w:t>根据《湖南省水功能区划（修编）》及《益阳市谁功能一级区划分布图》，本项目纳污水体</w:t>
      </w:r>
      <w:r>
        <w:rPr>
          <w:rFonts w:hint="default" w:ascii="Times New Roman" w:hAnsi="Times New Roman" w:cs="Times New Roman"/>
          <w:color w:val="auto"/>
          <w:kern w:val="2"/>
          <w:szCs w:val="24"/>
          <w:highlight w:val="none"/>
          <w:u w:val="single"/>
          <w:lang w:val="en-US" w:eastAsia="zh-CN"/>
        </w:rPr>
        <w:t>滔溪</w:t>
      </w:r>
      <w:r>
        <w:rPr>
          <w:rFonts w:hint="default" w:ascii="Times New Roman" w:hAnsi="Times New Roman" w:cs="Times New Roman"/>
          <w:color w:val="auto"/>
          <w:kern w:val="2"/>
          <w:szCs w:val="24"/>
          <w:highlight w:val="none"/>
          <w:u w:val="single"/>
        </w:rPr>
        <w:t>划定为保留区，属于Ⅱ类水。因此本次水质管理目标定位为Ⅱ类。</w:t>
      </w:r>
    </w:p>
    <w:p>
      <w:pPr>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color w:val="auto"/>
          <w:sz w:val="24"/>
          <w:szCs w:val="24"/>
          <w:highlight w:val="none"/>
          <w:u w:val="single"/>
        </w:rPr>
        <w:t>本项目论证范围内存在少量村民自建农田灌溉取水口</w:t>
      </w:r>
      <w:r>
        <w:rPr>
          <w:rFonts w:hint="default" w:ascii="Times New Roman" w:hAnsi="Times New Roman" w:cs="Times New Roman"/>
          <w:color w:val="auto"/>
          <w:sz w:val="24"/>
          <w:szCs w:val="24"/>
          <w:highlight w:val="none"/>
          <w:u w:val="single"/>
          <w:lang w:eastAsia="zh-CN"/>
        </w:rPr>
        <w:t>，</w:t>
      </w:r>
      <w:r>
        <w:rPr>
          <w:rFonts w:hint="default" w:ascii="Times New Roman" w:hAnsi="Times New Roman" w:cs="Times New Roman"/>
          <w:color w:val="auto"/>
          <w:sz w:val="24"/>
          <w:szCs w:val="24"/>
          <w:highlight w:val="none"/>
          <w:u w:val="single"/>
        </w:rPr>
        <w:t>无</w:t>
      </w:r>
      <w:r>
        <w:rPr>
          <w:rFonts w:hint="default" w:ascii="Times New Roman" w:hAnsi="Times New Roman" w:cs="Times New Roman"/>
          <w:color w:val="auto"/>
          <w:sz w:val="24"/>
          <w:szCs w:val="24"/>
          <w:highlight w:val="none"/>
          <w:u w:val="single"/>
          <w:lang w:val="en-US" w:eastAsia="zh-CN"/>
        </w:rPr>
        <w:t>市</w:t>
      </w:r>
      <w:r>
        <w:rPr>
          <w:rFonts w:hint="default" w:ascii="Times New Roman" w:hAnsi="Times New Roman" w:cs="Times New Roman"/>
          <w:color w:val="auto"/>
          <w:sz w:val="24"/>
          <w:szCs w:val="24"/>
          <w:highlight w:val="none"/>
          <w:u w:val="single"/>
        </w:rPr>
        <w:t>政供水取水口</w:t>
      </w:r>
      <w:r>
        <w:rPr>
          <w:rFonts w:hint="default" w:ascii="Times New Roman" w:hAnsi="Times New Roman" w:cs="Times New Roman"/>
          <w:color w:val="auto"/>
          <w:sz w:val="24"/>
          <w:szCs w:val="24"/>
          <w:highlight w:val="none"/>
          <w:u w:val="single"/>
          <w:lang w:eastAsia="zh-CN"/>
        </w:rPr>
        <w:t>；</w:t>
      </w:r>
      <w:r>
        <w:rPr>
          <w:rFonts w:hint="default" w:ascii="Times New Roman" w:hAnsi="Times New Roman" w:cs="Times New Roman"/>
          <w:color w:val="auto"/>
          <w:sz w:val="24"/>
          <w:szCs w:val="24"/>
          <w:highlight w:val="none"/>
          <w:u w:val="single"/>
        </w:rPr>
        <w:t>下游存在少量农田退水排水口。</w:t>
      </w:r>
    </w:p>
    <w:p>
      <w:pPr>
        <w:pStyle w:val="10"/>
        <w:spacing w:before="0" w:after="0" w:line="360" w:lineRule="auto"/>
        <w:ind w:firstLine="480" w:firstLineChars="200"/>
        <w:jc w:val="both"/>
        <w:rPr>
          <w:rFonts w:hint="default" w:ascii="Times New Roman" w:hAnsi="Times New Roman" w:cs="Times New Roman"/>
          <w:color w:val="auto"/>
          <w:kern w:val="2"/>
          <w:szCs w:val="24"/>
          <w:highlight w:val="none"/>
          <w:u w:val="none"/>
        </w:rPr>
      </w:pPr>
      <w:r>
        <w:rPr>
          <w:rFonts w:hint="default" w:ascii="Times New Roman" w:hAnsi="Times New Roman" w:cs="Times New Roman"/>
          <w:color w:val="auto"/>
          <w:kern w:val="2"/>
          <w:szCs w:val="24"/>
          <w:highlight w:val="none"/>
          <w:u w:val="none"/>
        </w:rPr>
        <w:t>根据国控平台系统敷溪断面</w:t>
      </w:r>
      <w:r>
        <w:rPr>
          <w:rFonts w:hint="default" w:ascii="Times New Roman" w:hAnsi="Times New Roman" w:cs="Times New Roman"/>
          <w:color w:val="auto"/>
          <w:kern w:val="2"/>
          <w:szCs w:val="24"/>
          <w:highlight w:val="none"/>
          <w:u w:val="none"/>
          <w:lang w:val="en-US" w:eastAsia="zh-CN"/>
        </w:rPr>
        <w:t>和</w:t>
      </w:r>
      <w:r>
        <w:rPr>
          <w:rFonts w:hint="default" w:ascii="Times New Roman" w:hAnsi="Times New Roman" w:cs="Times New Roman"/>
          <w:color w:val="auto"/>
          <w:kern w:val="2"/>
          <w:szCs w:val="24"/>
          <w:highlight w:val="none"/>
          <w:u w:val="none"/>
        </w:rPr>
        <w:t>水域水质现状调查情况，监测断面能达到水质管理目标，</w:t>
      </w:r>
      <w:r>
        <w:rPr>
          <w:rFonts w:hint="default" w:ascii="Times New Roman" w:hAnsi="Times New Roman" w:cs="Times New Roman"/>
          <w:color w:val="auto"/>
          <w:kern w:val="2"/>
          <w:szCs w:val="24"/>
          <w:highlight w:val="none"/>
          <w:u w:val="none"/>
          <w:lang w:val="en-US" w:eastAsia="zh-CN"/>
        </w:rPr>
        <w:t>滔溪</w:t>
      </w:r>
      <w:r>
        <w:rPr>
          <w:rFonts w:hint="default" w:ascii="Times New Roman" w:hAnsi="Times New Roman" w:cs="Times New Roman"/>
          <w:color w:val="auto"/>
          <w:kern w:val="2"/>
          <w:szCs w:val="24"/>
          <w:highlight w:val="none"/>
          <w:u w:val="none"/>
        </w:rPr>
        <w:t>水环境质量良好。</w:t>
      </w:r>
    </w:p>
    <w:p>
      <w:pPr>
        <w:spacing w:line="360" w:lineRule="auto"/>
        <w:ind w:left="420" w:leftChars="200" w:firstLine="482" w:firstLineChars="200"/>
        <w:jc w:val="left"/>
        <w:outlineLvl w:val="2"/>
        <w:rPr>
          <w:rFonts w:hint="default" w:ascii="Times New Roman" w:hAnsi="Times New Roman" w:cs="Times New Roman"/>
          <w:b/>
          <w:color w:val="auto"/>
          <w:sz w:val="24"/>
          <w:highlight w:val="none"/>
        </w:rPr>
      </w:pPr>
      <w:bookmarkStart w:id="311" w:name="_Toc9118"/>
      <w:r>
        <w:rPr>
          <w:rFonts w:hint="default" w:ascii="Times New Roman" w:hAnsi="Times New Roman" w:cs="Times New Roman"/>
          <w:b/>
          <w:color w:val="auto"/>
          <w:sz w:val="24"/>
          <w:highlight w:val="none"/>
        </w:rPr>
        <w:t>8.1.</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.对水功能区（水域）水质和生态的影响</w:t>
      </w:r>
      <w:bookmarkEnd w:id="311"/>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废水处理设施正常运行时废水排入滔溪后，入河排污口下游的滔溪预测断面的各污染物的预测浓度均可满足《地表水环境质量标准》（GB3838-2002）III类标准，未出现超标。因此，废水正常排放时对下游河段水质影响不大。</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当废水处理设施不能正常处理废水，废水直接外排至滔溪时，入河排污口下游的滔溪预测断面的各污染物的预测浓度仍可以满足《地表水环境质量标准》（GB3838-2002）Ⅱ类标准。说明项目废水在非正常排放时对下游河段水质不会造成较大冲击。</w:t>
      </w:r>
    </w:p>
    <w:p>
      <w:pPr>
        <w:wordWrap w:val="0"/>
        <w:spacing w:line="360" w:lineRule="auto"/>
        <w:ind w:firstLine="480" w:firstLineChars="200"/>
        <w:jc w:val="left"/>
        <w:rPr>
          <w:rFonts w:hint="default" w:ascii="Times New Roman" w:hAnsi="Times New Roman" w:cs="Times New Roman"/>
          <w:bCs/>
          <w:color w:val="auto"/>
          <w:sz w:val="24"/>
          <w:highlight w:val="none"/>
          <w:u w:val="single"/>
        </w:rPr>
      </w:pPr>
      <w:r>
        <w:rPr>
          <w:rFonts w:hint="default" w:ascii="Times New Roman" w:hAnsi="Times New Roman" w:cs="Times New Roman"/>
          <w:bCs/>
          <w:color w:val="auto"/>
          <w:sz w:val="24"/>
          <w:highlight w:val="none"/>
          <w:u w:val="single"/>
        </w:rPr>
        <w:t>（</w:t>
      </w:r>
      <w:r>
        <w:rPr>
          <w:rFonts w:hint="default" w:ascii="Times New Roman" w:hAnsi="Times New Roman" w:cs="Times New Roman"/>
          <w:bCs/>
          <w:color w:val="auto"/>
          <w:sz w:val="24"/>
          <w:highlight w:val="none"/>
          <w:u w:val="single"/>
          <w:lang w:val="en-US" w:eastAsia="zh-CN"/>
        </w:rPr>
        <w:t>3</w:t>
      </w:r>
      <w:r>
        <w:rPr>
          <w:rFonts w:hint="default" w:ascii="Times New Roman" w:hAnsi="Times New Roman" w:cs="Times New Roman"/>
          <w:bCs/>
          <w:color w:val="auto"/>
          <w:sz w:val="24"/>
          <w:highlight w:val="none"/>
          <w:u w:val="single"/>
        </w:rPr>
        <w:t>）根据表5-3、5-4计算，污水处理厂污水排入的水功能区在枯水期、平水期的纳污能力分别为枯水期（CODcr：1774.21t/a，NH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-N：31.54t/a，TP：31.94t/a）、平水期（CODcr：4730.86t/a，NH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-N：443.75t/a，TP：85.16t/a），枯水期、平水期纳污能力远远大于污水处理厂排放值：CODcr：5.475t/a、NH</w:t>
      </w:r>
      <w:r>
        <w:rPr>
          <w:rFonts w:hint="default" w:ascii="Times New Roman" w:hAnsi="Times New Roman" w:cs="Times New Roman"/>
          <w:bCs/>
          <w:color w:val="auto"/>
          <w:sz w:val="24"/>
          <w:highlight w:val="none"/>
          <w:u w:val="single"/>
          <w:vertAlign w:val="subscript"/>
        </w:rPr>
        <w:t>3</w:t>
      </w:r>
      <w:r>
        <w:rPr>
          <w:rFonts w:hint="default" w:ascii="Times New Roman" w:hAnsi="Times New Roman" w:cs="Times New Roman"/>
          <w:bCs/>
          <w:color w:val="auto"/>
          <w:sz w:val="24"/>
          <w:highlight w:val="none"/>
          <w:u w:val="single"/>
        </w:rPr>
        <w:t>-N：0.73t/a，TP：0.09125t/a。本项目排污量远小于</w:t>
      </w:r>
      <w:r>
        <w:rPr>
          <w:rFonts w:hint="default" w:ascii="Times New Roman" w:hAnsi="Times New Roman" w:cs="Times New Roman"/>
          <w:bCs/>
          <w:color w:val="auto"/>
          <w:sz w:val="24"/>
          <w:highlight w:val="none"/>
          <w:u w:val="single"/>
          <w:lang w:val="en-US" w:eastAsia="zh-CN"/>
        </w:rPr>
        <w:t>滔溪</w:t>
      </w:r>
      <w:r>
        <w:rPr>
          <w:rFonts w:hint="default" w:ascii="Times New Roman" w:hAnsi="Times New Roman" w:cs="Times New Roman"/>
          <w:bCs/>
          <w:color w:val="auto"/>
          <w:sz w:val="24"/>
          <w:highlight w:val="none"/>
          <w:u w:val="single"/>
        </w:rPr>
        <w:t>纳污能力，对</w:t>
      </w:r>
      <w:r>
        <w:rPr>
          <w:rFonts w:hint="default" w:ascii="Times New Roman" w:hAnsi="Times New Roman" w:cs="Times New Roman"/>
          <w:bCs/>
          <w:color w:val="auto"/>
          <w:sz w:val="24"/>
          <w:highlight w:val="none"/>
          <w:u w:val="single"/>
          <w:lang w:val="en-US" w:eastAsia="zh-CN"/>
        </w:rPr>
        <w:t>滔溪</w:t>
      </w:r>
      <w:r>
        <w:rPr>
          <w:rFonts w:hint="default" w:ascii="Times New Roman" w:hAnsi="Times New Roman" w:cs="Times New Roman"/>
          <w:bCs/>
          <w:color w:val="auto"/>
          <w:sz w:val="24"/>
          <w:highlight w:val="none"/>
          <w:u w:val="single"/>
        </w:rPr>
        <w:t>纳污能力影响较小。</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312" w:name="_Toc173"/>
      <w:r>
        <w:rPr>
          <w:rFonts w:hint="default" w:ascii="Times New Roman" w:hAnsi="Times New Roman" w:cs="Times New Roman"/>
          <w:b/>
          <w:color w:val="auto"/>
          <w:sz w:val="24"/>
          <w:highlight w:val="none"/>
        </w:rPr>
        <w:t>8.1.</w:t>
      </w: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.对第三者权益的影响</w:t>
      </w:r>
      <w:bookmarkEnd w:id="31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本项目排放的主要水污染物为COD、氨氮、TP，各污染物浓度可达到受纳水体环境功能区划规定的地表水环境质量</w:t>
      </w:r>
      <w:r>
        <w:rPr>
          <w:rFonts w:hint="default" w:ascii="Times New Roman" w:hAnsi="Times New Roman" w:cs="Times New Roman"/>
          <w:bCs/>
          <w:color w:val="auto"/>
          <w:sz w:val="24"/>
          <w:highlight w:val="none"/>
          <w:lang w:val="en-US" w:eastAsia="zh-CN"/>
        </w:rPr>
        <w:t>目标要求</w:t>
      </w:r>
      <w:r>
        <w:rPr>
          <w:rFonts w:hint="default" w:ascii="Times New Roman" w:hAnsi="Times New Roman" w:cs="Times New Roman"/>
          <w:bCs/>
          <w:color w:val="auto"/>
          <w:sz w:val="24"/>
          <w:highlight w:val="none"/>
        </w:rPr>
        <w:t>，根据水质模型预测分析，废水在正常排放时对下游河段水质影响不大。项目入河排污口下游论证范围内的滔溪的主要功能为农田灌溉，入河排污口下游论证范围内无饮用水水源保护区，有少量农业取水口。本项目入河排污口的设置不会对附近取水单位用水安全产生不良影响。</w:t>
      </w:r>
    </w:p>
    <w:p>
      <w:pPr>
        <w:spacing w:line="360" w:lineRule="auto"/>
        <w:ind w:firstLine="482" w:firstLineChars="200"/>
        <w:jc w:val="left"/>
        <w:outlineLvl w:val="2"/>
        <w:rPr>
          <w:rFonts w:hint="default" w:ascii="Times New Roman" w:hAnsi="Times New Roman" w:cs="Times New Roman"/>
          <w:b/>
          <w:color w:val="auto"/>
          <w:sz w:val="24"/>
          <w:highlight w:val="none"/>
        </w:rPr>
      </w:pPr>
      <w:bookmarkStart w:id="313" w:name="_Toc8490"/>
      <w:r>
        <w:rPr>
          <w:rFonts w:hint="default" w:ascii="Times New Roman" w:hAnsi="Times New Roman" w:cs="Times New Roman"/>
          <w:b/>
          <w:color w:val="auto"/>
          <w:sz w:val="24"/>
          <w:highlight w:val="none"/>
        </w:rPr>
        <w:t>8.1.</w:t>
      </w: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.入河排污口设置最终结论</w:t>
      </w:r>
      <w:bookmarkEnd w:id="313"/>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本项目直接纳污水体为滔溪，为滔溪安化滔溪镇保留区，</w:t>
      </w:r>
      <w:r>
        <w:rPr>
          <w:rFonts w:hint="default" w:ascii="Times New Roman" w:hAnsi="Times New Roman" w:cs="Times New Roman"/>
          <w:color w:val="auto"/>
          <w:sz w:val="24"/>
          <w:szCs w:val="24"/>
          <w:highlight w:val="none"/>
        </w:rPr>
        <w:t>现状水质为Ⅱ类</w:t>
      </w:r>
      <w:r>
        <w:rPr>
          <w:rFonts w:hint="default" w:ascii="Times New Roman" w:hAnsi="Times New Roman" w:cs="Times New Roman"/>
          <w:bCs/>
          <w:color w:val="auto"/>
          <w:sz w:val="24"/>
          <w:highlight w:val="none"/>
        </w:rPr>
        <w:t>，目前本项目入河排污口下游论证范围内的滔溪主要功能为农田灌溉。本项目入河排污口不在饮用水源保护区范围内，入河排污口设置符合水功能区基本要求。各污染物排放总量均未超过受纳水体纳污能力，废水正常排放时对水功能区水质、水生态环境的影响较小。在保证废水处理达标排放、完善应急设施及措施的情况下，</w:t>
      </w:r>
      <w:r>
        <w:rPr>
          <w:rFonts w:hint="default" w:ascii="Times New Roman" w:hAnsi="Times New Roman" w:cs="Times New Roman"/>
          <w:color w:val="auto"/>
          <w:sz w:val="24"/>
          <w:szCs w:val="24"/>
          <w:highlight w:val="none"/>
        </w:rPr>
        <w:t>安化县滔溪镇污水处理厂</w:t>
      </w:r>
      <w:r>
        <w:rPr>
          <w:rFonts w:hint="default" w:ascii="Times New Roman" w:hAnsi="Times New Roman" w:cs="Times New Roman"/>
          <w:bCs/>
          <w:color w:val="auto"/>
          <w:sz w:val="24"/>
          <w:highlight w:val="none"/>
        </w:rPr>
        <w:t>入河排污口设置方案是合理的、可行的。</w:t>
      </w:r>
    </w:p>
    <w:p>
      <w:pPr>
        <w:spacing w:line="360" w:lineRule="auto"/>
        <w:ind w:firstLine="482" w:firstLineChars="200"/>
        <w:jc w:val="left"/>
        <w:outlineLvl w:val="1"/>
        <w:rPr>
          <w:rFonts w:hint="default" w:ascii="Times New Roman" w:hAnsi="Times New Roman" w:cs="Times New Roman"/>
          <w:b/>
          <w:color w:val="auto"/>
          <w:sz w:val="24"/>
          <w:highlight w:val="none"/>
        </w:rPr>
      </w:pPr>
      <w:bookmarkStart w:id="314" w:name="_Toc26596"/>
      <w:r>
        <w:rPr>
          <w:rFonts w:hint="default" w:ascii="Times New Roman" w:hAnsi="Times New Roman" w:cs="Times New Roman"/>
          <w:b/>
          <w:color w:val="auto"/>
          <w:sz w:val="24"/>
          <w:highlight w:val="none"/>
        </w:rPr>
        <w:t>8.2.建议</w:t>
      </w:r>
      <w:bookmarkEnd w:id="31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加强对项目排放废水的自行监测，动态掌握排放废水水质，以便针对废水中其他污染物及时采取处理措施。建设单位应建立有每日巡查制度，做好废水排放的水质水量检测记录；严格按照《排污单位自行监测技术指南 总则》（HJ819-2017）及环境影响评价文件的要求制定自行监测计划。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制定水污染事件应急预案，以保障事故废水在进入地表水之前得到有效控制，一旦事故发生，必须按事先拟定的应急预案进行紧急处理，及时封堵排污口，停止外排废水，并及时将事故信息报告给生态环境局等主管部门，减小污染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（3）定期对废水收集管网和排污管道进行检查，防止发生废水泄漏事故。</w:t>
      </w:r>
    </w:p>
    <w:p>
      <w:pPr>
        <w:spacing w:line="360" w:lineRule="auto"/>
        <w:ind w:left="420" w:leftChars="200"/>
        <w:jc w:val="left"/>
        <w:rPr>
          <w:rFonts w:hint="default" w:ascii="Times New Roman" w:hAnsi="Times New Roman" w:cs="Times New Roman"/>
          <w:bCs/>
          <w:color w:val="auto"/>
          <w:sz w:val="24"/>
          <w:highlight w:val="none"/>
        </w:rPr>
      </w:pPr>
    </w:p>
    <w:p>
      <w:pPr>
        <w:spacing w:line="360" w:lineRule="auto"/>
        <w:ind w:left="420" w:leftChars="200"/>
        <w:jc w:val="left"/>
        <w:rPr>
          <w:rFonts w:hint="default" w:ascii="Times New Roman" w:hAnsi="Times New Roman" w:cs="Times New Roman"/>
          <w:bCs/>
          <w:color w:val="auto"/>
          <w:sz w:val="24"/>
          <w:highlight w:val="none"/>
        </w:rPr>
        <w:sectPr>
          <w:pgSz w:w="11906" w:h="16838"/>
          <w:pgMar w:top="1644" w:right="1800" w:bottom="1814" w:left="1800" w:header="851" w:footer="992" w:gutter="0"/>
          <w:cols w:space="720" w:num="1"/>
          <w:docGrid w:type="lines" w:linePitch="312" w:charSpace="0"/>
        </w:sectPr>
      </w:pPr>
    </w:p>
    <w:p>
      <w:pPr>
        <w:pStyle w:val="9"/>
        <w:jc w:val="center"/>
        <w:outlineLvl w:val="0"/>
        <w:rPr>
          <w:rFonts w:hint="default" w:ascii="Times New Roman" w:hAnsi="Times New Roman" w:cs="Times New Roman"/>
          <w:b/>
          <w:bCs/>
          <w:color w:val="auto"/>
          <w:kern w:val="20"/>
          <w:sz w:val="36"/>
          <w:szCs w:val="36"/>
          <w:highlight w:val="none"/>
        </w:rPr>
      </w:pPr>
      <w:bookmarkStart w:id="315" w:name="_Toc28049"/>
      <w:r>
        <w:rPr>
          <w:rFonts w:hint="default" w:ascii="Times New Roman" w:hAnsi="Times New Roman" w:cs="Times New Roman"/>
          <w:b/>
          <w:bCs/>
          <w:color w:val="auto"/>
          <w:kern w:val="20"/>
          <w:sz w:val="36"/>
          <w:szCs w:val="36"/>
          <w:highlight w:val="none"/>
        </w:rPr>
        <w:t>9  附件附图</w:t>
      </w:r>
      <w:bookmarkEnd w:id="315"/>
    </w:p>
    <w:p>
      <w:pPr>
        <w:pStyle w:val="10"/>
        <w:jc w:val="both"/>
        <w:outlineLvl w:val="0"/>
        <w:rPr>
          <w:rFonts w:hint="default" w:ascii="Times New Roman" w:hAnsi="Times New Roman" w:cs="Times New Roman"/>
          <w:b/>
          <w:bCs/>
          <w:color w:val="auto"/>
          <w:kern w:val="20"/>
          <w:szCs w:val="24"/>
          <w:highlight w:val="none"/>
        </w:rPr>
      </w:pPr>
      <w:bookmarkStart w:id="316" w:name="_Toc6060"/>
      <w:r>
        <w:rPr>
          <w:rFonts w:hint="default" w:ascii="Times New Roman" w:hAnsi="Times New Roman" w:cs="Times New Roman"/>
          <w:b/>
          <w:bCs/>
          <w:color w:val="auto"/>
          <w:kern w:val="20"/>
          <w:szCs w:val="24"/>
          <w:highlight w:val="none"/>
        </w:rPr>
        <w:t>附件1  湘环发[2019]17号</w:t>
      </w:r>
      <w:bookmarkEnd w:id="316"/>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4956175" cy="5632450"/>
            <wp:effectExtent l="0" t="0" r="12065" b="6350"/>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19"/>
                    <a:stretch>
                      <a:fillRect/>
                    </a:stretch>
                  </pic:blipFill>
                  <pic:spPr>
                    <a:xfrm>
                      <a:off x="0" y="0"/>
                      <a:ext cx="4956175" cy="5632450"/>
                    </a:xfrm>
                    <a:prstGeom prst="rect">
                      <a:avLst/>
                    </a:prstGeom>
                    <a:noFill/>
                    <a:ln>
                      <a:noFill/>
                    </a:ln>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170805" cy="7361555"/>
            <wp:effectExtent l="0" t="0" r="10795" b="14605"/>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20"/>
                    <a:stretch>
                      <a:fillRect/>
                    </a:stretch>
                  </pic:blipFill>
                  <pic:spPr>
                    <a:xfrm>
                      <a:off x="0" y="0"/>
                      <a:ext cx="5170805" cy="7361555"/>
                    </a:xfrm>
                    <a:prstGeom prst="rect">
                      <a:avLst/>
                    </a:prstGeom>
                    <a:noFill/>
                    <a:ln>
                      <a:noFill/>
                    </a:ln>
                  </pic:spPr>
                </pic:pic>
              </a:graphicData>
            </a:graphic>
          </wp:inline>
        </w:drawing>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664384" behindDoc="0" locked="0" layoutInCell="1" allowOverlap="1">
            <wp:simplePos x="0" y="0"/>
            <wp:positionH relativeFrom="margin">
              <wp:align>center</wp:align>
            </wp:positionH>
            <wp:positionV relativeFrom="margin">
              <wp:align>top</wp:align>
            </wp:positionV>
            <wp:extent cx="5236210" cy="7936865"/>
            <wp:effectExtent l="0" t="0" r="2540" b="6985"/>
            <wp:wrapSquare wrapText="bothSides"/>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236210" cy="7936865"/>
                    </a:xfrm>
                    <a:prstGeom prst="rect">
                      <a:avLst/>
                    </a:prstGeom>
                    <a:noFill/>
                    <a:ln>
                      <a:noFill/>
                    </a:ln>
                  </pic:spPr>
                </pic:pic>
              </a:graphicData>
            </a:graphic>
          </wp:anchor>
        </w:drawing>
      </w:r>
    </w:p>
    <w:p>
      <w:pPr>
        <w:pStyle w:val="5"/>
        <w:spacing w:before="156"/>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pStyle w:val="10"/>
        <w:jc w:val="both"/>
        <w:outlineLvl w:val="0"/>
        <w:rPr>
          <w:rFonts w:hint="default" w:ascii="Times New Roman" w:hAnsi="Times New Roman" w:cs="Times New Roman"/>
          <w:b/>
          <w:bCs/>
          <w:color w:val="auto"/>
          <w:kern w:val="20"/>
          <w:szCs w:val="24"/>
          <w:highlight w:val="none"/>
        </w:rPr>
      </w:pPr>
      <w:bookmarkStart w:id="317" w:name="_Toc7099"/>
      <w:r>
        <w:rPr>
          <w:rFonts w:hint="default" w:ascii="Times New Roman" w:hAnsi="Times New Roman" w:cs="Times New Roman"/>
          <w:b/>
          <w:bCs/>
          <w:color w:val="auto"/>
          <w:kern w:val="20"/>
          <w:szCs w:val="24"/>
          <w:highlight w:val="none"/>
        </w:rPr>
        <w:t>附件</w:t>
      </w:r>
      <w:r>
        <w:rPr>
          <w:rFonts w:hint="eastAsia" w:ascii="Times New Roman" w:hAnsi="Times New Roman" w:cs="Times New Roman"/>
          <w:b/>
          <w:bCs/>
          <w:color w:val="auto"/>
          <w:kern w:val="20"/>
          <w:szCs w:val="24"/>
          <w:highlight w:val="none"/>
          <w:lang w:val="en-US" w:eastAsia="zh-CN"/>
        </w:rPr>
        <w:t>2</w:t>
      </w:r>
      <w:r>
        <w:rPr>
          <w:rFonts w:hint="default" w:ascii="Times New Roman" w:hAnsi="Times New Roman" w:cs="Times New Roman"/>
          <w:b/>
          <w:bCs/>
          <w:color w:val="auto"/>
          <w:kern w:val="20"/>
          <w:szCs w:val="24"/>
          <w:highlight w:val="none"/>
        </w:rPr>
        <w:t xml:space="preserve">  湘环函[2021]71号</w:t>
      </w:r>
      <w:bookmarkEnd w:id="317"/>
    </w:p>
    <w:p>
      <w:pPr>
        <w:pStyle w:val="11"/>
        <w:ind w:left="0" w:leftChars="0"/>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88915" cy="7245350"/>
            <wp:effectExtent l="0" t="0" r="14605" b="8890"/>
            <wp:docPr id="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7"/>
                    <pic:cNvPicPr>
                      <a:picLocks noChangeAspect="1"/>
                    </pic:cNvPicPr>
                  </pic:nvPicPr>
                  <pic:blipFill>
                    <a:blip r:embed="rId22"/>
                    <a:stretch>
                      <a:fillRect/>
                    </a:stretch>
                  </pic:blipFill>
                  <pic:spPr>
                    <a:xfrm>
                      <a:off x="0" y="0"/>
                      <a:ext cx="5288915" cy="7245350"/>
                    </a:xfrm>
                    <a:prstGeom prst="rect">
                      <a:avLst/>
                    </a:prstGeom>
                    <a:noFill/>
                    <a:ln>
                      <a:noFill/>
                    </a:ln>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79390" cy="7099935"/>
            <wp:effectExtent l="0" t="0" r="8890" b="1905"/>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23"/>
                    <a:stretch>
                      <a:fillRect/>
                    </a:stretch>
                  </pic:blipFill>
                  <pic:spPr>
                    <a:xfrm>
                      <a:off x="0" y="0"/>
                      <a:ext cx="5279390" cy="7099935"/>
                    </a:xfrm>
                    <a:prstGeom prst="rect">
                      <a:avLst/>
                    </a:prstGeom>
                    <a:noFill/>
                    <a:ln>
                      <a:noFill/>
                    </a:ln>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32400" cy="6715125"/>
            <wp:effectExtent l="0" t="0" r="10160" b="5715"/>
            <wp:docPr id="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pic:cNvPicPr>
                      <a:picLocks noChangeAspect="1"/>
                    </pic:cNvPicPr>
                  </pic:nvPicPr>
                  <pic:blipFill>
                    <a:blip r:embed="rId24"/>
                    <a:stretch>
                      <a:fillRect/>
                    </a:stretch>
                  </pic:blipFill>
                  <pic:spPr>
                    <a:xfrm>
                      <a:off x="0" y="0"/>
                      <a:ext cx="5232400" cy="6715125"/>
                    </a:xfrm>
                    <a:prstGeom prst="rect">
                      <a:avLst/>
                    </a:prstGeom>
                    <a:noFill/>
                    <a:ln>
                      <a:noFill/>
                    </a:ln>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95265" cy="6969125"/>
            <wp:effectExtent l="0" t="0" r="8255" b="10795"/>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25"/>
                    <a:stretch>
                      <a:fillRect/>
                    </a:stretch>
                  </pic:blipFill>
                  <pic:spPr>
                    <a:xfrm>
                      <a:off x="0" y="0"/>
                      <a:ext cx="5295265" cy="6969125"/>
                    </a:xfrm>
                    <a:prstGeom prst="rect">
                      <a:avLst/>
                    </a:prstGeom>
                    <a:noFill/>
                    <a:ln>
                      <a:noFill/>
                    </a:ln>
                  </pic:spPr>
                </pic:pic>
              </a:graphicData>
            </a:graphic>
          </wp:inline>
        </w:drawing>
      </w:r>
    </w:p>
    <w:p>
      <w:pPr>
        <w:pStyle w:val="10"/>
        <w:jc w:val="both"/>
        <w:outlineLvl w:val="0"/>
        <w:rPr>
          <w:rFonts w:hint="default" w:ascii="Times New Roman" w:hAnsi="Times New Roman" w:cs="Times New Roman"/>
          <w:b/>
          <w:bCs/>
          <w:color w:val="auto"/>
          <w:kern w:val="20"/>
          <w:szCs w:val="24"/>
          <w:highlight w:val="none"/>
        </w:rPr>
      </w:pPr>
      <w:bookmarkStart w:id="318" w:name="_Toc30238"/>
      <w:r>
        <w:rPr>
          <w:rFonts w:hint="default" w:ascii="Times New Roman" w:hAnsi="Times New Roman" w:cs="Times New Roman"/>
          <w:b/>
          <w:bCs/>
          <w:color w:val="auto"/>
          <w:kern w:val="20"/>
          <w:szCs w:val="24"/>
          <w:highlight w:val="none"/>
        </w:rPr>
        <w:t>附件</w:t>
      </w:r>
      <w:r>
        <w:rPr>
          <w:rFonts w:hint="eastAsia" w:ascii="Times New Roman" w:hAnsi="Times New Roman" w:cs="Times New Roman"/>
          <w:b/>
          <w:bCs/>
          <w:color w:val="auto"/>
          <w:kern w:val="20"/>
          <w:szCs w:val="24"/>
          <w:highlight w:val="none"/>
          <w:lang w:val="en-US" w:eastAsia="zh-CN"/>
        </w:rPr>
        <w:t>3</w:t>
      </w:r>
      <w:r>
        <w:rPr>
          <w:rFonts w:hint="default" w:ascii="Times New Roman" w:hAnsi="Times New Roman" w:cs="Times New Roman"/>
          <w:b/>
          <w:bCs/>
          <w:color w:val="auto"/>
          <w:kern w:val="20"/>
          <w:szCs w:val="24"/>
          <w:highlight w:val="none"/>
        </w:rPr>
        <w:t xml:space="preserve">  监测报告</w:t>
      </w:r>
      <w:bookmarkEnd w:id="318"/>
    </w:p>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4785" cy="7437755"/>
            <wp:effectExtent l="0" t="0" r="5715" b="4445"/>
            <wp:docPr id="3" name="图片 3" descr="安化县滔溪污水处理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安化县滔溪污水处理厂_00"/>
                    <pic:cNvPicPr>
                      <a:picLocks noChangeAspect="1"/>
                    </pic:cNvPicPr>
                  </pic:nvPicPr>
                  <pic:blipFill>
                    <a:blip r:embed="rId26"/>
                    <a:stretch>
                      <a:fillRect/>
                    </a:stretch>
                  </pic:blipFill>
                  <pic:spPr>
                    <a:xfrm>
                      <a:off x="0" y="0"/>
                      <a:ext cx="5264785" cy="7437755"/>
                    </a:xfrm>
                    <a:prstGeom prst="rect">
                      <a:avLst/>
                    </a:prstGeom>
                  </pic:spPr>
                </pic:pic>
              </a:graphicData>
            </a:graphic>
          </wp:inline>
        </w:drawing>
      </w:r>
    </w:p>
    <w:p>
      <w:pPr>
        <w:pStyle w:val="10"/>
        <w:jc w:val="both"/>
        <w:rPr>
          <w:rFonts w:hint="default" w:ascii="Times New Roman" w:hAnsi="Times New Roman" w:cs="Times New Roman"/>
          <w:color w:val="auto"/>
          <w:highlight w:val="none"/>
        </w:rPr>
      </w:pPr>
    </w:p>
    <w:p>
      <w:pPr>
        <w:pStyle w:val="10"/>
        <w:jc w:val="both"/>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pStyle w:val="11"/>
        <w:ind w:left="0" w:leftChars="0"/>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4" name="图片 4" descr="安化县滔溪污水处理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安化县滔溪污水处理厂_01"/>
                    <pic:cNvPicPr>
                      <a:picLocks noChangeAspect="1"/>
                    </pic:cNvPicPr>
                  </pic:nvPicPr>
                  <pic:blipFill>
                    <a:blip r:embed="rId27"/>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5" name="图片 5" descr="安化县滔溪污水处理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安化县滔溪污水处理厂_02"/>
                    <pic:cNvPicPr>
                      <a:picLocks noChangeAspect="1"/>
                    </pic:cNvPicPr>
                  </pic:nvPicPr>
                  <pic:blipFill>
                    <a:blip r:embed="rId28"/>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6" name="图片 6" descr="安化县滔溪污水处理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安化县滔溪污水处理厂_03"/>
                    <pic:cNvPicPr>
                      <a:picLocks noChangeAspect="1"/>
                    </pic:cNvPicPr>
                  </pic:nvPicPr>
                  <pic:blipFill>
                    <a:blip r:embed="rId29"/>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7" name="图片 7" descr="安化县滔溪污水处理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安化县滔溪污水处理厂_04"/>
                    <pic:cNvPicPr>
                      <a:picLocks noChangeAspect="1"/>
                    </pic:cNvPicPr>
                  </pic:nvPicPr>
                  <pic:blipFill>
                    <a:blip r:embed="rId30"/>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8" name="图片 8" descr="安化县滔溪污水处理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安化县滔溪污水处理厂_05"/>
                    <pic:cNvPicPr>
                      <a:picLocks noChangeAspect="1"/>
                    </pic:cNvPicPr>
                  </pic:nvPicPr>
                  <pic:blipFill>
                    <a:blip r:embed="rId31"/>
                    <a:stretch>
                      <a:fillRect/>
                    </a:stretch>
                  </pic:blipFill>
                  <pic:spPr>
                    <a:xfrm>
                      <a:off x="0" y="0"/>
                      <a:ext cx="5264785" cy="7437755"/>
                    </a:xfrm>
                    <a:prstGeom prst="rect">
                      <a:avLst/>
                    </a:prstGeom>
                  </pic:spPr>
                </pic:pic>
              </a:graphicData>
            </a:graphic>
          </wp:inline>
        </w:drawing>
      </w:r>
    </w:p>
    <w:p>
      <w:pPr>
        <w:pStyle w:val="10"/>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9" name="图片 9" descr="安化县滔溪污水处理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安化县滔溪污水处理厂_06"/>
                    <pic:cNvPicPr>
                      <a:picLocks noChangeAspect="1"/>
                    </pic:cNvPicPr>
                  </pic:nvPicPr>
                  <pic:blipFill>
                    <a:blip r:embed="rId32"/>
                    <a:stretch>
                      <a:fillRect/>
                    </a:stretch>
                  </pic:blipFill>
                  <pic:spPr>
                    <a:xfrm>
                      <a:off x="0" y="0"/>
                      <a:ext cx="5264785" cy="7437755"/>
                    </a:xfrm>
                    <a:prstGeom prst="rect">
                      <a:avLst/>
                    </a:prstGeom>
                  </pic:spPr>
                </pic:pic>
              </a:graphicData>
            </a:graphic>
          </wp:inline>
        </w:drawing>
      </w:r>
    </w:p>
    <w:p>
      <w:pPr>
        <w:pStyle w:val="11"/>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264785" cy="7437755"/>
            <wp:effectExtent l="0" t="0" r="5715" b="4445"/>
            <wp:docPr id="10" name="图片 10" descr="安化县滔溪污水处理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安化县滔溪污水处理厂_07"/>
                    <pic:cNvPicPr>
                      <a:picLocks noChangeAspect="1"/>
                    </pic:cNvPicPr>
                  </pic:nvPicPr>
                  <pic:blipFill>
                    <a:blip r:embed="rId33"/>
                    <a:stretch>
                      <a:fillRect/>
                    </a:stretch>
                  </pic:blipFill>
                  <pic:spPr>
                    <a:xfrm>
                      <a:off x="0" y="0"/>
                      <a:ext cx="5264785" cy="7437755"/>
                    </a:xfrm>
                    <a:prstGeom prst="rect">
                      <a:avLst/>
                    </a:prstGeom>
                  </pic:spPr>
                </pic:pic>
              </a:graphicData>
            </a:graphic>
          </wp:inline>
        </w:drawing>
      </w:r>
    </w:p>
    <w:p>
      <w:pPr>
        <w:pStyle w:val="10"/>
        <w:jc w:val="both"/>
        <w:outlineLvl w:val="0"/>
        <w:rPr>
          <w:rFonts w:hint="default" w:ascii="Times New Roman" w:hAnsi="Times New Roman" w:cs="Times New Roman"/>
          <w:b/>
          <w:bCs/>
          <w:color w:val="auto"/>
          <w:kern w:val="20"/>
          <w:szCs w:val="24"/>
          <w:highlight w:val="none"/>
        </w:rPr>
      </w:pPr>
      <w:bookmarkStart w:id="319" w:name="_Toc6929"/>
      <w:r>
        <w:rPr>
          <w:rFonts w:hint="default" w:ascii="Times New Roman" w:hAnsi="Times New Roman" w:cs="Times New Roman"/>
          <w:b/>
          <w:bCs/>
          <w:color w:val="auto"/>
          <w:kern w:val="20"/>
          <w:szCs w:val="24"/>
          <w:highlight w:val="none"/>
        </w:rPr>
        <w:t>附件</w:t>
      </w:r>
      <w:r>
        <w:rPr>
          <w:rFonts w:hint="eastAsia" w:ascii="Times New Roman" w:hAnsi="Times New Roman" w:cs="Times New Roman"/>
          <w:b/>
          <w:bCs/>
          <w:color w:val="auto"/>
          <w:kern w:val="20"/>
          <w:szCs w:val="24"/>
          <w:highlight w:val="none"/>
          <w:lang w:val="en-US" w:eastAsia="zh-CN"/>
        </w:rPr>
        <w:t>4</w:t>
      </w:r>
      <w:r>
        <w:rPr>
          <w:rFonts w:hint="default" w:ascii="Times New Roman" w:hAnsi="Times New Roman" w:cs="Times New Roman"/>
          <w:b/>
          <w:bCs/>
          <w:color w:val="auto"/>
          <w:kern w:val="20"/>
          <w:szCs w:val="24"/>
          <w:highlight w:val="none"/>
        </w:rPr>
        <w:t xml:space="preserve">  环评登记表</w:t>
      </w:r>
      <w:bookmarkEnd w:id="319"/>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401945" cy="7644765"/>
            <wp:effectExtent l="0" t="0" r="8255" b="0"/>
            <wp:docPr id="36" name="图片 36" descr="滔溪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滔溪_00"/>
                    <pic:cNvPicPr>
                      <a:picLocks noChangeAspect="1"/>
                    </pic:cNvPicPr>
                  </pic:nvPicPr>
                  <pic:blipFill>
                    <a:blip r:embed="rId34"/>
                    <a:stretch>
                      <a:fillRect/>
                    </a:stretch>
                  </pic:blipFill>
                  <pic:spPr>
                    <a:xfrm>
                      <a:off x="0" y="0"/>
                      <a:ext cx="5402021" cy="7644505"/>
                    </a:xfrm>
                    <a:prstGeom prst="rect">
                      <a:avLst/>
                    </a:prstGeom>
                  </pic:spPr>
                </pic:pic>
              </a:graphicData>
            </a:graphic>
          </wp:inline>
        </w:drawing>
      </w:r>
    </w:p>
    <w:p>
      <w:pPr>
        <w:pStyle w:val="9"/>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5709920" cy="8080375"/>
            <wp:effectExtent l="0" t="0" r="5080" b="0"/>
            <wp:docPr id="37" name="图片 37" descr="滔溪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滔溪_01"/>
                    <pic:cNvPicPr>
                      <a:picLocks noChangeAspect="1"/>
                    </pic:cNvPicPr>
                  </pic:nvPicPr>
                  <pic:blipFill>
                    <a:blip r:embed="rId35"/>
                    <a:stretch>
                      <a:fillRect/>
                    </a:stretch>
                  </pic:blipFill>
                  <pic:spPr>
                    <a:xfrm>
                      <a:off x="0" y="0"/>
                      <a:ext cx="5709963" cy="8080280"/>
                    </a:xfrm>
                    <a:prstGeom prst="rect">
                      <a:avLst/>
                    </a:prstGeom>
                  </pic:spPr>
                </pic:pic>
              </a:graphicData>
            </a:graphic>
          </wp:inline>
        </w:drawing>
      </w:r>
    </w:p>
    <w:p>
      <w:pPr>
        <w:pStyle w:val="10"/>
        <w:jc w:val="both"/>
        <w:outlineLvl w:val="0"/>
        <w:rPr>
          <w:rFonts w:hint="default" w:ascii="Times New Roman" w:hAnsi="Times New Roman" w:cs="Times New Roman"/>
          <w:b/>
          <w:bCs/>
          <w:color w:val="auto"/>
          <w:kern w:val="20"/>
          <w:szCs w:val="24"/>
          <w:highlight w:val="none"/>
        </w:rPr>
      </w:pPr>
      <w:bookmarkStart w:id="320" w:name="_Toc20694"/>
      <w:r>
        <w:rPr>
          <w:rFonts w:hint="default" w:ascii="Times New Roman" w:hAnsi="Times New Roman" w:cs="Times New Roman"/>
          <w:b/>
          <w:bCs/>
          <w:color w:val="auto"/>
          <w:kern w:val="20"/>
          <w:szCs w:val="24"/>
          <w:highlight w:val="none"/>
        </w:rPr>
        <w:t>附件</w:t>
      </w:r>
      <w:r>
        <w:rPr>
          <w:rFonts w:hint="eastAsia" w:ascii="Times New Roman" w:hAnsi="Times New Roman" w:cs="Times New Roman"/>
          <w:b/>
          <w:bCs/>
          <w:color w:val="auto"/>
          <w:kern w:val="20"/>
          <w:szCs w:val="24"/>
          <w:highlight w:val="none"/>
          <w:lang w:val="en-US" w:eastAsia="zh-CN"/>
        </w:rPr>
        <w:t>5</w:t>
      </w:r>
      <w:r>
        <w:rPr>
          <w:rFonts w:hint="default" w:ascii="Times New Roman" w:hAnsi="Times New Roman" w:cs="Times New Roman"/>
          <w:b/>
          <w:bCs/>
          <w:color w:val="auto"/>
          <w:kern w:val="20"/>
          <w:szCs w:val="24"/>
          <w:highlight w:val="none"/>
          <w:lang w:val="en-US" w:eastAsia="zh-CN"/>
        </w:rPr>
        <w:t xml:space="preserve">  </w:t>
      </w:r>
      <w:r>
        <w:rPr>
          <w:rFonts w:hint="default" w:ascii="Times New Roman" w:hAnsi="Times New Roman" w:cs="Times New Roman"/>
          <w:b/>
          <w:bCs/>
          <w:color w:val="auto"/>
          <w:kern w:val="20"/>
          <w:szCs w:val="24"/>
          <w:highlight w:val="none"/>
        </w:rPr>
        <w:t>固定污染源排污登记</w:t>
      </w:r>
      <w:bookmarkEnd w:id="320"/>
    </w:p>
    <w:p>
      <w:pPr>
        <w:pStyle w:val="1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69865" cy="7454900"/>
            <wp:effectExtent l="0" t="0" r="635" b="0"/>
            <wp:docPr id="29" name="图片 29" descr="六个EPC项目的排污登记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六个EPC项目的排污登记表_04"/>
                    <pic:cNvPicPr>
                      <a:picLocks noChangeAspect="1"/>
                    </pic:cNvPicPr>
                  </pic:nvPicPr>
                  <pic:blipFill>
                    <a:blip r:embed="rId36"/>
                    <a:stretch>
                      <a:fillRect/>
                    </a:stretch>
                  </pic:blipFill>
                  <pic:spPr>
                    <a:xfrm>
                      <a:off x="0" y="0"/>
                      <a:ext cx="5269865" cy="7454900"/>
                    </a:xfrm>
                    <a:prstGeom prst="rect">
                      <a:avLst/>
                    </a:prstGeom>
                  </pic:spPr>
                </pic:pic>
              </a:graphicData>
            </a:graphic>
          </wp:inline>
        </w:drawing>
      </w:r>
    </w:p>
    <w:p>
      <w:pPr>
        <w:pStyle w:val="11"/>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pStyle w:val="10"/>
        <w:jc w:val="both"/>
        <w:outlineLvl w:val="0"/>
        <w:rPr>
          <w:rFonts w:hint="default" w:ascii="Times New Roman" w:hAnsi="Times New Roman" w:cs="Times New Roman"/>
          <w:b/>
          <w:bCs/>
          <w:color w:val="auto"/>
          <w:kern w:val="20"/>
          <w:szCs w:val="24"/>
          <w:highlight w:val="none"/>
        </w:rPr>
      </w:pPr>
      <w:bookmarkStart w:id="321" w:name="_Toc16092"/>
      <w:r>
        <w:rPr>
          <w:rFonts w:hint="default" w:ascii="Times New Roman" w:hAnsi="Times New Roman" w:cs="Times New Roman"/>
          <w:b/>
          <w:bCs/>
          <w:color w:val="auto"/>
          <w:kern w:val="20"/>
          <w:szCs w:val="24"/>
          <w:highlight w:val="none"/>
        </w:rPr>
        <w:t>附件</w:t>
      </w:r>
      <w:r>
        <w:rPr>
          <w:rFonts w:hint="eastAsia" w:ascii="Times New Roman" w:hAnsi="Times New Roman" w:cs="Times New Roman"/>
          <w:b/>
          <w:bCs/>
          <w:color w:val="auto"/>
          <w:kern w:val="20"/>
          <w:szCs w:val="24"/>
          <w:highlight w:val="none"/>
          <w:lang w:val="en-US" w:eastAsia="zh-CN"/>
        </w:rPr>
        <w:t>6</w:t>
      </w:r>
      <w:r>
        <w:rPr>
          <w:rFonts w:hint="default" w:ascii="Times New Roman" w:hAnsi="Times New Roman" w:cs="Times New Roman"/>
          <w:b/>
          <w:bCs/>
          <w:color w:val="auto"/>
          <w:kern w:val="20"/>
          <w:szCs w:val="24"/>
          <w:highlight w:val="none"/>
        </w:rPr>
        <w:t xml:space="preserve">  专家评审意见</w:t>
      </w:r>
      <w:bookmarkEnd w:id="321"/>
    </w:p>
    <w:p>
      <w:pPr>
        <w:pStyle w:val="1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577840" cy="7889240"/>
            <wp:effectExtent l="0" t="0" r="3810" b="16510"/>
            <wp:docPr id="58" name="图片 58" descr="6个污水处理厂专家评审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个污水处理厂专家评审意见_00"/>
                    <pic:cNvPicPr>
                      <a:picLocks noChangeAspect="1"/>
                    </pic:cNvPicPr>
                  </pic:nvPicPr>
                  <pic:blipFill>
                    <a:blip r:embed="rId37"/>
                    <a:stretch>
                      <a:fillRect/>
                    </a:stretch>
                  </pic:blipFill>
                  <pic:spPr>
                    <a:xfrm>
                      <a:off x="0" y="0"/>
                      <a:ext cx="5576744" cy="7887561"/>
                    </a:xfrm>
                    <a:prstGeom prst="rect">
                      <a:avLst/>
                    </a:prstGeom>
                  </pic:spPr>
                </pic:pic>
              </a:graphicData>
            </a:graphic>
          </wp:inline>
        </w:drawing>
      </w:r>
    </w:p>
    <w:p>
      <w:pPr>
        <w:pStyle w:val="1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592445" cy="7909560"/>
            <wp:effectExtent l="0" t="0" r="8255" b="15240"/>
            <wp:docPr id="59" name="图片 59" descr="6个污水处理厂专家评审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6个污水处理厂专家评审意见_01"/>
                    <pic:cNvPicPr>
                      <a:picLocks noChangeAspect="1"/>
                    </pic:cNvPicPr>
                  </pic:nvPicPr>
                  <pic:blipFill>
                    <a:blip r:embed="rId38"/>
                    <a:stretch>
                      <a:fillRect/>
                    </a:stretch>
                  </pic:blipFill>
                  <pic:spPr>
                    <a:xfrm>
                      <a:off x="0" y="0"/>
                      <a:ext cx="5591452" cy="7908362"/>
                    </a:xfrm>
                    <a:prstGeom prst="rect">
                      <a:avLst/>
                    </a:prstGeom>
                  </pic:spPr>
                </pic:pic>
              </a:graphicData>
            </a:graphic>
          </wp:inline>
        </w:drawing>
      </w:r>
    </w:p>
    <w:p>
      <w:pPr>
        <w:rPr>
          <w:rFonts w:hint="default" w:ascii="Times New Roman" w:hAnsi="Times New Roman" w:cs="Times New Roman"/>
          <w:color w:val="auto"/>
          <w:highlight w:val="none"/>
        </w:rPr>
        <w:sectPr>
          <w:pgSz w:w="11906" w:h="16838"/>
          <w:pgMar w:top="1644" w:right="1800" w:bottom="1814" w:left="1800" w:header="851" w:footer="992" w:gutter="0"/>
          <w:cols w:space="720" w:num="1"/>
          <w:docGrid w:type="lines" w:linePitch="312" w:charSpace="0"/>
        </w:sectPr>
      </w:pP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491220" cy="4057015"/>
            <wp:effectExtent l="0" t="0" r="5080" b="698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39"/>
                    <a:stretch>
                      <a:fillRect/>
                    </a:stretch>
                  </pic:blipFill>
                  <pic:spPr>
                    <a:xfrm>
                      <a:off x="0" y="0"/>
                      <a:ext cx="8491220" cy="4057015"/>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cs="Times New Roman"/>
          <w:color w:val="auto"/>
          <w:highlight w:val="none"/>
        </w:rPr>
      </w:pPr>
      <w:bookmarkStart w:id="322" w:name="_Toc3893"/>
      <w:r>
        <w:rPr>
          <w:rFonts w:hint="default" w:ascii="Times New Roman" w:hAnsi="Times New Roman" w:cs="Times New Roman"/>
          <w:b/>
          <w:bCs/>
          <w:color w:val="auto"/>
          <w:highlight w:val="none"/>
        </w:rPr>
        <w:t>附图1  排污口地理位置图</w:t>
      </w:r>
      <w:bookmarkEnd w:id="322"/>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sectPr>
          <w:pgSz w:w="16838" w:h="11906" w:orient="landscape"/>
          <w:pgMar w:top="1800" w:right="1644" w:bottom="1800" w:left="1814" w:header="851" w:footer="992" w:gutter="0"/>
          <w:cols w:space="720" w:num="1"/>
          <w:docGrid w:type="lines" w:linePitch="312" w:charSpace="0"/>
        </w:sectPr>
      </w:pPr>
    </w:p>
    <w:p>
      <w:pPr>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4242435</wp:posOffset>
                </wp:positionH>
                <wp:positionV relativeFrom="paragraph">
                  <wp:posOffset>1447800</wp:posOffset>
                </wp:positionV>
                <wp:extent cx="734695" cy="694055"/>
                <wp:effectExtent l="6350" t="0" r="1905" b="10795"/>
                <wp:wrapNone/>
                <wp:docPr id="64" name="直接箭头连接符 64"/>
                <wp:cNvGraphicFramePr/>
                <a:graphic xmlns:a="http://schemas.openxmlformats.org/drawingml/2006/main">
                  <a:graphicData uri="http://schemas.microsoft.com/office/word/2010/wordprocessingShape">
                    <wps:wsp>
                      <wps:cNvCnPr/>
                      <wps:spPr>
                        <a:xfrm flipV="1">
                          <a:off x="0" y="0"/>
                          <a:ext cx="734695" cy="694055"/>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334.05pt;margin-top:114pt;height:54.65pt;width:57.85pt;z-index:251666432;mso-width-relative:page;mso-height-relative:page;" filled="f" stroked="t" coordsize="21600,21600" o:gfxdata="UEsDBAoAAAAAAIdO4kAAAAAAAAAAAAAAAAAEAAAAZHJzL1BLAwQUAAAACACHTuJAv3ATGNoAAAAL&#10;AQAADwAAAGRycy9kb3ducmV2LnhtbE2Py26DMBBF95X6D9ZE6q4xDwkoZcgiVaQuuoFEUZYOOICC&#10;xwg7JP37TlftcjRX955TbB5mFIue3WAJIVwHIDQ1th2oQzjsd68ZCOcVtWq0pBG+tYNN+fxUqLy1&#10;d6r0UvtOcAm5XCH03k+5lK7ptVFubSdN/LvY2SjP59zJdlZ3LjejjIIgkUYNxAu9mvS21821vhmE&#10;entIP49D1VT7y5c/fbzt0uUYIr6swuAdhNcP/xeGX3xGh5KZzvZGrRMjQpJkIUcRoihjKU6kWcwy&#10;Z4Q4TmOQZSH/O5Q/UEsDBBQAAAAIAIdO4kC2yBvTIAIAAAEEAAAOAAAAZHJzL2Uyb0RvYy54bWyt&#10;U8tuEzEU3SPxD5b3dKYlCc2oky4SwgZBJR77W49nxpJfunYzyU/wA0isgBWw6p6vgfIZXHtCgLLp&#10;gs3o2nfO8T3Hx2fnW6PZRmJQztb8+KjkTFrhGmW7mr96uX5wylmIYBvQzsqa72Tg54v7984GX8kT&#10;1zvdSGREYkM1+Jr3MfqqKILopYFw5Ly01GwdGoi0xK5oEAZiN7o4KctZMThsPDohQ6Dd1djke0a8&#10;C6FrWyXkyokrI20cWVFqiCQp9MoHvsjTtq0U8XnbBhmZrjkpjflLh1B9mb7F4gyqDsH3SuxHgLuM&#10;cEuTAWXp0APVCiKwK1T/UBkl0AXXxiPhTDEKyY6QiuPyljcvevAyayGrgz+YHv4frXi2uUCmmprP&#10;JpxZMHTjN2+vv7/5cPPl87f31z++vkv1p4+M+mTW4ENFmKW9wP0q+AtMyrctGtZq5V9TqrIXpI5t&#10;s9W7g9VyG5mgzUcPJ7P5lDNBrdl8Uk6nib0YaRKdxxCfSGdYKmoeIoLq+rh01tKlOhyPgM3TEEfg&#10;L0ACW7dWWtM+VNqygQaal1O6cgEU2JaCQqXxJDrYjjPQHb0EETFPHZxWTYIndMDucqmRbYDys14v&#10;yzJHhub867d09gpCP/6XW2OyjIr0WLQyNT8l7IiGKoLSj23D4s6T34DoBp7GNLLhTEuaJlWjLm3J&#10;l2T7aHSqLl2zy/7nfUpGdm6f4hS9P9cZ/fvlLn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v3AT&#10;GNoAAAALAQAADwAAAAAAAAABACAAAAAiAAAAZHJzL2Rvd25yZXYueG1sUEsBAhQAFAAAAAgAh07i&#10;QLbIG9MgAgAAAQQAAA4AAAAAAAAAAQAgAAAAKQEAAGRycy9lMm9Eb2MueG1sUEsFBgAAAAAGAAYA&#10;WQEAALsFA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3510280</wp:posOffset>
                </wp:positionH>
                <wp:positionV relativeFrom="paragraph">
                  <wp:posOffset>2371090</wp:posOffset>
                </wp:positionV>
                <wp:extent cx="2081530" cy="4191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208153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00"/>
                                <w:sz w:val="24"/>
                                <w:szCs w:val="24"/>
                                <w:lang w:val="en-US" w:eastAsia="zh-CN"/>
                              </w:rPr>
                            </w:pPr>
                            <w:r>
                              <w:rPr>
                                <w:rFonts w:hint="eastAsia"/>
                                <w:color w:val="FFFF00"/>
                                <w:sz w:val="24"/>
                                <w:szCs w:val="24"/>
                                <w:lang w:val="en-US" w:eastAsia="zh-CN"/>
                              </w:rPr>
                              <w:t>滔</w:t>
                            </w:r>
                            <w:r>
                              <w:rPr>
                                <w:rFonts w:hint="eastAsia"/>
                                <w:color w:val="FFFF00"/>
                                <w:sz w:val="24"/>
                                <w:szCs w:val="24"/>
                              </w:rPr>
                              <w:t>溪</w:t>
                            </w:r>
                            <w:r>
                              <w:rPr>
                                <w:rFonts w:hint="eastAsia"/>
                                <w:color w:val="FFFF00"/>
                                <w:sz w:val="24"/>
                                <w:szCs w:val="24"/>
                                <w:lang w:val="en-US" w:eastAsia="zh-CN"/>
                              </w:rPr>
                              <w:t>10870m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4pt;margin-top:186.7pt;height:33pt;width:163.9pt;z-index:251665408;mso-width-relative:page;mso-height-relative:page;" filled="f" stroked="f" coordsize="21600,21600" o:gfxdata="UEsDBAoAAAAAAIdO4kAAAAAAAAAAAAAAAAAEAAAAZHJzL1BLAwQUAAAACACHTuJACAGQYN0AAAAL&#10;AQAADwAAAGRycy9kb3ducmV2LnhtbE2Py07DMBRE90j8g3WR2FG7eZQ05KZCkSokRBct3XR3E7tJ&#10;RGyH2H3A12NWsBzNaOZMsbrqgZ3V5HprEOYzAUyZxsretAj79/VDBsx5MpIGaxTCl3KwKm9vCsql&#10;vZitOu98y0KJcTkhdN6POeeu6ZQmN7OjMsE72kmTD3JquZzoEsr1wCMhFlxTb8JCR6OqOtV87E4a&#10;4bVab2hbRzr7HqqXt+Pz+Lk/pIj3d3PxBMyrq/8Lwy9+QIcyMNX2ZKRjA0KaRgHdI8SPcQIsJLJM&#10;LIDVCEm8TICXBf//ofwBUEsDBBQAAAAIAIdO4kBihd2jPgIAAGgEAAAOAAAAZHJzL2Uyb0RvYy54&#10;bWytVM1u2zAMvg/YOwi6r7aTtGuDOkXWoMOAYC3QDTsrslwb0N8kpXb2ANsb9LTL7nuuPMc+yUla&#10;dDv0sItMkRTJ7yPp84teSXIvnG+NLmlxlFMiNDdVq+9K+vnT1ZtTSnxgumLSaFHSjfD0Yvb61Xln&#10;p2JkGiMr4QiCaD/tbEmbEOw0yzxvhGL+yFihYayNUyzg6u6yyrEO0ZXMRnl+knXGVdYZLryHdjEY&#10;6S6ie0lAU9ctFwvD10roMER1QrIASL5praezVG1dCx6u69qLQGRJgTSkE0kgr+KZzc7Z9M4x27R8&#10;VwJ7SQnPMCnWaiQ9hFqwwMjatX+FUi13xps6HHGjsgFIYgQoivwZN7cNsyJhAdXeHkj3/y8s/3h/&#10;40hblXQ0pkQzhY5vH35sf/7e/vpOoANBnfVT+N1aeIb+nekxNnu9hzLi7mun4heICOygd3OgV/SB&#10;cChH+WlxPIaJwzYpzoo88Z89vrbOh/fCKBKFkjq0L7HK7pc+oBK47l1iMm2uWilTC6UmXUlPxsd5&#10;enCw4IXUeBgxDLVGKfSrfgdsZaoNcDkzjIa3/KpF8iXz4YY5zALqxbaEaxy1NEhidhIljXHf/qWP&#10;/mgRrJR0mK2S+q9r5gQl8oNG886KyQRhQ7pMjt+OcHFPLaunFr1WlwbjW2AvLU9i9A9yL9bOqC9Y&#10;qnnMChPTHLlLGvbiZRgmHkvJxXyenDB+loWlvrU8hh7onK+DqdvEdKRp4GbHHgYwNWC3LHHCn96T&#10;1+MPYv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AGQYN0AAAALAQAADwAAAAAAAAABACAAAAAi&#10;AAAAZHJzL2Rvd25yZXYueG1sUEsBAhQAFAAAAAgAh07iQGKF3aM+AgAAaAQAAA4AAAAAAAAAAQAg&#10;AAAALAEAAGRycy9lMm9Eb2MueG1sUEsFBgAAAAAGAAYAWQEAANwFAAAAAA==&#10;">
                <v:fill on="f" focussize="0,0"/>
                <v:stroke on="f" weight="0.5pt"/>
                <v:imagedata o:title=""/>
                <o:lock v:ext="edit" aspectratio="f"/>
                <v:textbox>
                  <w:txbxContent>
                    <w:p>
                      <w:pPr>
                        <w:rPr>
                          <w:rFonts w:hint="default" w:eastAsia="宋体"/>
                          <w:color w:val="FFFF00"/>
                          <w:sz w:val="24"/>
                          <w:szCs w:val="24"/>
                          <w:lang w:val="en-US" w:eastAsia="zh-CN"/>
                        </w:rPr>
                      </w:pPr>
                      <w:r>
                        <w:rPr>
                          <w:rFonts w:hint="eastAsia"/>
                          <w:color w:val="FFFF00"/>
                          <w:sz w:val="24"/>
                          <w:szCs w:val="24"/>
                          <w:lang w:val="en-US" w:eastAsia="zh-CN"/>
                        </w:rPr>
                        <w:t>滔</w:t>
                      </w:r>
                      <w:r>
                        <w:rPr>
                          <w:rFonts w:hint="eastAsia"/>
                          <w:color w:val="FFFF00"/>
                          <w:sz w:val="24"/>
                          <w:szCs w:val="24"/>
                        </w:rPr>
                        <w:t>溪</w:t>
                      </w:r>
                      <w:r>
                        <w:rPr>
                          <w:rFonts w:hint="eastAsia"/>
                          <w:color w:val="FFFF00"/>
                          <w:sz w:val="24"/>
                          <w:szCs w:val="24"/>
                          <w:lang w:val="en-US" w:eastAsia="zh-CN"/>
                        </w:rPr>
                        <w:t>10870m</w:t>
                      </w:r>
                    </w:p>
                  </w:txbxContent>
                </v:textbox>
              </v:shape>
            </w:pict>
          </mc:Fallback>
        </mc:AlternateContent>
      </w:r>
      <w:r>
        <w:rPr>
          <w:rFonts w:hint="default" w:ascii="Times New Roman" w:hAnsi="Times New Roman" w:cs="Times New Roman"/>
          <w:color w:val="auto"/>
          <w:highlight w:val="none"/>
        </w:rPr>
        <w:drawing>
          <wp:inline distT="0" distB="0" distL="114300" distR="114300">
            <wp:extent cx="7936865" cy="4853305"/>
            <wp:effectExtent l="0" t="0" r="6985" b="444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0"/>
                    <a:stretch>
                      <a:fillRect/>
                    </a:stretch>
                  </pic:blipFill>
                  <pic:spPr>
                    <a:xfrm>
                      <a:off x="0" y="0"/>
                      <a:ext cx="7936865" cy="4853305"/>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cs="Times New Roman"/>
          <w:b/>
          <w:bCs/>
          <w:color w:val="auto"/>
          <w:highlight w:val="none"/>
        </w:rPr>
      </w:pPr>
      <w:bookmarkStart w:id="323" w:name="_Toc13726"/>
      <w:r>
        <w:rPr>
          <w:rFonts w:hint="default" w:ascii="Times New Roman" w:hAnsi="Times New Roman" w:cs="Times New Roman"/>
          <w:b/>
          <w:bCs/>
          <w:color w:val="auto"/>
          <w:highlight w:val="none"/>
        </w:rPr>
        <w:t>附图2  论证范围图</w:t>
      </w:r>
      <w:bookmarkEnd w:id="323"/>
    </w:p>
    <w:p>
      <w:pPr>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pPr>
      <w:bookmarkStart w:id="324" w:name="_Toc2044"/>
      <w:r>
        <w:rPr>
          <w:rFonts w:hint="default"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6742430</wp:posOffset>
                </wp:positionH>
                <wp:positionV relativeFrom="paragraph">
                  <wp:posOffset>3329305</wp:posOffset>
                </wp:positionV>
                <wp:extent cx="1734820" cy="726440"/>
                <wp:effectExtent l="4445" t="4445" r="13335" b="5715"/>
                <wp:wrapNone/>
                <wp:docPr id="61" name="文本框 61"/>
                <wp:cNvGraphicFramePr/>
                <a:graphic xmlns:a="http://schemas.openxmlformats.org/drawingml/2006/main">
                  <a:graphicData uri="http://schemas.microsoft.com/office/word/2010/wordprocessingShape">
                    <wps:wsp>
                      <wps:cNvSpPr txBox="1"/>
                      <wps:spPr>
                        <a:xfrm>
                          <a:off x="8041640" y="4472305"/>
                          <a:ext cx="1734820" cy="726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551815" cy="155575"/>
                                  <wp:effectExtent l="0" t="0" r="6985" b="952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41"/>
                                          <a:stretch>
                                            <a:fillRect/>
                                          </a:stretch>
                                        </pic:blipFill>
                                        <pic:spPr>
                                          <a:xfrm>
                                            <a:off x="0" y="0"/>
                                            <a:ext cx="551815" cy="155575"/>
                                          </a:xfrm>
                                          <a:prstGeom prst="rect">
                                            <a:avLst/>
                                          </a:prstGeom>
                                          <a:noFill/>
                                          <a:ln>
                                            <a:noFill/>
                                          </a:ln>
                                        </pic:spPr>
                                      </pic:pic>
                                    </a:graphicData>
                                  </a:graphic>
                                </wp:inline>
                              </w:drawing>
                            </w:r>
                            <w:r>
                              <w:rPr>
                                <w:rFonts w:hint="eastAsia"/>
                              </w:rPr>
                              <w:t>平水期影响范围</w:t>
                            </w:r>
                          </w:p>
                          <w:p>
                            <w:pPr>
                              <w:adjustRightInd w:val="0"/>
                              <w:snapToGrid w:val="0"/>
                            </w:pPr>
                            <w:r>
                              <w:drawing>
                                <wp:inline distT="0" distB="0" distL="114300" distR="114300">
                                  <wp:extent cx="540385" cy="171450"/>
                                  <wp:effectExtent l="0" t="0" r="5715" b="635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42"/>
                                          <a:stretch>
                                            <a:fillRect/>
                                          </a:stretch>
                                        </pic:blipFill>
                                        <pic:spPr>
                                          <a:xfrm>
                                            <a:off x="0" y="0"/>
                                            <a:ext cx="540385" cy="171450"/>
                                          </a:xfrm>
                                          <a:prstGeom prst="rect">
                                            <a:avLst/>
                                          </a:prstGeom>
                                          <a:noFill/>
                                          <a:ln>
                                            <a:noFill/>
                                          </a:ln>
                                        </pic:spPr>
                                      </pic:pic>
                                    </a:graphicData>
                                  </a:graphic>
                                </wp:inline>
                              </w:drawing>
                            </w:r>
                            <w:r>
                              <w:rPr>
                                <w:rFonts w:hint="eastAsia"/>
                              </w:rPr>
                              <w:t>枯水期影响范围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9pt;margin-top:262.15pt;height:57.2pt;width:136.6pt;z-index:251663360;mso-width-relative:page;mso-height-relative:page;" fillcolor="#FFFFFF [3201]" filled="t" stroked="t" coordsize="21600,21600" o:gfxdata="UEsDBAoAAAAAAIdO4kAAAAAAAAAAAAAAAAAEAAAAZHJzL1BLAwQUAAAACACHTuJAuep1g9gAAAAN&#10;AQAADwAAAGRycy9kb3ducmV2LnhtbE2PMU/DMBSEdyT+g/WQ2KidmIYqxKkEEhJio83C5savSYT9&#10;HNluU/497gTj6U533zXbi7PsjCFOnhQUKwEMqfdmokFBt3972ACLSZPR1hMq+MEI2/b2ptG18Qt9&#10;4nmXBpZLKNZawZjSXHMe+xGdjis/I2Xv6IPTKcswcBP0ksud5aUQFXd6orww6hlfR+y/dyen4L16&#10;SV/YmQ8jS+mXjvfhaKNS93eFeAaW8JL+wnDFz+jQZqaDP5GJzGYtqiKzJwXr8lECu0akXOd/BwWV&#10;3DwBbxv+/0X7C1BLAwQUAAAACACHTuJAdrdkb2MCAADFBAAADgAAAGRycy9lMm9Eb2MueG1srVTN&#10;btswDL4P2DsIuq92UjfJgjpF1iLDgGIt0A07K7IcC5NETVJidw+wvsFOu+y+5+pzjJKd/u7Qw3JQ&#10;KPHDR/Ij6eOTTiuyE85LMCUdHeSUCMOhkmZT0s+fVm9mlPjATMUUGFHSa+HpyeL1q+PWzsUYGlCV&#10;cARJjJ+3tqRNCHaeZZ43QjN/AFYYdNbgNAt4dZuscqxFdq2ycZ5PshZcZR1w4T2+nvVOOjC6lxBC&#10;XUsuzoBvtTChZ3VCsYAl+UZaTxcp27oWPFzUtReBqJJipSGdGATtdTyzxTGbbxyzjeRDCuwlKTyp&#10;STNpMOgd1RkLjGydfEalJXfgoQ4HHHTWF5IUwSpG+RNtrhpmRaoFpfb2TnT//2j5x92lI7Iq6WRE&#10;iWEaO3778+b215/b3z8IvqFArfVzxF1ZRIbuHXQ4Nvt3j4+x7q52Ov5jRQT9s7wYTQoU+bqkRTEd&#10;H+ZHvdSiC4RHgulhMRsjgCNiOp4UCMZQ2T2TdT68F6BJNErqsJVJYbY796GH7iExsAclq5VUKl3c&#10;Zn2qHNkxbPsq/Qb2RzBlSIuFHx7lifmRL3LfUawV41+fM2C2ymDSUaBeiGiFbt0Nqq2hukbRHPRz&#10;5y1fSeQ9Zz5cMoeDhgLgKoYLPGoFmAwMFiUNuO//eo947D96KWlxcEvqv22ZE5SoDwYn4+0oaklC&#10;uhRH0yiye+hZP/SYrT4FFAmbj9klM+KD2pu1A/0FN3YZo6KLGY6xSxr25mno1wk3novlMoFwti0L&#10;5+bK8kgdW2JguQ1Qy9S6KFOvzaAeTndq/rCJcX0e3hPq/uuz+A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56nWD2AAAAA0BAAAPAAAAAAAAAAEAIAAAACIAAABkcnMvZG93bnJldi54bWxQSwECFAAU&#10;AAAACACHTuJAdrdkb2MCAADFBAAADgAAAAAAAAABACAAAAAnAQAAZHJzL2Uyb0RvYy54bWxQSwUG&#10;AAAAAAYABgBZAQAA/AUAAAAA&#10;">
                <v:fill on="t" focussize="0,0"/>
                <v:stroke weight="0.5pt" color="#000000 [3204]" joinstyle="round"/>
                <v:imagedata o:title=""/>
                <o:lock v:ext="edit" aspectratio="f"/>
                <v:textbox>
                  <w:txbxContent>
                    <w:p>
                      <w:r>
                        <w:drawing>
                          <wp:inline distT="0" distB="0" distL="114300" distR="114300">
                            <wp:extent cx="551815" cy="155575"/>
                            <wp:effectExtent l="0" t="0" r="6985" b="952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41"/>
                                    <a:stretch>
                                      <a:fillRect/>
                                    </a:stretch>
                                  </pic:blipFill>
                                  <pic:spPr>
                                    <a:xfrm>
                                      <a:off x="0" y="0"/>
                                      <a:ext cx="551815" cy="155575"/>
                                    </a:xfrm>
                                    <a:prstGeom prst="rect">
                                      <a:avLst/>
                                    </a:prstGeom>
                                    <a:noFill/>
                                    <a:ln>
                                      <a:noFill/>
                                    </a:ln>
                                  </pic:spPr>
                                </pic:pic>
                              </a:graphicData>
                            </a:graphic>
                          </wp:inline>
                        </w:drawing>
                      </w:r>
                      <w:r>
                        <w:rPr>
                          <w:rFonts w:hint="eastAsia"/>
                        </w:rPr>
                        <w:t>平水期影响范围</w:t>
                      </w:r>
                    </w:p>
                    <w:p>
                      <w:pPr>
                        <w:adjustRightInd w:val="0"/>
                        <w:snapToGrid w:val="0"/>
                      </w:pPr>
                      <w:r>
                        <w:drawing>
                          <wp:inline distT="0" distB="0" distL="114300" distR="114300">
                            <wp:extent cx="540385" cy="171450"/>
                            <wp:effectExtent l="0" t="0" r="5715" b="635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42"/>
                                    <a:stretch>
                                      <a:fillRect/>
                                    </a:stretch>
                                  </pic:blipFill>
                                  <pic:spPr>
                                    <a:xfrm>
                                      <a:off x="0" y="0"/>
                                      <a:ext cx="540385" cy="171450"/>
                                    </a:xfrm>
                                    <a:prstGeom prst="rect">
                                      <a:avLst/>
                                    </a:prstGeom>
                                    <a:noFill/>
                                    <a:ln>
                                      <a:noFill/>
                                    </a:ln>
                                  </pic:spPr>
                                </pic:pic>
                              </a:graphicData>
                            </a:graphic>
                          </wp:inline>
                        </w:drawing>
                      </w:r>
                      <w:r>
                        <w:rPr>
                          <w:rFonts w:hint="eastAsia"/>
                        </w:rPr>
                        <w:t>枯水期影响范围</w:t>
                      </w:r>
                    </w:p>
                  </w:txbxContent>
                </v:textbox>
              </v:shape>
            </w:pict>
          </mc:Fallback>
        </mc:AlternateContent>
      </w:r>
      <w:r>
        <w:rPr>
          <w:rFonts w:hint="default" w:ascii="Times New Roman" w:hAnsi="Times New Roman" w:cs="Times New Roman"/>
          <w:color w:val="auto"/>
          <w:highlight w:val="none"/>
        </w:rPr>
        <w:drawing>
          <wp:inline distT="0" distB="0" distL="114300" distR="114300">
            <wp:extent cx="8491220" cy="4057015"/>
            <wp:effectExtent l="0" t="0" r="5080" b="698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43"/>
                    <a:stretch>
                      <a:fillRect/>
                    </a:stretch>
                  </pic:blipFill>
                  <pic:spPr>
                    <a:xfrm>
                      <a:off x="0" y="0"/>
                      <a:ext cx="8491220" cy="4057015"/>
                    </a:xfrm>
                    <a:prstGeom prst="rect">
                      <a:avLst/>
                    </a:prstGeom>
                    <a:noFill/>
                    <a:ln>
                      <a:noFill/>
                    </a:ln>
                  </pic:spPr>
                </pic:pic>
              </a:graphicData>
            </a:graphic>
          </wp:inline>
        </w:drawing>
      </w:r>
      <w:r>
        <w:rPr>
          <w:rFonts w:hint="default" w:ascii="Times New Roman" w:hAnsi="Times New Roman" w:cs="Times New Roman"/>
          <w:b/>
          <w:bCs/>
          <w:color w:val="auto"/>
          <w:highlight w:val="none"/>
        </w:rPr>
        <w:t>附图3  影响范围图</w:t>
      </w:r>
      <w:bookmarkEnd w:id="324"/>
    </w:p>
    <w:p>
      <w:pPr>
        <w:pStyle w:val="9"/>
        <w:keepNext w:val="0"/>
        <w:keepLines w:val="0"/>
        <w:pageBreakBefore w:val="0"/>
        <w:widowControl w:val="0"/>
        <w:kinsoku/>
        <w:wordWrap/>
        <w:overflowPunct/>
        <w:topLinePunct w:val="0"/>
        <w:autoSpaceDE/>
        <w:autoSpaceDN/>
        <w:bidi w:val="0"/>
        <w:adjustRightInd/>
        <w:snapToGrid/>
        <w:jc w:val="left"/>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3129915</wp:posOffset>
                </wp:positionH>
                <wp:positionV relativeFrom="paragraph">
                  <wp:posOffset>2174240</wp:posOffset>
                </wp:positionV>
                <wp:extent cx="1195705" cy="144843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195705" cy="1448435"/>
                        </a:xfrm>
                        <a:prstGeom prst="rect">
                          <a:avLst/>
                        </a:prstGeom>
                        <a:noFill/>
                        <a:ln>
                          <a:noFill/>
                        </a:ln>
                        <a:effectLst/>
                      </wps:spPr>
                      <wps:txbx>
                        <w:txbxContent>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朱阳溪6.7km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45pt;margin-top:171.2pt;height:114.05pt;width:94.15pt;z-index:251672576;mso-width-relative:page;mso-height-relative:page;" filled="f" stroked="f" coordsize="21600,21600" o:gfxdata="UEsDBAoAAAAAAIdO4kAAAAAAAAAAAAAAAAAEAAAAZHJzL1BLAwQUAAAACACHTuJASzv6jtkAAAAL&#10;AQAADwAAAGRycy9kb3ducmV2LnhtbE2Py07DMBBF90j8gzVI7KidkJQmZNIFiC2I8pDYufE0iYjH&#10;Uew24e8xK7oc3aN7z1TbxQ7iRJPvHSMkKwWCuHGm5xbh/e3pZgPCB81GD44J4Yc8bOvLi0qXxs38&#10;SqddaEUsYV9qhC6EsZTSNx1Z7VduJI7ZwU1Wh3hOrTSTnmO5HWSq1Fpa3XNc6PRIDx0137ujRfh4&#10;Pnx9ZuqlfbT5OLtFSbaFRLy+StQ9iEBL+IfhTz+qQx2d9u7IxosBISvSIqIIt1magYjEepOkIPYI&#10;+Z3KQdaVPP+h/gVQSwMEFAAAAAgAh07iQBcptBE7AgAAbgQAAA4AAABkcnMvZTJvRG9jLnhtbK1U&#10;wW4TMRC9I/EPlu9kkzShbZRNFRoFIVW0UkCcHa+dXcn2GNvJbvgA+ANOXLjzXfkOxt5NGgqHHrhs&#10;xjPjZ783z5neNFqRnXC+ApPTQa9PiTAcispscvrxw/LVFSU+MFMwBUbkdC88vZm9fDGt7UQMoQRV&#10;CEcQxPhJbXNahmAnWeZ5KTTzPbDCYFGC0yzg0m2ywrEa0bXKhv3+66wGV1gHXHiP2UVbpB2iew4g&#10;SFlxsQC+1cKEFtUJxQJS8mVlPZ2l20opeLiX0otAVE6RaUhfPATjdfxmsymbbByzZcW7K7DnXOEJ&#10;J80qg4eeoBYsMLJ11V9QuuIOPMjQ46CzlkhSBFkM+k+0WZXMisQFpfb2JLr/f7D8/e7BkarI6fiC&#10;EsM0Tvzw/dvhx6/Dz68EcyhQbf0E+1YWO0PzBhq0zTHvMRl5N9Lp+IuMCNZR3v1JXtEEwuOmwfX4&#10;sj+mhGNtMBpdjS7GESd73G6dD28FaBKDnDqcX5KV7e58aFuPLfE0A8tKqTRDZf5IIGabEckE3e7I&#10;pL1xjEKzbjp6ayj2yM5BaxBv+bLCG9wxHx6YQ0cgIXwz4R4/UkGdU+giSkpwX/6Vj/04KKxSUqPD&#10;cuo/b5kTlKh3Bkd4jRJES6bFaHw5xIU7r6zPK2arbwFNPMDXaXkKY39Qx1A60J/wac3jqVhihuPZ&#10;OQ3H8Da0vsenycV8nprQhJaFO7OyPEK3Es63AWSV5I4ytdrgmOICbZgG1j2Z6PPzdep6/JuY/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O/qO2QAAAAsBAAAPAAAAAAAAAAEAIAAAACIAAABkcnMv&#10;ZG93bnJldi54bWxQSwECFAAUAAAACACHTuJAFym0ETsCAABuBAAADgAAAAAAAAABACAAAAAoAQAA&#10;ZHJzL2Uyb0RvYy54bWxQSwUGAAAAAAYABgBZAQAA1QUAAAAA&#10;">
                <v:fill on="f" focussize="0,0"/>
                <v:stroke on="f"/>
                <v:imagedata o:title=""/>
                <o:lock v:ext="edit" aspectratio="f"/>
                <v:textbox>
                  <w:txbxContent>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朱阳溪6.7km</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1951355</wp:posOffset>
                </wp:positionH>
                <wp:positionV relativeFrom="paragraph">
                  <wp:posOffset>923925</wp:posOffset>
                </wp:positionV>
                <wp:extent cx="1195705" cy="144843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195705" cy="1448435"/>
                        </a:xfrm>
                        <a:prstGeom prst="rect">
                          <a:avLst/>
                        </a:prstGeom>
                        <a:noFill/>
                        <a:ln>
                          <a:noFill/>
                        </a:ln>
                        <a:effectLst/>
                      </wps:spPr>
                      <wps:txbx>
                        <w:txbxContent>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滔溪1.7km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65pt;margin-top:72.75pt;height:114.05pt;width:94.15pt;z-index:251671552;mso-width-relative:page;mso-height-relative:page;" filled="f" stroked="f" coordsize="21600,21600" o:gfxdata="UEsDBAoAAAAAAIdO4kAAAAAAAAAAAAAAAAAEAAAAZHJzL1BLAwQUAAAACACHTuJAUUxGItgAAAAL&#10;AQAADwAAAGRycy9kb3ducmV2LnhtbE2Py07DMBBF90j8gzVI7Khd8mgb4nQBYguiPKTu3HiaRMTj&#10;KHab8PcMK7ocnat7z5Tb2fXijGPoPGlYLhQIpNrbjhoNH+/Pd2sQIRqypveEGn4wwLa6vipNYf1E&#10;b3jexUZwCYXCaGhjHAopQ92iM2HhByRmRz86E/kcG2lHM3G56+W9Url0piNeaM2Ajy3W37uT0/D5&#10;ctx/peq1eXLZMPlZSXIbqfXtzVI9gIg4x/8w/OmzOlTsdPAnskH0GhK1SjjKIM0yEJxIN1kO4sBo&#10;leQgq1Je/lD9AlBLAwQUAAAACACHTuJAmUL39DoCAABuBAAADgAAAGRycy9lMm9Eb2MueG1srVTB&#10;bhoxEL1X6j9YvpcFCiVBLBENoqqEmki06tl4bXYl2+Pahl36Ae0f5NRL7/0uvqNjLxCa9pBDL8t4&#10;Zvzs9+aZyU2jFdkJ5yswOe11upQIw6GozCannz4uXl1R4gMzBVNgRE73wtOb6csXk9qORR9KUIVw&#10;BEGMH9c2p2UIdpxlnpdCM98BKwwWJTjNAi7dJiscqxFdq6zf7b7JanCFdcCF95idt0V6RHTPAQQp&#10;Ky7mwLdamNCiOqFYQEq+rKyn03RbKQUPd1J6EYjKKTIN6YuHYLyO32w6YeONY7as+PEK7DlXeMJJ&#10;s8rgoWeoOQuMbF31F5SuuAMPMnQ46KwlkhRBFr3uE21WJbMicUGpvT2L7v8fLP+wu3ekKnI6GFFi&#10;mMaJHx6+H378Ovz8RjCHAtXWj7FvZbEzNG+hQduc8h6TkXcjnY6/yIhgHeXdn+UVTSA8bupdD0fd&#10;ISUca73B4Grwehhxssft1vnwToAmMcipw/klWdlu6UPbemqJpxlYVEqlGSrzRwIx24xIJjjujkza&#10;G8coNOvmSG8NxR7ZOWgN4i1fVHiDJfPhnjl0BBLCNxPu8CMV1DmFY0RJCe7rv/KxHweFVUpqdFhO&#10;/Zctc4IS9d7gCK9RgmjJtBgMR31cuMvK+rJitvoW0MQ9fJ2WpzD2B3UKpQP9GZ/WLJ6KJWY4np3T&#10;cApvQ+t7fJpczGapCU1oWVialeURupVwtg0gqyR3lKnVBscUF2jDNLDjk4k+v1ynrse/ie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UxGItgAAAALAQAADwAAAAAAAAABACAAAAAiAAAAZHJzL2Rv&#10;d25yZXYueG1sUEsBAhQAFAAAAAgAh07iQJlC9/Q6AgAAbgQAAA4AAAAAAAAAAQAgAAAAJwEAAGRy&#10;cy9lMm9Eb2MueG1sUEsFBgAAAAAGAAYAWQEAANMFAAAAAA==&#10;">
                <v:fill on="f" focussize="0,0"/>
                <v:stroke on="f"/>
                <v:imagedata o:title=""/>
                <o:lock v:ext="edit" aspectratio="f"/>
                <v:textbox>
                  <w:txbxContent>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滔溪1.7km</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4417695</wp:posOffset>
                </wp:positionH>
                <wp:positionV relativeFrom="paragraph">
                  <wp:posOffset>2857500</wp:posOffset>
                </wp:positionV>
                <wp:extent cx="369570" cy="1598295"/>
                <wp:effectExtent l="9525" t="0" r="40005" b="1905"/>
                <wp:wrapNone/>
                <wp:docPr id="48" name="直接箭头连接符 48"/>
                <wp:cNvGraphicFramePr/>
                <a:graphic xmlns:a="http://schemas.openxmlformats.org/drawingml/2006/main">
                  <a:graphicData uri="http://schemas.microsoft.com/office/word/2010/wordprocessingShape">
                    <wps:wsp>
                      <wps:cNvCnPr/>
                      <wps:spPr>
                        <a:xfrm flipV="1">
                          <a:off x="0" y="0"/>
                          <a:ext cx="369570" cy="1598295"/>
                        </a:xfrm>
                        <a:prstGeom prst="straightConnector1">
                          <a:avLst/>
                        </a:prstGeom>
                        <a:ln>
                          <a:tailEnd type="arrow" w="med" len="med"/>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id="_x0000_s1026" o:spid="_x0000_s1026" o:spt="32" type="#_x0000_t32" style="position:absolute;left:0pt;flip:y;margin-left:347.85pt;margin-top:225pt;height:125.85pt;width:29.1pt;z-index:251670528;mso-width-relative:page;mso-height-relative:page;" filled="f" stroked="t" coordsize="21600,21600" o:gfxdata="UEsDBAoAAAAAAIdO4kAAAAAAAAAAAAAAAAAEAAAAZHJzL1BLAwQUAAAACACHTuJALFuBTNsAAAAL&#10;AQAADwAAAGRycy9kb3ducmV2LnhtbE2PPU/DMBCGdyT+g3VILIjaLjhp0zgdqJBYGPoBsxu7SdTY&#10;jmw3Dfx6jgm2O92j9563XE+2J6MJsfNOAp8xIMbVXneukXDYvz4ugMSknFa9d0bCl4mwrm5vSlVo&#10;f3VbM+5SQzDExUJJaFMaCkpj3Rqr4swPxuHt5INVCdfQUB3UFcNtT+eMZdSqzuGHVg3mpTX1eXex&#10;Ehb8Qcz5OL2dhTh8fIb3zf4720h5f8fZCkgyU/qD4Vcf1aFCp6O/OB1JLyFbihxRCc+CYSkkcvG0&#10;BHLEgfEcaFXS/x2qH1BLAwQUAAAACACHTuJAbvXpTx8CAAACBAAADgAAAGRycy9lMm9Eb2MueG1s&#10;rVPNjtMwEL4j8Q6W7zRpoUsbNV1pW5YLgpX4ubuOnVjyn8bepn0JXgCJE3ACTnvnaWB5DMZOt8By&#10;2QM5WOOZzDfzfTNenO6MJlsBQTlb0/GopERY7hpl25q+fnX+YEZJiMw2TDsraroXgZ4u799b9L4S&#10;E9c53QggCGJD1fuadjH6qigC74RhYeS8sBiUDgyLeIW2aID1iG50MSnLk6J30HhwXISA3vUQpAdE&#10;uAugk1JxsXb80ggbB1QQmkWkFDrlA13mbqUUPL6QMohIdE2RacwnFkF7k85iuWBVC8x3ih9aYHdp&#10;4RYnw5TFokeoNYuMXIL6B8ooDi44GUfcmWIgkhVBFuPyljYvO+ZF5oJSB38UPfw/WP58ewFENTV9&#10;hHO3zODEr99d/Xj78frrl+8frn5+e5/sz58IxlGs3ocKc1b2Ag634C8gMd9JMERq5d/gVmUtkB3Z&#10;Zan3R6nFLhKOzocn8+ljHALH0Hg6n03m0wRfDDgJz0OIT4UzJBk1DRGYaru4ctbiVB0MNdj2WYhD&#10;4k1CSrbuXGmNflZpS3qsMS+nqRzDjZW4KWgaj6yDbSlhusWnwCPktoPTqknpKTtAu1lpIFuGCzQ9&#10;m5+tb/r867dUe81CN/yXQ8NqGRXxtWhlajor0ze4I1P6iW1I3HsUnAG4nqY2jWgo0QK7SdbAS1vU&#10;Jek+KJ2sjWv2eQDZj6uRlTuscdq9P+85+/fTXf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LFuB&#10;TNsAAAALAQAADwAAAAAAAAABACAAAAAiAAAAZHJzL2Rvd25yZXYueG1sUEsBAhQAFAAAAAgAh07i&#10;QG716U8fAgAAAgQAAA4AAAAAAAAAAQAgAAAAKgEAAGRycy9lMm9Eb2MueG1sUEsFBgAAAAAGAAYA&#10;WQEAALsFAAAAAA==&#10;">
                <v:fill on="f" focussize="0,0"/>
                <v:stroke weight="1.5pt" color="#5B9BD5 [3204]" miterlimit="8" joinstyle="miter"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2922905</wp:posOffset>
                </wp:positionH>
                <wp:positionV relativeFrom="paragraph">
                  <wp:posOffset>822325</wp:posOffset>
                </wp:positionV>
                <wp:extent cx="119380" cy="619760"/>
                <wp:effectExtent l="9525" t="0" r="42545" b="8890"/>
                <wp:wrapNone/>
                <wp:docPr id="46" name="直接箭头连接符 46"/>
                <wp:cNvGraphicFramePr/>
                <a:graphic xmlns:a="http://schemas.openxmlformats.org/drawingml/2006/main">
                  <a:graphicData uri="http://schemas.microsoft.com/office/word/2010/wordprocessingShape">
                    <wps:wsp>
                      <wps:cNvCnPr/>
                      <wps:spPr>
                        <a:xfrm flipV="1">
                          <a:off x="0" y="0"/>
                          <a:ext cx="119380" cy="619760"/>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230.15pt;margin-top:64.75pt;height:48.8pt;width:9.4pt;z-index:251669504;mso-width-relative:page;mso-height-relative:page;" filled="f" stroked="t" coordsize="21600,21600" o:gfxdata="UEsDBAoAAAAAAIdO4kAAAAAAAAAAAAAAAAAEAAAAZHJzL1BLAwQUAAAACACHTuJAZEkPkNsAAAAL&#10;AQAADwAAAGRycy9kb3ducmV2LnhtbE2PMU/DMBCFdyT+g3VIbNR2KA0JcToUVWJgSVpVjG58TSJi&#10;O4rdtPx7jomOp/fpve+K9dUObMYp9N4pkAsBDF3jTe9aBfvd9ukVWIjaGT14hwp+MMC6vL8rdG78&#10;xVU417FlVOJCrhV0MY4556Hp0Oqw8CM6yk5+sjrSObXcTPpC5XbgiRArbnXvaKHTI246bL7rs1VQ&#10;b/bpx6Gvmmp3+oxf79k2nQ9SqccHKd6ARbzGfxj+9EkdSnI6+rMzgQ0KlivxTCgFSfYCjIhlmklg&#10;RwVJkkrgZcFvfyh/AVBLAwQUAAAACACHTuJAmsUNEx0CAAABBAAADgAAAGRycy9lMm9Eb2MueG1s&#10;rVO9jhMxEO6ReAfLPdnNASFZZXNFQmgQROKnd7z2riX/aezLJi/BCyBRAdVBdT1PA8djMPbmAhzN&#10;FTSrsWfnm+/7Zjw/3xtNdgKCcram41FJibDcNcq2NX3zev1gSkmIzDZMOytqehCBni/u35v3vhJn&#10;rnO6EUAQxIaq9zXtYvRVUQTeCcPCyHlhMSkdGBbxCG3RAOsR3ejirCwnRe+g8eC4CAFvV0OSHhHh&#10;LoBOSsXFyvELI2wcUEFoFlFS6JQPdJHZSil4fCllEJHomqLSmL/YBONt+haLOataYL5T/EiB3YXC&#10;LU2GKYtNT1ArFhm5APUPlFEcXHAyjrgzxSAkO4IqxuUtb151zIusBa0O/mR6+H+w/MVuA0Q1NX00&#10;ocQygxO/fn/1492n669fvn+8+vntQ4ovPxPMo1m9DxXWLO0GjqfgN5CU7yUYIrXyb3Grsheojuyz&#10;1YeT1WIfCcfL8Xj2cIpD4JiajGdPJnkUxQCT4DyE+Ew4Q1JQ0xCBqbaLS2ctDtXB0ILtnoeIRLDw&#10;piAVW7dWWufZakt6bDcrH6duDBdW4qJgaDyKDralhOkWXwKPkFkHp1WTyhNQgHa71EB2DPdnvV6W&#10;5Q3Pv35LvVcsdMN/OTVsllERH4tWpqZTrB2qWRWZ0k9tQ+LBo98MwPU00TSioUQLZJOiQZe2KC/Z&#10;Phidoq1rDtn/fI+bkQ04bnFavT/Pufr3y138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RJD5Db&#10;AAAACwEAAA8AAAAAAAAAAQAgAAAAIgAAAGRycy9kb3ducmV2LnhtbFBLAQIUABQAAAAIAIdO4kCa&#10;xQ0THQIAAAEEAAAOAAAAAAAAAAEAIAAAACoBAABkcnMvZTJvRG9jLnhtbFBLBQYAAAAABgAGAFkB&#10;AAC5BQ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3219450</wp:posOffset>
                </wp:positionH>
                <wp:positionV relativeFrom="paragraph">
                  <wp:posOffset>2536825</wp:posOffset>
                </wp:positionV>
                <wp:extent cx="478790" cy="796925"/>
                <wp:effectExtent l="0" t="0" r="16510" b="22225"/>
                <wp:wrapNone/>
                <wp:docPr id="30" name="直接箭头连接符 30"/>
                <wp:cNvGraphicFramePr/>
                <a:graphic xmlns:a="http://schemas.openxmlformats.org/drawingml/2006/main">
                  <a:graphicData uri="http://schemas.microsoft.com/office/word/2010/wordprocessingShape">
                    <wps:wsp>
                      <wps:cNvCnPr/>
                      <wps:spPr>
                        <a:xfrm flipH="1" flipV="1">
                          <a:off x="0" y="0"/>
                          <a:ext cx="478790" cy="796925"/>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x y;margin-left:253.5pt;margin-top:199.75pt;height:62.75pt;width:37.7pt;z-index:251668480;mso-width-relative:page;mso-height-relative:page;" filled="f" stroked="t" coordsize="21600,21600" o:gfxdata="UEsDBAoAAAAAAIdO4kAAAAAAAAAAAAAAAAAEAAAAZHJzL1BLAwQUAAAACACHTuJAQywU5NsAAAAL&#10;AQAADwAAAGRycy9kb3ducmV2LnhtbE2PQU+DQBCF7yb+h82YeDF2tygWkKVpGvXgSWrT8wAjENlZ&#10;ZLct/nvXk97e5L28+V6+ns0gTjS53rKG5UKBIK5t03OrYf/+fJuAcB65wcEyafgmB+vi8iLHrLFn&#10;Lum0860IJewy1NB5P2ZSurojg25hR+LgfdjJoA/n1MpmwnMoN4OMlHqQBnsOHzocadtR/bk7Gg2b&#10;cvX2mr6Uyc282ZoEx6+nQ4VaX18t1SMIT7P/C8MvfkCHIjBV9siNE4OGWK3CFq/hLk1jECERJ9E9&#10;iCqIKFYgi1z+31D8AFBLAwQUAAAACACHTuJA+hdMJCMCAAALBAAADgAAAGRycy9lMm9Eb2MueG1s&#10;rVO9bhQxEO6ReAfLPbebQJK7VfZS3HFQIIjETz/xenct+U9j5/buJXgBJCpIBVTpeRoIj8HYexwQ&#10;mhQ01tjj75v5Po9PzzZGs7XEoJyt+cGk5Exa4Rplu5q/frV6MOUsRLANaGdlzbcy8LP5/Xung6/k&#10;oeudbiQyIrGhGnzN+xh9VRRB9NJAmDgvLSVbhwYibbErGoSB2I0uDsvyuBgcNh6dkCHQ6XJM8h0j&#10;3oXQta0ScunEpZE2jqwoNUSSFHrlA5/nbttWiviibYOMTNeclMa8UhGKL9JazE+h6hB8r8SuBbhL&#10;C7c0GVCWiu6plhCBXaL6h8oogS64Nk6EM8UoJDtCKg7KW9687MHLrIWsDn5vevh/tOL5+hyZamr+&#10;kCyxYOjFb95df3/78ebL528frn98fZ/iT1eM8mTW4ENFmIU9x90u+HNMyjctGtZq5Z/SVPEcvUlR&#10;ypFOtsmmb/emy01kgg4fnUxPZlRbUOpkdjw7PEp1ipEwgT2G+EQ6w1JQ8xARVNfHhbOWntfhWALW&#10;z0Icgb8ACWzdSmlN51BpywZqaFYepWpAo9vSyFBoPMkPtuMMdEd/QkTMXQenVZPgCR2wu1hoZGug&#10;SVqtFmWZ/aA+/7qWai8h9OO9nBpnzKhI30YrU/MpYUc0VBGUfmwbFreenAdEN/DUppENZ1pSNyka&#10;dWlLvqQHGC1P0YVrtvkl8jnNSHZuN89pCP/cZ/TvPzz/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MsFOTbAAAACwEAAA8AAAAAAAAAAQAgAAAAIgAAAGRycy9kb3ducmV2LnhtbFBLAQIUABQAAAAI&#10;AIdO4kD6F0wkIwIAAAsEAAAOAAAAAAAAAAEAIAAAACoBAABkcnMvZTJvRG9jLnhtbFBLBQYAAAAA&#10;BgAGAFkBAAC/BQ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color w:val="auto"/>
          <w:highlight w:val="none"/>
        </w:rPr>
        <w:drawing>
          <wp:anchor distT="0" distB="0" distL="114300" distR="114300" simplePos="0" relativeHeight="251667456" behindDoc="0" locked="0" layoutInCell="1" allowOverlap="1">
            <wp:simplePos x="0" y="0"/>
            <wp:positionH relativeFrom="column">
              <wp:posOffset>4594860</wp:posOffset>
            </wp:positionH>
            <wp:positionV relativeFrom="paragraph">
              <wp:posOffset>53975</wp:posOffset>
            </wp:positionV>
            <wp:extent cx="4600575" cy="2767965"/>
            <wp:effectExtent l="0" t="0" r="9525" b="13335"/>
            <wp:wrapNone/>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44"/>
                    <a:stretch>
                      <a:fillRect/>
                    </a:stretch>
                  </pic:blipFill>
                  <pic:spPr>
                    <a:xfrm>
                      <a:off x="0" y="0"/>
                      <a:ext cx="4600575" cy="276796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6323330" cy="4683760"/>
            <wp:effectExtent l="0" t="0" r="1270" b="254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5"/>
                    <a:stretch>
                      <a:fillRect/>
                    </a:stretch>
                  </pic:blipFill>
                  <pic:spPr>
                    <a:xfrm>
                      <a:off x="0" y="0"/>
                      <a:ext cx="6323330" cy="46837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color w:val="auto"/>
          <w:sz w:val="21"/>
          <w:highlight w:val="none"/>
        </w:rPr>
      </w:pPr>
      <w:bookmarkStart w:id="325" w:name="_Toc23622"/>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val="en-US" w:eastAsia="zh-CN"/>
        </w:rPr>
        <w:t>污水处理厂排放口与滔溪水厂朱阳溪饮用水水源保护区取水口相对关系图</w:t>
      </w:r>
      <w:bookmarkEnd w:id="325"/>
    </w:p>
    <w:p>
      <w:pPr>
        <w:pStyle w:val="10"/>
        <w:rPr>
          <w:rFonts w:hint="default" w:ascii="Times New Roman" w:hAnsi="Times New Roman" w:cs="Times New Roman"/>
          <w:color w:val="auto"/>
          <w:highlight w:val="none"/>
        </w:rPr>
        <w:sectPr>
          <w:pgSz w:w="16838" w:h="11906" w:orient="landscape"/>
          <w:pgMar w:top="1800" w:right="1644" w:bottom="1800" w:left="1814" w:header="851" w:footer="992" w:gutter="0"/>
          <w:cols w:space="720" w:num="1"/>
          <w:docGrid w:type="lines" w:linePitch="312" w:charSpace="0"/>
        </w:sectPr>
      </w:pPr>
    </w:p>
    <w:p>
      <w:pPr>
        <w:pStyle w:val="9"/>
        <w:jc w:val="center"/>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drawing>
          <wp:inline distT="0" distB="0" distL="114300" distR="114300">
            <wp:extent cx="5367020" cy="7251065"/>
            <wp:effectExtent l="0" t="0" r="5080" b="6985"/>
            <wp:docPr id="50" name="图片 3" descr="滔溪镇管网图-施工图 平面分幅1-12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滔溪镇管网图-施工图 平面分幅1-12 (1)_00"/>
                    <pic:cNvPicPr>
                      <a:picLocks noChangeAspect="1"/>
                    </pic:cNvPicPr>
                  </pic:nvPicPr>
                  <pic:blipFill>
                    <a:blip r:embed="rId46"/>
                    <a:srcRect l="3623" t="7804" r="3794" b="3781"/>
                    <a:stretch>
                      <a:fillRect/>
                    </a:stretch>
                  </pic:blipFill>
                  <pic:spPr>
                    <a:xfrm>
                      <a:off x="0" y="0"/>
                      <a:ext cx="5365550" cy="7249272"/>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sectPr>
          <w:pgSz w:w="11906" w:h="16838"/>
          <w:pgMar w:top="1644" w:right="1800" w:bottom="1814" w:left="1800" w:header="851" w:footer="992" w:gutter="0"/>
          <w:cols w:space="720" w:num="1"/>
          <w:docGrid w:type="lines" w:linePitch="312" w:charSpace="0"/>
        </w:sectPr>
      </w:pPr>
      <w:bookmarkStart w:id="326" w:name="_Toc26795"/>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rPr>
        <w:t xml:space="preserve">  污水处理厂纳污范围图</w:t>
      </w:r>
      <w:bookmarkEnd w:id="326"/>
    </w:p>
    <w:p>
      <w:pPr>
        <w:jc w:val="center"/>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drawing>
          <wp:inline distT="0" distB="0" distL="114300" distR="114300">
            <wp:extent cx="6842125" cy="4853940"/>
            <wp:effectExtent l="0" t="0" r="3175" b="10160"/>
            <wp:docPr id="31" name="图片 3" descr="安化县乡镇污水处理及配套设施项目（二期）20200331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安化县乡镇污水处理及配套设施项目（二期）20200331_162"/>
                    <pic:cNvPicPr>
                      <a:picLocks noChangeAspect="1"/>
                    </pic:cNvPicPr>
                  </pic:nvPicPr>
                  <pic:blipFill>
                    <a:blip r:embed="rId47"/>
                    <a:srcRect l="6018" t="5200" r="4042" b="4570"/>
                    <a:stretch>
                      <a:fillRect/>
                    </a:stretch>
                  </pic:blipFill>
                  <pic:spPr>
                    <a:xfrm>
                      <a:off x="0" y="0"/>
                      <a:ext cx="6842125" cy="4853940"/>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sectPr>
          <w:pgSz w:w="16838" w:h="11906" w:orient="landscape"/>
          <w:pgMar w:top="1800" w:right="1644" w:bottom="1800" w:left="1814" w:header="851" w:footer="992" w:gutter="0"/>
          <w:cols w:space="720" w:num="1"/>
          <w:docGrid w:type="lines" w:linePitch="312" w:charSpace="0"/>
        </w:sectPr>
      </w:pPr>
      <w:bookmarkStart w:id="327" w:name="_Toc9569"/>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rPr>
        <w:t xml:space="preserve">  厂区平面布置示意图</w:t>
      </w:r>
      <w:bookmarkEnd w:id="327"/>
    </w:p>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7786370" cy="4820920"/>
            <wp:effectExtent l="0" t="0" r="11430" b="508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48"/>
                    <a:stretch>
                      <a:fillRect/>
                    </a:stretch>
                  </pic:blipFill>
                  <pic:spPr>
                    <a:xfrm>
                      <a:off x="0" y="0"/>
                      <a:ext cx="7786370" cy="4820920"/>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sectPr>
          <w:pgSz w:w="16838" w:h="11906" w:orient="landscape"/>
          <w:pgMar w:top="1800" w:right="1644" w:bottom="1800" w:left="1814" w:header="851" w:footer="992" w:gutter="0"/>
          <w:cols w:space="720" w:num="1"/>
          <w:docGrid w:type="lines" w:linePitch="312" w:charSpace="0"/>
        </w:sectPr>
      </w:pPr>
      <w:bookmarkStart w:id="328" w:name="_Toc4223"/>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7</w:t>
      </w:r>
      <w:r>
        <w:rPr>
          <w:rFonts w:hint="default" w:ascii="Times New Roman" w:hAnsi="Times New Roman" w:cs="Times New Roman"/>
          <w:b/>
          <w:bCs/>
          <w:color w:val="auto"/>
          <w:highlight w:val="none"/>
        </w:rPr>
        <w:t xml:space="preserve">  项目所在区域水系图</w:t>
      </w:r>
      <w:bookmarkEnd w:id="328"/>
    </w:p>
    <w:p>
      <w:pPr>
        <w:pStyle w:val="9"/>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6721475" cy="4905375"/>
            <wp:effectExtent l="0" t="0" r="9525" b="9525"/>
            <wp:docPr id="52" name="图片 52" descr="adb3a0bc078f93a5ec080ab72ef3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adb3a0bc078f93a5ec080ab72ef30b7"/>
                    <pic:cNvPicPr>
                      <a:picLocks noChangeAspect="1"/>
                    </pic:cNvPicPr>
                  </pic:nvPicPr>
                  <pic:blipFill>
                    <a:blip r:embed="rId49"/>
                    <a:srcRect l="3107" t="3500" r="2929" b="3259"/>
                    <a:stretch>
                      <a:fillRect/>
                    </a:stretch>
                  </pic:blipFill>
                  <pic:spPr>
                    <a:xfrm>
                      <a:off x="0" y="0"/>
                      <a:ext cx="6721475" cy="4905375"/>
                    </a:xfrm>
                    <a:prstGeom prst="rect">
                      <a:avLst/>
                    </a:prstGeom>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pPr>
      <w:bookmarkStart w:id="329" w:name="_Toc22162"/>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8</w:t>
      </w:r>
      <w:r>
        <w:rPr>
          <w:rFonts w:hint="default" w:ascii="Times New Roman" w:hAnsi="Times New Roman" w:cs="Times New Roman"/>
          <w:b/>
          <w:bCs/>
          <w:color w:val="auto"/>
          <w:highlight w:val="none"/>
        </w:rPr>
        <w:t xml:space="preserve">  项目水功能一级区划图</w:t>
      </w:r>
      <w:bookmarkEnd w:id="329"/>
    </w:p>
    <w:p>
      <w:pPr>
        <w:pStyle w:val="9"/>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b/>
          <w:bCs/>
          <w:color w:val="auto"/>
          <w:highlight w:val="none"/>
        </w:rPr>
        <w:sectPr>
          <w:pgSz w:w="16838" w:h="11906" w:orient="landscape"/>
          <w:pgMar w:top="1800" w:right="1644" w:bottom="1800" w:left="1814" w:header="851" w:footer="992" w:gutter="0"/>
          <w:cols w:space="720" w:num="1"/>
          <w:docGrid w:type="lines" w:linePitch="312" w:charSpace="0"/>
        </w:sectPr>
      </w:pPr>
      <w:bookmarkStart w:id="330" w:name="_Toc27778"/>
      <w:r>
        <w:rPr>
          <w:rFonts w:hint="default"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4107815</wp:posOffset>
                </wp:positionH>
                <wp:positionV relativeFrom="paragraph">
                  <wp:posOffset>2552065</wp:posOffset>
                </wp:positionV>
                <wp:extent cx="112395" cy="113030"/>
                <wp:effectExtent l="18415" t="21590" r="21590" b="17780"/>
                <wp:wrapNone/>
                <wp:docPr id="18" name="五角星 18"/>
                <wp:cNvGraphicFramePr/>
                <a:graphic xmlns:a="http://schemas.openxmlformats.org/drawingml/2006/main">
                  <a:graphicData uri="http://schemas.microsoft.com/office/word/2010/wordprocessingShape">
                    <wps:wsp>
                      <wps:cNvSpPr/>
                      <wps:spPr>
                        <a:xfrm>
                          <a:off x="5297805" y="3676015"/>
                          <a:ext cx="112395" cy="1130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3.45pt;margin-top:200.95pt;height:8.9pt;width:8.85pt;z-index:251661312;v-text-anchor:middle;mso-width-relative:page;mso-height-relative:page;" fillcolor="#FF0000" filled="t" stroked="t" coordsize="112395,113030" o:gfxdata="UEsDBAoAAAAAAIdO4kAAAAAAAAAAAAAAAAAEAAAAZHJzL1BLAwQUAAAACACHTuJAAIciRdkAAAAL&#10;AQAADwAAAGRycy9kb3ducmV2LnhtbE2PMU/DMBCFdyT+g3VIbNQOqtI2xOlQ1AEpQqJlgM2Jr0lE&#10;fI5iNwn/nmOC7e69p3ff5fvF9WLCMXSeNCQrBQKp9rajRsP7+fiwBRGiIWt6T6jhGwPsi9ub3GTW&#10;z/SG0yk2gksoZEZDG+OQSRnqFp0JKz8gsXfxozOR17GRdjQzl7tePiqVSmc64gutGfDQYv11ujoN&#10;h8182b5W9efzYtyx/JjKWb2UWt/fJeoJRMQl/oXhF5/RoWCmyl/JBtFrSNfpjqMa1irhgRMpSyAq&#10;VpLdBmSRy/8/FD9QSwMEFAAAAAgAh07iQH1f4CGBAgAABQUAAA4AAABkcnMvZTJvRG9jLnhtbK1U&#10;zW4TMRC+I/EOlu90d5OmaaNuqqhREFJFKxXE2fF6s5b8h+38lMdAHLhx5B14HoR4DD5701849EAO&#10;zoxn9puZb2Z8erbTimyED9KamlYHJSXCcNtIs6rp+3eLV8eUhMhMw5Q1oqY3ItCz6csXp1s3EQPb&#10;WdUITwBiwmTratrF6CZFEXgnNAsH1gkDY2u9ZhGqXxWNZ1uga1UMyvKo2FrfOG+5CAG3895I94j+&#10;OYC2bSUXc8vXWpjYo3qhWERJoZMu0GnOtm0Fj5dtG0QkqqaoNOYTQSAv01lMT9lk5ZnrJN+nwJ6T&#10;wpOaNJMGQe+g5iwysvbyLygtubfBtvGAW130hWRGUEVVPuHmumNO5FpAdXB3pIf/B8vfbq48kQ0m&#10;AX03TKPjP398+f3986+v3wjuQNDWhQn8rt2V32sBYqp213qd/lEH2dV0NDgZH5cjSm5qOjwaH5XV&#10;qCdY7CLhcKiqwfAEdg6HqhqWw9yA4h7I+RBfC6tJEmqKOfSjzCvbXISI6PC99UmBg1WyWUilsuJX&#10;y3PlyYah2YtFiV8Kj08euSlDtgg/GMNMOMMItxgdiNqBhmBWlDC1wm7w6HPsR1+H5wVJSc5Z6Ppk&#10;MkJPhZYR66OkrulxyvA2RWWQaWK65zZJS9vcoDne9lMbHF9IwF6wEK+Yx5gifyxyvMTRKoui7F6i&#10;pLP+07/ukz+mB1ZKthh7FPxxzbygRL0xmKuT6vAw7UlWDkfjART/0LJ8aDFrfW5BdoUnw/EsJv+o&#10;bsXWW/0B+z5LUWFihiN2T+1eOY/9OuLF4GI2y27YDcfihbl2PIGn5ho7W0fbyjwE9+zsScN25Ebv&#10;Nzmt30M9e92/Xt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AIciRdkAAAALAQAADwAAAAAAAAAB&#10;ACAAAAAiAAAAZHJzL2Rvd25yZXYueG1sUEsBAhQAFAAAAAgAh07iQH1f4CGBAgAABQUAAA4AAAAA&#10;AAAAAQAgAAAAKAEAAGRycy9lMm9Eb2MueG1sUEsFBgAAAAAGAAYAWQEAABsGAAAAAA==&#10;" path="m0,43173l42931,43173,56197,0,69463,43173,112394,43173,77662,69856,90929,113029,56197,86346,21465,113029,34732,69856xe">
                <v:path o:connectlocs="56197,0;0,43173;21465,113029;90929,113029;112394,43173" o:connectangles="247,164,82,82,0"/>
                <v:fill on="t" focussize="0,0"/>
                <v:stroke weight="1pt" color="#FF0000 [3204]"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1855470</wp:posOffset>
                </wp:positionH>
                <wp:positionV relativeFrom="paragraph">
                  <wp:posOffset>2210435</wp:posOffset>
                </wp:positionV>
                <wp:extent cx="1475105" cy="479425"/>
                <wp:effectExtent l="6350" t="6350" r="779145" b="9525"/>
                <wp:wrapNone/>
                <wp:docPr id="19" name="矩形标注 19"/>
                <wp:cNvGraphicFramePr/>
                <a:graphic xmlns:a="http://schemas.openxmlformats.org/drawingml/2006/main">
                  <a:graphicData uri="http://schemas.microsoft.com/office/word/2010/wordprocessingShape">
                    <wps:wsp>
                      <wps:cNvSpPr/>
                      <wps:spPr>
                        <a:xfrm>
                          <a:off x="5713730" y="3662045"/>
                          <a:ext cx="1475105" cy="479425"/>
                        </a:xfrm>
                        <a:prstGeom prst="wedgeRectCallout">
                          <a:avLst>
                            <a:gd name="adj1" fmla="val 98687"/>
                            <a:gd name="adj2" fmla="val 198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6.1pt;margin-top:174.05pt;height:37.75pt;width:116.15pt;z-index:251662336;v-text-anchor:middle;mso-width-relative:page;mso-height-relative:page;" filled="f" stroked="t" coordsize="21600,21600" o:gfxdata="UEsDBAoAAAAAAIdO4kAAAAAAAAAAAAAAAAAEAAAAZHJzL1BLAwQUAAAACACHTuJAcU0U29kAAAAL&#10;AQAADwAAAGRycy9kb3ducmV2LnhtbE2Py07DMBBF90j8gzVI7KgTN61KmkklkPiAPtTSnRNP44jY&#10;jmInDX+PWcFydI/uPVPsZtOxiQbfOouQLhJgZGunWtsgnI4fLxtgPkirZOcsIXyTh135+FDIXLm7&#10;3dN0CA2LJdbnEkGH0Oec+1qTkX7herIxu7nByBDPoeFqkPdYbjoukmTNjWxtXNCyp3dN9ddhNAjT&#10;+e2qHZ3S7lxRdbmOe3H8nBGfn9JkCyzQHP5g+NWP6lBGp8qNVnnWIYhXISKKsMw2KbBIrES2AlYh&#10;ZGK5Bl4W/P8P5Q9QSwMEFAAAAAgAh07iQASPdae0AgAARwUAAA4AAABkcnMvZTJvRG9jLnhtbK1U&#10;zW4TMRC+I/EOlu90f7rJJlE3VZSoCKmiFQVxdrzerJH/sJ1sygvwGCBOcObM41Beg7F324bCoQdy&#10;cGY8s9/MfDPjk9O9FGjHrONaVTg7SjFiiuqaq02F37w+ezbByHmiaiK0YhW+Zg6fzp8+OenMjOW6&#10;1aJmFgGIcrPOVLj13sySxNGWSeKOtGEKjI22knhQ7SapLekAXYokT9Nx0mlbG6spcw5uV70RD4j2&#10;MYC6aThlK023kinfo1omiIeSXMuNw/OYbdMw6i+axjGPRIWhUh9PCALyOpzJ/ITMNpaYltMhBfKY&#10;FB7UJAlXEPQOakU8QVvL/4KSnFrtdOOPqJZJX0hkBKrI0gfcXLXEsFgLUO3MHenu/8HSl7tLi3gN&#10;kzDFSBEJHf/16dvPH19uPn+8+f4VwTVw1Bk3A9crc2kHzYEYCt43VoZ/KAXtKzwqs+PyGNi9rvDx&#10;eJynxajnmO09ouCQFeUoS0cYUfAoymmRR4fkHslY558zLVEQKtyxesNeQSOXRAi99ZFmsjt3PvJd&#10;D0mT+l2GUSMFtG9HBJpOxpNyaO+BT37ok00naRZ8IPqACNJt/ACv9BkXIg6JUKiD9PMyheoogclv&#10;YOJAlAbYc2qDEREbWCnqbczRacHr8HkAcnazXgqLIDUYu/gbAv/hFmKviGt7v2jqa5Dcw9YJLis8&#10;OfxaKMg+dKfvR5D8fr0fmrTW9TW01+p+7p2hZxwinBPnL4kFpqAUeAr8BRyN0FCfHiSMWm0//Os+&#10;+MP8gRWjDhYHan+/JZZhJF4omMxpVhQA66NSjMocFHtoWR9a1FYuNVACvYPsohj8vbgVG6vlW3gx&#10;FiEqmIiiELtneVCWvl9oeHMoWyyiG2yXIf5cXRkawPteLrZeN9yHhgeienYGBfYrzsHwFoQFPtSj&#10;1/37N/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cU0U29kAAAALAQAADwAAAAAAAAABACAAAAAi&#10;AAAAZHJzL2Rvd25yZXYueG1sUEsBAhQAFAAAAAgAh07iQASPdae0AgAARwUAAA4AAAAAAAAAAQAg&#10;AAAAKAEAAGRycy9lMm9Eb2MueG1sUEsFBgAAAAAGAAYAWQEAAE4GAAAAAA==&#10;" adj="32116,15077">
                <v:fill on="f"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v:textbox>
              </v:shape>
            </w:pict>
          </mc:Fallback>
        </mc:AlternateContent>
      </w:r>
      <w:r>
        <w:rPr>
          <w:rFonts w:hint="default" w:ascii="Times New Roman" w:hAnsi="Times New Roman" w:cs="Times New Roman"/>
          <w:color w:val="auto"/>
          <w:highlight w:val="none"/>
        </w:rPr>
        <w:drawing>
          <wp:inline distT="0" distB="0" distL="114300" distR="114300">
            <wp:extent cx="8488045" cy="4232275"/>
            <wp:effectExtent l="0" t="0" r="825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0"/>
                    <a:stretch>
                      <a:fillRect/>
                    </a:stretch>
                  </pic:blipFill>
                  <pic:spPr>
                    <a:xfrm>
                      <a:off x="0" y="0"/>
                      <a:ext cx="8488045" cy="4232275"/>
                    </a:xfrm>
                    <a:prstGeom prst="rect">
                      <a:avLst/>
                    </a:prstGeom>
                    <a:noFill/>
                    <a:ln>
                      <a:noFill/>
                    </a:ln>
                  </pic:spPr>
                </pic:pic>
              </a:graphicData>
            </a:graphic>
          </wp:inline>
        </w:drawing>
      </w:r>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9</w:t>
      </w:r>
      <w:r>
        <w:rPr>
          <w:rFonts w:hint="default" w:ascii="Times New Roman" w:hAnsi="Times New Roman" w:cs="Times New Roman"/>
          <w:b/>
          <w:bCs/>
          <w:color w:val="auto"/>
          <w:highlight w:val="none"/>
        </w:rPr>
        <w:t xml:space="preserve">  项目水功能区划图</w:t>
      </w:r>
      <w:bookmarkEnd w:id="330"/>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80"/>
        <w:gridCol w:w="68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98" w:type="dxa"/>
          </w:tcPr>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160520" cy="3120390"/>
                  <wp:effectExtent l="0" t="0" r="5080" b="3810"/>
                  <wp:docPr id="33" name="图片 33" descr="4d980e8f42184f703be1abe0e1dcd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d980e8f42184f703be1abe0e1dcd9b"/>
                          <pic:cNvPicPr>
                            <a:picLocks noChangeAspect="1"/>
                          </pic:cNvPicPr>
                        </pic:nvPicPr>
                        <pic:blipFill>
                          <a:blip r:embed="rId51"/>
                          <a:stretch>
                            <a:fillRect/>
                          </a:stretch>
                        </pic:blipFill>
                        <pic:spPr>
                          <a:xfrm>
                            <a:off x="0" y="0"/>
                            <a:ext cx="4160520" cy="3120390"/>
                          </a:xfrm>
                          <a:prstGeom prst="rect">
                            <a:avLst/>
                          </a:prstGeom>
                        </pic:spPr>
                      </pic:pic>
                    </a:graphicData>
                  </a:graphic>
                </wp:inline>
              </w:drawing>
            </w:r>
          </w:p>
        </w:tc>
        <w:tc>
          <w:tcPr>
            <w:tcW w:w="6798" w:type="dxa"/>
          </w:tcPr>
          <w:p>
            <w:pPr>
              <w:pStyle w:val="9"/>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178935" cy="3134360"/>
                  <wp:effectExtent l="0" t="0" r="12065" b="2540"/>
                  <wp:docPr id="32" name="图片 32" descr="f4ccaf396a63f15911ab3e7ad85e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4ccaf396a63f15911ab3e7ad85ecb1"/>
                          <pic:cNvPicPr>
                            <a:picLocks noChangeAspect="1"/>
                          </pic:cNvPicPr>
                        </pic:nvPicPr>
                        <pic:blipFill>
                          <a:blip r:embed="rId52"/>
                          <a:stretch>
                            <a:fillRect/>
                          </a:stretch>
                        </pic:blipFill>
                        <pic:spPr>
                          <a:xfrm>
                            <a:off x="0" y="0"/>
                            <a:ext cx="4178935" cy="3134360"/>
                          </a:xfrm>
                          <a:prstGeom prst="rect">
                            <a:avLst/>
                          </a:prstGeom>
                        </pic:spPr>
                      </pic:pic>
                    </a:graphicData>
                  </a:graphic>
                </wp:inline>
              </w:drawing>
            </w:r>
          </w:p>
        </w:tc>
      </w:tr>
    </w:tbl>
    <w:p>
      <w:pPr>
        <w:pStyle w:val="9"/>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cs="Times New Roman"/>
          <w:color w:val="auto"/>
          <w:highlight w:val="none"/>
        </w:rPr>
      </w:pPr>
      <w:bookmarkStart w:id="331" w:name="_Toc14055"/>
      <w:r>
        <w:rPr>
          <w:rFonts w:hint="default" w:ascii="Times New Roman" w:hAnsi="Times New Roman" w:cs="Times New Roman"/>
          <w:b/>
          <w:bCs/>
          <w:color w:val="auto"/>
          <w:highlight w:val="none"/>
        </w:rPr>
        <w:t>附图</w:t>
      </w:r>
      <w:r>
        <w:rPr>
          <w:rFonts w:hint="default" w:ascii="Times New Roman" w:hAnsi="Times New Roman" w:cs="Times New Roman"/>
          <w:b/>
          <w:bCs/>
          <w:color w:val="auto"/>
          <w:highlight w:val="none"/>
          <w:lang w:val="en-US" w:eastAsia="zh-CN"/>
        </w:rPr>
        <w:t>10</w:t>
      </w:r>
      <w:r>
        <w:rPr>
          <w:rFonts w:hint="default" w:ascii="Times New Roman" w:hAnsi="Times New Roman" w:cs="Times New Roman"/>
          <w:b/>
          <w:bCs/>
          <w:color w:val="auto"/>
          <w:highlight w:val="none"/>
        </w:rPr>
        <w:t xml:space="preserve">  纳污河流现状图</w:t>
      </w:r>
      <w:bookmarkEnd w:id="331"/>
    </w:p>
    <w:bookmarkEnd w:id="332"/>
    <w:sectPr>
      <w:pgSz w:w="16838" w:h="11906" w:orient="landscape"/>
      <w:pgMar w:top="1800" w:right="1644" w:bottom="1800" w:left="181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汉鼎简书宋">
    <w:panose1 w:val="02010609010101010101"/>
    <w:charset w:val="86"/>
    <w:family w:val="moder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方正小标宋_GBK">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92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92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8A186B"/>
    <w:multiLevelType w:val="singleLevel"/>
    <w:tmpl w:val="9C8A186B"/>
    <w:lvl w:ilvl="0" w:tentative="0">
      <w:start w:val="2"/>
      <w:numFmt w:val="decimal"/>
      <w:suff w:val="nothing"/>
      <w:lvlText w:val="（%1）"/>
      <w:lvlJc w:val="left"/>
    </w:lvl>
  </w:abstractNum>
  <w:abstractNum w:abstractNumId="1">
    <w:nsid w:val="BC7A0484"/>
    <w:multiLevelType w:val="singleLevel"/>
    <w:tmpl w:val="BC7A0484"/>
    <w:lvl w:ilvl="0" w:tentative="0">
      <w:start w:val="1"/>
      <w:numFmt w:val="decimal"/>
      <w:suff w:val="nothing"/>
      <w:lvlText w:val="%1、"/>
      <w:lvlJc w:val="left"/>
    </w:lvl>
  </w:abstractNum>
  <w:abstractNum w:abstractNumId="2">
    <w:nsid w:val="BE41AA62"/>
    <w:multiLevelType w:val="singleLevel"/>
    <w:tmpl w:val="BE41AA62"/>
    <w:lvl w:ilvl="0" w:tentative="0">
      <w:start w:val="1"/>
      <w:numFmt w:val="decimal"/>
      <w:suff w:val="nothing"/>
      <w:lvlText w:val="%1、"/>
      <w:lvlJc w:val="left"/>
    </w:lvl>
  </w:abstractNum>
  <w:abstractNum w:abstractNumId="3">
    <w:nsid w:val="C3226917"/>
    <w:multiLevelType w:val="singleLevel"/>
    <w:tmpl w:val="C3226917"/>
    <w:lvl w:ilvl="0" w:tentative="0">
      <w:start w:val="1"/>
      <w:numFmt w:val="decimal"/>
      <w:suff w:val="nothing"/>
      <w:lvlText w:val="（%1）"/>
      <w:lvlJc w:val="left"/>
    </w:lvl>
  </w:abstractNum>
  <w:abstractNum w:abstractNumId="4">
    <w:nsid w:val="F1EC3531"/>
    <w:multiLevelType w:val="singleLevel"/>
    <w:tmpl w:val="F1EC3531"/>
    <w:lvl w:ilvl="0" w:tentative="0">
      <w:start w:val="2"/>
      <w:numFmt w:val="decimal"/>
      <w:lvlText w:val="(%1)"/>
      <w:lvlJc w:val="left"/>
      <w:pPr>
        <w:tabs>
          <w:tab w:val="left" w:pos="312"/>
        </w:tabs>
      </w:pPr>
    </w:lvl>
  </w:abstractNum>
  <w:abstractNum w:abstractNumId="5">
    <w:nsid w:val="F4E0FF2A"/>
    <w:multiLevelType w:val="singleLevel"/>
    <w:tmpl w:val="F4E0FF2A"/>
    <w:lvl w:ilvl="0" w:tentative="0">
      <w:start w:val="1"/>
      <w:numFmt w:val="decimal"/>
      <w:suff w:val="nothing"/>
      <w:lvlText w:val="（%1）"/>
      <w:lvlJc w:val="left"/>
    </w:lvl>
  </w:abstractNum>
  <w:abstractNum w:abstractNumId="6">
    <w:nsid w:val="FB2E0461"/>
    <w:multiLevelType w:val="singleLevel"/>
    <w:tmpl w:val="FB2E0461"/>
    <w:lvl w:ilvl="0" w:tentative="0">
      <w:start w:val="1"/>
      <w:numFmt w:val="decimal"/>
      <w:lvlText w:val="%1."/>
      <w:lvlJc w:val="left"/>
      <w:pPr>
        <w:ind w:left="425" w:hanging="425"/>
      </w:pPr>
      <w:rPr>
        <w:rFonts w:hint="default"/>
      </w:rPr>
    </w:lvl>
  </w:abstractNum>
  <w:abstractNum w:abstractNumId="7">
    <w:nsid w:val="1FEFE862"/>
    <w:multiLevelType w:val="singleLevel"/>
    <w:tmpl w:val="1FEFE862"/>
    <w:lvl w:ilvl="0" w:tentative="0">
      <w:start w:val="1"/>
      <w:numFmt w:val="decimal"/>
      <w:lvlText w:val="%1."/>
      <w:lvlJc w:val="left"/>
      <w:pPr>
        <w:ind w:left="425" w:hanging="425"/>
      </w:pPr>
      <w:rPr>
        <w:rFonts w:hint="default"/>
      </w:rPr>
    </w:lvl>
  </w:abstractNum>
  <w:abstractNum w:abstractNumId="8">
    <w:nsid w:val="4F610428"/>
    <w:multiLevelType w:val="multilevel"/>
    <w:tmpl w:val="4F610428"/>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lvlText w:val="表%1.%2-%5 "/>
      <w:lvlJc w:val="left"/>
      <w:pPr>
        <w:ind w:left="1008" w:hanging="1008"/>
      </w:pPr>
      <w:rPr>
        <w:rFonts w:hint="default" w:ascii="宋体" w:hAnsi="宋体" w:eastAsia="宋体" w:cs="宋体"/>
      </w:rPr>
    </w:lvl>
    <w:lvl w:ilvl="5" w:tentative="0">
      <w:start w:val="1"/>
      <w:numFmt w:val="decimal"/>
      <w:lvlRestart w:val="2"/>
      <w:isLgl/>
      <w:lvlText w:val="图%1.%2-%6 "/>
      <w:lvlJc w:val="left"/>
      <w:pPr>
        <w:ind w:left="1151" w:hanging="1151"/>
      </w:pPr>
      <w:rPr>
        <w:rFonts w:hint="default" w:ascii="宋体" w:hAnsi="宋体"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9">
    <w:nsid w:val="568A8561"/>
    <w:multiLevelType w:val="multilevel"/>
    <w:tmpl w:val="568A8561"/>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suff w:val="nothing"/>
      <w:lvlText w:val="%1.%2.%3."/>
      <w:lvlJc w:val="left"/>
      <w:pPr>
        <w:tabs>
          <w:tab w:val="left" w:pos="420"/>
        </w:tabs>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suff w:val="nothing"/>
      <w:lvlText w:val="图%1.%2-%5  "/>
      <w:lvlJc w:val="left"/>
      <w:pPr>
        <w:tabs>
          <w:tab w:val="left" w:pos="0"/>
        </w:tabs>
        <w:ind w:left="1008" w:hanging="1008"/>
      </w:pPr>
      <w:rPr>
        <w:rFonts w:hint="default" w:ascii="Times New Roman" w:hAnsi="Times New Roman" w:eastAsia="宋体" w:cs="宋体"/>
      </w:rPr>
    </w:lvl>
    <w:lvl w:ilvl="5" w:tentative="0">
      <w:start w:val="1"/>
      <w:numFmt w:val="decimal"/>
      <w:lvlRestart w:val="2"/>
      <w:pStyle w:val="6"/>
      <w:suff w:val="nothing"/>
      <w:lvlText w:val="表%1.%2-%6  "/>
      <w:lvlJc w:val="left"/>
      <w:pPr>
        <w:tabs>
          <w:tab w:val="left" w:pos="420"/>
        </w:tabs>
        <w:ind w:left="1151" w:hanging="1151"/>
      </w:pPr>
      <w:rPr>
        <w:rFonts w:hint="default" w:ascii="Times New Roman" w:hAnsi="Times New Roman"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8"/>
  </w:num>
  <w:num w:numId="2">
    <w:abstractNumId w:val="9"/>
  </w:num>
  <w:num w:numId="3">
    <w:abstractNumId w:val="1"/>
  </w:num>
  <w:num w:numId="4">
    <w:abstractNumId w:val="0"/>
  </w:num>
  <w:num w:numId="5">
    <w:abstractNumId w:val="6"/>
  </w:num>
  <w:num w:numId="6">
    <w:abstractNumId w:val="7"/>
  </w:num>
  <w:num w:numId="7">
    <w:abstractNumId w:val="4"/>
  </w:num>
  <w:num w:numId="8">
    <w:abstractNumId w:val="2"/>
  </w:num>
  <w:num w:numId="9">
    <w:abstractNumId w:val="5"/>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EyNGEwNzQ2ZTRlZTcyNTg1MjQyNTRkOWEyZWU2YWQifQ=="/>
  </w:docVars>
  <w:rsids>
    <w:rsidRoot w:val="00172A27"/>
    <w:rsid w:val="00172A27"/>
    <w:rsid w:val="002C4DB7"/>
    <w:rsid w:val="003D5E68"/>
    <w:rsid w:val="004F031E"/>
    <w:rsid w:val="00977718"/>
    <w:rsid w:val="00A1116E"/>
    <w:rsid w:val="00A2358D"/>
    <w:rsid w:val="00AF0E60"/>
    <w:rsid w:val="00B152D4"/>
    <w:rsid w:val="00B459AA"/>
    <w:rsid w:val="00BA4D92"/>
    <w:rsid w:val="00BD5630"/>
    <w:rsid w:val="00CF5C86"/>
    <w:rsid w:val="00CF7AF2"/>
    <w:rsid w:val="00DC3A0C"/>
    <w:rsid w:val="00E03285"/>
    <w:rsid w:val="00ED2F72"/>
    <w:rsid w:val="00EF0E4C"/>
    <w:rsid w:val="00FD631B"/>
    <w:rsid w:val="00FE63B3"/>
    <w:rsid w:val="010E0DD1"/>
    <w:rsid w:val="01C84FBC"/>
    <w:rsid w:val="02453C8B"/>
    <w:rsid w:val="029167E5"/>
    <w:rsid w:val="02BC7743"/>
    <w:rsid w:val="02D876C0"/>
    <w:rsid w:val="036B5251"/>
    <w:rsid w:val="037C1ED4"/>
    <w:rsid w:val="0394658D"/>
    <w:rsid w:val="03B60BF9"/>
    <w:rsid w:val="03BF4FFD"/>
    <w:rsid w:val="03C70711"/>
    <w:rsid w:val="03FB0D5C"/>
    <w:rsid w:val="04030C06"/>
    <w:rsid w:val="049C308A"/>
    <w:rsid w:val="05816A5C"/>
    <w:rsid w:val="0592364B"/>
    <w:rsid w:val="05C034A0"/>
    <w:rsid w:val="05E65792"/>
    <w:rsid w:val="061A17FD"/>
    <w:rsid w:val="062F259D"/>
    <w:rsid w:val="06450013"/>
    <w:rsid w:val="06824DC3"/>
    <w:rsid w:val="06E36A4B"/>
    <w:rsid w:val="06F3181D"/>
    <w:rsid w:val="077F3CA8"/>
    <w:rsid w:val="0856306B"/>
    <w:rsid w:val="089D5285"/>
    <w:rsid w:val="08CC56FB"/>
    <w:rsid w:val="09845161"/>
    <w:rsid w:val="0A496C16"/>
    <w:rsid w:val="0AC331EA"/>
    <w:rsid w:val="0AD025A1"/>
    <w:rsid w:val="0B824D33"/>
    <w:rsid w:val="0B860EB1"/>
    <w:rsid w:val="0BA2050F"/>
    <w:rsid w:val="0C4755FC"/>
    <w:rsid w:val="0C990C8A"/>
    <w:rsid w:val="0DEC68CF"/>
    <w:rsid w:val="0E071439"/>
    <w:rsid w:val="0E0F33E0"/>
    <w:rsid w:val="0F3326AE"/>
    <w:rsid w:val="0F3C1CFE"/>
    <w:rsid w:val="0F7554C5"/>
    <w:rsid w:val="0F8250E1"/>
    <w:rsid w:val="0FCE1079"/>
    <w:rsid w:val="10787D07"/>
    <w:rsid w:val="10881228"/>
    <w:rsid w:val="108F650F"/>
    <w:rsid w:val="111D69D3"/>
    <w:rsid w:val="11834C8F"/>
    <w:rsid w:val="12527824"/>
    <w:rsid w:val="12633CFA"/>
    <w:rsid w:val="12816876"/>
    <w:rsid w:val="12B025DC"/>
    <w:rsid w:val="12E44B26"/>
    <w:rsid w:val="143658E7"/>
    <w:rsid w:val="149C34F4"/>
    <w:rsid w:val="14F05C45"/>
    <w:rsid w:val="15697AB3"/>
    <w:rsid w:val="160F73BF"/>
    <w:rsid w:val="16173406"/>
    <w:rsid w:val="175E105C"/>
    <w:rsid w:val="17EC021C"/>
    <w:rsid w:val="17FC7AED"/>
    <w:rsid w:val="181B5ADD"/>
    <w:rsid w:val="196B31D1"/>
    <w:rsid w:val="198B3B37"/>
    <w:rsid w:val="1A0C2CE4"/>
    <w:rsid w:val="1A1F490F"/>
    <w:rsid w:val="1A393593"/>
    <w:rsid w:val="1A3A44FA"/>
    <w:rsid w:val="1A414DE8"/>
    <w:rsid w:val="1B04493C"/>
    <w:rsid w:val="1C1B5483"/>
    <w:rsid w:val="1D352737"/>
    <w:rsid w:val="1D9F6764"/>
    <w:rsid w:val="1DA36521"/>
    <w:rsid w:val="1DE53575"/>
    <w:rsid w:val="1E1868DA"/>
    <w:rsid w:val="1FC47ED3"/>
    <w:rsid w:val="21254871"/>
    <w:rsid w:val="217B4EF1"/>
    <w:rsid w:val="22E568AB"/>
    <w:rsid w:val="230010F2"/>
    <w:rsid w:val="23124C60"/>
    <w:rsid w:val="240C79EB"/>
    <w:rsid w:val="24561251"/>
    <w:rsid w:val="24590C68"/>
    <w:rsid w:val="24C20D54"/>
    <w:rsid w:val="25780101"/>
    <w:rsid w:val="25B611C6"/>
    <w:rsid w:val="25F767DC"/>
    <w:rsid w:val="26203CF2"/>
    <w:rsid w:val="283750DB"/>
    <w:rsid w:val="28694363"/>
    <w:rsid w:val="28DA76A2"/>
    <w:rsid w:val="2950091E"/>
    <w:rsid w:val="29B25A50"/>
    <w:rsid w:val="2A1407A5"/>
    <w:rsid w:val="2A3C716F"/>
    <w:rsid w:val="2A635A44"/>
    <w:rsid w:val="2A8D3E70"/>
    <w:rsid w:val="2AE65071"/>
    <w:rsid w:val="2B1A64F8"/>
    <w:rsid w:val="2B6168B4"/>
    <w:rsid w:val="2B652609"/>
    <w:rsid w:val="2B6535CC"/>
    <w:rsid w:val="2B7C38A7"/>
    <w:rsid w:val="2BD80987"/>
    <w:rsid w:val="2C1D79E1"/>
    <w:rsid w:val="2C22587F"/>
    <w:rsid w:val="2D4D7629"/>
    <w:rsid w:val="2DFA7CBA"/>
    <w:rsid w:val="2E067F96"/>
    <w:rsid w:val="2EAD2708"/>
    <w:rsid w:val="2F1C0F3B"/>
    <w:rsid w:val="2F394E54"/>
    <w:rsid w:val="2F6D7074"/>
    <w:rsid w:val="30BC06C0"/>
    <w:rsid w:val="31530B5B"/>
    <w:rsid w:val="316E6BC8"/>
    <w:rsid w:val="31737A5C"/>
    <w:rsid w:val="318B1B14"/>
    <w:rsid w:val="31AE04BD"/>
    <w:rsid w:val="322E1C4E"/>
    <w:rsid w:val="32813927"/>
    <w:rsid w:val="32933D30"/>
    <w:rsid w:val="33A90259"/>
    <w:rsid w:val="33F666D8"/>
    <w:rsid w:val="34BB30CA"/>
    <w:rsid w:val="35304A00"/>
    <w:rsid w:val="357B0F08"/>
    <w:rsid w:val="35EE2535"/>
    <w:rsid w:val="36412727"/>
    <w:rsid w:val="36CB383F"/>
    <w:rsid w:val="36DD1A1E"/>
    <w:rsid w:val="37E63F70"/>
    <w:rsid w:val="381B3499"/>
    <w:rsid w:val="381E3F8F"/>
    <w:rsid w:val="38B65D42"/>
    <w:rsid w:val="39EC41AF"/>
    <w:rsid w:val="39F84B3D"/>
    <w:rsid w:val="3A2C733C"/>
    <w:rsid w:val="3AA47D0C"/>
    <w:rsid w:val="3AA8118F"/>
    <w:rsid w:val="3AD9074E"/>
    <w:rsid w:val="3BBA094C"/>
    <w:rsid w:val="3BEB7FB9"/>
    <w:rsid w:val="3D075D73"/>
    <w:rsid w:val="3D1263F8"/>
    <w:rsid w:val="3E03620E"/>
    <w:rsid w:val="3E1A459A"/>
    <w:rsid w:val="3E6555EE"/>
    <w:rsid w:val="3E786BEE"/>
    <w:rsid w:val="3F0F3D85"/>
    <w:rsid w:val="3F693E37"/>
    <w:rsid w:val="3F710F55"/>
    <w:rsid w:val="3FB44FF5"/>
    <w:rsid w:val="402D6FB2"/>
    <w:rsid w:val="403A397B"/>
    <w:rsid w:val="40436D96"/>
    <w:rsid w:val="40550877"/>
    <w:rsid w:val="40D21E6C"/>
    <w:rsid w:val="4151103E"/>
    <w:rsid w:val="41AE749D"/>
    <w:rsid w:val="41B660C0"/>
    <w:rsid w:val="437F718E"/>
    <w:rsid w:val="438354C2"/>
    <w:rsid w:val="43CA7E1A"/>
    <w:rsid w:val="44F0356D"/>
    <w:rsid w:val="45062140"/>
    <w:rsid w:val="453E547A"/>
    <w:rsid w:val="45666688"/>
    <w:rsid w:val="469A3385"/>
    <w:rsid w:val="47320BC3"/>
    <w:rsid w:val="47651695"/>
    <w:rsid w:val="48232B5B"/>
    <w:rsid w:val="489D3690"/>
    <w:rsid w:val="49435101"/>
    <w:rsid w:val="49810E73"/>
    <w:rsid w:val="4A307D8B"/>
    <w:rsid w:val="4AF22FD6"/>
    <w:rsid w:val="4B280089"/>
    <w:rsid w:val="4BF25249"/>
    <w:rsid w:val="4CCC6581"/>
    <w:rsid w:val="4DE37989"/>
    <w:rsid w:val="4E1A2BEE"/>
    <w:rsid w:val="4EE10AFD"/>
    <w:rsid w:val="4EE45332"/>
    <w:rsid w:val="4EE74947"/>
    <w:rsid w:val="4F173474"/>
    <w:rsid w:val="4FF11949"/>
    <w:rsid w:val="503D0049"/>
    <w:rsid w:val="50444DA6"/>
    <w:rsid w:val="509A6F2E"/>
    <w:rsid w:val="50FA2994"/>
    <w:rsid w:val="53071EA5"/>
    <w:rsid w:val="53A8482D"/>
    <w:rsid w:val="53E3094E"/>
    <w:rsid w:val="54460F40"/>
    <w:rsid w:val="5456175B"/>
    <w:rsid w:val="55256D57"/>
    <w:rsid w:val="55582949"/>
    <w:rsid w:val="55AB0477"/>
    <w:rsid w:val="56592C57"/>
    <w:rsid w:val="56604927"/>
    <w:rsid w:val="56EE70D3"/>
    <w:rsid w:val="573F7D08"/>
    <w:rsid w:val="579A78EB"/>
    <w:rsid w:val="59AB5513"/>
    <w:rsid w:val="59C23650"/>
    <w:rsid w:val="59E625ED"/>
    <w:rsid w:val="5A2D178C"/>
    <w:rsid w:val="5A3C6EE6"/>
    <w:rsid w:val="5A7E59C9"/>
    <w:rsid w:val="5AC77F80"/>
    <w:rsid w:val="5B76428C"/>
    <w:rsid w:val="5B9C5D72"/>
    <w:rsid w:val="5BFB64D2"/>
    <w:rsid w:val="5C104E71"/>
    <w:rsid w:val="5C43211E"/>
    <w:rsid w:val="5CB14AA7"/>
    <w:rsid w:val="5CBD78ED"/>
    <w:rsid w:val="5D062AC6"/>
    <w:rsid w:val="5D860380"/>
    <w:rsid w:val="5DB555BB"/>
    <w:rsid w:val="5DE07FE6"/>
    <w:rsid w:val="5EC1360A"/>
    <w:rsid w:val="5F2627A2"/>
    <w:rsid w:val="5FC238B4"/>
    <w:rsid w:val="6033269E"/>
    <w:rsid w:val="603648D3"/>
    <w:rsid w:val="606F5B12"/>
    <w:rsid w:val="60DE2E59"/>
    <w:rsid w:val="615D5386"/>
    <w:rsid w:val="617D3332"/>
    <w:rsid w:val="61991F93"/>
    <w:rsid w:val="61A3069A"/>
    <w:rsid w:val="61BC20AC"/>
    <w:rsid w:val="620C24CF"/>
    <w:rsid w:val="647620BA"/>
    <w:rsid w:val="648626EF"/>
    <w:rsid w:val="64C60BE4"/>
    <w:rsid w:val="64CC3474"/>
    <w:rsid w:val="656A4099"/>
    <w:rsid w:val="65824225"/>
    <w:rsid w:val="65C7158D"/>
    <w:rsid w:val="6627014E"/>
    <w:rsid w:val="662C7998"/>
    <w:rsid w:val="6694184A"/>
    <w:rsid w:val="66B27F22"/>
    <w:rsid w:val="66F002B3"/>
    <w:rsid w:val="6739419F"/>
    <w:rsid w:val="67396F07"/>
    <w:rsid w:val="67487F9D"/>
    <w:rsid w:val="67560E09"/>
    <w:rsid w:val="67ED2882"/>
    <w:rsid w:val="68014955"/>
    <w:rsid w:val="684A5110"/>
    <w:rsid w:val="68780D05"/>
    <w:rsid w:val="68A1671C"/>
    <w:rsid w:val="69106D60"/>
    <w:rsid w:val="69913F0E"/>
    <w:rsid w:val="6A635D6D"/>
    <w:rsid w:val="6B743B7F"/>
    <w:rsid w:val="6BB51FF2"/>
    <w:rsid w:val="6BDB1304"/>
    <w:rsid w:val="6C0B5E41"/>
    <w:rsid w:val="6D014534"/>
    <w:rsid w:val="6D836174"/>
    <w:rsid w:val="6D9A2CD1"/>
    <w:rsid w:val="6DA21EA3"/>
    <w:rsid w:val="6ECD4D96"/>
    <w:rsid w:val="6EEE0CDF"/>
    <w:rsid w:val="6F4E25B0"/>
    <w:rsid w:val="6FF931B2"/>
    <w:rsid w:val="701A0944"/>
    <w:rsid w:val="70717761"/>
    <w:rsid w:val="708C3A86"/>
    <w:rsid w:val="71297523"/>
    <w:rsid w:val="71963245"/>
    <w:rsid w:val="71E138E8"/>
    <w:rsid w:val="72CA20E2"/>
    <w:rsid w:val="72EF2D1F"/>
    <w:rsid w:val="73BB32F4"/>
    <w:rsid w:val="74191BF6"/>
    <w:rsid w:val="75227685"/>
    <w:rsid w:val="75695C4F"/>
    <w:rsid w:val="75BD349E"/>
    <w:rsid w:val="76422821"/>
    <w:rsid w:val="76B37F73"/>
    <w:rsid w:val="77B15447"/>
    <w:rsid w:val="77FD5C6C"/>
    <w:rsid w:val="79ED757F"/>
    <w:rsid w:val="7A6922D0"/>
    <w:rsid w:val="7AB636E5"/>
    <w:rsid w:val="7ABE077A"/>
    <w:rsid w:val="7B4071DF"/>
    <w:rsid w:val="7B792850"/>
    <w:rsid w:val="7BAC68FD"/>
    <w:rsid w:val="7C974214"/>
    <w:rsid w:val="7D0B640F"/>
    <w:rsid w:val="7D4105A8"/>
    <w:rsid w:val="7D7674A4"/>
    <w:rsid w:val="7D821FA4"/>
    <w:rsid w:val="7D891584"/>
    <w:rsid w:val="7E3C1E56"/>
    <w:rsid w:val="7EB021A5"/>
    <w:rsid w:val="7ED828A4"/>
    <w:rsid w:val="7F03096F"/>
    <w:rsid w:val="7F173BD2"/>
    <w:rsid w:val="7F8B35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qFormat/>
    <w:uiPriority w:val="0"/>
    <w:pPr>
      <w:numPr>
        <w:ilvl w:val="0"/>
        <w:numId w:val="1"/>
      </w:numPr>
      <w:spacing w:before="50" w:beforeLines="50" w:after="50" w:afterLines="50" w:line="360" w:lineRule="auto"/>
      <w:jc w:val="center"/>
      <w:outlineLvl w:val="0"/>
    </w:pPr>
    <w:rPr>
      <w:b/>
      <w:bCs/>
      <w:kern w:val="20"/>
      <w:sz w:val="36"/>
      <w:szCs w:val="36"/>
    </w:rPr>
  </w:style>
  <w:style w:type="paragraph" w:styleId="4">
    <w:name w:val="heading 2"/>
    <w:basedOn w:val="3"/>
    <w:next w:val="1"/>
    <w:unhideWhenUsed/>
    <w:qFormat/>
    <w:uiPriority w:val="0"/>
    <w:pPr>
      <w:keepNext/>
      <w:keepLines/>
      <w:numPr>
        <w:ilvl w:val="1"/>
      </w:numPr>
      <w:outlineLvl w:val="1"/>
    </w:pPr>
    <w:rPr>
      <w:kern w:val="2"/>
      <w:sz w:val="30"/>
      <w:szCs w:val="32"/>
    </w:rPr>
  </w:style>
  <w:style w:type="paragraph" w:styleId="5">
    <w:name w:val="heading 3"/>
    <w:basedOn w:val="1"/>
    <w:next w:val="1"/>
    <w:unhideWhenUsed/>
    <w:qFormat/>
    <w:uiPriority w:val="0"/>
    <w:pPr>
      <w:keepNext/>
      <w:keepLines/>
      <w:numPr>
        <w:ilvl w:val="2"/>
        <w:numId w:val="1"/>
      </w:numPr>
      <w:spacing w:before="50" w:beforeLines="50" w:line="500" w:lineRule="exact"/>
      <w:jc w:val="left"/>
      <w:outlineLvl w:val="2"/>
    </w:pPr>
    <w:rPr>
      <w:sz w:val="28"/>
      <w:szCs w:val="28"/>
    </w:rPr>
  </w:style>
  <w:style w:type="paragraph" w:styleId="6">
    <w:name w:val="heading 6"/>
    <w:basedOn w:val="1"/>
    <w:next w:val="1"/>
    <w:qFormat/>
    <w:uiPriority w:val="0"/>
    <w:pPr>
      <w:keepNext/>
      <w:keepLines/>
      <w:numPr>
        <w:ilvl w:val="5"/>
        <w:numId w:val="2"/>
      </w:numPr>
      <w:tabs>
        <w:tab w:val="left" w:pos="0"/>
        <w:tab w:val="clear" w:pos="420"/>
      </w:tabs>
      <w:spacing w:before="50" w:beforeLines="50"/>
      <w:jc w:val="center"/>
      <w:outlineLvl w:val="5"/>
    </w:pPr>
    <w:rPr>
      <w:b/>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qFormat/>
    <w:uiPriority w:val="0"/>
    <w:pPr>
      <w:ind w:firstLine="420"/>
    </w:pPr>
    <w:rPr>
      <w:sz w:val="24"/>
    </w:rPr>
  </w:style>
  <w:style w:type="paragraph" w:styleId="7">
    <w:name w:val="Normal Indent"/>
    <w:basedOn w:val="1"/>
    <w:qFormat/>
    <w:uiPriority w:val="99"/>
  </w:style>
  <w:style w:type="paragraph" w:styleId="8">
    <w:name w:val="annotation text"/>
    <w:basedOn w:val="1"/>
    <w:qFormat/>
    <w:uiPriority w:val="0"/>
    <w:pPr>
      <w:jc w:val="left"/>
    </w:pPr>
  </w:style>
  <w:style w:type="paragraph" w:styleId="9">
    <w:name w:val="Body Text"/>
    <w:basedOn w:val="1"/>
    <w:next w:val="10"/>
    <w:link w:val="34"/>
    <w:qFormat/>
    <w:uiPriority w:val="0"/>
    <w:pPr>
      <w:spacing w:after="120"/>
    </w:pPr>
  </w:style>
  <w:style w:type="paragraph" w:customStyle="1" w:styleId="10">
    <w:name w:val="xl27"/>
    <w:basedOn w:val="1"/>
    <w:next w:val="11"/>
    <w:qFormat/>
    <w:uiPriority w:val="0"/>
    <w:pPr>
      <w:widowControl/>
      <w:spacing w:before="100" w:after="100"/>
      <w:jc w:val="center"/>
      <w:textAlignment w:val="center"/>
    </w:pPr>
    <w:rPr>
      <w:rFonts w:ascii="宋体" w:hAnsi="宋体"/>
      <w:kern w:val="0"/>
      <w:sz w:val="24"/>
      <w:szCs w:val="20"/>
    </w:rPr>
  </w:style>
  <w:style w:type="paragraph" w:styleId="11">
    <w:name w:val="Body Text Indent 2"/>
    <w:basedOn w:val="1"/>
    <w:next w:val="1"/>
    <w:unhideWhenUsed/>
    <w:qFormat/>
    <w:uiPriority w:val="99"/>
    <w:pPr>
      <w:spacing w:after="120" w:line="480" w:lineRule="auto"/>
      <w:ind w:left="420" w:leftChars="200"/>
    </w:pPr>
    <w:rPr>
      <w:rFonts w:eastAsia="汉鼎简书宋"/>
      <w:szCs w:val="24"/>
    </w:rPr>
  </w:style>
  <w:style w:type="paragraph" w:styleId="12">
    <w:name w:val="Body Text Indent"/>
    <w:basedOn w:val="1"/>
    <w:next w:val="13"/>
    <w:qFormat/>
    <w:uiPriority w:val="0"/>
    <w:pPr>
      <w:spacing w:after="120"/>
      <w:ind w:left="420" w:leftChars="200"/>
    </w:pPr>
    <w:rPr>
      <w:kern w:val="0"/>
      <w:sz w:val="24"/>
      <w:szCs w:val="20"/>
    </w:rPr>
  </w:style>
  <w:style w:type="paragraph" w:customStyle="1" w:styleId="13">
    <w:name w:val="样式 正文文本缩进 + 行距: 1.5 倍行距"/>
    <w:basedOn w:val="1"/>
    <w:qFormat/>
    <w:uiPriority w:val="0"/>
    <w:pPr>
      <w:spacing w:after="120"/>
      <w:ind w:left="90" w:leftChars="32" w:firstLine="560" w:firstLineChars="200"/>
    </w:pPr>
    <w:rPr>
      <w:rFonts w:cs="宋体"/>
    </w:rPr>
  </w:style>
  <w:style w:type="paragraph" w:styleId="14">
    <w:name w:val="toc 3"/>
    <w:basedOn w:val="1"/>
    <w:next w:val="1"/>
    <w:qFormat/>
    <w:uiPriority w:val="0"/>
    <w:pPr>
      <w:ind w:left="840" w:leftChars="400"/>
    </w:pPr>
  </w:style>
  <w:style w:type="paragraph" w:styleId="15">
    <w:name w:val="Balloon Text"/>
    <w:basedOn w:val="1"/>
    <w:link w:val="35"/>
    <w:qFormat/>
    <w:uiPriority w:val="0"/>
    <w:rPr>
      <w:sz w:val="18"/>
      <w:szCs w:val="18"/>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qFormat/>
    <w:uiPriority w:val="0"/>
  </w:style>
  <w:style w:type="paragraph" w:styleId="19">
    <w:name w:val="toc 2"/>
    <w:basedOn w:val="1"/>
    <w:next w:val="1"/>
    <w:qFormat/>
    <w:uiPriority w:val="0"/>
    <w:pPr>
      <w:ind w:left="420" w:leftChars="200"/>
    </w:pPr>
  </w:style>
  <w:style w:type="paragraph" w:styleId="20">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Hyperlink"/>
    <w:basedOn w:val="23"/>
    <w:qFormat/>
    <w:uiPriority w:val="0"/>
    <w:rPr>
      <w:color w:val="0000FF"/>
      <w:u w:val="single"/>
    </w:rPr>
  </w:style>
  <w:style w:type="paragraph" w:customStyle="1" w:styleId="25">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table" w:customStyle="1" w:styleId="26">
    <w:name w:val="Table Normal"/>
    <w:semiHidden/>
    <w:unhideWhenUsed/>
    <w:qFormat/>
    <w:uiPriority w:val="0"/>
    <w:tblPr>
      <w:tblCellMar>
        <w:top w:w="0" w:type="dxa"/>
        <w:left w:w="0" w:type="dxa"/>
        <w:bottom w:w="0" w:type="dxa"/>
        <w:right w:w="0" w:type="dxa"/>
      </w:tblCellMar>
    </w:tblPr>
  </w:style>
  <w:style w:type="paragraph" w:customStyle="1" w:styleId="27">
    <w:name w:val="报告表正文"/>
    <w:basedOn w:val="1"/>
    <w:qFormat/>
    <w:uiPriority w:val="0"/>
    <w:pPr>
      <w:ind w:firstLine="200"/>
    </w:pPr>
    <w:rPr>
      <w:lang w:val="zh-CN"/>
    </w:rPr>
  </w:style>
  <w:style w:type="paragraph" w:customStyle="1" w:styleId="28">
    <w:name w:val="WPSOffice手动目录 1"/>
    <w:qFormat/>
    <w:uiPriority w:val="0"/>
    <w:rPr>
      <w:rFonts w:ascii="Times New Roman" w:hAnsi="Times New Roman" w:eastAsia="宋体" w:cs="Times New Roman"/>
      <w:lang w:val="en-US" w:eastAsia="zh-CN" w:bidi="ar-SA"/>
    </w:rPr>
  </w:style>
  <w:style w:type="paragraph" w:customStyle="1" w:styleId="29">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0">
    <w:name w:val="font11"/>
    <w:basedOn w:val="23"/>
    <w:qFormat/>
    <w:uiPriority w:val="0"/>
    <w:rPr>
      <w:rFonts w:hint="eastAsia" w:ascii="黑体" w:hAnsi="宋体" w:eastAsia="黑体" w:cs="黑体"/>
      <w:color w:val="000000"/>
      <w:sz w:val="18"/>
      <w:szCs w:val="18"/>
      <w:u w:val="none"/>
    </w:rPr>
  </w:style>
  <w:style w:type="character" w:customStyle="1" w:styleId="31">
    <w:name w:val="font01"/>
    <w:basedOn w:val="23"/>
    <w:qFormat/>
    <w:uiPriority w:val="0"/>
    <w:rPr>
      <w:rFonts w:hint="eastAsia" w:ascii="宋体" w:hAnsi="宋体" w:eastAsia="宋体" w:cs="宋体"/>
      <w:color w:val="000000"/>
      <w:sz w:val="18"/>
      <w:szCs w:val="18"/>
      <w:u w:val="none"/>
    </w:rPr>
  </w:style>
  <w:style w:type="character" w:customStyle="1" w:styleId="32">
    <w:name w:val="font21"/>
    <w:basedOn w:val="23"/>
    <w:qFormat/>
    <w:uiPriority w:val="0"/>
    <w:rPr>
      <w:rFonts w:hint="default" w:ascii="Times New Roman" w:hAnsi="Times New Roman" w:cs="Times New Roman"/>
      <w:color w:val="000000"/>
      <w:sz w:val="21"/>
      <w:szCs w:val="21"/>
      <w:u w:val="none"/>
      <w:vertAlign w:val="subscript"/>
    </w:rPr>
  </w:style>
  <w:style w:type="paragraph" w:customStyle="1" w:styleId="33">
    <w:name w:val="样式 (符号) 宋体 小四 行距: 1.5 倍行距"/>
    <w:basedOn w:val="1"/>
    <w:qFormat/>
    <w:uiPriority w:val="0"/>
    <w:pPr>
      <w:spacing w:line="360" w:lineRule="auto"/>
      <w:ind w:firstLine="480" w:firstLineChars="200"/>
    </w:pPr>
    <w:rPr>
      <w:rFonts w:hAnsi="宋体" w:cs="宋体"/>
      <w:sz w:val="24"/>
    </w:rPr>
  </w:style>
  <w:style w:type="character" w:customStyle="1" w:styleId="34">
    <w:name w:val="正文文本 Char"/>
    <w:basedOn w:val="23"/>
    <w:link w:val="9"/>
    <w:qFormat/>
    <w:uiPriority w:val="0"/>
    <w:rPr>
      <w:kern w:val="2"/>
      <w:sz w:val="21"/>
      <w:szCs w:val="21"/>
    </w:rPr>
  </w:style>
  <w:style w:type="character" w:customStyle="1" w:styleId="35">
    <w:name w:val="批注框文本 Char"/>
    <w:basedOn w:val="23"/>
    <w:link w:val="15"/>
    <w:qFormat/>
    <w:uiPriority w:val="0"/>
    <w:rPr>
      <w:kern w:val="2"/>
      <w:sz w:val="18"/>
      <w:szCs w:val="18"/>
    </w:rPr>
  </w:style>
  <w:style w:type="paragraph" w:customStyle="1" w:styleId="36">
    <w:name w:val="WPSOffice手动目录 3"/>
    <w:qFormat/>
    <w:uiPriority w:val="0"/>
    <w:pPr>
      <w:ind w:leftChars="400"/>
    </w:pPr>
    <w:rPr>
      <w:rFonts w:ascii="Times New Roman" w:hAnsi="Times New Roman" w:eastAsia="宋体" w:cs="Times New Roman"/>
      <w:sz w:val="20"/>
      <w:szCs w:val="20"/>
    </w:rPr>
  </w:style>
  <w:style w:type="paragraph" w:customStyle="1" w:styleId="37">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D413D7B-B835-41AF-BE34-5CA215F8C824}">
  <ds:schemaRefs/>
</ds:datastoreItem>
</file>

<file path=docProps/app.xml><?xml version="1.0" encoding="utf-8"?>
<Properties xmlns="http://schemas.openxmlformats.org/officeDocument/2006/extended-properties" xmlns:vt="http://schemas.openxmlformats.org/officeDocument/2006/docPropsVTypes">
  <Template>Normal</Template>
  <Pages>102</Pages>
  <Words>33150</Words>
  <Characters>46963</Characters>
  <Lines>389</Lines>
  <Paragraphs>109</Paragraphs>
  <TotalTime>2</TotalTime>
  <ScaleCrop>false</ScaleCrop>
  <LinksUpToDate>false</LinksUpToDate>
  <CharactersWithSpaces>54591</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2022-05-06T12:37:00Z</dcterms:created>
  <dc:creator>dont</dc:creator>
  <cp:lastModifiedBy>Administrator</cp:lastModifiedBy>
  <dcterms:modified xsi:type="dcterms:W3CDTF">2022-05-10T12:32:43Z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582AD2431B4E4E1490C5EB4ADE9905B0</vt:lpwstr>
  </property>
</Properties>
</file>