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6"/>
        <w:rPr>
          <w:rFonts w:hint="default" w:ascii="Times New Roman" w:hAnsi="Times New Roman" w:eastAsia="仿宋" w:cs="Times New Roman"/>
          <w:b/>
          <w:bCs/>
          <w:sz w:val="40"/>
          <w:highlight w:val="none"/>
        </w:rPr>
      </w:pPr>
    </w:p>
    <w:p>
      <w:pPr>
        <w:pStyle w:val="26"/>
        <w:rPr>
          <w:rFonts w:hint="default" w:ascii="Times New Roman" w:hAnsi="Times New Roman" w:eastAsia="仿宋" w:cs="Times New Roman"/>
          <w:b/>
          <w:bCs/>
          <w:sz w:val="40"/>
          <w:highlight w:val="none"/>
        </w:rPr>
      </w:pPr>
    </w:p>
    <w:p>
      <w:pPr>
        <w:spacing w:line="360" w:lineRule="auto"/>
        <w:jc w:val="center"/>
        <w:rPr>
          <w:rFonts w:hint="default" w:ascii="Times New Roman" w:hAnsi="Times New Roman" w:eastAsia="黑体" w:cs="Times New Roman"/>
          <w:b/>
          <w:bCs/>
          <w:sz w:val="52"/>
          <w:szCs w:val="36"/>
          <w:highlight w:val="none"/>
        </w:rPr>
      </w:pPr>
      <w:r>
        <w:rPr>
          <w:rFonts w:hint="default" w:ascii="Times New Roman" w:hAnsi="Times New Roman" w:eastAsia="黑体" w:cs="Times New Roman"/>
          <w:b/>
          <w:bCs/>
          <w:sz w:val="52"/>
          <w:szCs w:val="36"/>
          <w:highlight w:val="none"/>
        </w:rPr>
        <w:t>安化县乐安镇乐高污水处理厂</w:t>
      </w:r>
    </w:p>
    <w:p>
      <w:pPr>
        <w:spacing w:line="360" w:lineRule="auto"/>
        <w:jc w:val="center"/>
        <w:rPr>
          <w:rFonts w:hint="default" w:ascii="Times New Roman" w:hAnsi="Times New Roman" w:eastAsia="黑体" w:cs="Times New Roman"/>
          <w:b/>
          <w:bCs/>
          <w:sz w:val="52"/>
          <w:szCs w:val="36"/>
          <w:highlight w:val="none"/>
        </w:rPr>
      </w:pPr>
      <w:r>
        <w:rPr>
          <w:rFonts w:hint="default" w:ascii="Times New Roman" w:hAnsi="Times New Roman" w:eastAsia="黑体" w:cs="Times New Roman"/>
          <w:b/>
          <w:bCs/>
          <w:sz w:val="52"/>
          <w:szCs w:val="36"/>
          <w:highlight w:val="none"/>
        </w:rPr>
        <w:t>入河排污口设置论证报告</w:t>
      </w:r>
    </w:p>
    <w:p>
      <w:pPr>
        <w:spacing w:line="360" w:lineRule="auto"/>
        <w:ind w:firstLine="960" w:firstLineChars="200"/>
        <w:jc w:val="center"/>
        <w:rPr>
          <w:rFonts w:hint="default" w:ascii="Times New Roman" w:hAnsi="Times New Roman" w:eastAsia="仿宋" w:cs="Times New Roman"/>
          <w:sz w:val="48"/>
          <w:szCs w:val="32"/>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pStyle w:val="26"/>
        <w:rPr>
          <w:rFonts w:hint="default" w:ascii="Times New Roman" w:hAnsi="Times New Roman" w:eastAsia="仿宋" w:cs="Times New Roman"/>
          <w:sz w:val="40"/>
          <w:highlight w:val="none"/>
        </w:rPr>
      </w:pPr>
    </w:p>
    <w:p>
      <w:pPr>
        <w:pStyle w:val="26"/>
        <w:rPr>
          <w:rFonts w:hint="default" w:ascii="Times New Roman" w:hAnsi="Times New Roman" w:eastAsia="仿宋" w:cs="Times New Roman"/>
          <w:sz w:val="40"/>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spacing w:line="360" w:lineRule="auto"/>
        <w:ind w:firstLine="800" w:firstLineChars="200"/>
        <w:jc w:val="center"/>
        <w:rPr>
          <w:rFonts w:hint="default" w:ascii="Times New Roman" w:hAnsi="Times New Roman" w:eastAsia="仿宋" w:cs="Times New Roman"/>
          <w:sz w:val="40"/>
          <w:szCs w:val="24"/>
          <w:highlight w:val="none"/>
        </w:rPr>
      </w:pPr>
    </w:p>
    <w:p>
      <w:pPr>
        <w:spacing w:line="360" w:lineRule="auto"/>
        <w:ind w:firstLine="1285" w:firstLineChars="400"/>
        <w:rPr>
          <w:rFonts w:hint="default" w:ascii="Times New Roman" w:hAnsi="Times New Roman" w:cs="Times New Roman"/>
          <w:b/>
          <w:bCs/>
          <w:sz w:val="32"/>
          <w:szCs w:val="32"/>
          <w:highlight w:val="none"/>
        </w:rPr>
      </w:pPr>
      <w:r>
        <w:rPr>
          <w:rFonts w:hint="default" w:ascii="Times New Roman" w:hAnsi="Times New Roman" w:cs="Times New Roman"/>
          <w:b/>
          <w:bCs/>
          <w:sz w:val="32"/>
          <w:szCs w:val="32"/>
          <w:highlight w:val="none"/>
        </w:rPr>
        <w:t>委托单位：安化县住房和城乡建设局</w:t>
      </w:r>
    </w:p>
    <w:p>
      <w:pPr>
        <w:spacing w:line="360" w:lineRule="auto"/>
        <w:ind w:firstLine="1285" w:firstLineChars="400"/>
        <w:rPr>
          <w:rFonts w:hint="default" w:ascii="Times New Roman" w:hAnsi="Times New Roman" w:cs="Times New Roman"/>
          <w:b/>
          <w:bCs/>
          <w:sz w:val="32"/>
          <w:szCs w:val="32"/>
          <w:highlight w:val="none"/>
        </w:rPr>
      </w:pPr>
      <w:r>
        <w:rPr>
          <w:rFonts w:hint="default" w:ascii="Times New Roman" w:hAnsi="Times New Roman" w:cs="Times New Roman"/>
          <w:b/>
          <w:bCs/>
          <w:sz w:val="32"/>
          <w:szCs w:val="32"/>
          <w:highlight w:val="none"/>
        </w:rPr>
        <w:t>编制单位：湖南润志环保技术有限公司</w:t>
      </w:r>
    </w:p>
    <w:p>
      <w:pPr>
        <w:jc w:val="center"/>
        <w:rPr>
          <w:rFonts w:hint="default" w:ascii="Times New Roman" w:hAnsi="Times New Roman" w:cs="Times New Roman"/>
          <w:highlight w:val="none"/>
        </w:rPr>
        <w:sectPr>
          <w:pgSz w:w="11906" w:h="16838"/>
          <w:pgMar w:top="1803" w:right="1644" w:bottom="1803" w:left="1814" w:header="851" w:footer="992" w:gutter="0"/>
          <w:cols w:space="720" w:num="1"/>
          <w:docGrid w:type="lines" w:linePitch="312" w:charSpace="0"/>
        </w:sectPr>
      </w:pPr>
      <w:r>
        <w:rPr>
          <w:rFonts w:hint="default" w:ascii="Times New Roman" w:hAnsi="Times New Roman" w:cs="Times New Roman"/>
          <w:b/>
          <w:bCs/>
          <w:sz w:val="32"/>
          <w:szCs w:val="32"/>
          <w:highlight w:val="none"/>
        </w:rPr>
        <w:t>2021年12月</w:t>
      </w:r>
    </w:p>
    <w:p>
      <w:pPr>
        <w:keepNext w:val="0"/>
        <w:keepLines w:val="0"/>
        <w:pageBreakBefore w:val="0"/>
        <w:widowControl w:val="0"/>
        <w:kinsoku/>
        <w:wordWrap/>
        <w:overflowPunct/>
        <w:topLinePunct w:val="0"/>
        <w:autoSpaceDE/>
        <w:autoSpaceDN/>
        <w:bidi w:val="0"/>
        <w:adjustRightInd/>
        <w:snapToGrid/>
        <w:spacing w:before="61" w:line="188" w:lineRule="auto"/>
        <w:jc w:val="center"/>
        <w:textAlignment w:val="auto"/>
        <w:outlineLvl w:val="9"/>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pPr>
      <w:bookmarkStart w:id="0" w:name="_Toc1525"/>
      <w:bookmarkStart w:id="1" w:name="_Toc10628"/>
      <w:r>
        <w:rPr>
          <w:rFonts w:hint="default" w:ascii="Times New Roman" w:hAnsi="Times New Roman" w:cs="Times New Roman"/>
          <w:highlight w:val="none"/>
        </w:rPr>
        <w:drawing>
          <wp:inline distT="0" distB="0" distL="114300" distR="114300">
            <wp:extent cx="5636895" cy="7968615"/>
            <wp:effectExtent l="0" t="0" r="1905" b="13335"/>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5"/>
                    <a:stretch>
                      <a:fillRect/>
                    </a:stretch>
                  </pic:blipFill>
                  <pic:spPr>
                    <a:xfrm>
                      <a:off x="0" y="0"/>
                      <a:ext cx="5636895" cy="79686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spacing w:before="61" w:line="187" w:lineRule="auto"/>
        <w:jc w:val="center"/>
        <w:textAlignment w:val="auto"/>
        <w:outlineLvl w:val="9"/>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pPr>
      <w:bookmarkStart w:id="2" w:name="_Toc19107"/>
      <w:r>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drawing>
          <wp:inline distT="0" distB="0" distL="114300" distR="114300">
            <wp:extent cx="5265420" cy="7508240"/>
            <wp:effectExtent l="0" t="0" r="5080" b="10160"/>
            <wp:docPr id="91" name="图片 91" descr="818a7088f3a7c7485abae0cc35d2bf58_36a9fcfb47eb7ea17eee64523d74c219_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818a7088f3a7c7485abae0cc35d2bf58_36a9fcfb47eb7ea17eee64523d74c219_8_01"/>
                    <pic:cNvPicPr>
                      <a:picLocks noChangeAspect="1"/>
                    </pic:cNvPicPr>
                  </pic:nvPicPr>
                  <pic:blipFill>
                    <a:blip r:embed="rId6"/>
                    <a:stretch>
                      <a:fillRect/>
                    </a:stretch>
                  </pic:blipFill>
                  <pic:spPr>
                    <a:xfrm rot="10800000">
                      <a:off x="0" y="0"/>
                      <a:ext cx="5265420" cy="7508240"/>
                    </a:xfrm>
                    <a:prstGeom prst="rect">
                      <a:avLst/>
                    </a:prstGeom>
                  </pic:spPr>
                </pic:pic>
              </a:graphicData>
            </a:graphic>
          </wp:inline>
        </w:drawing>
      </w:r>
      <w:bookmarkEnd w:id="2"/>
    </w:p>
    <w:p>
      <w:pPr>
        <w:keepNext w:val="0"/>
        <w:keepLines w:val="0"/>
        <w:pageBreakBefore w:val="0"/>
        <w:widowControl w:val="0"/>
        <w:kinsoku/>
        <w:wordWrap/>
        <w:overflowPunct/>
        <w:topLinePunct w:val="0"/>
        <w:autoSpaceDE/>
        <w:autoSpaceDN/>
        <w:bidi w:val="0"/>
        <w:spacing w:before="61" w:line="187" w:lineRule="auto"/>
        <w:jc w:val="center"/>
        <w:textAlignment w:val="auto"/>
        <w:outlineLvl w:val="9"/>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sectPr>
          <w:pgSz w:w="11906" w:h="16838"/>
          <w:pgMar w:top="1644" w:right="1800" w:bottom="1814" w:left="1800" w:header="851" w:footer="992" w:gutter="0"/>
          <w:cols w:space="720" w:num="1"/>
          <w:docGrid w:type="lines" w:linePitch="312" w:charSpace="0"/>
        </w:sectPr>
      </w:pPr>
      <w:bookmarkStart w:id="3" w:name="_Toc30084"/>
      <w:r>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drawing>
          <wp:inline distT="0" distB="0" distL="114300" distR="114300">
            <wp:extent cx="5265420" cy="7508240"/>
            <wp:effectExtent l="0" t="0" r="5080" b="10160"/>
            <wp:docPr id="92" name="图片 92" descr="818a7088f3a7c7485abae0cc35d2bf58_36a9fcfb47eb7ea17eee64523d74c219_8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descr="818a7088f3a7c7485abae0cc35d2bf58_36a9fcfb47eb7ea17eee64523d74c219_8_02"/>
                    <pic:cNvPicPr>
                      <a:picLocks noChangeAspect="1"/>
                    </pic:cNvPicPr>
                  </pic:nvPicPr>
                  <pic:blipFill>
                    <a:blip r:embed="rId7"/>
                    <a:stretch>
                      <a:fillRect/>
                    </a:stretch>
                  </pic:blipFill>
                  <pic:spPr>
                    <a:xfrm>
                      <a:off x="0" y="0"/>
                      <a:ext cx="5265420" cy="7508240"/>
                    </a:xfrm>
                    <a:prstGeom prst="rect">
                      <a:avLst/>
                    </a:prstGeom>
                  </pic:spPr>
                </pic:pic>
              </a:graphicData>
            </a:graphic>
          </wp:inline>
        </w:drawing>
      </w:r>
      <w:bookmarkEnd w:id="3"/>
    </w:p>
    <w:p>
      <w:pPr>
        <w:keepNext w:val="0"/>
        <w:keepLines w:val="0"/>
        <w:pageBreakBefore w:val="0"/>
        <w:widowControl w:val="0"/>
        <w:kinsoku/>
        <w:wordWrap/>
        <w:overflowPunct/>
        <w:topLinePunct w:val="0"/>
        <w:autoSpaceDE/>
        <w:autoSpaceDN/>
        <w:bidi w:val="0"/>
        <w:adjustRightInd w:val="0"/>
        <w:snapToGrid w:val="0"/>
        <w:ind w:firstLine="380" w:firstLineChars="100"/>
        <w:jc w:val="center"/>
        <w:textAlignment w:val="auto"/>
        <w:outlineLvl w:val="9"/>
        <w:rPr>
          <w:rFonts w:hint="default" w:ascii="Times New Roman" w:hAnsi="Times New Roman" w:eastAsia="方正小标宋_GBK" w:cs="Times New Roman"/>
          <w:sz w:val="38"/>
          <w:szCs w:val="38"/>
          <w:highlight w:val="none"/>
        </w:rPr>
      </w:pPr>
      <w:bookmarkStart w:id="4" w:name="_Toc10741"/>
      <w:r>
        <w:rPr>
          <w:rFonts w:hint="default" w:ascii="Times New Roman" w:hAnsi="Times New Roman" w:eastAsia="方正小标宋_GBK" w:cs="Times New Roman"/>
          <w:sz w:val="38"/>
          <w:szCs w:val="38"/>
          <w:highlight w:val="none"/>
        </w:rPr>
        <w:t>安化县乐安镇乐高污水处理厂入河排污口设置论证报告修改说明表</w:t>
      </w:r>
    </w:p>
    <w:tbl>
      <w:tblPr>
        <w:tblStyle w:val="23"/>
        <w:tblW w:w="812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66"/>
        <w:gridCol w:w="2950"/>
        <w:gridCol w:w="3074"/>
        <w:gridCol w:w="143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序号</w:t>
            </w:r>
          </w:p>
        </w:tc>
        <w:tc>
          <w:tcPr>
            <w:tcW w:w="295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评审意见</w:t>
            </w:r>
          </w:p>
        </w:tc>
        <w:tc>
          <w:tcPr>
            <w:tcW w:w="3074"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说  明</w:t>
            </w:r>
          </w:p>
        </w:tc>
        <w:tc>
          <w:tcPr>
            <w:tcW w:w="14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索引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1</w:t>
            </w:r>
          </w:p>
        </w:tc>
        <w:tc>
          <w:tcPr>
            <w:tcW w:w="295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根据《益阳市水功能区划》，核实排污口所在水功能区，据此校核论证范围及论证工作等级。</w:t>
            </w:r>
          </w:p>
        </w:tc>
        <w:tc>
          <w:tcPr>
            <w:tcW w:w="307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根据《益阳市水功能区划》，已核实排污口所在水功能区，已据此校核论证范围及论证工作等级。</w:t>
            </w:r>
          </w:p>
        </w:tc>
        <w:tc>
          <w:tcPr>
            <w:tcW w:w="14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P5、P7-8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2</w:t>
            </w:r>
          </w:p>
        </w:tc>
        <w:tc>
          <w:tcPr>
            <w:tcW w:w="295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核实废水的来源构成，核实排污口基本情况（坐标、排放标准、排放方式、入河方式）。</w:t>
            </w:r>
          </w:p>
        </w:tc>
        <w:tc>
          <w:tcPr>
            <w:tcW w:w="307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已核实废水的来源构成，已核实排污口基本情况</w:t>
            </w:r>
          </w:p>
        </w:tc>
        <w:tc>
          <w:tcPr>
            <w:tcW w:w="14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P27-28、P29-30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3</w:t>
            </w:r>
          </w:p>
        </w:tc>
        <w:tc>
          <w:tcPr>
            <w:tcW w:w="295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补充调查洢水流域基本情况，核实论证范围内现有取、排水状况调查结果，</w:t>
            </w:r>
            <w:r>
              <w:rPr>
                <w:rFonts w:hint="default" w:ascii="Times New Roman" w:hAnsi="Times New Roman" w:cs="Times New Roman"/>
                <w:color w:val="000000" w:themeColor="text1"/>
                <w:highlight w:val="none"/>
                <w14:textFill>
                  <w14:solidFill>
                    <w14:schemeClr w14:val="tx1"/>
                  </w14:solidFill>
                </w14:textFill>
              </w:rPr>
              <w:t>明确排污口与敷溪水质考核断面的位置关系，补充敷溪水质监测数据。</w:t>
            </w:r>
          </w:p>
        </w:tc>
        <w:tc>
          <w:tcPr>
            <w:tcW w:w="307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已补充调查洢水流域基本情况，已核实论证范围内现有取、排水状况调查结果，已</w:t>
            </w:r>
            <w:r>
              <w:rPr>
                <w:rFonts w:hint="default" w:ascii="Times New Roman" w:hAnsi="Times New Roman" w:cs="Times New Roman"/>
                <w:color w:val="000000" w:themeColor="text1"/>
                <w:highlight w:val="none"/>
                <w14:textFill>
                  <w14:solidFill>
                    <w14:schemeClr w14:val="tx1"/>
                  </w14:solidFill>
                </w14:textFill>
              </w:rPr>
              <w:t>明确排污口与敷溪水质考核断面的位置关系，已补充敷溪水质监测数据</w:t>
            </w:r>
          </w:p>
        </w:tc>
        <w:tc>
          <w:tcPr>
            <w:tcW w:w="14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P18、P20-22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4</w:t>
            </w:r>
          </w:p>
        </w:tc>
        <w:tc>
          <w:tcPr>
            <w:tcW w:w="295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结合区域水功能区划及现状水质情况，核实论证河段水质管理目标，补充与源头水水质保护相关政策法规的符合性分析；校核洢水水文数据，并据此核实纳污能力和限制排放总量的核算结果。</w:t>
            </w:r>
          </w:p>
        </w:tc>
        <w:tc>
          <w:tcPr>
            <w:tcW w:w="307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已结合区域水功能区划及现状水质情况，已核实论证河段水质管理目标，已补充与源头水水质保护相关政策法规的符合性分析；已校核洢水水文数据，并据此核实纳污能力和限制排放总量的核算结果。</w:t>
            </w:r>
          </w:p>
        </w:tc>
        <w:tc>
          <w:tcPr>
            <w:tcW w:w="1430" w:type="dxa"/>
            <w:vAlign w:val="center"/>
          </w:tcPr>
          <w:p>
            <w:pPr>
              <w:pStyle w:val="9"/>
              <w:keepNext w:val="0"/>
              <w:keepLines w:val="0"/>
              <w:pageBreakBefore w:val="0"/>
              <w:widowControl w:val="0"/>
              <w:kinsoku/>
              <w:wordWrap/>
              <w:overflowPunct/>
              <w:topLinePunct w:val="0"/>
              <w:autoSpaceDE/>
              <w:autoSpaceDN/>
              <w:bidi w:val="0"/>
              <w:adjustRightInd w:val="0"/>
              <w:snapToGrid w:val="0"/>
              <w:spacing w:after="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P31--37</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5</w:t>
            </w:r>
          </w:p>
        </w:tc>
        <w:tc>
          <w:tcPr>
            <w:tcW w:w="295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结合排污口水质情况及流域水文资料，分枯水期、平水期分别预测排污口设置对下游水功能区水质、水生态的影响。</w:t>
            </w:r>
          </w:p>
        </w:tc>
        <w:tc>
          <w:tcPr>
            <w:tcW w:w="307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结合排污口水质情况及流域水文资料，分枯水期、平水期分别预测排污口设置对下游水功能区水质、水生态的影响</w:t>
            </w:r>
          </w:p>
        </w:tc>
        <w:tc>
          <w:tcPr>
            <w:tcW w:w="14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P38-50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96" w:hRule="atLeast"/>
          <w:jc w:val="center"/>
        </w:trPr>
        <w:tc>
          <w:tcPr>
            <w:tcW w:w="66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6</w:t>
            </w:r>
          </w:p>
        </w:tc>
        <w:tc>
          <w:tcPr>
            <w:tcW w:w="295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textAlignment w:val="auto"/>
              <w:outlineLvl w:val="9"/>
              <w:rPr>
                <w:rFonts w:hint="default" w:ascii="Times New Roman" w:hAnsi="Times New Roman" w:cs="Times New Roman"/>
                <w:color w:val="000000"/>
                <w:highlight w:val="none"/>
              </w:rPr>
            </w:pPr>
            <w:r>
              <w:rPr>
                <w:rFonts w:hint="default" w:ascii="Times New Roman" w:hAnsi="Times New Roman" w:cs="Times New Roman"/>
                <w:color w:val="000000"/>
                <w:highlight w:val="none"/>
              </w:rPr>
              <w:t>完</w:t>
            </w:r>
            <w:r>
              <w:rPr>
                <w:rFonts w:hint="default" w:ascii="Times New Roman" w:hAnsi="Times New Roman" w:cs="Times New Roman"/>
                <w:color w:val="000000" w:themeColor="text1"/>
                <w:highlight w:val="none"/>
                <w14:textFill>
                  <w14:solidFill>
                    <w14:schemeClr w14:val="tx1"/>
                  </w14:solidFill>
                </w14:textFill>
              </w:rPr>
              <w:t>善入河排污口环境监测方案、排污口规范化建设要求及事故排污时应急措施。</w:t>
            </w:r>
          </w:p>
        </w:tc>
        <w:tc>
          <w:tcPr>
            <w:tcW w:w="307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outlineLvl w:val="9"/>
              <w:rPr>
                <w:rFonts w:hint="default" w:ascii="Times New Roman" w:hAnsi="Times New Roman" w:cs="Times New Roman"/>
                <w:color w:val="000000"/>
                <w:highlight w:val="none"/>
              </w:rPr>
            </w:pPr>
            <w:r>
              <w:rPr>
                <w:rFonts w:hint="default" w:ascii="Times New Roman" w:hAnsi="Times New Roman" w:cs="Times New Roman"/>
                <w:color w:val="000000"/>
                <w:highlight w:val="none"/>
              </w:rPr>
              <w:t>已完</w:t>
            </w:r>
            <w:r>
              <w:rPr>
                <w:rFonts w:hint="default" w:ascii="Times New Roman" w:hAnsi="Times New Roman" w:cs="Times New Roman"/>
                <w:color w:val="000000" w:themeColor="text1"/>
                <w:highlight w:val="none"/>
                <w14:textFill>
                  <w14:solidFill>
                    <w14:schemeClr w14:val="tx1"/>
                  </w14:solidFill>
                </w14:textFill>
              </w:rPr>
              <w:t>善入河排污口环境监测方案、排污口规范化建设要求及事故排污时应急措施。</w:t>
            </w:r>
          </w:p>
        </w:tc>
        <w:tc>
          <w:tcPr>
            <w:tcW w:w="14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P53</w:t>
            </w:r>
            <w:r>
              <w:rPr>
                <w:rFonts w:hint="eastAsia" w:cs="Times New Roman"/>
                <w:highlight w:val="none"/>
                <w:lang w:val="en-US" w:eastAsia="zh-CN"/>
              </w:rPr>
              <w:t>-54</w:t>
            </w:r>
            <w:r>
              <w:rPr>
                <w:rFonts w:hint="default" w:ascii="Times New Roman" w:hAnsi="Times New Roman" w:cs="Times New Roman"/>
                <w:highlight w:val="none"/>
              </w:rPr>
              <w:t>、P57-58</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17" w:hRule="atLeast"/>
          <w:jc w:val="center"/>
        </w:trPr>
        <w:tc>
          <w:tcPr>
            <w:tcW w:w="666"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7</w:t>
            </w:r>
          </w:p>
        </w:tc>
        <w:tc>
          <w:tcPr>
            <w:tcW w:w="2950"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textAlignment w:val="auto"/>
              <w:outlineLvl w:val="9"/>
              <w:rPr>
                <w:rFonts w:hint="default" w:ascii="Times New Roman" w:hAnsi="Times New Roman" w:cs="Times New Roman"/>
                <w:color w:val="000000"/>
                <w:highlight w:val="none"/>
              </w:rPr>
            </w:pPr>
            <w:r>
              <w:rPr>
                <w:rFonts w:hint="default" w:ascii="Times New Roman" w:hAnsi="Times New Roman" w:cs="Times New Roman"/>
                <w:color w:val="000000"/>
                <w:highlight w:val="none"/>
              </w:rPr>
              <w:t>补充或完善工程纳污范围图、排污口地理位置图、论证范围及</w:t>
            </w:r>
            <w:r>
              <w:rPr>
                <w:rFonts w:hint="default" w:ascii="Times New Roman" w:hAnsi="Times New Roman" w:cs="Times New Roman"/>
                <w:color w:val="000000" w:themeColor="text1"/>
                <w:highlight w:val="none"/>
                <w14:textFill>
                  <w14:solidFill>
                    <w14:schemeClr w14:val="tx1"/>
                  </w14:solidFill>
                </w14:textFill>
              </w:rPr>
              <w:t>影响范围图</w:t>
            </w:r>
            <w:r>
              <w:rPr>
                <w:rFonts w:hint="default" w:ascii="Times New Roman" w:hAnsi="Times New Roman" w:cs="Times New Roman"/>
                <w:color w:val="000000"/>
                <w:highlight w:val="none"/>
              </w:rPr>
              <w:t>、区域水系图、水功能区划图等资料。</w:t>
            </w:r>
          </w:p>
        </w:tc>
        <w:tc>
          <w:tcPr>
            <w:tcW w:w="3074" w:type="dxa"/>
            <w:vAlign w:val="center"/>
          </w:tcPr>
          <w:p>
            <w:pPr>
              <w:keepNext w:val="0"/>
              <w:keepLines w:val="0"/>
              <w:pageBreakBefore w:val="0"/>
              <w:widowControl w:val="0"/>
              <w:kinsoku/>
              <w:wordWrap/>
              <w:overflowPunct/>
              <w:topLinePunct w:val="0"/>
              <w:autoSpaceDE/>
              <w:autoSpaceDN/>
              <w:bidi w:val="0"/>
              <w:adjustRightInd w:val="0"/>
              <w:snapToGrid w:val="0"/>
              <w:ind w:firstLine="420" w:firstLineChars="200"/>
              <w:jc w:val="left"/>
              <w:textAlignment w:val="auto"/>
              <w:outlineLvl w:val="9"/>
              <w:rPr>
                <w:rFonts w:hint="default" w:ascii="Times New Roman" w:hAnsi="Times New Roman" w:cs="Times New Roman"/>
                <w:color w:val="000000"/>
                <w:highlight w:val="none"/>
              </w:rPr>
            </w:pPr>
            <w:r>
              <w:rPr>
                <w:rFonts w:hint="default" w:ascii="Times New Roman" w:hAnsi="Times New Roman" w:cs="Times New Roman"/>
                <w:color w:val="000000"/>
                <w:highlight w:val="none"/>
              </w:rPr>
              <w:t>已补充或完善工程纳污范围图、排污口地理位置图、论证范围及</w:t>
            </w:r>
            <w:r>
              <w:rPr>
                <w:rFonts w:hint="default" w:ascii="Times New Roman" w:hAnsi="Times New Roman" w:cs="Times New Roman"/>
                <w:color w:val="000000" w:themeColor="text1"/>
                <w:highlight w:val="none"/>
                <w14:textFill>
                  <w14:solidFill>
                    <w14:schemeClr w14:val="tx1"/>
                  </w14:solidFill>
                </w14:textFill>
              </w:rPr>
              <w:t>影响范围图</w:t>
            </w:r>
            <w:r>
              <w:rPr>
                <w:rFonts w:hint="default" w:ascii="Times New Roman" w:hAnsi="Times New Roman" w:cs="Times New Roman"/>
                <w:color w:val="000000"/>
                <w:highlight w:val="none"/>
              </w:rPr>
              <w:t>、区域水系图、水功能区划图等资料</w:t>
            </w:r>
          </w:p>
        </w:tc>
        <w:tc>
          <w:tcPr>
            <w:tcW w:w="1430" w:type="dxa"/>
            <w:vAlign w:val="center"/>
          </w:tcPr>
          <w:p>
            <w:pPr>
              <w:keepNext w:val="0"/>
              <w:keepLines w:val="0"/>
              <w:pageBreakBefore w:val="0"/>
              <w:widowControl w:val="0"/>
              <w:kinsoku/>
              <w:wordWrap/>
              <w:overflowPunct/>
              <w:topLinePunct w:val="0"/>
              <w:autoSpaceDE/>
              <w:autoSpaceDN/>
              <w:bidi w:val="0"/>
              <w:adjustRightInd w:val="0"/>
              <w:snapToGrid w:val="0"/>
              <w:jc w:val="center"/>
              <w:textAlignment w:val="auto"/>
              <w:outlineLvl w:val="9"/>
              <w:rPr>
                <w:rFonts w:hint="default" w:ascii="Times New Roman" w:hAnsi="Times New Roman" w:cs="Times New Roman"/>
                <w:highlight w:val="none"/>
              </w:rPr>
            </w:pPr>
            <w:r>
              <w:rPr>
                <w:rFonts w:hint="default" w:ascii="Times New Roman" w:hAnsi="Times New Roman" w:cs="Times New Roman"/>
                <w:highlight w:val="none"/>
              </w:rPr>
              <w:t>详见附图</w:t>
            </w:r>
          </w:p>
        </w:tc>
      </w:tr>
    </w:tbl>
    <w:p>
      <w:pPr>
        <w:keepNext w:val="0"/>
        <w:keepLines w:val="0"/>
        <w:pageBreakBefore w:val="0"/>
        <w:widowControl w:val="0"/>
        <w:kinsoku/>
        <w:wordWrap/>
        <w:overflowPunct/>
        <w:topLinePunct w:val="0"/>
        <w:autoSpaceDE/>
        <w:autoSpaceDN/>
        <w:bidi w:val="0"/>
        <w:textAlignment w:val="auto"/>
        <w:outlineLvl w:val="9"/>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pPr>
      <w:r>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br w:type="page"/>
      </w:r>
    </w:p>
    <w:p>
      <w:pPr>
        <w:keepNext w:val="0"/>
        <w:keepLines w:val="0"/>
        <w:pageBreakBefore w:val="0"/>
        <w:widowControl w:val="0"/>
        <w:kinsoku/>
        <w:wordWrap/>
        <w:overflowPunct/>
        <w:topLinePunct w:val="0"/>
        <w:autoSpaceDE/>
        <w:autoSpaceDN/>
        <w:bidi w:val="0"/>
        <w:spacing w:before="61" w:line="187" w:lineRule="auto"/>
        <w:jc w:val="center"/>
        <w:textAlignment w:val="auto"/>
        <w:outlineLvl w:val="9"/>
        <w:rPr>
          <w:rFonts w:hint="default" w:ascii="Times New Roman" w:hAnsi="Times New Roman" w:eastAsia="黑体" w:cs="Times New Roman"/>
          <w:sz w:val="30"/>
          <w:szCs w:val="30"/>
          <w:highlight w:val="none"/>
        </w:rPr>
      </w:pPr>
      <w:r>
        <w:rPr>
          <w:rFonts w:hint="default" w:ascii="Times New Roman" w:hAnsi="Times New Roman" w:eastAsia="黑体" w:cs="Times New Roman"/>
          <w:sz w:val="30"/>
          <w:szCs w:val="30"/>
          <w:highlight w:val="none"/>
          <w14:textOutline w14:w="5448" w14:cap="sq" w14:cmpd="sng" w14:algn="ctr">
            <w14:solidFill>
              <w14:srgbClr w14:val="000000"/>
            </w14:solidFill>
            <w14:prstDash w14:val="solid"/>
            <w14:bevel/>
          </w14:textOutline>
        </w:rPr>
        <w:t>入河排污口设置论证报告基本情况表</w:t>
      </w:r>
      <w:bookmarkEnd w:id="0"/>
      <w:bookmarkEnd w:id="1"/>
      <w:bookmarkEnd w:id="4"/>
    </w:p>
    <w:p>
      <w:pPr>
        <w:spacing w:line="233" w:lineRule="exact"/>
        <w:rPr>
          <w:rFonts w:hint="default" w:ascii="Times New Roman" w:hAnsi="Times New Roman" w:cs="Times New Roman"/>
          <w:highlight w:val="none"/>
        </w:rPr>
      </w:pPr>
    </w:p>
    <w:tbl>
      <w:tblPr>
        <w:tblStyle w:val="27"/>
        <w:tblW w:w="8509" w:type="dxa"/>
        <w:tblInd w:w="7" w:type="dxa"/>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Layout w:type="fixed"/>
        <w:tblCellMar>
          <w:top w:w="0" w:type="dxa"/>
          <w:left w:w="0" w:type="dxa"/>
          <w:bottom w:w="0" w:type="dxa"/>
          <w:right w:w="0" w:type="dxa"/>
        </w:tblCellMar>
      </w:tblPr>
      <w:tblGrid>
        <w:gridCol w:w="812"/>
        <w:gridCol w:w="1063"/>
        <w:gridCol w:w="415"/>
        <w:gridCol w:w="566"/>
        <w:gridCol w:w="874"/>
        <w:gridCol w:w="54"/>
        <w:gridCol w:w="1107"/>
        <w:gridCol w:w="386"/>
        <w:gridCol w:w="16"/>
        <w:gridCol w:w="795"/>
        <w:gridCol w:w="444"/>
        <w:gridCol w:w="1977"/>
      </w:tblGrid>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813" w:type="dxa"/>
            <w:vMerge w:val="restart"/>
            <w:tcBorders>
              <w:top w:val="single" w:color="000000" w:sz="6" w:space="0"/>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基本情况</w:t>
            </w:r>
          </w:p>
        </w:tc>
        <w:tc>
          <w:tcPr>
            <w:tcW w:w="2043" w:type="dxa"/>
            <w:gridSpan w:val="3"/>
            <w:tcBorders>
              <w:top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项目名称</w:t>
            </w:r>
          </w:p>
        </w:tc>
        <w:tc>
          <w:tcPr>
            <w:tcW w:w="2035" w:type="dxa"/>
            <w:gridSpan w:val="3"/>
            <w:tcBorders>
              <w:top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安化县乐安镇乐高污水处理工程</w:t>
            </w:r>
          </w:p>
        </w:tc>
        <w:tc>
          <w:tcPr>
            <w:tcW w:w="1641" w:type="dxa"/>
            <w:gridSpan w:val="4"/>
            <w:tcBorders>
              <w:top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项目位置</w:t>
            </w:r>
          </w:p>
        </w:tc>
        <w:tc>
          <w:tcPr>
            <w:tcW w:w="1977" w:type="dxa"/>
            <w:tcBorders>
              <w:top w:val="single" w:color="000000" w:sz="6" w:space="0"/>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湖南省益阳市安化县乐安镇乐高社区</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17"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项目性质</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新建</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所属行业</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D4620(污水处理及其再生利用)</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618"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建设规模</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150m</w:t>
            </w:r>
            <w:r>
              <w:rPr>
                <w:rFonts w:hint="default" w:ascii="Times New Roman" w:hAnsi="Times New Roman" w:cs="Times New Roman"/>
                <w:highlight w:val="none"/>
                <w:vertAlign w:val="superscript"/>
              </w:rPr>
              <w:t>3</w:t>
            </w:r>
            <w:r>
              <w:rPr>
                <w:rFonts w:hint="default" w:ascii="Times New Roman" w:hAnsi="Times New Roman" w:cs="Times New Roman"/>
                <w:highlight w:val="none"/>
              </w:rPr>
              <w:t>/d</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项目单位</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安化县住房和城乡建设局</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建设项目的审批机关</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益阳市生态环境局安化分局</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入河排污口审核机关</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益阳市生态环境局</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报告编制合同委托单位</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安化县住房和城乡建设局</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报告编制单位及证书号</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湖南润志环保技术有限公司</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论证工作等级</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一级</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工作范围</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论证范围</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排污口为起点，洢水安化源头水保护区结束为终点（6500m）</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水平年（现状—规 划）</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2021</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90" w:hRule="atLeast"/>
        </w:trPr>
        <w:tc>
          <w:tcPr>
            <w:tcW w:w="813" w:type="dxa"/>
            <w:vMerge w:val="restart"/>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分析</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范围</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内控</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制指</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标情</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况</w:t>
            </w: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取用水总量控制指标</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实际取用水量</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用水效率控制指标</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实际用水效率指标</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纳污水域水功能区限制纳污总量指标</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无</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纳污水域水功</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能区实际排污</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总量</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834"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纳污水域水功能区水质达标率指标</w:t>
            </w:r>
          </w:p>
        </w:tc>
        <w:tc>
          <w:tcPr>
            <w:tcW w:w="203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100%</w:t>
            </w:r>
          </w:p>
        </w:tc>
        <w:tc>
          <w:tcPr>
            <w:tcW w:w="1641"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纳污水域水功</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能区水质达标</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率</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restart"/>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入河</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口设</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置申</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请单</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位概</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况</w:t>
            </w:r>
          </w:p>
        </w:tc>
        <w:tc>
          <w:tcPr>
            <w:tcW w:w="1063"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名称</w:t>
            </w:r>
          </w:p>
        </w:tc>
        <w:tc>
          <w:tcPr>
            <w:tcW w:w="3401" w:type="dxa"/>
            <w:gridSpan w:val="6"/>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安化县住房和城乡建设局</w:t>
            </w:r>
          </w:p>
        </w:tc>
        <w:tc>
          <w:tcPr>
            <w:tcW w:w="125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法人代表</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张革清</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64"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063"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行业类别</w:t>
            </w:r>
          </w:p>
        </w:tc>
        <w:tc>
          <w:tcPr>
            <w:tcW w:w="6633" w:type="dxa"/>
            <w:gridSpan w:val="10"/>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D4620(污水处理及其再生利用)</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063"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地址</w:t>
            </w:r>
          </w:p>
        </w:tc>
        <w:tc>
          <w:tcPr>
            <w:tcW w:w="6633" w:type="dxa"/>
            <w:gridSpan w:val="10"/>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湖南省益阳市安化县东坪镇柳溪西路沿河巷23号</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70"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063"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联系人</w:t>
            </w:r>
          </w:p>
        </w:tc>
        <w:tc>
          <w:tcPr>
            <w:tcW w:w="980"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陈岚</w:t>
            </w:r>
          </w:p>
        </w:tc>
        <w:tc>
          <w:tcPr>
            <w:tcW w:w="874"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电话</w:t>
            </w:r>
          </w:p>
        </w:tc>
        <w:tc>
          <w:tcPr>
            <w:tcW w:w="1547"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15073716289</w:t>
            </w:r>
          </w:p>
        </w:tc>
        <w:tc>
          <w:tcPr>
            <w:tcW w:w="1255"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邮编</w:t>
            </w:r>
          </w:p>
        </w:tc>
        <w:tc>
          <w:tcPr>
            <w:tcW w:w="1977" w:type="dxa"/>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413599</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restart"/>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建设项目主要原辅材料消耗</w:t>
            </w: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名称</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安化县乐安镇乐高污水处理厂</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m</w:t>
            </w:r>
            <w:r>
              <w:rPr>
                <w:rFonts w:hint="default" w:ascii="Times New Roman" w:hAnsi="Times New Roman" w:cs="Times New Roman"/>
                <w:highlight w:val="none"/>
                <w:vertAlign w:val="superscript"/>
              </w:rPr>
              <w:t>3</w:t>
            </w:r>
            <w:r>
              <w:rPr>
                <w:rFonts w:hint="default" w:ascii="Times New Roman" w:hAnsi="Times New Roman" w:cs="Times New Roman"/>
                <w:highlight w:val="none"/>
              </w:rPr>
              <w:t>/d</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0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数量</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150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restart"/>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主要</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产品</w:t>
            </w: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名称</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单位</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vAlign w:val="center"/>
          </w:tcPr>
          <w:p>
            <w:pPr>
              <w:spacing w:line="320" w:lineRule="exact"/>
              <w:jc w:val="center"/>
              <w:rPr>
                <w:rFonts w:hint="default" w:ascii="Times New Roman" w:hAnsi="Times New Roman" w:cs="Times New Roman"/>
                <w:highlight w:val="none"/>
              </w:rPr>
            </w:pPr>
          </w:p>
        </w:tc>
        <w:tc>
          <w:tcPr>
            <w:tcW w:w="147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数量</w:t>
            </w:r>
          </w:p>
        </w:tc>
        <w:tc>
          <w:tcPr>
            <w:tcW w:w="6218" w:type="dxa"/>
            <w:gridSpan w:val="9"/>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821" w:hRule="atLeast"/>
        </w:trPr>
        <w:tc>
          <w:tcPr>
            <w:tcW w:w="813" w:type="dxa"/>
            <w:tcBorders>
              <w:lef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主要</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产污</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环节</w:t>
            </w:r>
          </w:p>
        </w:tc>
        <w:tc>
          <w:tcPr>
            <w:tcW w:w="7696" w:type="dxa"/>
            <w:gridSpan w:val="11"/>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本项目为污水处理工程，项目本身不产生污水，污水的产生主要为周边居民生活污水</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取水情况</w:t>
            </w: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水源</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取水许可证编号</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审批机关</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4" w:hRule="atLeast"/>
        </w:trPr>
        <w:tc>
          <w:tcPr>
            <w:tcW w:w="813" w:type="dxa"/>
            <w:vMerge w:val="continue"/>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p>
        </w:tc>
        <w:tc>
          <w:tcPr>
            <w:tcW w:w="2043"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取水方式</w:t>
            </w:r>
          </w:p>
        </w:tc>
        <w:tc>
          <w:tcPr>
            <w:tcW w:w="5653"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044" w:type="dxa"/>
            <w:gridSpan w:val="3"/>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用途</w:t>
            </w:r>
          </w:p>
        </w:tc>
        <w:tc>
          <w:tcPr>
            <w:tcW w:w="5652" w:type="dxa"/>
            <w:gridSpan w:val="8"/>
            <w:tcBorders>
              <w:right w:val="single" w:color="000000" w:sz="6" w:space="0"/>
            </w:tcBorders>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18"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044" w:type="dxa"/>
            <w:gridSpan w:val="3"/>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年审批取水量(万m</w:t>
            </w:r>
            <w:r>
              <w:rPr>
                <w:rFonts w:hint="default" w:ascii="Times New Roman" w:hAnsi="Times New Roman" w:cs="Times New Roman"/>
                <w:highlight w:val="none"/>
                <w:vertAlign w:val="superscript"/>
              </w:rPr>
              <w:t>3</w:t>
            </w:r>
            <w:r>
              <w:rPr>
                <w:rFonts w:hint="default" w:ascii="Times New Roman" w:hAnsi="Times New Roman" w:cs="Times New Roman"/>
                <w:highlight w:val="none"/>
              </w:rPr>
              <w:t>)</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18"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044" w:type="dxa"/>
            <w:gridSpan w:val="3"/>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年实际取水量(万m</w:t>
            </w:r>
            <w:r>
              <w:rPr>
                <w:rFonts w:hint="default" w:ascii="Times New Roman" w:hAnsi="Times New Roman" w:cs="Times New Roman"/>
                <w:highlight w:val="none"/>
                <w:vertAlign w:val="superscript"/>
              </w:rPr>
              <w:t>3</w:t>
            </w:r>
            <w:r>
              <w:rPr>
                <w:rFonts w:hint="default" w:ascii="Times New Roman" w:hAnsi="Times New Roman" w:cs="Times New Roman"/>
                <w:highlight w:val="none"/>
              </w:rPr>
              <w:t>)</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排污口基本情况</w:t>
            </w: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排污口名称</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安化县乐安镇乐高污水处理厂入河排污口</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排污口行政地址</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湖南省益阳市安化县乐安镇乐高社区</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所在水功能区概况</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洢水安化源头水保护区，现状管理目标为Ⅱ类。</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排污口经纬度</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东经：111°34′58.550″，北纬：28°6′18.911″</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排污口类型</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新建（√）改建（）扩大（）</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污水年排放量(m</w:t>
            </w:r>
            <w:r>
              <w:rPr>
                <w:rFonts w:hint="default" w:ascii="Times New Roman" w:hAnsi="Times New Roman" w:cs="Times New Roman"/>
                <w:highlight w:val="none"/>
                <w:vertAlign w:val="superscript"/>
              </w:rPr>
              <w:t>3</w:t>
            </w:r>
            <w:r>
              <w:rPr>
                <w:rFonts w:hint="default" w:ascii="Times New Roman" w:hAnsi="Times New Roman" w:cs="Times New Roman"/>
                <w:highlight w:val="none"/>
              </w:rPr>
              <w:t>)</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54750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09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restar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主要</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污染物</w:t>
            </w: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w:t>
            </w:r>
          </w:p>
        </w:tc>
        <w:tc>
          <w:tcPr>
            <w:tcW w:w="1509"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日最高排放浓度</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（mg/L）</w:t>
            </w:r>
          </w:p>
        </w:tc>
        <w:tc>
          <w:tcPr>
            <w:tcW w:w="795"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月平均排放浓度（mg/L）</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最大年排放量（t/a）</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w:t>
            </w:r>
          </w:p>
        </w:tc>
        <w:tc>
          <w:tcPr>
            <w:tcW w:w="1509"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60</w:t>
            </w:r>
          </w:p>
        </w:tc>
        <w:tc>
          <w:tcPr>
            <w:tcW w:w="795"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3.285</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氨氮</w:t>
            </w:r>
          </w:p>
        </w:tc>
        <w:tc>
          <w:tcPr>
            <w:tcW w:w="1509"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8（15）</w:t>
            </w:r>
          </w:p>
        </w:tc>
        <w:tc>
          <w:tcPr>
            <w:tcW w:w="795"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0.438（0.821）</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计量设施安装状况</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污水计量设施（√）水质在线监测设施（）</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污水性质</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工业（） 生活（√）混合（） 其他（）</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8"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污水入河方式</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管道（√）明渠（） 涵闸（）</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阴沟（） 干沟（） 其他（）</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污水排放方式</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连续（√）间歇（）</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365" w:hRule="atLeast"/>
        </w:trPr>
        <w:tc>
          <w:tcPr>
            <w:tcW w:w="813" w:type="dxa"/>
            <w:tcBorders>
              <w:left w:val="single" w:color="000000" w:sz="6" w:space="0"/>
            </w:tcBorders>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排污河道、排</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污口平面位置示意图</w:t>
            </w:r>
          </w:p>
        </w:tc>
        <w:tc>
          <w:tcPr>
            <w:tcW w:w="7696" w:type="dxa"/>
            <w:gridSpan w:val="11"/>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详见附图</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PrEx>
        <w:trPr>
          <w:trHeight w:val="531" w:hRule="atLeast"/>
        </w:trPr>
        <w:tc>
          <w:tcPr>
            <w:tcW w:w="813"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退水及影响</w:t>
            </w: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污水是否经过处理</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是</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49"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污水处理方式及处理工艺</w:t>
            </w:r>
          </w:p>
        </w:tc>
        <w:tc>
          <w:tcPr>
            <w:tcW w:w="5652" w:type="dxa"/>
            <w:gridSpan w:val="8"/>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格栅渠-调节池-水解酸化-接触氧化（厌氧-缺氧-好氧）-二沉池-清水池-多介质过滤器-紫外线消毒-计量渠-外排</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18"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restar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污水处理站进水及出水浓度</w:t>
            </w: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项目</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设计进水浓度（mg/L）</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设计出水浓度（mg/L）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≤220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BOD</w:t>
            </w:r>
            <w:r>
              <w:rPr>
                <w:rFonts w:hint="default" w:ascii="Times New Roman" w:hAnsi="Times New Roman" w:cs="Times New Roman"/>
                <w:highlight w:val="none"/>
                <w:vertAlign w:val="subscript"/>
              </w:rPr>
              <w:t>5</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≤120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SS</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≤150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NH</w:t>
            </w:r>
            <w:r>
              <w:rPr>
                <w:rFonts w:hint="default" w:ascii="Times New Roman" w:hAnsi="Times New Roman" w:cs="Times New Roman"/>
                <w:highlight w:val="none"/>
                <w:vertAlign w:val="subscript"/>
              </w:rPr>
              <w:t>3</w:t>
            </w:r>
            <w:r>
              <w:rPr>
                <w:rFonts w:hint="default" w:ascii="Times New Roman" w:hAnsi="Times New Roman" w:cs="Times New Roman"/>
                <w:highlight w:val="none"/>
              </w:rPr>
              <w:t>-N</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≤30</w:t>
            </w:r>
          </w:p>
        </w:tc>
        <w:tc>
          <w:tcPr>
            <w:tcW w:w="2420" w:type="dxa"/>
            <w:gridSpan w:val="2"/>
            <w:tcBorders>
              <w:right w:val="single" w:color="000000" w:sz="6" w:space="0"/>
            </w:tcBorders>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w:t>
            </w:r>
            <w:r>
              <w:rPr>
                <w:rFonts w:hint="default" w:ascii="Times New Roman" w:hAnsi="Times New Roman" w:cs="Times New Roman"/>
                <w:sz w:val="21"/>
                <w:szCs w:val="21"/>
                <w:highlight w:val="none"/>
              </w:rPr>
              <w:t>8（15）</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PrEx>
        <w:trPr>
          <w:trHeight w:val="356"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TN</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≤40</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6"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044" w:type="dxa"/>
            <w:gridSpan w:val="3"/>
            <w:vMerge w:val="continue"/>
            <w:vAlign w:val="center"/>
          </w:tcPr>
          <w:p>
            <w:pPr>
              <w:spacing w:line="320" w:lineRule="exact"/>
              <w:jc w:val="center"/>
              <w:rPr>
                <w:rFonts w:hint="default" w:ascii="Times New Roman" w:hAnsi="Times New Roman" w:cs="Times New Roman"/>
                <w:highlight w:val="none"/>
              </w:rPr>
            </w:pPr>
          </w:p>
        </w:tc>
        <w:tc>
          <w:tcPr>
            <w:tcW w:w="928" w:type="dxa"/>
            <w:gridSpan w:val="2"/>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TP</w:t>
            </w:r>
          </w:p>
        </w:tc>
        <w:tc>
          <w:tcPr>
            <w:tcW w:w="2304" w:type="dxa"/>
            <w:gridSpan w:val="4"/>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2420" w:type="dxa"/>
            <w:gridSpan w:val="2"/>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2" w:hRule="atLeast"/>
        </w:trPr>
        <w:tc>
          <w:tcPr>
            <w:tcW w:w="813" w:type="dxa"/>
            <w:vMerge w:val="restart"/>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水文、水质数据三性检查</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8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水污染物输移时间及混合区实验情况</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PrEx>
        <w:trPr>
          <w:trHeight w:val="48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水生态调查及污水急性毒性试验情况</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1035"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设计水文条件选取及计算方</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法，拟入河污水、纳污水体水</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污染物浓度可能最大值计算</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方法，水质模型选取</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河流二维模型</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76"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排入水功能区及水质目标</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地表水Ⅱ类</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531"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对水功能区水质影响</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正常情况运行不影响水质，事故排放造成短暂影响。</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是否满足水功能区要求</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是</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8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对下游取水及生态敏感点的影响</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微小</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对重要第三方的影响</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无影响</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restart"/>
            <w:tcBorders>
              <w:left w:val="single" w:color="000000" w:sz="6" w:space="0"/>
            </w:tcBorders>
            <w:textDirection w:val="tbRlV"/>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水资源保护措施</w:t>
            </w: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管理措施</w:t>
            </w:r>
          </w:p>
        </w:tc>
        <w:tc>
          <w:tcPr>
            <w:tcW w:w="4724" w:type="dxa"/>
            <w:gridSpan w:val="6"/>
            <w:tcBorders>
              <w:right w:val="single" w:color="000000" w:sz="6" w:space="0"/>
            </w:tcBorders>
            <w:vAlign w:val="center"/>
          </w:tcPr>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宣传、组织贯彻国家有关环境保护的方针、政策法令和条例，搞好项目环境保护工作；</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执行上级主管部门建立的各种环境管理制度；</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监督本项目环保设施和设备的安装、调试、运行，保证“三同时”验收合格；</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领导并组织项目运行期（包括非正常运行期）的环境监测工作，建立档案；</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开展环保教育、技术培训和学术交流活动，提高员工素质，推广利用先进技术和经验；</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严格执行废水的排放标准，做到达标排放，一旦发现出水水质异常，就应查明原因，并采取相应的处理措施；</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对项目涉及水域要进行系统的水质监测，并协助当地水务、环保部门做好水污染防治工作，水质监测频次及要求按相关规定执行；</w:t>
            </w:r>
          </w:p>
          <w:p>
            <w:pPr>
              <w:numPr>
                <w:ilvl w:val="0"/>
                <w:numId w:val="3"/>
              </w:num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定期进行应急预案演练，及时发现应急体系、应急工作体制和预案各具体环节存在的问题，不断完善应急预案，提高对突发事故的应急处置能力。</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406"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color w:val="000000" w:themeColor="text1"/>
                <w:highlight w:val="none"/>
                <w14:textFill>
                  <w14:solidFill>
                    <w14:schemeClr w14:val="tx1"/>
                  </w14:solidFill>
                </w14:textFill>
              </w:rPr>
              <w:t>技术措施</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已编制突发环境事件应急预案</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color w:val="000000" w:themeColor="text1"/>
                <w:highlight w:val="none"/>
                <w14:textFill>
                  <w14:solidFill>
                    <w14:schemeClr w14:val="tx1"/>
                  </w14:solidFill>
                </w14:textFill>
              </w:rPr>
              <w:t>污染物总量控制意见</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满足纳污水平</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Merge w:val="restar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基于水质目标的水污染物排放限值</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COD限值为60mg/L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Merge w:val="continue"/>
            <w:vAlign w:val="center"/>
          </w:tcPr>
          <w:p>
            <w:pPr>
              <w:spacing w:line="320" w:lineRule="exact"/>
              <w:jc w:val="center"/>
              <w:rPr>
                <w:rFonts w:hint="default" w:ascii="Times New Roman" w:hAnsi="Times New Roman" w:cs="Times New Roman"/>
                <w:highlight w:val="none"/>
              </w:rPr>
            </w:pP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氨氮限值为15mg/L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Merge w:val="continue"/>
            <w:vAlign w:val="center"/>
          </w:tcPr>
          <w:p>
            <w:pPr>
              <w:spacing w:line="320" w:lineRule="exact"/>
              <w:jc w:val="center"/>
              <w:rPr>
                <w:rFonts w:hint="default" w:ascii="Times New Roman" w:hAnsi="Times New Roman" w:cs="Times New Roman"/>
                <w:highlight w:val="none"/>
              </w:rPr>
            </w:pP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TP限值为1.0mg/L</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45"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Merge w:val="continue"/>
            <w:vAlign w:val="center"/>
          </w:tcPr>
          <w:p>
            <w:pPr>
              <w:spacing w:line="320" w:lineRule="exact"/>
              <w:jc w:val="center"/>
              <w:rPr>
                <w:rFonts w:hint="default" w:ascii="Times New Roman" w:hAnsi="Times New Roman" w:cs="Times New Roman"/>
                <w:highlight w:val="none"/>
              </w:rPr>
            </w:pP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724" w:hRule="atLeast"/>
        </w:trPr>
        <w:tc>
          <w:tcPr>
            <w:tcW w:w="813" w:type="dxa"/>
            <w:vMerge w:val="continue"/>
            <w:tcBorders>
              <w:left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污水排放监控要求</w:t>
            </w:r>
          </w:p>
        </w:tc>
        <w:tc>
          <w:tcPr>
            <w:tcW w:w="4724" w:type="dxa"/>
            <w:gridSpan w:val="6"/>
            <w:tcBorders>
              <w:right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定期人工监测排污口污染物排放浓度是</w:t>
            </w:r>
          </w:p>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否达到排放标准要求</w:t>
            </w:r>
          </w:p>
        </w:tc>
      </w:tr>
      <w:tr>
        <w:tblPrEx>
          <w:tblBorders>
            <w:top w:val="single" w:color="000000" w:sz="4" w:space="0"/>
            <w:left w:val="single" w:color="000000" w:sz="4" w:space="0"/>
            <w:bottom w:val="single" w:color="000000" w:sz="4" w:space="0"/>
            <w:right w:val="single" w:color="000000" w:sz="4" w:space="0"/>
            <w:insideH w:val="single" w:color="auto" w:sz="4" w:space="0"/>
            <w:insideV w:val="single" w:color="auto" w:sz="4" w:space="0"/>
          </w:tblBorders>
          <w:tblCellMar>
            <w:top w:w="0" w:type="dxa"/>
            <w:left w:w="0" w:type="dxa"/>
            <w:bottom w:w="0" w:type="dxa"/>
            <w:right w:w="0" w:type="dxa"/>
          </w:tblCellMar>
        </w:tblPrEx>
        <w:trPr>
          <w:trHeight w:val="356" w:hRule="atLeast"/>
        </w:trPr>
        <w:tc>
          <w:tcPr>
            <w:tcW w:w="813" w:type="dxa"/>
            <w:vMerge w:val="continue"/>
            <w:tcBorders>
              <w:left w:val="single" w:color="000000" w:sz="6" w:space="0"/>
              <w:bottom w:val="single" w:color="000000" w:sz="6" w:space="0"/>
            </w:tcBorders>
            <w:textDirection w:val="tbRlV"/>
          </w:tcPr>
          <w:p>
            <w:pPr>
              <w:spacing w:line="320" w:lineRule="exact"/>
              <w:jc w:val="center"/>
              <w:rPr>
                <w:rFonts w:hint="default" w:ascii="Times New Roman" w:hAnsi="Times New Roman" w:cs="Times New Roman"/>
                <w:highlight w:val="none"/>
              </w:rPr>
            </w:pPr>
          </w:p>
        </w:tc>
        <w:tc>
          <w:tcPr>
            <w:tcW w:w="2972" w:type="dxa"/>
            <w:gridSpan w:val="5"/>
            <w:tcBorders>
              <w:bottom w:val="single" w:color="000000" w:sz="6" w:space="0"/>
            </w:tcBorders>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突发水污染事件应急预案</w:t>
            </w:r>
          </w:p>
        </w:tc>
        <w:tc>
          <w:tcPr>
            <w:tcW w:w="4724" w:type="dxa"/>
            <w:gridSpan w:val="6"/>
            <w:tcBorders>
              <w:bottom w:val="single" w:color="000000" w:sz="6" w:space="0"/>
              <w:right w:val="single" w:color="000000" w:sz="6" w:space="0"/>
            </w:tcBorders>
            <w:vAlign w:val="center"/>
          </w:tcPr>
          <w:p>
            <w:p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1、建立事故预防和应急处理组织机构</w:t>
            </w:r>
          </w:p>
          <w:p>
            <w:p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2、处理污染事故</w:t>
            </w:r>
          </w:p>
          <w:p>
            <w:pPr>
              <w:spacing w:line="320" w:lineRule="exact"/>
              <w:jc w:val="left"/>
              <w:rPr>
                <w:rFonts w:hint="default" w:ascii="Times New Roman" w:hAnsi="Times New Roman" w:cs="Times New Roman"/>
                <w:highlight w:val="none"/>
              </w:rPr>
            </w:pPr>
            <w:r>
              <w:rPr>
                <w:rFonts w:hint="default" w:ascii="Times New Roman" w:hAnsi="Times New Roman" w:cs="Times New Roman"/>
                <w:highlight w:val="none"/>
              </w:rPr>
              <w:t>3、事故调查处理</w:t>
            </w:r>
          </w:p>
        </w:tc>
      </w:tr>
    </w:tbl>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sdt>
      <w:sdtPr>
        <w:rPr>
          <w:rFonts w:hint="default" w:ascii="Times New Roman" w:hAnsi="Times New Roman" w:eastAsia="宋体" w:cs="Times New Roman"/>
          <w:kern w:val="2"/>
          <w:sz w:val="21"/>
          <w:szCs w:val="21"/>
          <w:highlight w:val="none"/>
          <w:lang w:val="en-US" w:eastAsia="zh-CN" w:bidi="ar-SA"/>
        </w:rPr>
        <w:id w:val="147476861"/>
        <w15:color w:val="DBDBDB"/>
        <w:docPartObj>
          <w:docPartGallery w:val="Table of Contents"/>
          <w:docPartUnique/>
        </w:docPartObj>
      </w:sdtPr>
      <w:sdtEndPr>
        <w:rPr>
          <w:rFonts w:hint="default" w:ascii="Times New Roman" w:hAnsi="Times New Roman" w:eastAsia="宋体" w:cs="Times New Roman"/>
          <w:kern w:val="2"/>
          <w:sz w:val="21"/>
          <w:szCs w:val="21"/>
          <w:highlight w:val="none"/>
          <w:lang w:val="en-US" w:eastAsia="zh-CN" w:bidi="ar-SA"/>
        </w:rPr>
      </w:sdtEndPr>
      <w:sdtContent>
        <w:p>
          <w:pPr>
            <w:keepNext w:val="0"/>
            <w:keepLines w:val="0"/>
            <w:pageBreakBefore w:val="0"/>
            <w:widowControl w:val="0"/>
            <w:kinsoku/>
            <w:wordWrap/>
            <w:overflowPunct/>
            <w:topLinePunct w:val="0"/>
            <w:autoSpaceDE/>
            <w:autoSpaceDN/>
            <w:bidi w:val="0"/>
            <w:adjustRightInd/>
            <w:snapToGrid/>
            <w:spacing w:before="0" w:beforeLines="0" w:after="0" w:afterLines="0" w:line="300" w:lineRule="auto"/>
            <w:ind w:left="0" w:leftChars="0" w:right="0" w:rightChars="0" w:firstLine="0" w:firstLineChars="0"/>
            <w:jc w:val="center"/>
            <w:textAlignment w:val="auto"/>
            <w:rPr>
              <w:rFonts w:hint="default" w:ascii="Times New Roman" w:hAnsi="Times New Roman" w:cs="Times New Roman"/>
              <w:b/>
              <w:bCs/>
              <w:sz w:val="32"/>
              <w:szCs w:val="32"/>
              <w:highlight w:val="none"/>
            </w:rPr>
          </w:pPr>
          <w:r>
            <w:rPr>
              <w:rFonts w:hint="default" w:ascii="Times New Roman" w:hAnsi="Times New Roman" w:eastAsia="宋体" w:cs="Times New Roman"/>
              <w:b/>
              <w:bCs/>
              <w:sz w:val="32"/>
              <w:szCs w:val="32"/>
              <w:highlight w:val="none"/>
            </w:rPr>
            <w:t>目</w:t>
          </w:r>
          <w:r>
            <w:rPr>
              <w:rFonts w:hint="default" w:ascii="Times New Roman" w:hAnsi="Times New Roman" w:cs="Times New Roman"/>
              <w:b/>
              <w:bCs/>
              <w:sz w:val="32"/>
              <w:szCs w:val="32"/>
              <w:highlight w:val="none"/>
              <w:lang w:val="en-US" w:eastAsia="zh-CN"/>
            </w:rPr>
            <w:t xml:space="preserve">  </w:t>
          </w:r>
          <w:r>
            <w:rPr>
              <w:rFonts w:hint="default" w:ascii="Times New Roman" w:hAnsi="Times New Roman" w:eastAsia="宋体" w:cs="Times New Roman"/>
              <w:b/>
              <w:bCs/>
              <w:sz w:val="32"/>
              <w:szCs w:val="32"/>
              <w:highlight w:val="none"/>
            </w:rPr>
            <w:t>录</w:t>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b/>
              <w:bCs/>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TOC \o "1-3" \h \u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HYPERLINK \l _Toc11382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1  总则</w:t>
          </w:r>
          <w:r>
            <w:rPr>
              <w:rFonts w:hint="default" w:ascii="Times New Roman" w:hAnsi="Times New Roman" w:cs="Times New Roman"/>
              <w:b/>
              <w:bCs/>
              <w:sz w:val="24"/>
              <w:szCs w:val="24"/>
              <w:highlight w:val="none"/>
            </w:rPr>
            <w:tab/>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PAGEREF _Toc11382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1</w:t>
          </w:r>
          <w:r>
            <w:rPr>
              <w:rFonts w:hint="default" w:ascii="Times New Roman" w:hAnsi="Times New Roman" w:cs="Times New Roman"/>
              <w:b/>
              <w:bCs/>
              <w:sz w:val="24"/>
              <w:szCs w:val="24"/>
              <w:highlight w:val="none"/>
            </w:rPr>
            <w:fldChar w:fldCharType="end"/>
          </w:r>
          <w:r>
            <w:rPr>
              <w:rFonts w:hint="default" w:ascii="Times New Roman" w:hAnsi="Times New Roman" w:cs="Times New Roman"/>
              <w:b/>
              <w:bCs/>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_Toc25181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1.1.论证目的</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_Toc25181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_Toc29181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1.2.论证依据</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_Toc29181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_Toc5137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1.2.1.法律法规</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_Toc5137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_Toc19502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1.2.2.部门规章及规范性文件</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_Toc19502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_Toc21821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1.2.3.地方法规政策</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_Toc21821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_Toc16524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1.2.4.技术导则与规范、标准</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_Toc16524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_Toc23324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1.2.5.其它相关文件</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_Toc23324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4</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_Toc26146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1.3.论证原则</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_Toc26146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4</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_Toc9312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1.4.论证范围</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_Toc9312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4</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_Toc15717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1.5.论证工作程序</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_Toc15717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_Toc12021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1.6.论证的主要内容</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_Toc12021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_Toc11538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1.7.论证水平年</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_Toc11538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_Toc26706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1.8.论证工作等级</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_Toc26706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HYPERLINK \l _Toc18107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2  项目概况</w:t>
          </w:r>
          <w:r>
            <w:rPr>
              <w:rFonts w:hint="default" w:ascii="Times New Roman" w:hAnsi="Times New Roman" w:cs="Times New Roman"/>
              <w:b/>
              <w:bCs/>
              <w:sz w:val="24"/>
              <w:szCs w:val="24"/>
              <w:highlight w:val="none"/>
            </w:rPr>
            <w:tab/>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PAGEREF _Toc18107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10</w:t>
          </w:r>
          <w:r>
            <w:rPr>
              <w:rFonts w:hint="default" w:ascii="Times New Roman" w:hAnsi="Times New Roman" w:cs="Times New Roman"/>
              <w:b/>
              <w:bCs/>
              <w:sz w:val="24"/>
              <w:szCs w:val="24"/>
              <w:highlight w:val="none"/>
            </w:rPr>
            <w:fldChar w:fldCharType="end"/>
          </w:r>
          <w:r>
            <w:rPr>
              <w:rFonts w:hint="default" w:ascii="Times New Roman" w:hAnsi="Times New Roman" w:cs="Times New Roman"/>
              <w:b/>
              <w:bCs/>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_Toc10290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2.1.项目基本情况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_Toc10290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_Toc17955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2.1.1.项目概况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_Toc17955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_Toc15358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2.1.2.污水处理规模</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_Toc15358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_Toc26452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2.1.3.进水水质要求</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_Toc26452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_Toc2771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kern w:val="0"/>
              <w:sz w:val="24"/>
              <w:szCs w:val="24"/>
              <w:highlight w:val="none"/>
              <w:lang w:bidi="ar"/>
            </w:rPr>
            <w:t>2.1.4.污水处理工艺</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_Toc2771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_Toc2886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2.2.项目所在区域概况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_Toc2886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14</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_Toc30413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2.2.1.自然环境</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_Toc30413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14</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_Toc9350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2.2.2社会经济</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_Toc9350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17</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_Toc26020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2.2.3区城水生态现状</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_Toc26020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17</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_Toc12767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2.2.4区域内主要生态敏感区</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_Toc12767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19</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_Toc4894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2.2.5洢水流域基本情况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_Toc4894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HYPERLINK \l _Toc32641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3  水功能区（水域）水质现状及纳污状况</w:t>
          </w:r>
          <w:r>
            <w:rPr>
              <w:rFonts w:hint="default" w:ascii="Times New Roman" w:hAnsi="Times New Roman" w:cs="Times New Roman"/>
              <w:b/>
              <w:bCs/>
              <w:sz w:val="24"/>
              <w:szCs w:val="24"/>
              <w:highlight w:val="none"/>
            </w:rPr>
            <w:tab/>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PAGEREF _Toc32641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21</w:t>
          </w:r>
          <w:r>
            <w:rPr>
              <w:rFonts w:hint="default" w:ascii="Times New Roman" w:hAnsi="Times New Roman" w:cs="Times New Roman"/>
              <w:b/>
              <w:bCs/>
              <w:sz w:val="24"/>
              <w:szCs w:val="24"/>
              <w:highlight w:val="none"/>
            </w:rPr>
            <w:fldChar w:fldCharType="end"/>
          </w:r>
          <w:r>
            <w:rPr>
              <w:rFonts w:hint="default" w:ascii="Times New Roman" w:hAnsi="Times New Roman" w:cs="Times New Roman"/>
              <w:b/>
              <w:bCs/>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_Toc9252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3.1.水功能区（水域）保护水质管理目标与要求</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_Toc9252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_Toc32225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3.2.水功能区（水域）现有取排水状况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_Toc32225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_Toc22935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3.2.1.取水状况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_Toc22935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_Toc20088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3.2.2.排水状况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_Toc20088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_Toc27254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3.3.水功能区（水域）水质现状</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_Toc27254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_Toc11841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3.4.所在水功能区（水域）纳污状况分析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_Toc11841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28</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HYPERLINK \l _Toc24135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4  入河排污口设置情况</w:t>
          </w:r>
          <w:r>
            <w:rPr>
              <w:rFonts w:hint="default" w:ascii="Times New Roman" w:hAnsi="Times New Roman" w:cs="Times New Roman"/>
              <w:b/>
              <w:bCs/>
              <w:sz w:val="24"/>
              <w:szCs w:val="24"/>
              <w:highlight w:val="none"/>
            </w:rPr>
            <w:tab/>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PAGEREF _Toc24135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29</w:t>
          </w:r>
          <w:r>
            <w:rPr>
              <w:rFonts w:hint="default" w:ascii="Times New Roman" w:hAnsi="Times New Roman" w:cs="Times New Roman"/>
              <w:b/>
              <w:bCs/>
              <w:sz w:val="24"/>
              <w:szCs w:val="24"/>
              <w:highlight w:val="none"/>
            </w:rPr>
            <w:fldChar w:fldCharType="end"/>
          </w:r>
          <w:r>
            <w:rPr>
              <w:rFonts w:hint="default" w:ascii="Times New Roman" w:hAnsi="Times New Roman" w:cs="Times New Roman"/>
              <w:b/>
              <w:bCs/>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_Toc30167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kern w:val="2"/>
              <w:sz w:val="24"/>
              <w:szCs w:val="24"/>
              <w:highlight w:val="none"/>
            </w:rPr>
            <w:t>4.1.废水来源及构成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_Toc30167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29</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_Toc28523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kern w:val="2"/>
              <w:sz w:val="24"/>
              <w:szCs w:val="24"/>
              <w:highlight w:val="none"/>
            </w:rPr>
            <w:t>4.2.废水所含主要污染物种类及其排放浓度、总量</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_Toc28523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29</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_Toc23637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kern w:val="2"/>
              <w:sz w:val="24"/>
              <w:szCs w:val="24"/>
              <w:highlight w:val="none"/>
            </w:rPr>
            <w:t>4.3.废污水产生关键环节分析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_Toc23637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29</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_Toc31065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kern w:val="2"/>
              <w:sz w:val="24"/>
              <w:szCs w:val="24"/>
              <w:highlight w:val="none"/>
            </w:rPr>
            <w:t>4.4.废污水处理措施及影响</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_Toc31065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_Toc25845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kern w:val="2"/>
              <w:sz w:val="24"/>
              <w:szCs w:val="24"/>
              <w:highlight w:val="none"/>
            </w:rPr>
            <w:t>4.5.入河排污口设置方案</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_Toc25845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HYPERLINK \l _Toc20570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5  入河排污口设置可行性分析</w:t>
          </w:r>
          <w:r>
            <w:rPr>
              <w:rFonts w:hint="default" w:ascii="Times New Roman" w:hAnsi="Times New Roman" w:cs="Times New Roman"/>
              <w:b/>
              <w:bCs/>
              <w:sz w:val="24"/>
              <w:szCs w:val="24"/>
              <w:highlight w:val="none"/>
            </w:rPr>
            <w:tab/>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PAGEREF _Toc20570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33</w:t>
          </w:r>
          <w:r>
            <w:rPr>
              <w:rFonts w:hint="default" w:ascii="Times New Roman" w:hAnsi="Times New Roman" w:cs="Times New Roman"/>
              <w:b/>
              <w:bCs/>
              <w:sz w:val="24"/>
              <w:szCs w:val="24"/>
              <w:highlight w:val="none"/>
            </w:rPr>
            <w:fldChar w:fldCharType="end"/>
          </w:r>
          <w:r>
            <w:rPr>
              <w:rFonts w:hint="default" w:ascii="Times New Roman" w:hAnsi="Times New Roman" w:cs="Times New Roman"/>
              <w:b/>
              <w:bCs/>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_Toc24815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5.1.水功能区（水域）对入河排污口的设置要求</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_Toc24815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_Toc24206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5.1.1.与产业政策、区域入河排污口布设规划符合性分析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_Toc24206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_Toc8329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5.1.2.与地方国家经济与城镇发展规划符合性分析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_Toc8329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_Toc3905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5.1.3.与水资源管理和环保要求符合性分析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_Toc3905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_Toc13708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5.1.4.与水功能区管理要求符合性分析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_Toc13708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_Toc31232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5.1.5.与《中华人民共和国水法》符合性分析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_Toc31232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34</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_Toc6809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5.1.6.与《中华人民共和国渔业法》符合性分析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_Toc6809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34</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_Toc29476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5.1.7.与《入河排污口监督管理办法》符合性分析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_Toc29476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35</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_Toc28144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5.1.8.与《湖南省入河排污口监督管理办法》符合性分析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_Toc28144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35</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_Toc5618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5.1.9.水域纳污能力限制可行性分析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_Toc5618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35</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_Toc9129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5.2.水功能区（水域）纳污能力及限制排放总量</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_Toc9129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36</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_Toc15490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5.2.1.项目入河排污口处洢水纳污能力核算</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_Toc15490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37</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_Toc29291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5.2.2.区域水功能区（水域）纳污情况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_Toc29291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38</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_Toc15366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5.2.3.入河排污口的设置可行性分析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_Toc15366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39</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HYPERLINK \l _Toc5924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6  入河排污口设置合理性分析</w:t>
          </w:r>
          <w:r>
            <w:rPr>
              <w:rFonts w:hint="default" w:ascii="Times New Roman" w:hAnsi="Times New Roman" w:cs="Times New Roman"/>
              <w:b/>
              <w:bCs/>
              <w:sz w:val="24"/>
              <w:szCs w:val="24"/>
              <w:highlight w:val="none"/>
            </w:rPr>
            <w:tab/>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PAGEREF _Toc5924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40</w:t>
          </w:r>
          <w:r>
            <w:rPr>
              <w:rFonts w:hint="default" w:ascii="Times New Roman" w:hAnsi="Times New Roman" w:cs="Times New Roman"/>
              <w:b/>
              <w:bCs/>
              <w:sz w:val="24"/>
              <w:szCs w:val="24"/>
              <w:highlight w:val="none"/>
            </w:rPr>
            <w:fldChar w:fldCharType="end"/>
          </w:r>
          <w:r>
            <w:rPr>
              <w:rFonts w:hint="default" w:ascii="Times New Roman" w:hAnsi="Times New Roman" w:cs="Times New Roman"/>
              <w:b/>
              <w:bCs/>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_Toc12332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6.1.入河排污口设置影响范围</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_Toc12332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40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_Toc12122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2</w:t>
          </w:r>
          <w:r>
            <w:rPr>
              <w:rFonts w:hint="default" w:ascii="Times New Roman" w:hAnsi="Times New Roman" w:cs="Times New Roman"/>
              <w:sz w:val="24"/>
              <w:szCs w:val="24"/>
              <w:highlight w:val="none"/>
            </w:rPr>
            <w:t>.</w:t>
          </w:r>
          <w:r>
            <w:rPr>
              <w:rFonts w:hint="default" w:ascii="Times New Roman" w:hAnsi="Times New Roman" w:cs="Times New Roman"/>
              <w:sz w:val="24"/>
              <w:szCs w:val="24"/>
              <w:highlight w:val="none"/>
              <w:lang w:val="en-US" w:eastAsia="zh-CN"/>
            </w:rPr>
            <w:t>水环境</w:t>
          </w:r>
          <w:r>
            <w:rPr>
              <w:rFonts w:hint="default" w:ascii="Times New Roman" w:hAnsi="Times New Roman" w:cs="Times New Roman"/>
              <w:sz w:val="24"/>
              <w:szCs w:val="24"/>
              <w:highlight w:val="none"/>
            </w:rPr>
            <w:t>预测影响分析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_Toc12122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40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_Toc3216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.对水功能区水质影响分析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_Toc3216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_Toc30153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.1.对水质影响分析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_Toc30153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_Toc18542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.2.对水域纳污能力影响分析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_Toc18542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_Toc23300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.对水生态及相关敏感区的影响分析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_Toc23300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_Toc9060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.对地下水的影响分析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_Toc9060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_Toc10953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w:t>
          </w:r>
          <w:r>
            <w:rPr>
              <w:rFonts w:hint="default" w:ascii="Times New Roman" w:hAnsi="Times New Roman" w:cs="Times New Roman"/>
              <w:sz w:val="24"/>
              <w:szCs w:val="24"/>
              <w:highlight w:val="none"/>
              <w:lang w:val="en-US" w:eastAsia="zh-CN"/>
            </w:rPr>
            <w:t>6</w:t>
          </w:r>
          <w:r>
            <w:rPr>
              <w:rFonts w:hint="default" w:ascii="Times New Roman" w:hAnsi="Times New Roman" w:cs="Times New Roman"/>
              <w:sz w:val="24"/>
              <w:szCs w:val="24"/>
              <w:highlight w:val="none"/>
            </w:rPr>
            <w:t>.对第三者影响分析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_Toc10953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52</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HYPERLINK \l _Toc4155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7  水环境保护措施</w:t>
          </w:r>
          <w:r>
            <w:rPr>
              <w:rFonts w:hint="default" w:ascii="Times New Roman" w:hAnsi="Times New Roman" w:cs="Times New Roman"/>
              <w:b/>
              <w:bCs/>
              <w:sz w:val="24"/>
              <w:szCs w:val="24"/>
              <w:highlight w:val="none"/>
            </w:rPr>
            <w:tab/>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PAGEREF _Toc4155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53</w:t>
          </w:r>
          <w:r>
            <w:rPr>
              <w:rFonts w:hint="default" w:ascii="Times New Roman" w:hAnsi="Times New Roman" w:cs="Times New Roman"/>
              <w:b/>
              <w:bCs/>
              <w:sz w:val="24"/>
              <w:szCs w:val="24"/>
              <w:highlight w:val="none"/>
            </w:rPr>
            <w:fldChar w:fldCharType="end"/>
          </w:r>
          <w:r>
            <w:rPr>
              <w:rFonts w:hint="default" w:ascii="Times New Roman" w:hAnsi="Times New Roman" w:cs="Times New Roman"/>
              <w:b/>
              <w:bCs/>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_Toc21878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7.1.工程保护措施</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_Toc21878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_Toc30106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7.2.管理措施</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_Toc30106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_Toc18580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7.2.1.水生态保护措施</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_Toc18580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_Toc11317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7.2.2.事故排污时应急处理措施</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_Toc11317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_Toc2454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7.2.3.环境管理</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_Toc2454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55</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_Toc16086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7.3.排污口设置验收要求</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_Toc16086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58</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_Toc17496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7.4.环境监测方案</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_Toc17496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58</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HYPERLINK \l _Toc23485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8  论证结论与意见</w:t>
          </w:r>
          <w:r>
            <w:rPr>
              <w:rFonts w:hint="default" w:ascii="Times New Roman" w:hAnsi="Times New Roman" w:cs="Times New Roman"/>
              <w:b/>
              <w:bCs/>
              <w:sz w:val="24"/>
              <w:szCs w:val="24"/>
              <w:highlight w:val="none"/>
            </w:rPr>
            <w:tab/>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PAGEREF _Toc23485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60</w:t>
          </w:r>
          <w:r>
            <w:rPr>
              <w:rFonts w:hint="default" w:ascii="Times New Roman" w:hAnsi="Times New Roman" w:cs="Times New Roman"/>
              <w:b/>
              <w:bCs/>
              <w:sz w:val="24"/>
              <w:szCs w:val="24"/>
              <w:highlight w:val="none"/>
            </w:rPr>
            <w:fldChar w:fldCharType="end"/>
          </w:r>
          <w:r>
            <w:rPr>
              <w:rFonts w:hint="default" w:ascii="Times New Roman" w:hAnsi="Times New Roman" w:cs="Times New Roman"/>
              <w:b/>
              <w:bCs/>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_Toc5826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8.1.论证结论</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_Toc5826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_Toc14152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8.1.1.排污口基本情况</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_Toc14152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_Toc8551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lang w:val="en-US" w:eastAsia="zh-CN"/>
            </w:rPr>
            <w:t>8.1.2</w:t>
          </w:r>
          <w:r>
            <w:rPr>
              <w:rFonts w:hint="default" w:ascii="Times New Roman" w:hAnsi="Times New Roman" w:cs="Times New Roman"/>
              <w:sz w:val="24"/>
              <w:szCs w:val="24"/>
              <w:highlight w:val="none"/>
            </w:rPr>
            <w:t>.所在水功能区（水域）纳污状况分析</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_Toc8551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_Toc32425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8.1.</w:t>
          </w:r>
          <w:r>
            <w:rPr>
              <w:rFonts w:hint="default" w:ascii="Times New Roman" w:hAnsi="Times New Roman" w:cs="Times New Roman"/>
              <w:sz w:val="24"/>
              <w:szCs w:val="24"/>
              <w:highlight w:val="none"/>
              <w:lang w:val="en-US" w:eastAsia="zh-CN"/>
            </w:rPr>
            <w:t>3</w:t>
          </w:r>
          <w:r>
            <w:rPr>
              <w:rFonts w:hint="default" w:ascii="Times New Roman" w:hAnsi="Times New Roman" w:cs="Times New Roman"/>
              <w:sz w:val="24"/>
              <w:szCs w:val="24"/>
              <w:highlight w:val="none"/>
            </w:rPr>
            <w:t>.对水功能区（水域）水质和生态的影响</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_Toc32425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_Toc22515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8.1.</w:t>
          </w:r>
          <w:r>
            <w:rPr>
              <w:rFonts w:hint="default" w:ascii="Times New Roman" w:hAnsi="Times New Roman" w:cs="Times New Roman"/>
              <w:sz w:val="24"/>
              <w:szCs w:val="24"/>
              <w:highlight w:val="none"/>
              <w:lang w:val="en-US" w:eastAsia="zh-CN"/>
            </w:rPr>
            <w:t>4</w:t>
          </w:r>
          <w:r>
            <w:rPr>
              <w:rFonts w:hint="default" w:ascii="Times New Roman" w:hAnsi="Times New Roman" w:cs="Times New Roman"/>
              <w:sz w:val="24"/>
              <w:szCs w:val="24"/>
              <w:highlight w:val="none"/>
            </w:rPr>
            <w:t>.对第三者权益的影响</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_Toc22515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4"/>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_Toc27925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8.1.</w:t>
          </w:r>
          <w:r>
            <w:rPr>
              <w:rFonts w:hint="default"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rPr>
            <w:t>.入河排污口设置最终结论</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_Toc27925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_Toc11801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8.2.建议</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_Toc11801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62</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b/>
              <w:bCs/>
              <w:sz w:val="24"/>
              <w:szCs w:val="24"/>
              <w:highlight w:val="none"/>
            </w:rPr>
          </w:pP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HYPERLINK \l _Toc32640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kern w:val="20"/>
              <w:sz w:val="24"/>
              <w:szCs w:val="24"/>
              <w:highlight w:val="none"/>
            </w:rPr>
            <w:t>9  附件附图</w:t>
          </w:r>
          <w:r>
            <w:rPr>
              <w:rFonts w:hint="default" w:ascii="Times New Roman" w:hAnsi="Times New Roman" w:cs="Times New Roman"/>
              <w:b/>
              <w:bCs/>
              <w:sz w:val="24"/>
              <w:szCs w:val="24"/>
              <w:highlight w:val="none"/>
            </w:rPr>
            <w:tab/>
          </w:r>
          <w:r>
            <w:rPr>
              <w:rFonts w:hint="default" w:ascii="Times New Roman" w:hAnsi="Times New Roman" w:cs="Times New Roman"/>
              <w:b/>
              <w:bCs/>
              <w:sz w:val="24"/>
              <w:szCs w:val="24"/>
              <w:highlight w:val="none"/>
            </w:rPr>
            <w:fldChar w:fldCharType="begin"/>
          </w:r>
          <w:r>
            <w:rPr>
              <w:rFonts w:hint="default" w:ascii="Times New Roman" w:hAnsi="Times New Roman" w:cs="Times New Roman"/>
              <w:b/>
              <w:bCs/>
              <w:sz w:val="24"/>
              <w:szCs w:val="24"/>
              <w:highlight w:val="none"/>
            </w:rPr>
            <w:instrText xml:space="preserve"> PAGEREF _Toc32640 </w:instrText>
          </w:r>
          <w:r>
            <w:rPr>
              <w:rFonts w:hint="default" w:ascii="Times New Roman" w:hAnsi="Times New Roman" w:cs="Times New Roman"/>
              <w:b/>
              <w:bCs/>
              <w:sz w:val="24"/>
              <w:szCs w:val="24"/>
              <w:highlight w:val="none"/>
            </w:rPr>
            <w:fldChar w:fldCharType="separate"/>
          </w:r>
          <w:r>
            <w:rPr>
              <w:rFonts w:hint="default" w:ascii="Times New Roman" w:hAnsi="Times New Roman" w:cs="Times New Roman"/>
              <w:b/>
              <w:bCs/>
              <w:sz w:val="24"/>
              <w:szCs w:val="24"/>
              <w:highlight w:val="none"/>
            </w:rPr>
            <w:t>63</w:t>
          </w:r>
          <w:r>
            <w:rPr>
              <w:rFonts w:hint="default" w:ascii="Times New Roman" w:hAnsi="Times New Roman" w:cs="Times New Roman"/>
              <w:b/>
              <w:bCs/>
              <w:sz w:val="24"/>
              <w:szCs w:val="24"/>
              <w:highlight w:val="none"/>
            </w:rPr>
            <w:fldChar w:fldCharType="end"/>
          </w:r>
          <w:r>
            <w:rPr>
              <w:rFonts w:hint="default" w:ascii="Times New Roman" w:hAnsi="Times New Roman" w:cs="Times New Roman"/>
              <w:b/>
              <w:bCs/>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_Toc19683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附件1  委托书</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_Toc19683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_Toc25380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附件2  湘环发[2019]17号</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_Toc25380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64</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_Toc23912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附件3  湘环函[2021]71号</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_Toc23912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68</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_Toc113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附件4  监测报告</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_Toc113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72</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_Toc8167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附件5  环评登记表</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_Toc8167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_Toc8516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附件6  固定污染源排污登记</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_Toc8516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82</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_Toc20890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附件7  专家评审意见</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_Toc20890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_Toc26691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附图1  地理位置图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_Toc26691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85</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_Toc7801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附图2  论证范围图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_Toc7801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86</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_Toc31157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附图3  影响范围图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_Toc31157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87</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_Toc26900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4</w:t>
          </w:r>
          <w:r>
            <w:rPr>
              <w:rFonts w:hint="default" w:ascii="Times New Roman" w:hAnsi="Times New Roman" w:cs="Times New Roman"/>
              <w:bCs/>
              <w:sz w:val="24"/>
              <w:szCs w:val="24"/>
              <w:highlight w:val="none"/>
            </w:rPr>
            <w:t xml:space="preserve">  </w:t>
          </w:r>
          <w:r>
            <w:rPr>
              <w:rFonts w:hint="default" w:ascii="Times New Roman" w:hAnsi="Times New Roman" w:cs="Times New Roman"/>
              <w:bCs/>
              <w:sz w:val="24"/>
              <w:szCs w:val="24"/>
              <w:highlight w:val="none"/>
              <w:lang w:val="en-US" w:eastAsia="zh-CN"/>
            </w:rPr>
            <w:t>污水处理厂排放口与乐安水厂饮用水源保护区取水口相对关系图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_Toc26900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88</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_Toc26543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5</w:t>
          </w:r>
          <w:r>
            <w:rPr>
              <w:rFonts w:hint="default" w:ascii="Times New Roman" w:hAnsi="Times New Roman" w:cs="Times New Roman"/>
              <w:bCs/>
              <w:sz w:val="24"/>
              <w:szCs w:val="24"/>
              <w:highlight w:val="none"/>
            </w:rPr>
            <w:t xml:space="preserve">  纳污管网图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_Toc26543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89</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_Toc21994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6</w:t>
          </w:r>
          <w:r>
            <w:rPr>
              <w:rFonts w:hint="default" w:ascii="Times New Roman" w:hAnsi="Times New Roman" w:cs="Times New Roman"/>
              <w:bCs/>
              <w:sz w:val="24"/>
              <w:szCs w:val="24"/>
              <w:highlight w:val="none"/>
            </w:rPr>
            <w:t xml:space="preserve">  厂区平面布置示意图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_Toc21994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90</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_Toc7299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7</w:t>
          </w:r>
          <w:r>
            <w:rPr>
              <w:rFonts w:hint="default" w:ascii="Times New Roman" w:hAnsi="Times New Roman" w:cs="Times New Roman"/>
              <w:bCs/>
              <w:sz w:val="24"/>
              <w:szCs w:val="24"/>
              <w:highlight w:val="none"/>
            </w:rPr>
            <w:t xml:space="preserve">  项目所在区域水系图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_Toc7299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91</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_Toc26253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8</w:t>
          </w:r>
          <w:r>
            <w:rPr>
              <w:rFonts w:hint="default" w:ascii="Times New Roman" w:hAnsi="Times New Roman" w:cs="Times New Roman"/>
              <w:bCs/>
              <w:sz w:val="24"/>
              <w:szCs w:val="24"/>
              <w:highlight w:val="none"/>
            </w:rPr>
            <w:t xml:space="preserve">  项目水功能一级区划图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_Toc26253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92</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_Toc31196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bCs/>
              <w:sz w:val="24"/>
              <w:szCs w:val="24"/>
              <w:highlight w:val="none"/>
            </w:rPr>
            <w:t>附图</w:t>
          </w:r>
          <w:r>
            <w:rPr>
              <w:rFonts w:hint="default" w:ascii="Times New Roman" w:hAnsi="Times New Roman" w:cs="Times New Roman"/>
              <w:bCs/>
              <w:sz w:val="24"/>
              <w:szCs w:val="24"/>
              <w:highlight w:val="none"/>
              <w:lang w:val="en-US" w:eastAsia="zh-CN"/>
            </w:rPr>
            <w:t>9</w:t>
          </w:r>
          <w:r>
            <w:rPr>
              <w:rFonts w:hint="default" w:ascii="Times New Roman" w:hAnsi="Times New Roman" w:cs="Times New Roman"/>
              <w:bCs/>
              <w:sz w:val="24"/>
              <w:szCs w:val="24"/>
              <w:highlight w:val="none"/>
            </w:rPr>
            <w:t xml:space="preserve">  项目区域水功能区划图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_Toc31196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93</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pStyle w:val="19"/>
            <w:keepNext w:val="0"/>
            <w:keepLines w:val="0"/>
            <w:pageBreakBefore w:val="0"/>
            <w:widowControl w:val="0"/>
            <w:tabs>
              <w:tab w:val="right" w:leader="dot" w:pos="8306"/>
            </w:tabs>
            <w:kinsoku/>
            <w:wordWrap/>
            <w:overflowPunct/>
            <w:topLinePunct w:val="0"/>
            <w:autoSpaceDE/>
            <w:autoSpaceDN/>
            <w:bidi w:val="0"/>
            <w:adjustRightInd/>
            <w:snapToGrid/>
            <w:spacing w:line="300" w:lineRule="auto"/>
            <w:textAlignment w:val="auto"/>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HYPERLINK \l _Toc19159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附图</w:t>
          </w:r>
          <w:r>
            <w:rPr>
              <w:rFonts w:hint="default" w:ascii="Times New Roman" w:hAnsi="Times New Roman" w:cs="Times New Roman"/>
              <w:sz w:val="24"/>
              <w:szCs w:val="24"/>
              <w:highlight w:val="none"/>
              <w:lang w:val="en-US" w:eastAsia="zh-CN"/>
            </w:rPr>
            <w:t>10</w:t>
          </w:r>
          <w:r>
            <w:rPr>
              <w:rFonts w:hint="default" w:ascii="Times New Roman" w:hAnsi="Times New Roman" w:cs="Times New Roman"/>
              <w:sz w:val="24"/>
              <w:szCs w:val="24"/>
              <w:highlight w:val="none"/>
            </w:rPr>
            <w:t xml:space="preserve">  纳污河流现状图</w:t>
          </w:r>
          <w:r>
            <w:rPr>
              <w:rFonts w:hint="default" w:ascii="Times New Roman" w:hAnsi="Times New Roman" w:cs="Times New Roman"/>
              <w:sz w:val="24"/>
              <w:szCs w:val="24"/>
              <w:highlight w:val="none"/>
            </w:rPr>
            <w:tab/>
          </w:r>
          <w:r>
            <w:rPr>
              <w:rFonts w:hint="default" w:ascii="Times New Roman" w:hAnsi="Times New Roman" w:cs="Times New Roman"/>
              <w:sz w:val="24"/>
              <w:szCs w:val="24"/>
              <w:highlight w:val="none"/>
            </w:rPr>
            <w:fldChar w:fldCharType="begin"/>
          </w:r>
          <w:r>
            <w:rPr>
              <w:rFonts w:hint="default" w:ascii="Times New Roman" w:hAnsi="Times New Roman" w:cs="Times New Roman"/>
              <w:sz w:val="24"/>
              <w:szCs w:val="24"/>
              <w:highlight w:val="none"/>
            </w:rPr>
            <w:instrText xml:space="preserve"> PAGEREF _Toc19159 </w:instrText>
          </w:r>
          <w:r>
            <w:rPr>
              <w:rFonts w:hint="default" w:ascii="Times New Roman" w:hAnsi="Times New Roman" w:cs="Times New Roman"/>
              <w:sz w:val="24"/>
              <w:szCs w:val="24"/>
              <w:highlight w:val="none"/>
            </w:rPr>
            <w:fldChar w:fldCharType="separate"/>
          </w:r>
          <w:r>
            <w:rPr>
              <w:rFonts w:hint="default" w:ascii="Times New Roman" w:hAnsi="Times New Roman" w:cs="Times New Roman"/>
              <w:sz w:val="24"/>
              <w:szCs w:val="24"/>
              <w:highlight w:val="none"/>
            </w:rPr>
            <w:t>94</w:t>
          </w:r>
          <w:r>
            <w:rPr>
              <w:rFonts w:hint="default" w:ascii="Times New Roman" w:hAnsi="Times New Roman" w:cs="Times New Roman"/>
              <w:sz w:val="24"/>
              <w:szCs w:val="24"/>
              <w:highlight w:val="none"/>
            </w:rPr>
            <w:fldChar w:fldCharType="end"/>
          </w:r>
          <w:r>
            <w:rPr>
              <w:rFonts w:hint="default" w:ascii="Times New Roman" w:hAnsi="Times New Roman" w:cs="Times New Roman"/>
              <w:sz w:val="24"/>
              <w:szCs w:val="24"/>
              <w:highlight w:val="none"/>
            </w:rPr>
            <w:fldChar w:fldCharType="end"/>
          </w:r>
        </w:p>
        <w:p>
          <w:pPr>
            <w:keepNext w:val="0"/>
            <w:keepLines w:val="0"/>
            <w:pageBreakBefore w:val="0"/>
            <w:widowControl w:val="0"/>
            <w:kinsoku/>
            <w:wordWrap/>
            <w:overflowPunct/>
            <w:topLinePunct w:val="0"/>
            <w:autoSpaceDE/>
            <w:autoSpaceDN/>
            <w:bidi w:val="0"/>
            <w:adjustRightInd/>
            <w:snapToGrid/>
            <w:spacing w:line="300" w:lineRule="auto"/>
            <w:textAlignment w:val="auto"/>
            <w:rPr>
              <w:rFonts w:hint="default" w:ascii="Times New Roman" w:hAnsi="Times New Roman" w:cs="Times New Roman"/>
              <w:highlight w:val="none"/>
            </w:rPr>
          </w:pPr>
          <w:r>
            <w:rPr>
              <w:rFonts w:hint="default" w:ascii="Times New Roman" w:hAnsi="Times New Roman" w:cs="Times New Roman"/>
              <w:sz w:val="24"/>
              <w:szCs w:val="24"/>
              <w:highlight w:val="none"/>
            </w:rPr>
            <w:fldChar w:fldCharType="end"/>
          </w:r>
        </w:p>
      </w:sdtContent>
    </w:sdt>
    <w:p>
      <w:pPr>
        <w:pStyle w:val="10"/>
        <w:spacing w:before="0" w:after="0" w:line="360" w:lineRule="auto"/>
        <w:outlineLvl w:val="0"/>
        <w:rPr>
          <w:rFonts w:hint="default" w:ascii="Times New Roman" w:hAnsi="Times New Roman" w:cs="Times New Roman"/>
          <w:b/>
          <w:bCs/>
          <w:sz w:val="32"/>
          <w:szCs w:val="32"/>
          <w:highlight w:val="none"/>
        </w:rPr>
        <w:sectPr>
          <w:footerReference r:id="rId3" w:type="default"/>
          <w:pgSz w:w="11906" w:h="16838"/>
          <w:pgMar w:top="1644" w:right="1800" w:bottom="1814" w:left="1800" w:header="851" w:footer="992" w:gutter="0"/>
          <w:pgNumType w:start="1"/>
          <w:cols w:space="720" w:num="1"/>
          <w:docGrid w:type="lines" w:linePitch="312" w:charSpace="0"/>
        </w:sectPr>
      </w:pPr>
    </w:p>
    <w:p>
      <w:pPr>
        <w:pStyle w:val="10"/>
        <w:spacing w:before="0" w:after="0" w:line="360" w:lineRule="auto"/>
        <w:outlineLvl w:val="0"/>
        <w:rPr>
          <w:rFonts w:hint="default" w:ascii="Times New Roman" w:hAnsi="Times New Roman" w:cs="Times New Roman"/>
          <w:b/>
          <w:bCs/>
          <w:sz w:val="32"/>
          <w:szCs w:val="32"/>
          <w:highlight w:val="none"/>
        </w:rPr>
      </w:pPr>
      <w:bookmarkStart w:id="5" w:name="_Toc11382"/>
      <w:r>
        <w:rPr>
          <w:rFonts w:hint="default" w:ascii="Times New Roman" w:hAnsi="Times New Roman" w:cs="Times New Roman"/>
          <w:b/>
          <w:bCs/>
          <w:sz w:val="32"/>
          <w:szCs w:val="32"/>
          <w:highlight w:val="none"/>
        </w:rPr>
        <w:t>1  总则</w:t>
      </w:r>
      <w:bookmarkEnd w:id="5"/>
    </w:p>
    <w:p>
      <w:pPr>
        <w:pStyle w:val="10"/>
        <w:spacing w:before="0" w:after="0" w:line="360" w:lineRule="auto"/>
        <w:jc w:val="left"/>
        <w:outlineLvl w:val="1"/>
        <w:rPr>
          <w:rFonts w:hint="default" w:ascii="Times New Roman" w:hAnsi="Times New Roman" w:cs="Times New Roman"/>
          <w:b/>
          <w:bCs/>
          <w:szCs w:val="24"/>
          <w:highlight w:val="none"/>
        </w:rPr>
      </w:pPr>
      <w:bookmarkStart w:id="6" w:name="_Toc25181"/>
      <w:r>
        <w:rPr>
          <w:rFonts w:hint="default" w:ascii="Times New Roman" w:hAnsi="Times New Roman" w:cs="Times New Roman"/>
          <w:b/>
          <w:bCs/>
          <w:szCs w:val="24"/>
          <w:highlight w:val="none"/>
        </w:rPr>
        <w:t>1.1.论证目的</w:t>
      </w:r>
      <w:bookmarkEnd w:id="6"/>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随着我国城镇化水平的不断提高，乡镇人口不断集中，乡镇企业不断发展，乡镇污水排放量不断增加，水环境受到了前所未有的严峻挑战。为了改变安化县乐安镇乐高社区污水排放现状，同时也为更好的给当地社会与经济发展创造良好环境，安化县住房和城乡建设局决定在安化县乐安镇乐高社区新建一座处理规模为150m</w:t>
      </w:r>
      <w:r>
        <w:rPr>
          <w:rFonts w:hint="default" w:ascii="Times New Roman" w:hAnsi="Times New Roman" w:cs="Times New Roman"/>
          <w:highlight w:val="none"/>
          <w:vertAlign w:val="superscript"/>
        </w:rPr>
        <w:t>3</w:t>
      </w:r>
      <w:r>
        <w:rPr>
          <w:rFonts w:hint="default" w:ascii="Times New Roman" w:hAnsi="Times New Roman" w:cs="Times New Roman"/>
          <w:highlight w:val="none"/>
        </w:rPr>
        <w:t>/d的污水处理厂（安化县乐安镇乐高污水处理厂），主要收纳乡镇集中生活区域的生活污水，服务人口约为2000人，工程配套管网长度3.5km。</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本生活污水处理厂已建设完成，目前处于</w:t>
      </w:r>
      <w:r>
        <w:rPr>
          <w:rFonts w:hint="default" w:ascii="Times New Roman" w:hAnsi="Times New Roman" w:cs="Times New Roman"/>
          <w:highlight w:val="none"/>
          <w:lang w:eastAsia="zh-CN"/>
        </w:rPr>
        <w:t>调试试运营阶段</w:t>
      </w:r>
      <w:r>
        <w:rPr>
          <w:rFonts w:hint="default" w:ascii="Times New Roman" w:hAnsi="Times New Roman" w:cs="Times New Roman"/>
          <w:highlight w:val="none"/>
        </w:rPr>
        <w:t>，本次论证包括安化县乐安镇乐高污水处理厂废水排放对排污口</w:t>
      </w:r>
      <w:r>
        <w:rPr>
          <w:rFonts w:hint="default" w:ascii="Times New Roman" w:hAnsi="Times New Roman" w:cs="Times New Roman"/>
          <w:highlight w:val="none"/>
          <w:lang w:val="en-US" w:eastAsia="zh-CN"/>
        </w:rPr>
        <w:t>至</w:t>
      </w:r>
      <w:r>
        <w:rPr>
          <w:rFonts w:hint="default" w:ascii="Times New Roman" w:hAnsi="Times New Roman" w:cs="Times New Roman"/>
          <w:color w:val="7030A0"/>
          <w:highlight w:val="none"/>
          <w:u w:val="single"/>
        </w:rPr>
        <w:t>洢水安化源头水保护区结束处为终点(涉及洢水总长6500m)</w:t>
      </w:r>
      <w:r>
        <w:rPr>
          <w:rFonts w:hint="default" w:ascii="Times New Roman" w:hAnsi="Times New Roman" w:cs="Times New Roman"/>
          <w:highlight w:val="none"/>
          <w:u w:val="none"/>
          <w:lang w:val="en-US" w:eastAsia="zh-CN"/>
        </w:rPr>
        <w:t>的</w:t>
      </w:r>
      <w:r>
        <w:rPr>
          <w:rFonts w:hint="default" w:ascii="Times New Roman" w:hAnsi="Times New Roman" w:cs="Times New Roman"/>
          <w:highlight w:val="none"/>
        </w:rPr>
        <w:t>影响，污水处理厂基本情况如下所示：</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处理工艺为：“格栅渠-调节池-水解酸化-接触氧化（厌氧-缺氧-好氧）-二沉池-清水池-多介质过滤器-紫外线消毒-计量渠-外排”</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出水标准：《城镇污水处理厂污染物排放标准》（GB18918-2002）一级B排放标准</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排水管道：约6m埋地管道，聚乙烯双壁波纹管DN300</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纳污水体：</w:t>
      </w:r>
      <w:r>
        <w:rPr>
          <w:rFonts w:hint="default" w:ascii="Times New Roman" w:hAnsi="Times New Roman" w:cs="Times New Roman"/>
          <w:highlight w:val="none"/>
          <w:lang w:val="de-DE"/>
        </w:rPr>
        <w:t>洢水</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排污口坐标：东经：111°34′58.550″，北纬：28°6′18.911″</w:t>
      </w:r>
    </w:p>
    <w:p>
      <w:pPr>
        <w:pStyle w:val="10"/>
        <w:spacing w:before="0" w:after="0" w:line="360" w:lineRule="auto"/>
        <w:ind w:firstLine="480" w:firstLineChars="200"/>
        <w:jc w:val="both"/>
        <w:rPr>
          <w:rFonts w:hint="default" w:ascii="Times New Roman" w:hAnsi="Times New Roman" w:eastAsia="宋体" w:cs="Times New Roman"/>
          <w:highlight w:val="none"/>
          <w:lang w:eastAsia="zh-CN"/>
        </w:rPr>
      </w:pPr>
      <w:r>
        <w:rPr>
          <w:rFonts w:hint="default" w:ascii="Times New Roman" w:hAnsi="Times New Roman" w:cs="Times New Roman"/>
          <w:highlight w:val="none"/>
        </w:rPr>
        <w:t>建设情况：于2021年完成建设，目前项目处于</w:t>
      </w:r>
      <w:r>
        <w:rPr>
          <w:rFonts w:hint="default" w:ascii="Times New Roman" w:hAnsi="Times New Roman" w:cs="Times New Roman"/>
          <w:highlight w:val="none"/>
          <w:lang w:eastAsia="zh-CN"/>
        </w:rPr>
        <w:t>调试试运营阶段</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根据2016年7月修订的《中华人民共和国水法》、2017年6月修订的《中华人民共和国水污染防治法》、2018年3月修订的《中华人民共和国河道管理条例》以及根据中华人民共和国水利部第47号令《入河排污口监督管理办法》、水利部水资源水资源[2017]138号《关于加强入河排污口监督管理工作的通知》、《湖南省入河排污口监督管理办法》湘政办发〔2018〕44号等相关规定。</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建设单位在江河、湖泊新建、改建、扩建排污口的，应当取得水行政主管部门或者流域管理机构同意；但在保护区、饮用水源区等环境敏感区域的相邻功能区以及跨行政区域河段交界断面附近设置排污口的，应当编制入河排污口设置论证报告。</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为严格执行水利部《入河排污口监督管理办法》（水利部令第47号），促进水资源优化配置，保证水资源可持续利用，保障建设项目的合理排水要求，并根据《入河排污口监督管理办法》（水利部令第47号修改）及《入河排污口设置论证基本要求（试行）》的有关规定，安化县住房和城乡建设局委托我公司开展其入河排污口设置论证工作。</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通过实地查勘，收集该建设项目前期相关技术资料及审查意见，分析入河排污口有关信息，在满足水功能区（或水域）保护要求的前提下，论证入河排污口设置对水功能区、水生态和第三者权益的影响，根据纳污能力、排污总量控制、水生态保护等要求，提出水资源保护措施，优化入河排污口设置方案，为各级水行政主管部门或流域管理机构审批入河排污口以及建设单位合理设置入河排污口提供科学依据，以保障生活、生产和生态用水安全。</w:t>
      </w:r>
    </w:p>
    <w:p>
      <w:pPr>
        <w:pStyle w:val="10"/>
        <w:spacing w:before="0" w:after="0" w:line="360" w:lineRule="auto"/>
        <w:jc w:val="both"/>
        <w:outlineLvl w:val="1"/>
        <w:rPr>
          <w:rFonts w:hint="default" w:ascii="Times New Roman" w:hAnsi="Times New Roman" w:cs="Times New Roman"/>
          <w:b/>
          <w:bCs/>
          <w:highlight w:val="none"/>
        </w:rPr>
      </w:pPr>
      <w:bookmarkStart w:id="7" w:name="_Toc29181"/>
      <w:r>
        <w:rPr>
          <w:rFonts w:hint="default" w:ascii="Times New Roman" w:hAnsi="Times New Roman" w:cs="Times New Roman"/>
          <w:b/>
          <w:bCs/>
          <w:highlight w:val="none"/>
        </w:rPr>
        <w:t>1.2.论证依据</w:t>
      </w:r>
      <w:bookmarkEnd w:id="7"/>
    </w:p>
    <w:p>
      <w:pPr>
        <w:pStyle w:val="10"/>
        <w:spacing w:before="0" w:after="0" w:line="360" w:lineRule="auto"/>
        <w:ind w:firstLine="482" w:firstLineChars="200"/>
        <w:jc w:val="both"/>
        <w:outlineLvl w:val="2"/>
        <w:rPr>
          <w:rFonts w:hint="default" w:ascii="Times New Roman" w:hAnsi="Times New Roman" w:cs="Times New Roman"/>
          <w:b/>
          <w:bCs/>
          <w:highlight w:val="none"/>
        </w:rPr>
      </w:pPr>
      <w:bookmarkStart w:id="8" w:name="_Toc5137"/>
      <w:r>
        <w:rPr>
          <w:rFonts w:hint="default" w:ascii="Times New Roman" w:hAnsi="Times New Roman" w:cs="Times New Roman"/>
          <w:b/>
          <w:bCs/>
          <w:highlight w:val="none"/>
        </w:rPr>
        <w:t>1.2.1.法律法规</w:t>
      </w:r>
      <w:bookmarkEnd w:id="8"/>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（1）《中华人民共和国环境保护法》（2015年1月）；</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（2）《中华人民共和国环境影响评价法》（2018年12修订）；</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（3）《中华人民共和国水污染防治法》（2017年6月修订）；</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（4）《中华人民共和国大气污染防治法》（2018年10月修订）；</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（5）《中华人民共和国固体废物污染环境防治法》（2020年修订）；</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（6）《中华人民共和国河道管理条例》（2018.3.19）；</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（7）《中华人民共和国自然保护区条列》（国务院令第167号）；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（8）《城镇排水与污水处理条列》（国务院令第641号令，2013年.10.2）；</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（9）《入河排污口监督管理办法》（水利部令第47号）；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（10）《水行政许可实施办法》（水利部令第23号）；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（11）《水功能区监督管理办法》（水资源[2017]101号）；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（12）《关于做好入河排污口和水功能区划相关工作的通知》（环办水体[2019]36号）；</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（13）湖南省生态环境厅&lt;关于做好入河排污口设置审批和水功能区划&gt;相关工作的通知（湘环发[2019]）17号）；</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（14）湖南省人民政府办公厅关于印发《湖南省入河排污口监督管理办法》的通知（湘政办发[2018]44号）；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（15）《湖南省住房和城乡建设厅等八部门关于建立绿色通道加快城乡污水处理设施建设前期工作的通知》（湘建村[2019]230号）；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（16）《关于规范入河排污口设置审批工作的函》（湘环函[2021]71号）；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（17）《中华人民共和国长江保护法》（2020年12月26日第十三届全国人民代表大会常务委员会第二十四次会议通过）。</w:t>
      </w:r>
    </w:p>
    <w:p>
      <w:pPr>
        <w:pStyle w:val="10"/>
        <w:spacing w:line="360" w:lineRule="auto"/>
        <w:ind w:firstLine="482" w:firstLineChars="200"/>
        <w:jc w:val="both"/>
        <w:outlineLvl w:val="2"/>
        <w:rPr>
          <w:rFonts w:hint="default" w:ascii="Times New Roman" w:hAnsi="Times New Roman" w:cs="Times New Roman"/>
          <w:b/>
          <w:bCs/>
          <w:highlight w:val="none"/>
        </w:rPr>
      </w:pPr>
      <w:bookmarkStart w:id="9" w:name="_Toc19502"/>
      <w:r>
        <w:rPr>
          <w:rFonts w:hint="default" w:ascii="Times New Roman" w:hAnsi="Times New Roman" w:cs="Times New Roman"/>
          <w:b/>
          <w:bCs/>
          <w:highlight w:val="none"/>
        </w:rPr>
        <w:t>1.2.2.部门规章及规范性文件</w:t>
      </w:r>
      <w:bookmarkEnd w:id="9"/>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(1)《建设项目水资源论证管理办法》（水利部令第49号，2017.12.22）；</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(2)《入河排污口设置论证基本要求（试行）》（水利部办公厅，2005年3月）；</w:t>
      </w:r>
    </w:p>
    <w:p>
      <w:pPr>
        <w:pStyle w:val="10"/>
        <w:spacing w:before="0" w:after="0" w:line="360" w:lineRule="auto"/>
        <w:ind w:firstLine="480" w:firstLineChars="200"/>
        <w:jc w:val="both"/>
        <w:rPr>
          <w:rFonts w:hint="default" w:ascii="Times New Roman" w:hAnsi="Times New Roman" w:eastAsia="宋体" w:cs="Times New Roman"/>
          <w:highlight w:val="none"/>
          <w:lang w:eastAsia="zh-CN"/>
        </w:rPr>
      </w:pPr>
      <w:r>
        <w:rPr>
          <w:rFonts w:hint="default" w:ascii="Times New Roman" w:hAnsi="Times New Roman" w:cs="Times New Roman"/>
          <w:highlight w:val="none"/>
        </w:rPr>
        <w:t>(3)《关于进一步加强入河排污口监督管理工作的通知》（水资源[2017]138号）</w:t>
      </w:r>
      <w:r>
        <w:rPr>
          <w:rFonts w:hint="default" w:ascii="Times New Roman" w:hAnsi="Times New Roman" w:cs="Times New Roman"/>
          <w:highlight w:val="none"/>
          <w:lang w:val="en-US" w:eastAsia="zh-CN"/>
        </w:rPr>
        <w:t>。</w:t>
      </w:r>
    </w:p>
    <w:p>
      <w:pPr>
        <w:pStyle w:val="10"/>
        <w:spacing w:line="360" w:lineRule="auto"/>
        <w:ind w:firstLine="482" w:firstLineChars="200"/>
        <w:jc w:val="both"/>
        <w:outlineLvl w:val="2"/>
        <w:rPr>
          <w:rFonts w:hint="default" w:ascii="Times New Roman" w:hAnsi="Times New Roman" w:cs="Times New Roman"/>
          <w:b/>
          <w:bCs/>
          <w:highlight w:val="none"/>
        </w:rPr>
      </w:pPr>
      <w:bookmarkStart w:id="10" w:name="_Toc21821"/>
      <w:r>
        <w:rPr>
          <w:rFonts w:hint="default" w:ascii="Times New Roman" w:hAnsi="Times New Roman" w:cs="Times New Roman"/>
          <w:b/>
          <w:bCs/>
          <w:highlight w:val="none"/>
        </w:rPr>
        <w:t>1.2.3.地方法规政策</w:t>
      </w:r>
      <w:bookmarkEnd w:id="10"/>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(1)《湖南省入河排污口监督管理办法》（湘政办发[2018]44号）；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(2)《关于做好入河排污口设置审批和水功能区划相关工作的通知》（湘环发[2019]17号）；</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(3)《湖南省入河排污口设置审批工作指引》；</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(4)《湖南省主要地表水系水环境功能区划》（DB43/023-2005）；</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(5)</w:t>
      </w:r>
      <w:r>
        <w:rPr>
          <w:rFonts w:hint="default" w:ascii="Times New Roman" w:hAnsi="Times New Roman" w:cs="Times New Roman"/>
          <w:highlight w:val="none"/>
          <w:lang w:val="zh-CN"/>
        </w:rPr>
        <w:t>国家林业局文件林湿发（2015）189号。</w:t>
      </w:r>
    </w:p>
    <w:p>
      <w:pPr>
        <w:pStyle w:val="10"/>
        <w:spacing w:line="360" w:lineRule="auto"/>
        <w:ind w:firstLine="482" w:firstLineChars="200"/>
        <w:jc w:val="both"/>
        <w:outlineLvl w:val="2"/>
        <w:rPr>
          <w:rFonts w:hint="default" w:ascii="Times New Roman" w:hAnsi="Times New Roman" w:cs="Times New Roman"/>
          <w:b/>
          <w:bCs/>
          <w:highlight w:val="none"/>
        </w:rPr>
      </w:pPr>
      <w:bookmarkStart w:id="11" w:name="_Toc16524"/>
      <w:r>
        <w:rPr>
          <w:rFonts w:hint="default" w:ascii="Times New Roman" w:hAnsi="Times New Roman" w:cs="Times New Roman"/>
          <w:b/>
          <w:bCs/>
          <w:highlight w:val="none"/>
        </w:rPr>
        <w:t>1.2.4.技术导则与规范、标准</w:t>
      </w:r>
      <w:bookmarkEnd w:id="11"/>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（1）《水利水电建设项目水资源论证导则》SL/525—2011；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（2）《建设项目水资源论证技术标准汇编》水利部水资源司；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（3）《地表水环境质量标准》（GB3838-2002）；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（4）《污水综合排放标准》（GB8978-1996）；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（5）《水资源评价导则》（SL/T238-1999）；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（6）《水利水电工程水文计算规范》（SL/T278-2002）；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（7）《水利工程水利计算规范》（SL104-95）；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（8）《环境影响评价技术导则》（HJ/T2.1-2016，HJ/T2.2-2018，HJ/T2.3-2018， HJ/T2.4-2008，HJ/T610-2016，HJ/T19-2011）；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（9）《生活饮用水卫生标准》（GB5749-2006）；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（10）《水域纳污能力计算规程》（GB/T25173-2010）；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（11）《地表水资源质量评价技术规程》（SL395-2007）；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（12）《城镇污水处理厂污染物排放标准》（GB18918-2002）； </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 xml:space="preserve">（13）《入河排污口设置论证报告技术导则（征求意见稿）》； </w:t>
      </w:r>
    </w:p>
    <w:p>
      <w:pPr>
        <w:pStyle w:val="10"/>
        <w:spacing w:before="0" w:after="0" w:line="360" w:lineRule="auto"/>
        <w:ind w:firstLine="480" w:firstLineChars="200"/>
        <w:jc w:val="both"/>
        <w:rPr>
          <w:rFonts w:hint="default" w:ascii="Times New Roman" w:hAnsi="Times New Roman" w:eastAsia="宋体" w:cs="Times New Roman"/>
          <w:highlight w:val="none"/>
          <w:lang w:eastAsia="zh-CN"/>
        </w:rPr>
      </w:pPr>
      <w:r>
        <w:rPr>
          <w:rFonts w:hint="default" w:ascii="Times New Roman" w:hAnsi="Times New Roman" w:cs="Times New Roman"/>
          <w:highlight w:val="none"/>
        </w:rPr>
        <w:t>（14）《入河排污口管理技术导则》（SL 532-2011）</w:t>
      </w:r>
      <w:r>
        <w:rPr>
          <w:rFonts w:hint="default" w:ascii="Times New Roman" w:hAnsi="Times New Roman" w:cs="Times New Roman"/>
          <w:highlight w:val="none"/>
          <w:lang w:eastAsia="zh-CN"/>
        </w:rPr>
        <w:t>；</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（15）《湖南省水功能区监督管理办法》的通知湘政办发〔2016〕14 号。</w:t>
      </w:r>
    </w:p>
    <w:p>
      <w:pPr>
        <w:pStyle w:val="10"/>
        <w:spacing w:line="360" w:lineRule="auto"/>
        <w:ind w:firstLine="482" w:firstLineChars="200"/>
        <w:jc w:val="both"/>
        <w:outlineLvl w:val="2"/>
        <w:rPr>
          <w:rFonts w:hint="default" w:ascii="Times New Roman" w:hAnsi="Times New Roman" w:cs="Times New Roman"/>
          <w:b/>
          <w:bCs/>
          <w:highlight w:val="none"/>
        </w:rPr>
      </w:pPr>
      <w:bookmarkStart w:id="12" w:name="_Toc23324"/>
      <w:r>
        <w:rPr>
          <w:rFonts w:hint="default" w:ascii="Times New Roman" w:hAnsi="Times New Roman" w:cs="Times New Roman"/>
          <w:b/>
          <w:bCs/>
          <w:highlight w:val="none"/>
        </w:rPr>
        <w:t>1.2.5.其它相关文件</w:t>
      </w:r>
      <w:bookmarkEnd w:id="12"/>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（1）《安化县乡镇污水处理及配套设施项目（二期）初步设计》（湖南平安环保股份有限公司，2020.7）；</w:t>
      </w:r>
    </w:p>
    <w:p>
      <w:pPr>
        <w:pStyle w:val="10"/>
        <w:spacing w:before="0" w:after="0" w:line="360" w:lineRule="auto"/>
        <w:ind w:firstLine="480" w:firstLineChars="200"/>
        <w:jc w:val="both"/>
        <w:rPr>
          <w:rFonts w:hint="default" w:ascii="Times New Roman" w:hAnsi="Times New Roman" w:eastAsia="宋体" w:cs="Times New Roman"/>
          <w:highlight w:val="none"/>
          <w:lang w:eastAsia="zh-CN"/>
        </w:rPr>
      </w:pPr>
      <w:r>
        <w:rPr>
          <w:rFonts w:hint="default" w:ascii="Times New Roman" w:hAnsi="Times New Roman" w:cs="Times New Roman"/>
          <w:highlight w:val="none"/>
        </w:rPr>
        <w:t>（2）《安化县乡镇污水处理及配套设施项目（二期）可行性研究报告》（安徽民力工程院咨询有限公司，2020.3）</w:t>
      </w:r>
      <w:r>
        <w:rPr>
          <w:rFonts w:hint="default" w:ascii="Times New Roman" w:hAnsi="Times New Roman" w:cs="Times New Roman"/>
          <w:highlight w:val="none"/>
          <w:lang w:eastAsia="zh-CN"/>
        </w:rPr>
        <w:t>；</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（3）其他文件。</w:t>
      </w:r>
    </w:p>
    <w:p>
      <w:pPr>
        <w:pStyle w:val="10"/>
        <w:spacing w:line="360" w:lineRule="auto"/>
        <w:jc w:val="both"/>
        <w:outlineLvl w:val="1"/>
        <w:rPr>
          <w:rFonts w:hint="default" w:ascii="Times New Roman" w:hAnsi="Times New Roman" w:cs="Times New Roman"/>
          <w:b/>
          <w:bCs/>
          <w:highlight w:val="none"/>
        </w:rPr>
      </w:pPr>
      <w:bookmarkStart w:id="13" w:name="_Toc26146"/>
      <w:r>
        <w:rPr>
          <w:rFonts w:hint="default" w:ascii="Times New Roman" w:hAnsi="Times New Roman" w:cs="Times New Roman"/>
          <w:b/>
          <w:bCs/>
          <w:highlight w:val="none"/>
        </w:rPr>
        <w:t>1.3.论证原则</w:t>
      </w:r>
      <w:bookmarkEnd w:id="13"/>
    </w:p>
    <w:p>
      <w:pPr>
        <w:pStyle w:val="10"/>
        <w:adjustRightInd w:val="0"/>
        <w:snapToGrid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（1）符合国家有关水污染防治法、水资源保护法律、法规和相关政策的要求和规定。</w:t>
      </w:r>
    </w:p>
    <w:p>
      <w:pPr>
        <w:pStyle w:val="10"/>
        <w:adjustRightInd w:val="0"/>
        <w:snapToGrid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（2）符合国家和行业有关技术标准与规范、规程。</w:t>
      </w:r>
    </w:p>
    <w:p>
      <w:pPr>
        <w:pStyle w:val="10"/>
        <w:adjustRightInd w:val="0"/>
        <w:snapToGrid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（3）符合流域或区域的综合规划及水资源保护等专业规划。</w:t>
      </w:r>
    </w:p>
    <w:p>
      <w:pPr>
        <w:pStyle w:val="10"/>
        <w:adjustRightInd w:val="0"/>
        <w:snapToGrid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（4）符合水功能区管理要求。</w:t>
      </w:r>
    </w:p>
    <w:p>
      <w:pPr>
        <w:pStyle w:val="10"/>
        <w:adjustRightInd w:val="0"/>
        <w:snapToGrid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（5）全面系统，重点突出。</w:t>
      </w:r>
    </w:p>
    <w:p>
      <w:pPr>
        <w:pStyle w:val="10"/>
        <w:adjustRightInd w:val="0"/>
        <w:snapToGrid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（6）客观公正，科学合理。</w:t>
      </w:r>
    </w:p>
    <w:p>
      <w:pPr>
        <w:pStyle w:val="10"/>
        <w:spacing w:line="360" w:lineRule="auto"/>
        <w:jc w:val="both"/>
        <w:outlineLvl w:val="1"/>
        <w:rPr>
          <w:rFonts w:hint="default" w:ascii="Times New Roman" w:hAnsi="Times New Roman" w:cs="Times New Roman"/>
          <w:b/>
          <w:bCs/>
          <w:highlight w:val="none"/>
        </w:rPr>
      </w:pPr>
      <w:bookmarkStart w:id="14" w:name="_Toc9312"/>
      <w:r>
        <w:rPr>
          <w:rFonts w:hint="default" w:ascii="Times New Roman" w:hAnsi="Times New Roman" w:cs="Times New Roman"/>
          <w:b/>
          <w:bCs/>
          <w:highlight w:val="none"/>
        </w:rPr>
        <w:t>1.4.论证范围</w:t>
      </w:r>
      <w:bookmarkEnd w:id="14"/>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根据《入河排污口管理技术导则》（SL532-2011）规定，入河排污口设置论证范围应根据其影响范围和程度确定。受入河排污口设置影响的主要水域和其影响范围内的第三方取、用水户原则上应纳入论证范围。</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对地表水的影响论证应以水功能区为基础单元，论证重点区域为入河排污口所在水功能区和可能受到影响的周边水功能区；涉及鱼类产卵场等生态敏感点的，论证范围可不限于上述水功能区。未划分水功能区的水域，入河排污口排污影响范围内的水域都应为论证范围。</w:t>
      </w:r>
    </w:p>
    <w:p>
      <w:pPr>
        <w:pStyle w:val="10"/>
        <w:widowControl w:val="0"/>
        <w:spacing w:before="0" w:after="0" w:line="360" w:lineRule="auto"/>
        <w:ind w:firstLine="480" w:firstLineChars="200"/>
        <w:jc w:val="both"/>
        <w:rPr>
          <w:rFonts w:hint="default" w:ascii="Times New Roman" w:hAnsi="Times New Roman" w:cs="Times New Roman"/>
          <w:highlight w:val="none"/>
          <w:u w:val="single"/>
        </w:rPr>
      </w:pPr>
      <w:r>
        <w:rPr>
          <w:rFonts w:hint="default" w:ascii="Times New Roman" w:hAnsi="Times New Roman" w:cs="Times New Roman"/>
          <w:highlight w:val="none"/>
          <w:u w:val="single"/>
        </w:rPr>
        <w:t>安化县乐安镇乐高污水处理厂入河排污口坐标为：东经：111°34′58.550″，北纬：28°6′18.911″，根据废水影响范围和程度，安化县乐安镇乐高污水处理厂入河排污口论证范围为：排污口为起点，洢水安化源头水保护区结束处为终点(涉及洢水总长6500m)。项目论证范围示意图分别见附图。</w:t>
      </w:r>
    </w:p>
    <w:p>
      <w:pPr>
        <w:pStyle w:val="10"/>
        <w:spacing w:line="360" w:lineRule="auto"/>
        <w:jc w:val="both"/>
        <w:outlineLvl w:val="1"/>
        <w:rPr>
          <w:rFonts w:hint="default" w:ascii="Times New Roman" w:hAnsi="Times New Roman" w:cs="Times New Roman"/>
          <w:b/>
          <w:bCs/>
          <w:highlight w:val="none"/>
        </w:rPr>
      </w:pPr>
      <w:bookmarkStart w:id="15" w:name="_Toc15717"/>
      <w:r>
        <w:rPr>
          <w:rFonts w:hint="default" w:ascii="Times New Roman" w:hAnsi="Times New Roman" w:cs="Times New Roman"/>
          <w:b/>
          <w:bCs/>
          <w:highlight w:val="none"/>
        </w:rPr>
        <w:t>1.5.论证工作程序</w:t>
      </w:r>
      <w:bookmarkEnd w:id="15"/>
      <w:r>
        <w:rPr>
          <w:rFonts w:hint="default" w:ascii="Times New Roman" w:hAnsi="Times New Roman" w:cs="Times New Roman"/>
          <w:b/>
          <w:bCs/>
          <w:highlight w:val="none"/>
        </w:rPr>
        <w:t xml:space="preserve"> </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16" w:name="_Toc25099"/>
      <w:bookmarkStart w:id="17" w:name="_Toc11633"/>
      <w:r>
        <w:rPr>
          <w:rFonts w:hint="default" w:ascii="Times New Roman" w:hAnsi="Times New Roman" w:cs="Times New Roman"/>
          <w:highlight w:val="none"/>
        </w:rPr>
        <w:t>（1）资料收集</w:t>
      </w:r>
      <w:bookmarkEnd w:id="16"/>
      <w:bookmarkEnd w:id="17"/>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调查收集本项目所在区域水资源、水利等相关规划以及水资源公报、水环境监测数据、排污口所属河段水资源保护管理要求等相资料，掌握区域水资源及其开发利用、水环境状况，了解建设项目设计方案，收集本项目的地理位置、废水处理工艺、排放方式与去向、排水量、排水水质、入河排污口类型等资料。</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18" w:name="_Toc9256"/>
      <w:bookmarkStart w:id="19" w:name="_Toc10242"/>
      <w:r>
        <w:rPr>
          <w:rFonts w:hint="default" w:ascii="Times New Roman" w:hAnsi="Times New Roman" w:cs="Times New Roman"/>
          <w:highlight w:val="none"/>
        </w:rPr>
        <w:t>（2）现场查勘</w:t>
      </w:r>
      <w:bookmarkEnd w:id="18"/>
      <w:bookmarkEnd w:id="19"/>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现场查勘看本项目场区及周边生态环境状况，对项目入河排污口进行定位，复核入河排污口类型、排放方式与排水途径等基本情况，了解排入水体的现状特点、其他取排水用户分布情况。</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20" w:name="_Toc26021"/>
      <w:bookmarkStart w:id="21" w:name="_Toc4119"/>
      <w:r>
        <w:rPr>
          <w:rFonts w:hint="default" w:ascii="Times New Roman" w:hAnsi="Times New Roman" w:cs="Times New Roman"/>
          <w:highlight w:val="none"/>
        </w:rPr>
        <w:t>（3）补充监测</w:t>
      </w:r>
      <w:bookmarkEnd w:id="20"/>
      <w:bookmarkEnd w:id="21"/>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对于本项目涉及但没有现状监测资料的地表水体进行必要的水质补充监测。</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22" w:name="_Toc20581"/>
      <w:bookmarkStart w:id="23" w:name="_Toc11815"/>
      <w:r>
        <w:rPr>
          <w:rFonts w:hint="default" w:ascii="Times New Roman" w:hAnsi="Times New Roman" w:cs="Times New Roman"/>
          <w:highlight w:val="none"/>
        </w:rPr>
        <w:t>（4）影响分析</w:t>
      </w:r>
      <w:bookmarkEnd w:id="22"/>
      <w:bookmarkEnd w:id="23"/>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根据调查和实测资料选择适当的水环境模型进行区域水质模拟计算，分析建设项目排水对相关水域水功能区的水质、生态的影响以及对第三方的影响，从而论证建设项目入河排污口设置的合理性。</w:t>
      </w:r>
    </w:p>
    <w:p>
      <w:pPr>
        <w:pStyle w:val="10"/>
        <w:widowControl w:val="0"/>
        <w:spacing w:before="0" w:after="0" w:line="360" w:lineRule="auto"/>
        <w:ind w:firstLine="480" w:firstLineChars="200"/>
        <w:jc w:val="both"/>
        <w:outlineLvl w:val="2"/>
        <w:rPr>
          <w:rFonts w:hint="default" w:ascii="Times New Roman" w:hAnsi="Times New Roman" w:cs="Times New Roman"/>
          <w:highlight w:val="none"/>
        </w:rPr>
      </w:pPr>
      <w:bookmarkStart w:id="24" w:name="_Toc25110"/>
      <w:bookmarkStart w:id="25" w:name="_Toc1105"/>
      <w:r>
        <w:rPr>
          <w:rFonts w:hint="default" w:ascii="Times New Roman" w:hAnsi="Times New Roman" w:cs="Times New Roman"/>
          <w:highlight w:val="none"/>
        </w:rPr>
        <w:t>（5）提出结论</w:t>
      </w:r>
      <w:bookmarkEnd w:id="24"/>
      <w:bookmarkEnd w:id="25"/>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根据分析计算结果，论证建设项目入河排污口设置的合理性，提出设置入河排污口的建议，编制完成入河排污口设置论证报告。</w:t>
      </w:r>
    </w:p>
    <w:p>
      <w:pPr>
        <w:pStyle w:val="10"/>
        <w:widowControl w:val="0"/>
        <w:spacing w:before="0" w:after="0" w:line="480" w:lineRule="auto"/>
        <w:ind w:firstLine="480" w:firstLineChars="200"/>
        <w:rPr>
          <w:rFonts w:hint="default" w:ascii="Times New Roman" w:hAnsi="Times New Roman" w:cs="Times New Roman"/>
          <w:b/>
          <w:bCs/>
          <w:highlight w:val="none"/>
        </w:rPr>
      </w:pPr>
      <w:r>
        <w:rPr>
          <w:rFonts w:hint="default" w:ascii="Times New Roman" w:hAnsi="Times New Roman" w:cs="Times New Roman"/>
          <w:highlight w:val="none"/>
        </w:rPr>
        <mc:AlternateContent>
          <mc:Choice Requires="wpg">
            <w:drawing>
              <wp:anchor distT="0" distB="0" distL="114300" distR="114300" simplePos="0" relativeHeight="251663360" behindDoc="0" locked="0" layoutInCell="1" allowOverlap="1">
                <wp:simplePos x="0" y="0"/>
                <wp:positionH relativeFrom="column">
                  <wp:posOffset>78105</wp:posOffset>
                </wp:positionH>
                <wp:positionV relativeFrom="paragraph">
                  <wp:posOffset>73660</wp:posOffset>
                </wp:positionV>
                <wp:extent cx="5234940" cy="7913370"/>
                <wp:effectExtent l="5080" t="4445" r="2540" b="6985"/>
                <wp:wrapTopAndBottom/>
                <wp:docPr id="68" name="组合 142"/>
                <wp:cNvGraphicFramePr/>
                <a:graphic xmlns:a="http://schemas.openxmlformats.org/drawingml/2006/main">
                  <a:graphicData uri="http://schemas.microsoft.com/office/word/2010/wordprocessingGroup">
                    <wpg:wgp>
                      <wpg:cNvGrpSpPr/>
                      <wpg:grpSpPr>
                        <a:xfrm>
                          <a:off x="0" y="0"/>
                          <a:ext cx="5234940" cy="7913370"/>
                          <a:chOff x="132" y="26"/>
                          <a:chExt cx="8476" cy="12194"/>
                        </a:xfrm>
                        <a:effectLst/>
                      </wpg:grpSpPr>
                      <wpg:grpSp>
                        <wpg:cNvPr id="69" name="组合 56"/>
                        <wpg:cNvGrpSpPr/>
                        <wpg:grpSpPr>
                          <a:xfrm>
                            <a:off x="1486" y="9000"/>
                            <a:ext cx="1245" cy="1586"/>
                            <a:chOff x="1718" y="8231"/>
                            <a:chExt cx="1246" cy="1586"/>
                          </a:xfrm>
                          <a:effectLst/>
                        </wpg:grpSpPr>
                        <wps:wsp>
                          <wps:cNvPr id="130" name="自选图形 54"/>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31" name="文本框 55"/>
                          <wps:cNvSpPr txBox="1"/>
                          <wps:spPr>
                            <a:xfrm>
                              <a:off x="1828" y="8330"/>
                              <a:ext cx="1020" cy="1361"/>
                            </a:xfrm>
                            <a:prstGeom prst="rect">
                              <a:avLst/>
                            </a:prstGeom>
                            <a:noFill/>
                            <a:ln>
                              <a:noFill/>
                            </a:ln>
                            <a:effectLst/>
                          </wps:spPr>
                          <wps:txbx>
                            <w:txbxContent>
                              <w:p>
                                <w:r>
                                  <w:rPr>
                                    <w:rFonts w:hint="eastAsia"/>
                                  </w:rPr>
                                  <w:t>对水功能区水质影响分析</w:t>
                                </w:r>
                              </w:p>
                            </w:txbxContent>
                          </wps:txbx>
                          <wps:bodyPr vert="horz" wrap="square" anchor="t" anchorCtr="0" upright="1"/>
                        </wps:wsp>
                      </wpg:grpSp>
                      <wpg:grpSp>
                        <wpg:cNvPr id="70" name="组合 57"/>
                        <wpg:cNvGrpSpPr/>
                        <wpg:grpSpPr>
                          <a:xfrm>
                            <a:off x="2867" y="9001"/>
                            <a:ext cx="1247" cy="1587"/>
                            <a:chOff x="1718" y="8231"/>
                            <a:chExt cx="1246" cy="1586"/>
                          </a:xfrm>
                          <a:effectLst/>
                        </wpg:grpSpPr>
                        <wps:wsp>
                          <wps:cNvPr id="133" name="自选图形 58"/>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34" name="文本框 59"/>
                          <wps:cNvSpPr txBox="1"/>
                          <wps:spPr>
                            <a:xfrm>
                              <a:off x="1828" y="8330"/>
                              <a:ext cx="1020" cy="1361"/>
                            </a:xfrm>
                            <a:prstGeom prst="rect">
                              <a:avLst/>
                            </a:prstGeom>
                            <a:noFill/>
                            <a:ln>
                              <a:noFill/>
                            </a:ln>
                            <a:effectLst/>
                          </wps:spPr>
                          <wps:txbx>
                            <w:txbxContent>
                              <w:p>
                                <w:r>
                                  <w:rPr>
                                    <w:rFonts w:hint="eastAsia"/>
                                  </w:rPr>
                                  <w:t>对水功能区水生态影响分析</w:t>
                                </w:r>
                              </w:p>
                            </w:txbxContent>
                          </wps:txbx>
                          <wps:bodyPr vert="horz" wrap="square" anchor="t" anchorCtr="0" upright="1"/>
                        </wps:wsp>
                      </wpg:grpSp>
                      <wpg:grpSp>
                        <wpg:cNvPr id="71" name="组合 60"/>
                        <wpg:cNvGrpSpPr/>
                        <wpg:grpSpPr>
                          <a:xfrm>
                            <a:off x="4247" y="9002"/>
                            <a:ext cx="1247" cy="1587"/>
                            <a:chOff x="1718" y="8231"/>
                            <a:chExt cx="1246" cy="1586"/>
                          </a:xfrm>
                          <a:effectLst/>
                        </wpg:grpSpPr>
                        <wps:wsp>
                          <wps:cNvPr id="136" name="自选图形 61"/>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37" name="文本框 62"/>
                          <wps:cNvSpPr txBox="1"/>
                          <wps:spPr>
                            <a:xfrm>
                              <a:off x="1828" y="8330"/>
                              <a:ext cx="1020" cy="1361"/>
                            </a:xfrm>
                            <a:prstGeom prst="rect">
                              <a:avLst/>
                            </a:prstGeom>
                            <a:noFill/>
                            <a:ln>
                              <a:noFill/>
                            </a:ln>
                            <a:effectLst/>
                          </wps:spPr>
                          <wps:txbx>
                            <w:txbxContent>
                              <w:p>
                                <w:r>
                                  <w:rPr>
                                    <w:rFonts w:hint="eastAsia"/>
                                  </w:rPr>
                                  <w:t>对地下水影响分析</w:t>
                                </w:r>
                              </w:p>
                            </w:txbxContent>
                          </wps:txbx>
                          <wps:bodyPr vert="horz" wrap="square" anchor="t" anchorCtr="0" upright="1"/>
                        </wps:wsp>
                      </wpg:grpSp>
                      <wpg:grpSp>
                        <wpg:cNvPr id="72" name="组合 63"/>
                        <wpg:cNvGrpSpPr/>
                        <wpg:grpSpPr>
                          <a:xfrm>
                            <a:off x="5620" y="9003"/>
                            <a:ext cx="1247" cy="1587"/>
                            <a:chOff x="1718" y="8231"/>
                            <a:chExt cx="1246" cy="1586"/>
                          </a:xfrm>
                          <a:effectLst/>
                        </wpg:grpSpPr>
                        <wps:wsp>
                          <wps:cNvPr id="139" name="自选图形 64"/>
                          <wps:cNvSpPr/>
                          <wps:spPr>
                            <a:xfrm>
                              <a:off x="1717" y="8231"/>
                              <a:ext cx="1247" cy="1587"/>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40" name="文本框 65"/>
                          <wps:cNvSpPr txBox="1"/>
                          <wps:spPr>
                            <a:xfrm>
                              <a:off x="1828" y="8330"/>
                              <a:ext cx="1020" cy="1361"/>
                            </a:xfrm>
                            <a:prstGeom prst="rect">
                              <a:avLst/>
                            </a:prstGeom>
                            <a:noFill/>
                            <a:ln>
                              <a:noFill/>
                            </a:ln>
                            <a:effectLst/>
                          </wps:spPr>
                          <wps:txbx>
                            <w:txbxContent>
                              <w:p>
                                <w:r>
                                  <w:rPr>
                                    <w:rFonts w:hint="eastAsia"/>
                                  </w:rPr>
                                  <w:t>对第三者影响分析</w:t>
                                </w:r>
                              </w:p>
                            </w:txbxContent>
                          </wps:txbx>
                          <wps:bodyPr vert="horz" wrap="square" anchor="t" anchorCtr="0" upright="1"/>
                        </wps:wsp>
                      </wpg:grpSp>
                      <wpg:grpSp>
                        <wpg:cNvPr id="73" name="组合 141"/>
                        <wpg:cNvGrpSpPr/>
                        <wpg:grpSpPr>
                          <a:xfrm>
                            <a:off x="132" y="26"/>
                            <a:ext cx="8475" cy="12194"/>
                            <a:chOff x="132" y="26"/>
                            <a:chExt cx="8476" cy="12194"/>
                          </a:xfrm>
                          <a:effectLst/>
                        </wpg:grpSpPr>
                        <wps:wsp>
                          <wps:cNvPr id="142" name="文本框 9"/>
                          <wps:cNvSpPr txBox="1"/>
                          <wps:spPr>
                            <a:xfrm>
                              <a:off x="3652" y="26"/>
                              <a:ext cx="1416"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现场勘查</w:t>
                                </w:r>
                              </w:p>
                            </w:txbxContent>
                          </wps:txbx>
                          <wps:bodyPr vert="horz" wrap="square" anchor="t" anchorCtr="0" upright="1"/>
                        </wps:wsp>
                        <wps:wsp>
                          <wps:cNvPr id="143" name="文本框 11"/>
                          <wps:cNvSpPr txBox="1"/>
                          <wps:spPr>
                            <a:xfrm>
                              <a:off x="6386" y="29"/>
                              <a:ext cx="1416"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补充监测</w:t>
                                </w:r>
                              </w:p>
                            </w:txbxContent>
                          </wps:txbx>
                          <wps:bodyPr vert="horz" wrap="square" anchor="t" anchorCtr="0" upright="1"/>
                        </wps:wsp>
                        <wps:wsp>
                          <wps:cNvPr id="144" name="文本框 12"/>
                          <wps:cNvSpPr txBox="1"/>
                          <wps:spPr>
                            <a:xfrm>
                              <a:off x="938" y="31"/>
                              <a:ext cx="1416"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资料收集</w:t>
                                </w:r>
                              </w:p>
                            </w:txbxContent>
                          </wps:txbx>
                          <wps:bodyPr vert="horz" wrap="square" anchor="t" anchorCtr="0" upright="1"/>
                        </wps:wsp>
                        <wps:wsp>
                          <wps:cNvPr id="145" name="自选图形 13"/>
                          <wps:cNvCnPr/>
                          <wps:spPr>
                            <a:xfrm flipH="1">
                              <a:off x="1636" y="485"/>
                              <a:ext cx="0" cy="510"/>
                            </a:xfrm>
                            <a:prstGeom prst="straightConnector1">
                              <a:avLst/>
                            </a:prstGeom>
                            <a:ln w="9525" cap="flat" cmpd="sng">
                              <a:solidFill>
                                <a:srgbClr val="000000"/>
                              </a:solidFill>
                              <a:prstDash val="solid"/>
                              <a:headEnd type="none" w="med" len="med"/>
                              <a:tailEnd type="triangle" w="med" len="med"/>
                            </a:ln>
                            <a:effectLst/>
                          </wps:spPr>
                          <wps:bodyPr/>
                        </wps:wsp>
                        <wps:wsp>
                          <wps:cNvPr id="146" name="自选图形 14"/>
                          <wps:cNvCnPr/>
                          <wps:spPr>
                            <a:xfrm>
                              <a:off x="7094" y="483"/>
                              <a:ext cx="0" cy="510"/>
                            </a:xfrm>
                            <a:prstGeom prst="straightConnector1">
                              <a:avLst/>
                            </a:prstGeom>
                            <a:ln w="9525" cap="flat" cmpd="sng">
                              <a:solidFill>
                                <a:srgbClr val="000000"/>
                              </a:solidFill>
                              <a:prstDash val="solid"/>
                              <a:headEnd type="none" w="med" len="med"/>
                              <a:tailEnd type="triangle" w="med" len="med"/>
                            </a:ln>
                            <a:effectLst/>
                          </wps:spPr>
                          <wps:bodyPr/>
                        </wps:wsp>
                        <wps:wsp>
                          <wps:cNvPr id="147" name="自选图形 16"/>
                          <wps:cNvCnPr/>
                          <wps:spPr>
                            <a:xfrm>
                              <a:off x="4360" y="480"/>
                              <a:ext cx="0" cy="510"/>
                            </a:xfrm>
                            <a:prstGeom prst="straightConnector1">
                              <a:avLst/>
                            </a:prstGeom>
                            <a:ln w="9525" cap="flat" cmpd="sng">
                              <a:solidFill>
                                <a:srgbClr val="000000"/>
                              </a:solidFill>
                              <a:prstDash val="solid"/>
                              <a:headEnd type="none" w="med" len="med"/>
                              <a:tailEnd type="triangle" w="med" len="med"/>
                            </a:ln>
                            <a:effectLst/>
                          </wps:spPr>
                          <wps:bodyPr/>
                        </wps:wsp>
                        <wpg:grpSp>
                          <wpg:cNvPr id="74" name="组合 93"/>
                          <wpg:cNvGrpSpPr/>
                          <wpg:grpSpPr>
                            <a:xfrm>
                              <a:off x="1637" y="990"/>
                              <a:ext cx="5441" cy="850"/>
                              <a:chOff x="1638" y="990"/>
                              <a:chExt cx="5442" cy="850"/>
                            </a:xfrm>
                            <a:effectLst/>
                          </wpg:grpSpPr>
                          <wps:wsp>
                            <wps:cNvPr id="148" name="自选图形 17"/>
                            <wps:cNvSpPr/>
                            <wps:spPr>
                              <a:xfrm rot="10800000">
                                <a:off x="1637" y="990"/>
                                <a:ext cx="5442" cy="850"/>
                              </a:xfrm>
                              <a:prstGeom prst="triangle">
                                <a:avLst>
                                  <a:gd name="adj" fmla="val 50000"/>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49" name="文本框 18"/>
                            <wps:cNvSpPr txBox="1"/>
                            <wps:spPr>
                              <a:xfrm>
                                <a:off x="3358" y="1051"/>
                                <a:ext cx="1984" cy="454"/>
                              </a:xfrm>
                              <a:prstGeom prst="rect">
                                <a:avLst/>
                              </a:prstGeom>
                              <a:noFill/>
                              <a:ln>
                                <a:noFill/>
                              </a:ln>
                              <a:effectLst/>
                            </wps:spPr>
                            <wps:txbx>
                              <w:txbxContent>
                                <w:p>
                                  <w:pPr>
                                    <w:jc w:val="center"/>
                                  </w:pPr>
                                  <w:r>
                                    <w:rPr>
                                      <w:rFonts w:hint="eastAsia"/>
                                    </w:rPr>
                                    <w:t>基础资料整理分析</w:t>
                                  </w:r>
                                </w:p>
                              </w:txbxContent>
                            </wps:txbx>
                            <wps:bodyPr vert="horz" wrap="square" anchor="t" anchorCtr="0" upright="1"/>
                          </wps:wsp>
                        </wpg:grpSp>
                        <wpg:grpSp>
                          <wpg:cNvPr id="75" name="组合 91"/>
                          <wpg:cNvGrpSpPr/>
                          <wpg:grpSpPr>
                            <a:xfrm>
                              <a:off x="654" y="1835"/>
                              <a:ext cx="7369" cy="2268"/>
                              <a:chOff x="641" y="1666"/>
                              <a:chExt cx="7370" cy="2268"/>
                            </a:xfrm>
                            <a:effectLst/>
                          </wpg:grpSpPr>
                          <wps:wsp>
                            <wps:cNvPr id="151" name="矩形 20"/>
                            <wps:cNvSpPr/>
                            <wps:spPr>
                              <a:xfrm>
                                <a:off x="641" y="1666"/>
                                <a:ext cx="7369" cy="2267"/>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g:grpSp>
                            <wpg:cNvPr id="76" name="组合 24"/>
                            <wpg:cNvGrpSpPr/>
                            <wpg:grpSpPr>
                              <a:xfrm>
                                <a:off x="824" y="1858"/>
                                <a:ext cx="2097" cy="1870"/>
                                <a:chOff x="941" y="2157"/>
                                <a:chExt cx="2098" cy="1870"/>
                              </a:xfrm>
                              <a:effectLst/>
                            </wpg:grpSpPr>
                            <wps:wsp>
                              <wps:cNvPr id="152" name="自选图形 22"/>
                              <wps:cNvSpPr/>
                              <wps:spPr>
                                <a:xfrm>
                                  <a:off x="941" y="2157"/>
                                  <a:ext cx="2097" cy="1870"/>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53" name="文本框 23"/>
                              <wps:cNvSpPr txBox="1"/>
                              <wps:spPr>
                                <a:xfrm>
                                  <a:off x="1078" y="2221"/>
                                  <a:ext cx="1814" cy="1701"/>
                                </a:xfrm>
                                <a:prstGeom prst="rect">
                                  <a:avLst/>
                                </a:prstGeom>
                                <a:noFill/>
                                <a:ln>
                                  <a:noFill/>
                                </a:ln>
                                <a:effectLst/>
                              </wps:spPr>
                              <wps:txbx>
                                <w:txbxContent>
                                  <w:p>
                                    <w:r>
                                      <w:rPr>
                                        <w:rFonts w:hint="eastAsia"/>
                                      </w:rPr>
                                      <w:t>设置单位概况：</w:t>
                                    </w:r>
                                  </w:p>
                                  <w:p>
                                    <w:r>
                                      <w:rPr>
                                        <w:rFonts w:hint="eastAsia"/>
                                      </w:rPr>
                                      <w:t>生产工艺</w:t>
                                    </w:r>
                                  </w:p>
                                  <w:p>
                                    <w:r>
                                      <w:rPr>
                                        <w:rFonts w:hint="eastAsia"/>
                                      </w:rPr>
                                      <w:t>用水流程</w:t>
                                    </w:r>
                                  </w:p>
                                  <w:p>
                                    <w:r>
                                      <w:rPr>
                                        <w:rFonts w:hint="eastAsia"/>
                                      </w:rPr>
                                      <w:t>废污水处理工艺</w:t>
                                    </w:r>
                                  </w:p>
                                  <w:p>
                                    <w:r>
                                      <w:rPr>
                                        <w:rFonts w:hint="eastAsia"/>
                                      </w:rPr>
                                      <w:t>污废水排放情况</w:t>
                                    </w:r>
                                  </w:p>
                                </w:txbxContent>
                              </wps:txbx>
                              <wps:bodyPr vert="horz" wrap="square" anchor="t" anchorCtr="0" upright="1"/>
                            </wps:wsp>
                          </wpg:grpSp>
                          <wpg:grpSp>
                            <wpg:cNvPr id="77" name="组合 28"/>
                            <wpg:cNvGrpSpPr/>
                            <wpg:grpSpPr>
                              <a:xfrm>
                                <a:off x="3116" y="1866"/>
                                <a:ext cx="2153" cy="1870"/>
                                <a:chOff x="3298" y="1892"/>
                                <a:chExt cx="2154" cy="1870"/>
                              </a:xfrm>
                              <a:effectLst/>
                            </wpg:grpSpPr>
                            <wps:wsp>
                              <wps:cNvPr id="155" name="自选图形 26"/>
                              <wps:cNvSpPr/>
                              <wps:spPr>
                                <a:xfrm>
                                  <a:off x="3298" y="1892"/>
                                  <a:ext cx="2154" cy="1871"/>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56" name="文本框 27"/>
                              <wps:cNvSpPr txBox="1"/>
                              <wps:spPr>
                                <a:xfrm>
                                  <a:off x="3435" y="1956"/>
                                  <a:ext cx="1870" cy="1702"/>
                                </a:xfrm>
                                <a:prstGeom prst="rect">
                                  <a:avLst/>
                                </a:prstGeom>
                                <a:noFill/>
                                <a:ln>
                                  <a:noFill/>
                                </a:ln>
                                <a:effectLst/>
                              </wps:spPr>
                              <wps:txbx>
                                <w:txbxContent>
                                  <w:p>
                                    <w:r>
                                      <w:rPr>
                                        <w:rFonts w:hint="eastAsia"/>
                                      </w:rPr>
                                      <w:t>废污水产排分析：</w:t>
                                    </w:r>
                                  </w:p>
                                  <w:p>
                                    <w:r>
                                      <w:rPr>
                                        <w:rFonts w:hint="eastAsia"/>
                                      </w:rPr>
                                      <w:t>排污位置、方式</w:t>
                                    </w:r>
                                  </w:p>
                                  <w:p>
                                    <w:r>
                                      <w:rPr>
                                        <w:rFonts w:hint="eastAsia"/>
                                      </w:rPr>
                                      <w:t>排污总量、浓度</w:t>
                                    </w:r>
                                  </w:p>
                                  <w:p>
                                    <w:r>
                                      <w:rPr>
                                        <w:rFonts w:hint="eastAsia"/>
                                      </w:rPr>
                                      <w:t>......</w:t>
                                    </w:r>
                                  </w:p>
                                </w:txbxContent>
                              </wps:txbx>
                              <wps:bodyPr vert="horz" wrap="square" anchor="t" anchorCtr="0" upright="1"/>
                            </wps:wsp>
                          </wpg:grpSp>
                          <wpg:grpSp>
                            <wpg:cNvPr id="78" name="组合 33"/>
                            <wpg:cNvGrpSpPr/>
                            <wpg:grpSpPr>
                              <a:xfrm>
                                <a:off x="5459" y="1869"/>
                                <a:ext cx="2379" cy="1870"/>
                                <a:chOff x="5654" y="1895"/>
                                <a:chExt cx="2380" cy="1870"/>
                              </a:xfrm>
                              <a:effectLst/>
                            </wpg:grpSpPr>
                            <wps:wsp>
                              <wps:cNvPr id="158" name="自选图形 30"/>
                              <wps:cNvSpPr/>
                              <wps:spPr>
                                <a:xfrm>
                                  <a:off x="5653" y="1895"/>
                                  <a:ext cx="2381" cy="1871"/>
                                </a:xfrm>
                                <a:prstGeom prst="roundRect">
                                  <a:avLst>
                                    <a:gd name="adj" fmla="val 16667"/>
                                  </a:avLst>
                                </a:prstGeom>
                                <a:noFill/>
                                <a:ln w="9525" cap="flat" cmpd="sng">
                                  <a:solidFill>
                                    <a:srgbClr val="000000"/>
                                  </a:solidFill>
                                  <a:prstDash val="solid"/>
                                  <a:headEnd type="none" w="med" len="med"/>
                                  <a:tailEnd type="none" w="med" len="med"/>
                                </a:ln>
                                <a:effectLst/>
                              </wps:spPr>
                              <wps:bodyPr vert="horz" wrap="square" anchor="t" anchorCtr="0" upright="1"/>
                            </wps:wsp>
                            <wps:wsp>
                              <wps:cNvPr id="159" name="文本框 31"/>
                              <wps:cNvSpPr txBox="1"/>
                              <wps:spPr>
                                <a:xfrm>
                                  <a:off x="5791" y="1959"/>
                                  <a:ext cx="2097" cy="1702"/>
                                </a:xfrm>
                                <a:prstGeom prst="rect">
                                  <a:avLst/>
                                </a:prstGeom>
                                <a:noFill/>
                                <a:ln>
                                  <a:noFill/>
                                </a:ln>
                                <a:effectLst/>
                              </wps:spPr>
                              <wps:txbx>
                                <w:txbxContent>
                                  <w:p>
                                    <w:r>
                                      <w:rPr>
                                        <w:rFonts w:hint="eastAsia"/>
                                      </w:rPr>
                                      <w:t>拟纳污水域概况：</w:t>
                                    </w:r>
                                  </w:p>
                                  <w:p>
                                    <w:r>
                                      <w:rPr>
                                        <w:rFonts w:hint="eastAsia"/>
                                      </w:rPr>
                                      <w:t>水文、水质</w:t>
                                    </w:r>
                                  </w:p>
                                  <w:p>
                                    <w:r>
                                      <w:rPr>
                                        <w:rFonts w:hint="eastAsia"/>
                                      </w:rPr>
                                      <w:t>污染源、水生态现状</w:t>
                                    </w:r>
                                  </w:p>
                                  <w:p>
                                    <w:r>
                                      <w:rPr>
                                        <w:rFonts w:hint="eastAsia"/>
                                      </w:rPr>
                                      <w:t>生态敏感点</w:t>
                                    </w:r>
                                  </w:p>
                                  <w:p>
                                    <w:r>
                                      <w:rPr>
                                        <w:rFonts w:hint="eastAsia"/>
                                      </w:rPr>
                                      <w:t>......</w:t>
                                    </w:r>
                                  </w:p>
                                </w:txbxContent>
                              </wps:txbx>
                              <wps:bodyPr vert="horz" wrap="square" anchor="t" anchorCtr="0" upright="1"/>
                            </wps:wsp>
                          </wpg:grpSp>
                        </wpg:grpSp>
                        <wps:wsp>
                          <wps:cNvPr id="162" name="自选图形 34"/>
                          <wps:cNvSpPr/>
                          <wps:spPr>
                            <a:xfrm>
                              <a:off x="1576" y="4104"/>
                              <a:ext cx="454" cy="680"/>
                            </a:xfrm>
                            <a:prstGeom prst="downArrow">
                              <a:avLst>
                                <a:gd name="adj1" fmla="val 50000"/>
                                <a:gd name="adj2" fmla="val 37444"/>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63" name="自选图形 35"/>
                          <wps:cNvSpPr/>
                          <wps:spPr>
                            <a:xfrm>
                              <a:off x="3975" y="4108"/>
                              <a:ext cx="453" cy="680"/>
                            </a:xfrm>
                            <a:prstGeom prst="downArrow">
                              <a:avLst>
                                <a:gd name="adj1" fmla="val 50000"/>
                                <a:gd name="adj2" fmla="val 37527"/>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64" name="自选图形 36"/>
                          <wps:cNvSpPr/>
                          <wps:spPr>
                            <a:xfrm>
                              <a:off x="6461" y="4117"/>
                              <a:ext cx="453" cy="680"/>
                            </a:xfrm>
                            <a:prstGeom prst="downArrow">
                              <a:avLst>
                                <a:gd name="adj1" fmla="val 50000"/>
                                <a:gd name="adj2" fmla="val 37527"/>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65" name="文本框 38"/>
                          <wps:cNvSpPr txBox="1"/>
                          <wps:spPr>
                            <a:xfrm>
                              <a:off x="876" y="4791"/>
                              <a:ext cx="1814"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污水处理措施</w:t>
                                </w:r>
                              </w:p>
                            </w:txbxContent>
                          </wps:txbx>
                          <wps:bodyPr vert="horz" wrap="square" anchor="t" anchorCtr="0" upright="1"/>
                        </wps:wsp>
                        <wps:wsp>
                          <wps:cNvPr id="166" name="文本框 39"/>
                          <wps:cNvSpPr txBox="1"/>
                          <wps:spPr>
                            <a:xfrm>
                              <a:off x="3271" y="4790"/>
                              <a:ext cx="1814"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废污水排放情况</w:t>
                                </w:r>
                              </w:p>
                            </w:txbxContent>
                          </wps:txbx>
                          <wps:bodyPr vert="horz" wrap="square" anchor="t" anchorCtr="0" upright="1"/>
                        </wps:wsp>
                        <wps:wsp>
                          <wps:cNvPr id="167" name="文本框 40"/>
                          <wps:cNvSpPr txBox="1"/>
                          <wps:spPr>
                            <a:xfrm>
                              <a:off x="5545" y="4792"/>
                              <a:ext cx="2323" cy="454"/>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水功能区（水域）现状</w:t>
                                </w:r>
                              </w:p>
                            </w:txbxContent>
                          </wps:txbx>
                          <wps:bodyPr vert="horz" wrap="square" anchor="t" anchorCtr="0" upright="1"/>
                        </wps:wsp>
                        <wpg:grpSp>
                          <wpg:cNvPr id="79" name="组合 45"/>
                          <wpg:cNvGrpSpPr/>
                          <wpg:grpSpPr>
                            <a:xfrm>
                              <a:off x="1772" y="5244"/>
                              <a:ext cx="4936" cy="907"/>
                              <a:chOff x="1758" y="4955"/>
                              <a:chExt cx="4936" cy="907"/>
                            </a:xfrm>
                            <a:effectLst/>
                          </wpg:grpSpPr>
                          <wps:wsp>
                            <wps:cNvPr id="168" name="自选图形 41"/>
                            <wps:cNvCnPr/>
                            <wps:spPr>
                              <a:xfrm flipH="1">
                                <a:off x="1758" y="4956"/>
                                <a:ext cx="0" cy="453"/>
                              </a:xfrm>
                              <a:prstGeom prst="straightConnector1">
                                <a:avLst/>
                              </a:prstGeom>
                              <a:ln w="9525" cap="flat" cmpd="sng">
                                <a:solidFill>
                                  <a:srgbClr val="000000"/>
                                </a:solidFill>
                                <a:prstDash val="solid"/>
                                <a:headEnd type="none" w="med" len="med"/>
                                <a:tailEnd type="none" w="med" len="med"/>
                              </a:ln>
                              <a:effectLst/>
                            </wps:spPr>
                            <wps:bodyPr/>
                          </wps:wsp>
                          <wps:wsp>
                            <wps:cNvPr id="169" name="自选图形 42"/>
                            <wps:cNvCnPr/>
                            <wps:spPr>
                              <a:xfrm flipH="1">
                                <a:off x="4158" y="4955"/>
                                <a:ext cx="0" cy="907"/>
                              </a:xfrm>
                              <a:prstGeom prst="straightConnector1">
                                <a:avLst/>
                              </a:prstGeom>
                              <a:ln w="9525" cap="flat" cmpd="sng">
                                <a:solidFill>
                                  <a:srgbClr val="000000"/>
                                </a:solidFill>
                                <a:prstDash val="solid"/>
                                <a:headEnd type="none" w="med" len="med"/>
                                <a:tailEnd type="triangle" w="med" len="med"/>
                              </a:ln>
                              <a:effectLst/>
                            </wps:spPr>
                            <wps:bodyPr/>
                          </wps:wsp>
                          <wps:wsp>
                            <wps:cNvPr id="170" name="自选图形 43"/>
                            <wps:cNvCnPr/>
                            <wps:spPr>
                              <a:xfrm>
                                <a:off x="6694" y="4957"/>
                                <a:ext cx="0" cy="453"/>
                              </a:xfrm>
                              <a:prstGeom prst="straightConnector1">
                                <a:avLst/>
                              </a:prstGeom>
                              <a:ln w="9525" cap="flat" cmpd="sng">
                                <a:solidFill>
                                  <a:srgbClr val="000000"/>
                                </a:solidFill>
                                <a:prstDash val="solid"/>
                                <a:headEnd type="none" w="med" len="med"/>
                                <a:tailEnd type="none" w="med" len="med"/>
                              </a:ln>
                              <a:effectLst/>
                            </wps:spPr>
                            <wps:bodyPr/>
                          </wps:wsp>
                          <wps:wsp>
                            <wps:cNvPr id="171" name="自选图形 44"/>
                            <wps:cNvCnPr/>
                            <wps:spPr>
                              <a:xfrm>
                                <a:off x="1759" y="5408"/>
                                <a:ext cx="4932" cy="0"/>
                              </a:xfrm>
                              <a:prstGeom prst="straightConnector1">
                                <a:avLst/>
                              </a:prstGeom>
                              <a:ln w="9525" cap="flat" cmpd="sng">
                                <a:solidFill>
                                  <a:srgbClr val="000000"/>
                                </a:solidFill>
                                <a:prstDash val="solid"/>
                                <a:headEnd type="none" w="med" len="med"/>
                                <a:tailEnd type="none" w="med" len="med"/>
                              </a:ln>
                              <a:effectLst/>
                            </wps:spPr>
                            <wps:bodyPr/>
                          </wps:wsp>
                        </wpg:grpSp>
                        <wps:wsp>
                          <wps:cNvPr id="173" name="文本框 46"/>
                          <wps:cNvSpPr txBox="1"/>
                          <wps:spPr>
                            <a:xfrm>
                              <a:off x="2894" y="6135"/>
                              <a:ext cx="2551" cy="680"/>
                            </a:xfrm>
                            <a:prstGeom prst="rect">
                              <a:avLst/>
                            </a:prstGeom>
                            <a:noFill/>
                            <a:ln w="9525" cap="flat" cmpd="sng">
                              <a:solidFill>
                                <a:srgbClr val="000000"/>
                              </a:solidFill>
                              <a:prstDash val="solid"/>
                              <a:miter/>
                              <a:headEnd type="none" w="med" len="med"/>
                              <a:tailEnd type="none" w="med" len="med"/>
                            </a:ln>
                            <a:effectLst/>
                          </wps:spPr>
                          <wps:txbx>
                            <w:txbxContent>
                              <w:p>
                                <w:pPr>
                                  <w:spacing w:line="400" w:lineRule="exact"/>
                                  <w:jc w:val="center"/>
                                </w:pPr>
                                <w:r>
                                  <w:rPr>
                                    <w:rFonts w:hint="eastAsia"/>
                                  </w:rPr>
                                  <w:t>入河排污数值模拟分析</w:t>
                                </w:r>
                              </w:p>
                            </w:txbxContent>
                          </wps:txbx>
                          <wps:bodyPr vert="horz" wrap="square" anchor="t" anchorCtr="0" upright="1"/>
                        </wps:wsp>
                        <wps:wsp>
                          <wps:cNvPr id="174" name="自选图形 47"/>
                          <wps:cNvCnPr/>
                          <wps:spPr>
                            <a:xfrm flipH="1">
                              <a:off x="4169" y="6815"/>
                              <a:ext cx="0" cy="453"/>
                            </a:xfrm>
                            <a:prstGeom prst="straightConnector1">
                              <a:avLst/>
                            </a:prstGeom>
                            <a:ln w="9525" cap="flat" cmpd="sng">
                              <a:solidFill>
                                <a:srgbClr val="000000"/>
                              </a:solidFill>
                              <a:prstDash val="solid"/>
                              <a:headEnd type="none" w="med" len="med"/>
                              <a:tailEnd type="none" w="med" len="med"/>
                            </a:ln>
                            <a:effectLst/>
                          </wps:spPr>
                          <wps:bodyPr/>
                        </wps:wsp>
                        <wpg:grpSp>
                          <wpg:cNvPr id="80" name="组合 50"/>
                          <wpg:cNvGrpSpPr/>
                          <wpg:grpSpPr>
                            <a:xfrm>
                              <a:off x="3048" y="7274"/>
                              <a:ext cx="2267" cy="1134"/>
                              <a:chOff x="3007" y="6655"/>
                              <a:chExt cx="2268" cy="1134"/>
                            </a:xfrm>
                            <a:effectLst/>
                          </wpg:grpSpPr>
                          <wps:wsp>
                            <wps:cNvPr id="175" name="自选图形 48"/>
                            <wps:cNvSpPr/>
                            <wps:spPr>
                              <a:xfrm>
                                <a:off x="3007" y="6655"/>
                                <a:ext cx="2267" cy="1134"/>
                              </a:xfrm>
                              <a:prstGeom prst="diamond">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76" name="文本框 49"/>
                            <wps:cNvSpPr txBox="1"/>
                            <wps:spPr>
                              <a:xfrm>
                                <a:off x="3544" y="6975"/>
                                <a:ext cx="1191" cy="454"/>
                              </a:xfrm>
                              <a:prstGeom prst="rect">
                                <a:avLst/>
                              </a:prstGeom>
                              <a:noFill/>
                              <a:ln>
                                <a:noFill/>
                              </a:ln>
                              <a:effectLst/>
                            </wps:spPr>
                            <wps:txbx>
                              <w:txbxContent>
                                <w:p>
                                  <w:r>
                                    <w:rPr>
                                      <w:rFonts w:hint="eastAsia"/>
                                    </w:rPr>
                                    <w:t>影响分析</w:t>
                                  </w:r>
                                </w:p>
                              </w:txbxContent>
                            </wps:txbx>
                            <wps:bodyPr vert="horz" wrap="square" anchor="t" anchorCtr="0" upright="1"/>
                          </wps:wsp>
                        </wpg:grpSp>
                        <wps:wsp>
                          <wps:cNvPr id="178" name="自选图形 51"/>
                          <wps:cNvCnPr/>
                          <wps:spPr>
                            <a:xfrm flipH="1">
                              <a:off x="4172" y="8408"/>
                              <a:ext cx="0" cy="340"/>
                            </a:xfrm>
                            <a:prstGeom prst="straightConnector1">
                              <a:avLst/>
                            </a:prstGeom>
                            <a:ln w="9525" cap="flat" cmpd="sng">
                              <a:solidFill>
                                <a:srgbClr val="000000"/>
                              </a:solidFill>
                              <a:prstDash val="solid"/>
                              <a:headEnd type="none" w="med" len="med"/>
                              <a:tailEnd type="none" w="med" len="med"/>
                            </a:ln>
                            <a:effectLst/>
                          </wps:spPr>
                          <wps:bodyPr/>
                        </wps:wsp>
                        <wps:wsp>
                          <wps:cNvPr id="179" name="矩形 53"/>
                          <wps:cNvSpPr/>
                          <wps:spPr>
                            <a:xfrm>
                              <a:off x="1335" y="8755"/>
                              <a:ext cx="5669" cy="2040"/>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g:grpSp>
                          <wpg:cNvPr id="81" name="组合 72"/>
                          <wpg:cNvGrpSpPr/>
                          <wpg:grpSpPr>
                            <a:xfrm>
                              <a:off x="132" y="9024"/>
                              <a:ext cx="1020" cy="1474"/>
                              <a:chOff x="52" y="8285"/>
                              <a:chExt cx="1024" cy="1474"/>
                            </a:xfrm>
                            <a:effectLst/>
                          </wpg:grpSpPr>
                          <wps:wsp>
                            <wps:cNvPr id="180" name="矩形 70"/>
                            <wps:cNvSpPr/>
                            <wps:spPr>
                              <a:xfrm>
                                <a:off x="52" y="8285"/>
                                <a:ext cx="1020" cy="1474"/>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81" name="文本框 71"/>
                            <wps:cNvSpPr txBox="1"/>
                            <wps:spPr>
                              <a:xfrm>
                                <a:off x="55" y="8471"/>
                                <a:ext cx="1020" cy="1077"/>
                              </a:xfrm>
                              <a:prstGeom prst="rect">
                                <a:avLst/>
                              </a:prstGeom>
                              <a:noFill/>
                              <a:ln>
                                <a:noFill/>
                              </a:ln>
                              <a:effectLst/>
                            </wps:spPr>
                            <wps:txbx>
                              <w:txbxContent>
                                <w:p>
                                  <w:pPr>
                                    <w:jc w:val="center"/>
                                  </w:pPr>
                                  <w:r>
                                    <w:rPr>
                                      <w:rFonts w:hint="eastAsia"/>
                                    </w:rPr>
                                    <w:t>风险事故与影响分析</w:t>
                                  </w:r>
                                </w:p>
                              </w:txbxContent>
                            </wps:txbx>
                            <wps:bodyPr vert="horz" wrap="square" anchor="t" anchorCtr="0" upright="1"/>
                          </wps:wsp>
                        </wpg:grpSp>
                        <wpg:grpSp>
                          <wpg:cNvPr id="82" name="组合 76"/>
                          <wpg:cNvGrpSpPr/>
                          <wpg:grpSpPr>
                            <a:xfrm>
                              <a:off x="7189" y="9027"/>
                              <a:ext cx="1419" cy="1474"/>
                              <a:chOff x="7162" y="8288"/>
                              <a:chExt cx="1419" cy="1474"/>
                            </a:xfrm>
                            <a:effectLst/>
                          </wpg:grpSpPr>
                          <wps:wsp>
                            <wps:cNvPr id="183" name="矩形 74"/>
                            <wps:cNvSpPr/>
                            <wps:spPr>
                              <a:xfrm>
                                <a:off x="7161" y="8288"/>
                                <a:ext cx="1417" cy="1474"/>
                              </a:xfrm>
                              <a:prstGeom prst="rect">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84" name="文本框 75"/>
                            <wps:cNvSpPr txBox="1"/>
                            <wps:spPr>
                              <a:xfrm>
                                <a:off x="7164" y="8474"/>
                                <a:ext cx="1417" cy="1077"/>
                              </a:xfrm>
                              <a:prstGeom prst="rect">
                                <a:avLst/>
                              </a:prstGeom>
                              <a:noFill/>
                              <a:ln>
                                <a:noFill/>
                              </a:ln>
                              <a:effectLst/>
                            </wps:spPr>
                            <wps:txbx>
                              <w:txbxContent>
                                <w:p>
                                  <w:pPr>
                                    <w:jc w:val="center"/>
                                  </w:pPr>
                                  <w:r>
                                    <w:rPr>
                                      <w:rFonts w:hint="eastAsia"/>
                                    </w:rPr>
                                    <w:t>入河排污口设置可行性合理性分析</w:t>
                                  </w:r>
                                </w:p>
                              </w:txbxContent>
                            </wps:txbx>
                            <wps:bodyPr vert="horz" wrap="square" anchor="t" anchorCtr="0" upright="1"/>
                          </wps:wsp>
                        </wpg:grpSp>
                        <wpg:grpSp>
                          <wpg:cNvPr id="83" name="组合 79"/>
                          <wpg:cNvGrpSpPr/>
                          <wpg:grpSpPr>
                            <a:xfrm>
                              <a:off x="5303" y="7826"/>
                              <a:ext cx="2610" cy="1191"/>
                              <a:chOff x="5275" y="7207"/>
                              <a:chExt cx="2610" cy="1191"/>
                            </a:xfrm>
                            <a:effectLst/>
                          </wpg:grpSpPr>
                          <wps:wsp>
                            <wps:cNvPr id="186" name="自选图形 77"/>
                            <wps:cNvCnPr/>
                            <wps:spPr>
                              <a:xfrm>
                                <a:off x="5275" y="7207"/>
                                <a:ext cx="2608" cy="0"/>
                              </a:xfrm>
                              <a:prstGeom prst="straightConnector1">
                                <a:avLst/>
                              </a:prstGeom>
                              <a:ln w="9525" cap="flat" cmpd="sng">
                                <a:solidFill>
                                  <a:srgbClr val="000000"/>
                                </a:solidFill>
                                <a:prstDash val="solid"/>
                                <a:headEnd type="none" w="med" len="med"/>
                                <a:tailEnd type="none" w="med" len="med"/>
                              </a:ln>
                              <a:effectLst/>
                            </wps:spPr>
                            <wps:bodyPr/>
                          </wps:wsp>
                          <wps:wsp>
                            <wps:cNvPr id="187" name="自选图形 78"/>
                            <wps:cNvCnPr/>
                            <wps:spPr>
                              <a:xfrm flipV="1">
                                <a:off x="7885" y="7207"/>
                                <a:ext cx="0" cy="1191"/>
                              </a:xfrm>
                              <a:prstGeom prst="straightConnector1">
                                <a:avLst/>
                              </a:prstGeom>
                              <a:ln w="9525" cap="flat" cmpd="sng">
                                <a:solidFill>
                                  <a:srgbClr val="000000"/>
                                </a:solidFill>
                                <a:prstDash val="solid"/>
                                <a:headEnd type="none" w="med" len="med"/>
                                <a:tailEnd type="none" w="med" len="med"/>
                              </a:ln>
                              <a:effectLst/>
                            </wps:spPr>
                            <wps:bodyPr/>
                          </wps:wsp>
                        </wpg:grpSp>
                        <wpg:grpSp>
                          <wpg:cNvPr id="84" name="组合 82"/>
                          <wpg:cNvGrpSpPr/>
                          <wpg:grpSpPr>
                            <a:xfrm>
                              <a:off x="627" y="7835"/>
                              <a:ext cx="2437" cy="1191"/>
                              <a:chOff x="600" y="7216"/>
                              <a:chExt cx="2450" cy="1191"/>
                            </a:xfrm>
                            <a:effectLst/>
                          </wpg:grpSpPr>
                          <wps:wsp>
                            <wps:cNvPr id="189" name="自选图形 80"/>
                            <wps:cNvCnPr/>
                            <wps:spPr>
                              <a:xfrm flipH="1" flipV="1">
                                <a:off x="600" y="7216"/>
                                <a:ext cx="0" cy="1191"/>
                              </a:xfrm>
                              <a:prstGeom prst="straightConnector1">
                                <a:avLst/>
                              </a:prstGeom>
                              <a:ln w="9525" cap="flat" cmpd="sng">
                                <a:solidFill>
                                  <a:srgbClr val="000000"/>
                                </a:solidFill>
                                <a:prstDash val="solid"/>
                                <a:headEnd type="none" w="med" len="med"/>
                                <a:tailEnd type="none" w="med" len="med"/>
                              </a:ln>
                              <a:effectLst/>
                            </wps:spPr>
                            <wps:bodyPr/>
                          </wps:wsp>
                          <wps:wsp>
                            <wps:cNvPr id="190" name="自选图形 81"/>
                            <wps:cNvCnPr/>
                            <wps:spPr>
                              <a:xfrm flipH="1">
                                <a:off x="612" y="7222"/>
                                <a:ext cx="2438" cy="0"/>
                              </a:xfrm>
                              <a:prstGeom prst="straightConnector1">
                                <a:avLst/>
                              </a:prstGeom>
                              <a:ln w="9525" cap="flat" cmpd="sng">
                                <a:solidFill>
                                  <a:srgbClr val="000000"/>
                                </a:solidFill>
                                <a:prstDash val="solid"/>
                                <a:headEnd type="none" w="med" len="med"/>
                                <a:tailEnd type="none" w="med" len="med"/>
                              </a:ln>
                              <a:effectLst/>
                            </wps:spPr>
                            <wps:bodyPr/>
                          </wps:wsp>
                        </wpg:grpSp>
                        <wps:wsp>
                          <wps:cNvPr id="192" name="自选图形 83"/>
                          <wps:cNvSpPr/>
                          <wps:spPr>
                            <a:xfrm>
                              <a:off x="3947" y="10802"/>
                              <a:ext cx="453" cy="680"/>
                            </a:xfrm>
                            <a:prstGeom prst="downArrow">
                              <a:avLst>
                                <a:gd name="adj1" fmla="val 50000"/>
                                <a:gd name="adj2" fmla="val 37527"/>
                              </a:avLst>
                            </a:prstGeom>
                            <a:noFill/>
                            <a:ln w="9525" cap="flat" cmpd="sng">
                              <a:solidFill>
                                <a:srgbClr val="000000"/>
                              </a:solidFill>
                              <a:prstDash val="solid"/>
                              <a:miter/>
                              <a:headEnd type="none" w="med" len="med"/>
                              <a:tailEnd type="none" w="med" len="med"/>
                            </a:ln>
                            <a:effectLst/>
                          </wps:spPr>
                          <wps:bodyPr vert="horz" wrap="square" anchor="t" anchorCtr="0" upright="1"/>
                        </wps:wsp>
                        <wps:wsp>
                          <wps:cNvPr id="193" name="文本框 84"/>
                          <wps:cNvSpPr txBox="1"/>
                          <wps:spPr>
                            <a:xfrm>
                              <a:off x="3041" y="11484"/>
                              <a:ext cx="2267" cy="737"/>
                            </a:xfrm>
                            <a:prstGeom prst="rect">
                              <a:avLst/>
                            </a:prstGeom>
                            <a:noFill/>
                            <a:ln w="9525" cap="flat" cmpd="sng">
                              <a:solidFill>
                                <a:srgbClr val="000000"/>
                              </a:solidFill>
                              <a:prstDash val="solid"/>
                              <a:miter/>
                              <a:headEnd type="none" w="med" len="med"/>
                              <a:tailEnd type="none" w="med" len="med"/>
                            </a:ln>
                            <a:effectLst/>
                          </wps:spPr>
                          <wps:txbx>
                            <w:txbxContent>
                              <w:p>
                                <w:pPr>
                                  <w:jc w:val="center"/>
                                </w:pPr>
                                <w:r>
                                  <w:rPr>
                                    <w:rFonts w:hint="eastAsia"/>
                                  </w:rPr>
                                  <w:t>入河排污口设置论证结论与建议</w:t>
                                </w:r>
                              </w:p>
                            </w:txbxContent>
                          </wps:txbx>
                          <wps:bodyPr vert="horz" wrap="square" anchor="t" anchorCtr="0" upright="1"/>
                        </wps:wsp>
                        <wpg:grpSp>
                          <wpg:cNvPr id="85" name="组合 139"/>
                          <wpg:cNvGrpSpPr/>
                          <wpg:grpSpPr>
                            <a:xfrm>
                              <a:off x="640" y="10498"/>
                              <a:ext cx="2400" cy="1360"/>
                              <a:chOff x="640" y="10498"/>
                              <a:chExt cx="2401" cy="1360"/>
                            </a:xfrm>
                            <a:effectLst/>
                          </wpg:grpSpPr>
                          <wps:wsp>
                            <wps:cNvPr id="194" name="自选图形 86"/>
                            <wps:cNvCnPr/>
                            <wps:spPr>
                              <a:xfrm flipH="1">
                                <a:off x="640" y="10498"/>
                                <a:ext cx="0" cy="1360"/>
                              </a:xfrm>
                              <a:prstGeom prst="straightConnector1">
                                <a:avLst/>
                              </a:prstGeom>
                              <a:ln w="9525" cap="flat" cmpd="sng">
                                <a:solidFill>
                                  <a:srgbClr val="000000"/>
                                </a:solidFill>
                                <a:prstDash val="solid"/>
                                <a:headEnd type="none" w="med" len="med"/>
                                <a:tailEnd type="none" w="med" len="med"/>
                              </a:ln>
                              <a:effectLst/>
                            </wps:spPr>
                            <wps:bodyPr/>
                          </wps:wsp>
                          <wps:wsp>
                            <wps:cNvPr id="195" name="自选图形 136"/>
                            <wps:cNvCnPr/>
                            <wps:spPr>
                              <a:xfrm flipH="1" flipV="1">
                                <a:off x="660" y="11850"/>
                                <a:ext cx="2381" cy="0"/>
                              </a:xfrm>
                              <a:prstGeom prst="straightConnector1">
                                <a:avLst/>
                              </a:prstGeom>
                              <a:ln w="9525" cap="flat" cmpd="sng">
                                <a:solidFill>
                                  <a:srgbClr val="000000"/>
                                </a:solidFill>
                                <a:prstDash val="solid"/>
                                <a:headEnd type="triangle" w="med" len="med"/>
                                <a:tailEnd type="none" w="med" len="med"/>
                              </a:ln>
                              <a:effectLst/>
                            </wps:spPr>
                            <wps:bodyPr/>
                          </wps:wsp>
                        </wpg:grpSp>
                        <wpg:grpSp>
                          <wpg:cNvPr id="86" name="组合 140"/>
                          <wpg:cNvGrpSpPr/>
                          <wpg:grpSpPr>
                            <a:xfrm>
                              <a:off x="5309" y="10501"/>
                              <a:ext cx="2608" cy="1360"/>
                              <a:chOff x="5310" y="10501"/>
                              <a:chExt cx="2608" cy="1360"/>
                            </a:xfrm>
                            <a:effectLst/>
                          </wpg:grpSpPr>
                          <wps:wsp>
                            <wps:cNvPr id="197" name="自选图形 137"/>
                            <wps:cNvCnPr/>
                            <wps:spPr>
                              <a:xfrm flipV="1">
                                <a:off x="5309" y="11850"/>
                                <a:ext cx="2608" cy="0"/>
                              </a:xfrm>
                              <a:prstGeom prst="straightConnector1">
                                <a:avLst/>
                              </a:prstGeom>
                              <a:ln w="9525" cap="flat" cmpd="sng">
                                <a:solidFill>
                                  <a:srgbClr val="000000"/>
                                </a:solidFill>
                                <a:prstDash val="solid"/>
                                <a:headEnd type="triangle" w="med" len="med"/>
                                <a:tailEnd type="none" w="med" len="med"/>
                              </a:ln>
                              <a:effectLst/>
                            </wps:spPr>
                            <wps:bodyPr/>
                          </wps:wsp>
                          <wps:wsp>
                            <wps:cNvPr id="198" name="自选图形 138"/>
                            <wps:cNvCnPr/>
                            <wps:spPr>
                              <a:xfrm>
                                <a:off x="7912" y="10501"/>
                                <a:ext cx="0" cy="1361"/>
                              </a:xfrm>
                              <a:prstGeom prst="straightConnector1">
                                <a:avLst/>
                              </a:prstGeom>
                              <a:ln w="9525" cap="flat" cmpd="sng">
                                <a:solidFill>
                                  <a:srgbClr val="000000"/>
                                </a:solidFill>
                                <a:prstDash val="solid"/>
                                <a:headEnd type="none" w="med" len="med"/>
                                <a:tailEnd type="none" w="med" len="med"/>
                              </a:ln>
                              <a:effectLst/>
                            </wps:spPr>
                            <wps:bodyPr/>
                          </wps:wsp>
                        </wpg:grpSp>
                      </wpg:grpSp>
                    </wpg:wgp>
                  </a:graphicData>
                </a:graphic>
              </wp:anchor>
            </w:drawing>
          </mc:Choice>
          <mc:Fallback>
            <w:pict>
              <v:group id="组合 142" o:spid="_x0000_s1026" o:spt="203" style="position:absolute;left:0pt;margin-left:6.15pt;margin-top:5.8pt;height:623.1pt;width:412.2pt;mso-wrap-distance-bottom:0pt;mso-wrap-distance-top:0pt;z-index:251663360;mso-width-relative:page;mso-height-relative:page;" coordorigin="132,26" coordsize="8476,12194" o:gfxdata="UEsDBAoAAAAAAIdO4kAAAAAAAAAAAAAAAAAEAAAAZHJzL1BLAwQUAAAACACHTuJAqAWMa9kAAAAK&#10;AQAADwAAAGRycy9kb3ducmV2LnhtbE2PQWvCQBCF74X+h2WE3uomBmOI2UiRticpVAultzE7JsHs&#10;bsiuif77jqf2NDy+x5v3is3VdGKkwbfOKojnEQiyldOtrRV8Hd6eMxA+oNXYOUsKbuRhUz4+FJhr&#10;N9lPGvehFhxifY4KmhD6XEpfNWTQz11PltnJDQYDy6GWesCJw00nF1GUSoOt5Q8N9rRtqDrvL0bB&#10;+4TTSxK/jrvzaXv7OSw/vncxKfU0i6M1iEDX8GeGe32uDiV3OrqL1V50rBcJO/nGKQjmWZKuQBzv&#10;YLnKQJaF/D+h/AVQSwMEFAAAAAgAh07iQBTEbVV3DgAAMo8AAA4AAABkcnMvZTJvRG9jLnhtbO1d&#10;TZPjSBG9E8F/cPjOtkvf7pieDZiZXQ4EbLDAXWO7bRO2ZWTNdM+eOBAs3DhxgQgCbhD8AwL+zczC&#10;v+BlfasktWVPW+7u1R5mu9su2VV6+TLzZVbp2ae369Xg7SzfLbPN1ZB9MhoOZptJNl1u5lfDn//s&#10;s+8lw8GuSDfTdJVtZlfDd7Pd8NPn3/3Os5vt5czLFtlqOssHuMhmd3mzvRouimJ7eXGxmyxm63T3&#10;SbadbfDidZav0wK/5vOLaZ7e4Orr1YU3GkUXN1k+3ebZZLbb4a8vxYvD5/z619ezSfGT6+vdrBis&#10;rob4bgX/N+f/vqZ/L54/Sy/nebpdLCfya6RHfIt1utzgQ/WlXqZFOniTLyuXWi8nebbLrotPJtn6&#10;Iru+Xk5mfA6YDRs5s/k8z95s+VzmlzfzrV4mLK2zTkdfdvLjt1/kg+X0ahjhTm3SNe7RN//6zfs/&#10;/G7AAo+W52Y7v8S7Ps+3X26/yOUf5uI3mvHtdb6m/2Mug1u+sO/0ws5ui8EEfww9PxgHWP8JXovH&#10;zPdjufSTBe4PjWO+NxzgVS8S92SyeCUHJ0EciZHMY+OAXr4wHzvjN/lHu4L+TN9VfzX9y4nXbeys&#10;W8hncOCysSDBJDH/8Wgkl0YtHvOCUM4/xJswz/TSLFvMcN8wLvF8pl5TK4eRauXkyJYLB1vcGbjt&#10;Pg5uXy7S7YyjeEdAknBjPuAg8Pbfr//xv1///v2f/vP+338bhPwG32z5ezXidpc7gK8GbixmsTN/&#10;a93wEiGOhUnswGab74rPZ9l6QD9cDWFom+lPwRbciNO3wBN92Hwqv2I6/eVwcL1egRvepqsBi6JI&#10;XVG+GSurrkkjN9lny9WK36vVZnCD+xp6dBdTcNz1Ki3w43oLq9tt5vwjd9lqOaUhNHiXz1+/WOUD&#10;fBRMif8nv37pbfR5L9PdQryPvyQQsJil01eb6aB4t4U5b0C8Q/oK69l0OFjNwNP0E/9uRbpctXkn&#10;Zrfa0FdzzE3dF7pfr7PpO9xcOAMs6CLLv8KHglgxx1+9SXN8hXQzwZ+vhpi8+PFFIZj4zTZfzhcY&#10;xREMK+b4I+rpBIhMAfHDH7/+8Od/fvjrbwdhSOtjoXBQ3P4gI5pSf2/CY+JJe/QBcL7GGo8jTzIg&#10;8yMxU0NjCjsKjyUo4jJ3wauEtzZ3qrh9fSund/83zZCw8B2cj09LwXAmZdcVcuM8kIK9BDYtKVhS&#10;qb51XuBQydOgYF+tW5mCEwVy0HVPwT0Fnz4WCBQQLQoeOyjsKbit3zwHBWsnKrOHiHu/Ayk44Dwr&#10;omCefCDgkFkAYtknScEI0GuiYBEfWPGHdNdNUUcfBfdRcEtRoSkdg3UJIBoKjqQAoHOxnoIfMgVD&#10;QCkJOJEvPOhB+k0YUZYiKJiPf/oUrAWcUhQc9UJEL0R0KkSQQFqh4F6IOFY9OkcUrBNqraFLwegg&#10;Dna1cBUDQwlXSrBSwm0d4gQKehf6G8oMFdgfm/v5UVguI6ilYwGTUnggFGboZKpy8THaW9fS7npZ&#10;zHIuK55H5D2pdNiN3htoIzWRLtO6rpS82ka6kS/rNh6HrBUs9YDbW384u1bdEeBq1C12bGo19kV9&#10;QVX7eoJLL++zivUUCA5BQo2mxGQ6yLP5FxtZy1cVPOEOB9er5faHVOaiopIs6bPIF7XpIOHRqCE5&#10;Wc8KGRf7ml3qrshTqvC9yDYbVLayXFyfl06rxa3HUzAt8mW6ma8ayqtt6E3U32gNJBd1VfWkzoA6&#10;kNhZbwNILGjEIzRkkFoQJI5Y0EPj8UJDS4ElQQQBtFShESPth0bgowQgoOEUwntonAQasvXpxKV2&#10;HcvIDHd8jMgIjwKMkcg4drARBgEqSdS0k4TyJdPrhGC7PMo0iWEcEj9rnOWMnJ6VUotYJwkuvnUd&#10;1comBa2uS+uyazyDPKO2mFEimoAs5r1zCRuXwkl1tf+iC+/tegrpSxAHYG0fYNfTuVPj+2+l6Sg9&#10;0fq3lQ+7LSBt82HfD4WNslHoNtGME5AHmej9SjCEXd1u1ybmOmmIfw7VUcf7ipOPER0j6GJEySzx&#10;nSg/9iNAhG6c56FLGARgqY4R8TUNQ0ukeumVrNnH1OZbGviAWBnwlKz8zV/+Tp2nqHuZ+GZ/21N1&#10;4ioVL62XahPtxcZy72kbQz0Fo3YTJenkSlqkJ9Oqg8oACUYJiwSncqtTCPNGY9UMk1Q66cfSIj0m&#10;2iDJWJVFYiDomUyZyYEPySJ1IaCUd3iuVCat1I6TrMCoOv3mVbMm70RGfUP43a3j5zLfLuL1sKZA&#10;4NniGTmHtgERG8UiIPI8zw2IEiYDIhaP+Gt34LFvCJ/u2yJlNpfEWsFQ/Cvj2YP412dUM+RcqWIb&#10;TSWMQGLzqBUS+R6RLB83ll2MFgMzirPskdZNP3emim0PdZmq2JNF2UirhvCa+VvrZma/D/L9npw7&#10;d+88aQrWAZTJST1XL2lLwX6AjIbb41jszTMFDB4FCWuMR9xWLWt0Q4Kegg+hYFCgEL0kBfvHCIVh&#10;ECL1FBTsFNg9P5ZZqQplLQoOTTY7ltmsRcF+ItNSNdK66WenYL1upSBYbCZrTcGYP/yTcEFONu/5&#10;iVRYMfuegvttkQ0N4WR4woANBYumAwuFbSk4xKZvRcGuHZtc9ttCwWWNsIuUBp38dYGdb1d790te&#10;EBREQBywER9pHClJutyPRuBWJOgWozpudJrdbL6f59lN81ZrQMXstdZVh/J2bEzIvMePg4B/IXxs&#10;X5mQzQRCHyFjPYWO1glqdSJe9oXco1ksdLcg5I+paxa+EKh1dLRAZXFnQm0oYtoeter4DtWN9KhR&#10;CyasKfeih0ritFUSHQXYAyhQixMuMNLmWqk99Kit7vrrq8B7DhVqCPciLf1Y4Z5UzbTu0zbcS1Sc&#10;QGFfCbtMa573WwTu+/Af3bkr0FSrCcbRGz885LKcLmO3paiH3P6TgBCB7D3f56RtE+TwT3/mFB3w&#10;4ua02HVX9sttSS6EOKUgJ2V+LXP7qBfxdKhnuabDpx4A5LrpBdA6ihRCgRoOuINqUSyOkfEiiQk9&#10;kela4eCY2vOpojQeyUjRtEzGsh0rGIsjrexmgMAdiFui2lTOLYOa0whLqR9aG4yxNvQg1+9hsBZC&#10;9ikpY5VaMOWCuLa1Bo5w8VQ3MTSfD9fGRM+2gYF60mrSLHVo5cG7XAJWMRUHIdK8vn0I0W3CtacI&#10;PmiUmKPhyjxit3M08IjVUxRFapvLWPVUOdjo2aNyuuTDxgWyhTr2sAXx/bhgsSxPhkFFWhzTdnzy&#10;ynv08N6tNIt/5I9lZsB/kgFbV3vkYq0/G00E++ZMBHJII5iXSA6JmNtg7YXUjExY2avo5Yc0IfSi&#10;yKMTReJ68Rhn3xnUNfBSbdyLUwgQJ3FkMacRoI97PyY1rY17O0koqXlFuC6ZUIqNcgceteiPAtGk&#10;GHvAHMBlEkrs8lDd5UxUiK3OGn+EJJMDKqpmlHx/CCcyJkdawfK5U0qqAta5fFfkloYmyqcmI5ab&#10;4Wvmr0LB6rpZs3eSyekyXWebqamB41PxbvUuuh16TxNpc982Kn+sJWsqfAiQWSHD0aI2drUKW6MS&#10;dslGGaOGGgoZ7ldhLAGvTQR/UlW4+0YZatavIQmxl5FC0ea97w3+V+p2SSVDkP7XFwJ0M1X0CULL&#10;BKGbGgJ1nUr3K/YNCt1QYqNFExW2yHKjTmLlQJUDCaEzCKP2RvtQ0ScCTjxx6taRbmI7LUvI2A7s&#10;weORw4oF8iTA8UjsOzShHTPPoAhU2KeLBfLoPDzBQjob0zKNcbK/j8lxFl85N0IuFD2upRuLtAJi&#10;YZFiS2Rri6zMW9ljdbWsWatQ7ZgndvTR3ON4NAx1yrvRnOiZt8DVvl4saD8QV6g1yhF2rolMQBXi&#10;PgZmDzmY64ZOdduzolOp3h1Ep3jEltBQwKdOKx6OFZUeW/GilSrHjNquEaKDUWXjqcWolZEWt5yd&#10;UbXwKc9GEL7CAj13SsrlVpJkzByWU5q55tSAHthFiYtaMWveHwP2nlMfCadqhdNkyCK7teDVllMB&#10;NJEh42hkR8WCaSqg9axqnqh5D0+KxFF/KgMST4pESnR4kBr6I1wHPBAn6pmPiiO8CAdKShlRNZBa&#10;Uaps54890+7ySp44Ux1pscvZWVVrQ6VatHD5EvwN2j55cilAYs+AyB/N/M26oQrJ162vOU6PPW6G&#10;wi+6GehG7CyBAVHViE7QoqSb3SM6/QLO1D6wNU6QwXHT0iaiIOLYlWUdju/tVaeWqlNZo+wmrNUu&#10;VIa1yTEqQYRgVvBvpR4d0PGMPEYjmRkgtKLaCGcACmyJA0HtjkI8qbYZYGenXy3clehX7Fe8m36N&#10;tMt/cu2tuiS9ud3L4e+1RdYuGsWxh6COkaEHtGNk9wjtCOe9C6MRp1mZ5N8L6FBTsrXeZ9+Pzy4T&#10;cido0TJDmVnsJsP9hQF/TE84pMQYx706Gwr6jaqiNl77uOt+y99xW/5wdHNF3cQRrYbhDmlvQz+J&#10;kHwYHmXvpOKmMQIngtL1m8POvqzlhElKY6MA5aS1duof6uBZ3ZSZyPKpEA+Yf4x6ENHD0jhXBjhs&#10;jUeoKubyAopQefRKR9Dz17R6UDPOaLIYCQzbIy2gOvel8yoXdY/WJIl4/JAx2Ab1wISvlo5QsxJq&#10;BZ3lsxahTxJbbJQ8X9SqbasUh7DS0QN7MVKf4siHOTCmz+VXaDEHSj2pCPbuTS/3+9ChGsSUo9hu&#10;qFnrk1JWYGpv7EHlMgi7olyGI+DFsaZWthMphRKgdLk59En25aSuB1rkXBlq8dLZyblewWMi3Gkh&#10;LriSglnEGoPTK9EbXM3xbYDF3r3sNQYnNV/9+JTd1XBRFNvLI0snDcds0MmwNV6cQQTY68Yt541z&#10;NYSgUGNjxntztcKykt57HwcNm4srP9/MUSfAIs/zdLtYTl6mRWr/zqsJlzMvW2Sr6Sx//n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pEAAAW0Nv&#10;bnRlbnRfVHlwZXNdLnhtbFBLAQIUAAoAAAAAAIdO4kAAAAAAAAAAAAAAAAAGAAAAAAAAAAAAEAAA&#10;AMsPAABfcmVscy9QSwECFAAUAAAACACHTuJAihRmPNEAAACUAQAACwAAAAAAAAABACAAAADvDwAA&#10;X3JlbHMvLnJlbHNQSwECFAAKAAAAAACHTuJAAAAAAAAAAAAAAAAABAAAAAAAAAAAABAAAAAAAAAA&#10;ZHJzL1BLAQIUABQAAAAIAIdO4kCoBYxr2QAAAAoBAAAPAAAAAAAAAAEAIAAAACIAAABkcnMvZG93&#10;bnJldi54bWxQSwECFAAUAAAACACHTuJAFMRtVXcOAAAyjwAADgAAAAAAAAABACAAAAAoAQAAZHJz&#10;L2Uyb0RvYy54bWxQSwUGAAAAAAYABgBZAQAAERIAAAAA&#10;">
                <o:lock v:ext="edit" aspectratio="f"/>
                <v:group id="组合 56" o:spid="_x0000_s1026" o:spt="203" style="position:absolute;left:1486;top:9000;height:1586;width:1245;" coordorigin="1718,8231" coordsize="1246,1586" o:gfxdata="UEsDBAoAAAAAAIdO4kAAAAAAAAAAAAAAAAAEAAAAZHJzL1BLAwQUAAAACACHTuJAOzJL9b8AAADb&#10;AAAADwAAAGRycy9kb3ducmV2LnhtbEWPQWvCQBSE70L/w/IK3ppNlEqbuoYSVDxIoUmh9PbIPpNg&#10;9m3Iron++26h4HGYmW+YdXY1nRhpcK1lBUkUgyCurG65VvBV7p5eQDiPrLGzTApu5CDbPMzWmGo7&#10;8SeNha9FgLBLUUHjfZ9K6aqGDLrI9sTBO9nBoA9yqKUecApw08lFHK+kwZbDQoM95Q1V5+JiFOwn&#10;nN6XyXY8nk/57ad8/vg+JqTU/DGJ30B4uvp7+L990ApWr/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7Mkv1vwAAANsAAAAPAAAAAAAAAAEAIAAAACIAAABkcnMvZG93bnJldi54&#10;bWxQSwECFAAUAAAACACHTuJAMy8FnjsAAAA5AAAAFQAAAAAAAAABACAAAAAOAQAAZHJzL2dyb3Vw&#10;c2hhcGV4bWwueG1sUEsFBgAAAAAGAAYAYAEAAMsDAAAAAA==&#10;">
                  <o:lock v:ext="edit" aspectratio="f"/>
                  <v:roundrect id="自选图形 54" o:spid="_x0000_s1026" o:spt="2" style="position:absolute;left:1717;top:8231;height:1587;width:1247;" filled="f" stroked="t" coordsize="21600,21600" arcsize="0.166666666666667" o:gfxdata="UEsDBAoAAAAAAIdO4kAAAAAAAAAAAAAAAAAEAAAAZHJzL1BLAwQUAAAACACHTuJAM6Y9Fb8AAADc&#10;AAAADwAAAGRycy9kb3ducmV2LnhtbEWPQWvDMAyF74P9B6PBbqvTjoWS1e2hUCg9bd1oyU3EmpM2&#10;llPba7N/Px0Gu0m8p/c+LVaj79WVYuoCG5hOClDETbAdOwOfH5unOaiUkS32gcnADyVYLe/vFljZ&#10;cON3uu6zUxLCqUIDbc5DpXVqWvKYJmEgFu0rRI9Z1ui0jXiTcN/rWVGU2mPH0tDiQOuWmvP+2xuo&#10;D+UsvtRH3u3W9XYshzd3ujhjHh+mxSuoTGP+N/9db63gPwu+PCMT6OUv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OmPRW/&#10;AAAA3AAAAA8AAAAAAAAAAQAgAAAAIgAAAGRycy9kb3ducmV2LnhtbFBLAQIUABQAAAAIAIdO4kAz&#10;LwWeOwAAADkAAAAQAAAAAAAAAAEAIAAAAA4BAABkcnMvc2hhcGV4bWwueG1sUEsFBgAAAAAGAAYA&#10;WwEAALgDAAAAAA==&#10;">
                    <v:fill on="f" focussize="0,0"/>
                    <v:stroke color="#000000" joinstyle="round"/>
                    <v:imagedata o:title=""/>
                    <o:lock v:ext="edit" aspectratio="f"/>
                  </v:roundrect>
                  <v:shape id="文本框 55" o:spid="_x0000_s1026" o:spt="202" type="#_x0000_t202" style="position:absolute;left:1828;top:8330;height:1361;width:1020;" filled="f" stroked="f" coordsize="21600,21600" o:gfxdata="UEsDBAoAAAAAAIdO4kAAAAAAAAAAAAAAAAAEAAAAZHJzL1BLAwQUAAAACACHTuJAiy53S7sAAADc&#10;AAAADwAAAGRycy9kb3ducmV2LnhtbEVPyWrDMBC9F/IPYgK91ZK7hMSJ7ENKoKeWZoPcBmtim1gj&#10;Yymx+/dVoZDbPN46q2K0rbhR7xvHGtJEgSAunWm40rDfbZ7mIHxANtg6Jg0/5KHIJw8rzIwb+Jtu&#10;21CJGMI+Qw11CF0mpS9rsugT1xFH7ux6iyHCvpKmxyGG21Y+KzWTFhuODTV2tK6pvGyvVsPh83w6&#10;vqqv6t2+dYMblWS7kFo/TlO1BBFoDHfxv/vDxPkvKfw9Ey+Q+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iy53S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对水功能区水质影响分析</w:t>
                          </w:r>
                        </w:p>
                      </w:txbxContent>
                    </v:textbox>
                  </v:shape>
                </v:group>
                <v:group id="组合 57" o:spid="_x0000_s1026" o:spt="203" style="position:absolute;left:2867;top:9001;height:1587;width:1247;" coordorigin="1718,8231" coordsize="1246,1586" o:gfxdata="UEsDBAoAAAAAAIdO4kAAAAAAAAAAAAAAAAAEAAAAZHJzL1BLAwQUAAAACACHTuJAL9F0tbsAAADb&#10;AAAADwAAAGRycy9kb3ducmV2LnhtbEVPy4rCMBTdD/gP4QqzG9M6jEo1FREdZiGCDxB3l+b2gc1N&#10;aWKrfz9ZCC4P571YPkwtOmpdZVlBPIpAEGdWV1woOJ+2XzMQziNrrC2Tgic5WKaDjwUm2vZ8oO7o&#10;CxFC2CWooPS+SaR0WUkG3cg2xIHLbWvQB9gWUrfYh3BTy3EUTaTBikNDiQ2tS8pux7tR8Ntjv/qO&#10;N93ulq+f19PP/rKLSanPYRzNQXh6+Lf45f7TCqZhff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C/RdLW7AAAA2wAAAA8AAAAAAAAAAQAgAAAAIgAAAGRycy9kb3ducmV2LnhtbFBL&#10;AQIUABQAAAAIAIdO4kAzLwWeOwAAADkAAAAVAAAAAAAAAAEAIAAAAAoBAABkcnMvZ3JvdXBzaGFw&#10;ZXhtbC54bWxQSwUGAAAAAAYABgBgAQAAxwMAAAAA&#10;">
                  <o:lock v:ext="edit" aspectratio="f"/>
                  <v:roundrect id="自选图形 58" o:spid="_x0000_s1026" o:spt="2" style="position:absolute;left:1717;top:8231;height:1587;width:1247;" filled="f" stroked="t" coordsize="21600,21600" arcsize="0.166666666666667" o:gfxdata="UEsDBAoAAAAAAIdO4kAAAAAAAAAAAAAAAAAEAAAAZHJzL1BLAwQUAAAACACHTuJAw3SjYrwAAADc&#10;AAAADwAAAGRycy9kb3ducmV2LnhtbEVPTWsCMRC9F/wPYQRvNavSRbZGD4IgntQWZW/DZprddjNZ&#10;k6jrvzeFQm/zeJ+zWPW2FTfyoXGsYDLOQBBXTjdsFHx+bF7nIEJE1tg6JgUPCrBaDl4WWGh35wPd&#10;jtGIFMKhQAV1jF0hZahqshjGriNO3JfzFmOC3kjt8Z7CbSunWZZLiw2nhho7WtdU/RyvVkF5yqf+&#10;rTzzbrcut33e7c33xSg1Gk6ydxCR+vgv/nNvdZo/m8HvM+kCuX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N0o2K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59" o:spid="_x0000_s1026" o:spt="202" type="#_x0000_t202" style="position:absolute;left:1828;top:8330;height:1361;width:1020;" filled="f" stroked="f" coordsize="21600,21600" o:gfxdata="UEsDBAoAAAAAAIdO4kAAAAAAAAAAAAAAAAAEAAAAZHJzL1BLAwQUAAAACACHTuJAm1nU07wAAADc&#10;AAAADwAAAGRycy9kb3ducmV2LnhtbEVPS2vCQBC+C/6HZYTezK5tLDa6emgp9FTRtkJvQ3bywOxs&#10;yG6T9N+7guBtPr7nbHajbURPna8da1gkCgRx7kzNpYbvr/f5CoQPyAYbx6ThnzzsttPJBjPjBj5Q&#10;fwyliCHsM9RQhdBmUvq8Ios+cS1x5ArXWQwRdqU0HQ4x3DbyUalnabHm2FBhS68V5efjn9Xw81n8&#10;nlK1L9/ssh3cqCTbF6n1w2yh1iACjeEuvrk/TJz/lML1mXiB3F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JtZ1NO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对水功能区水生态影响分析</w:t>
                          </w:r>
                        </w:p>
                      </w:txbxContent>
                    </v:textbox>
                  </v:shape>
                </v:group>
                <v:group id="组合 60" o:spid="_x0000_s1026" o:spt="203" style="position:absolute;left:4247;top:9002;height:1587;width:1247;" coordorigin="1718,8231" coordsize="1246,1586" o:gfxdata="UEsDBAoAAAAAAIdO4kAAAAAAAAAAAAAAAAAEAAAAZHJzL1BLAwQUAAAACACHTuJAQJ3RLr4AAADb&#10;AAAADwAAAGRycy9kb3ducmV2LnhtbEWPT2sCMRTE74V+h/AKvWk2lVpZN0oRLT1IQS2It8fm7R/c&#10;vCybuKvf3giFHoeZ+Q2TLa+2ET11vnasQY0TEMS5MzWXGn4Pm9EMhA/IBhvHpOFGHpaL56cMU+MG&#10;3lG/D6WIEPYpaqhCaFMpfV6RRT92LXH0CtdZDFF2pTQdDhFuG/mWJFNpsea4UGFLq4ry8/5iNXwN&#10;OHxO1LrfnovV7XR4/zluFWn9+qKSOYhA1/Af/mt/Gw0f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ECd0S6+AAAA2wAAAA8AAAAAAAAAAQAgAAAAIgAAAGRycy9kb3ducmV2Lnht&#10;bFBLAQIUABQAAAAIAIdO4kAzLwWeOwAAADkAAAAVAAAAAAAAAAEAIAAAAA0BAABkcnMvZ3JvdXBz&#10;aGFwZXhtbC54bWxQSwUGAAAAAAYABgBgAQAAygMAAAAA&#10;">
                  <o:lock v:ext="edit" aspectratio="f"/>
                  <v:roundrect id="自选图形 61" o:spid="_x0000_s1026" o:spt="2" style="position:absolute;left:1717;top:8231;height:1587;width:1247;" filled="f" stroked="t" coordsize="21600,21600" arcsize="0.166666666666667" o:gfxdata="UEsDBAoAAAAAAIdO4kAAAAAAAAAAAAAAAAAEAAAAZHJzL1BLAwQUAAAACACHTuJA0wMA+rwAAADc&#10;AAAADwAAAGRycy9kb3ducmV2LnhtbEVPTWsCMRC9F/wPYQq91awWl7I1ehAE8dSqKHsbNmN27Way&#10;TVJd/70RBG/zeJ8znfe2FWfyoXGsYDTMQBBXTjdsFOy2y/dPECEia2wdk4IrBZjPBi9TLLS78A+d&#10;N9GIFMKhQAV1jF0hZahqshiGriNO3NF5izFBb6T2eEnhtpXjLMulxYZTQ40dLWqqfjf/VkG5z8d+&#10;Uh54vV6Uqz7vvs3pzyj19jrKvkBE6uNT/HCvdJr/kcP9mXSBnN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MDAPq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62" o:spid="_x0000_s1026" o:spt="202" type="#_x0000_t202" style="position:absolute;left:1828;top:8330;height:1361;width:1020;" filled="f" stroked="f" coordsize="21600,21600" o:gfxdata="UEsDBAoAAAAAAIdO4kAAAAAAAAAAAAAAAAAEAAAAZHJzL1BLAwQUAAAACACHTuJAa4tKpLsAAADc&#10;AAAADwAAAGRycy9kb3ducmV2LnhtbEVPS4vCMBC+L/gfwix408THqts1ethF8OTiE7wNzdiWbSal&#10;ibb+eyMIe5uP7znzZWtLcaPaF441DPoKBHHqTMGZhsN+1ZuB8AHZYOmYNNzJw3LReZtjYlzDW7rt&#10;QiZiCPsENeQhVImUPs3Jou+7ijhyF1dbDBHWmTQ1NjHclnKo1ERaLDg25FjRd07p3+5qNRw3l/Np&#10;rH6zH/tRNa5Vku2n1Lr7PlBfIAK14V/8cq9NnD+awvOZeIFcPA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4tKp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对地下水影响分析</w:t>
                          </w:r>
                        </w:p>
                      </w:txbxContent>
                    </v:textbox>
                  </v:shape>
                </v:group>
                <v:group id="组合 63" o:spid="_x0000_s1026" o:spt="203" style="position:absolute;left:5620;top:9003;height:1587;width:1247;" coordorigin="1718,8231" coordsize="1246,1586" o:gfxdata="UEsDBAoAAAAAAIdO4kAAAAAAAAAAAAAAAAAEAAAAZHJzL1BLAwQUAAAACACHTuJAsE9PWb8AAADb&#10;AAAADwAAAGRycy9kb3ducmV2LnhtbEWPQWvCQBSE70L/w/IKvekmEbWkrqFILR5CwVgovT2yzySY&#10;fRuy28T8+26h4HGYmW+YbXYzrRiod41lBfEiAkFcWt1wpeDzfJg/g3AeWWNrmRRM5CDbPcy2mGo7&#10;8omGwlciQNilqKD2vkuldGVNBt3CdsTBu9jeoA+yr6TucQxw08okitbSYMNhocaO9jWV1+LHKHgf&#10;cXxdxm9Dfr3sp+/z6uMrj0mpp8c4egHh6ebv4f/2USvYJP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wT09ZvwAAANsAAAAPAAAAAAAAAAEAIAAAACIAAABkcnMvZG93bnJldi54&#10;bWxQSwECFAAUAAAACACHTuJAMy8FnjsAAAA5AAAAFQAAAAAAAAABACAAAAAOAQAAZHJzL2dyb3Vw&#10;c2hhcGV4bWwueG1sUEsFBgAAAAAGAAYAYAEAAMsDAAAAAA==&#10;">
                  <o:lock v:ext="edit" aspectratio="f"/>
                  <v:roundrect id="自选图形 64" o:spid="_x0000_s1026" o:spt="2" style="position:absolute;left:1717;top:8231;height:1587;width:1247;" filled="f" stroked="t" coordsize="21600,21600" arcsize="0.166666666666667" o:gfxdata="UEsDBAoAAAAAAIdO4kAAAAAAAAAAAAAAAAAEAAAAZHJzL1BLAwQUAAAACACHTuJAopyUiLwAAADc&#10;AAAADwAAAGRycy9kb3ducmV2LnhtbEVPS2sCMRC+F/ofwhR606wWF7s1ehAE8VQfWPY2bKbZbTeT&#10;NUl1/fdGEHqbj+85s0VvW3EmHxrHCkbDDARx5XTDRsFhvxpMQYSIrLF1TAquFGAxf36aYaHdhbd0&#10;3kUjUgiHAhXUMXaFlKGqyWIYuo44cd/OW4wJeiO1x0sKt60cZ1kuLTacGmrsaFlT9bv7swrKYz72&#10;k/KLN5tlue7z7tP8nIxSry+j7ANEpD7+ix/utU7z397h/ky6QM5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KKclIi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65" o:spid="_x0000_s1026" o:spt="202" type="#_x0000_t202" style="position:absolute;left:1828;top:8330;height:1361;width:1020;" filled="f" stroked="f" coordsize="21600,21600" o:gfxdata="UEsDBAoAAAAAAIdO4kAAAAAAAAAAAAAAAAAEAAAAZHJzL1BLAwQUAAAACACHTuJAvGShrb0AAADc&#10;AAAADwAAAGRycy9kb3ducmV2LnhtbEWPT2vCQBDF7wW/wzJCb3XXosWmrh6UgqeKf6G3ITsmodnZ&#10;kF1N/PbOQehthvfmvd/Ml72v1Y3aWAW2MB4ZUMR5cBUXFo6H77cZqJiQHdaBycKdIiwXg5c5Zi50&#10;vKPbPhVKQjhmaKFMqcm0jnlJHuMoNMSiXULrMcnaFtq12Em4r/W7MR/aY8XSUGJDq5Lyv/3VWzj9&#10;XH7PE7Mt1n7adKE3mv2ntvZ1ODZfoBL16d/8vN44wZ8IvjwjE+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ZKGtvQAA&#10;ANwAAAAPAAAAAAAAAAEAIAAAACIAAABkcnMvZG93bnJldi54bWxQSwECFAAUAAAACACHTuJAMy8F&#10;njsAAAA5AAAAEAAAAAAAAAABACAAAAAMAQAAZHJzL3NoYXBleG1sLnhtbFBLBQYAAAAABgAGAFsB&#10;AAC2AwAAAAA=&#10;">
                    <v:fill on="f" focussize="0,0"/>
                    <v:stroke on="f"/>
                    <v:imagedata o:title=""/>
                    <o:lock v:ext="edit" aspectratio="f"/>
                    <v:textbox>
                      <w:txbxContent>
                        <w:p>
                          <w:r>
                            <w:rPr>
                              <w:rFonts w:hint="eastAsia"/>
                            </w:rPr>
                            <w:t>对第三者影响分析</w:t>
                          </w:r>
                        </w:p>
                      </w:txbxContent>
                    </v:textbox>
                  </v:shape>
                </v:group>
                <v:group id="组合 141" o:spid="_x0000_s1026" o:spt="203" style="position:absolute;left:132;top:26;height:12194;width:8475;" coordorigin="132,26" coordsize="8476,12194" o:gfxdata="UEsDBAoAAAAAAIdO4kAAAAAAAAAAAAAAAAAEAAAAZHJzL1BLAwQUAAAACACHTuJA3wPqwr0AAADb&#10;AAAADwAAAGRycy9kb3ducmV2LnhtbEWPQYvCMBSE74L/ITzB25pW2V2pRhFR2YMsbBXE26N5tsXm&#10;pTSx1X9vhAWPw8x8w8yXd1OJlhpXWlYQjyIQxJnVJecKjoftxxSE88gaK8uk4EEOlot+b46Jth3/&#10;UZv6XAQIuwQVFN7XiZQuK8igG9maOHgX2xj0QTa51A12AW4qOY6iL2mw5LBQYE3rgrJrejMKdh12&#10;q0m8affXy/pxPnz+nvYxKTUcxNEMhKe7f4f/2z9awfcEXl/CD5CLJ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3wPqwr0AAADbAAAADwAAAAAAAAABACAAAAAiAAAAZHJzL2Rvd25yZXYueG1s&#10;UEsBAhQAFAAAAAgAh07iQDMvBZ47AAAAOQAAABUAAAAAAAAAAQAgAAAADAEAAGRycy9ncm91cHNo&#10;YXBleG1sLnhtbFBLBQYAAAAABgAGAGABAADJAwAAAAA=&#10;">
                  <o:lock v:ext="edit" aspectratio="f"/>
                  <v:shape id="文本框 9" o:spid="_x0000_s1026" o:spt="202" type="#_x0000_t202" style="position:absolute;left:3652;top:26;height:454;width:1416;" filled="f" stroked="t" coordsize="21600,21600" o:gfxdata="UEsDBAoAAAAAAIdO4kAAAAAAAAAAAAAAAAAEAAAAZHJzL1BLAwQUAAAACACHTuJArerjhL8AAADc&#10;AAAADwAAAGRycy9kb3ducmV2LnhtbEWPQW/CMAyF70j7D5En7UZTyjRYR+AATNqRdQWuXmPaao1T&#10;NRnt+PUECWk3W+99z8+L1WAacabO1ZYVTKIYBHFhdc2lgvzrfTwH4TyyxsYyKfgjB6vlw2iBqbY9&#10;f9I586UIIexSVFB536ZSuqIigy6yLXHQTrYz6MPalVJ32Idw08gkjl+kwZrDhQpbWldU/GS/JtRI&#10;jvl0s8toNsPv6WZ72b+eDo1ST4+T+A2Ep8H/m+/0hw7ccwK3Z8IEcnk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3q44S/&#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现场勘查</w:t>
                          </w:r>
                        </w:p>
                      </w:txbxContent>
                    </v:textbox>
                  </v:shape>
                  <v:shape id="文本框 11" o:spid="_x0000_s1026" o:spt="202" type="#_x0000_t202" style="position:absolute;left:6386;top:29;height:454;width:1416;" filled="f" stroked="t" coordsize="21600,21600" o:gfxdata="UEsDBAoAAAAAAIdO4kAAAAAAAAAAAAAAAAAEAAAAZHJzL1BLAwQUAAAACACHTuJAwqZGH78AAADc&#10;AAAADwAAAGRycy9kb3ducmV2LnhtbEWPQW/CMAyF75P4D5GRdltT6DRGIXCgTNqRlW67msa0FY1T&#10;NVlh/PplEhI3W+99z8/L9cW0YqDeNZYVTKIYBHFpdcOVgmL/9vQKwnlkja1lUvBLDtar0cMSU23P&#10;/EFD7isRQtilqKD2vkuldGVNBl1kO+KgHW1v0Ie1r6Tu8RzCTSuncfwiDTYcLtTY0aam8pT/mFBj&#10;+l0k2S6n2QwPSba9fs6PX61Sj+NJvADh6eLv5hv9rgP3nMD/M2ECufo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KmRh+/&#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补充监测</w:t>
                          </w:r>
                        </w:p>
                      </w:txbxContent>
                    </v:textbox>
                  </v:shape>
                  <v:shape id="文本框 12" o:spid="_x0000_s1026" o:spt="202" type="#_x0000_t202" style="position:absolute;left:938;top:31;height:454;width:1416;" filled="f" stroked="t" coordsize="21600,21600" o:gfxdata="UEsDBAoAAAAAAIdO4kAAAAAAAAAAAAAAAAAEAAAAZHJzL1BLAwQUAAAACACHTuJATU/ea78AAADc&#10;AAAADwAAAGRycy9kb3ducmV2LnhtbEWPzW7CMBCE75V4B2uRuBUHiJoSMBz4kXqkKS3XJV6SiHgd&#10;xYakPH1dqVJvu5r5ZmeX697U4k6tqywrmIwjEMS51RUXCo4f++dXEM4ja6wtk4JvcrBeDZ6WmGrb&#10;8TvdM1+IEMIuRQWl900qpctLMujGtiEO2sW2Bn1Y20LqFrsQbmo5jaIXabDicKHEhjYl5dfsZkKN&#10;6ek42x4yShI8z7a7x+f88lUrNRpOogUIT73/N//RbzpwcQy/z4QJ5OoH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1P3mu/&#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资料收集</w:t>
                          </w:r>
                        </w:p>
                      </w:txbxContent>
                    </v:textbox>
                  </v:shape>
                  <v:shape id="自选图形 13" o:spid="_x0000_s1026" o:spt="32" type="#_x0000_t32" style="position:absolute;left:1636;top:485;flip:x;height:510;width:0;" filled="f" stroked="t" coordsize="21600,21600" o:gfxdata="UEsDBAoAAAAAAIdO4kAAAAAAAAAAAAAAAAAEAAAAZHJzL1BLAwQUAAAACACHTuJAYGMfoLwAAADc&#10;AAAADwAAAGRycy9kb3ducmV2LnhtbEVPS4vCMBC+C/sfwgh7EU0VXUo1elhfexHZqvehGdtiMylN&#10;Vtt/bxYEb/PxPWexak0l7tS40rKC8SgCQZxZXXKu4HzaDmMQziNrrCyTgo4crJYfvQUm2j74l+6p&#10;z0UIYZeggsL7OpHSZQUZdCNbEwfuahuDPsAml7rBRwg3lZxE0Zc0WHJoKLCm74KyW/pnFKzT42x7&#10;GZzbSZftD+kuvh252yj12R9HcxCeWv8Wv9w/OsyfzuD/mXCBXD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BjH6C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14" o:spid="_x0000_s1026" o:spt="32" type="#_x0000_t32" style="position:absolute;left:7094;top:483;height:510;width:0;" filled="f" stroked="t" coordsize="21600,21600" o:gfxdata="UEsDBAoAAAAAAIdO4kAAAAAAAAAAAAAAAAAEAAAAZHJzL1BLAwQUAAAACACHTuJAvLNNILwAAADc&#10;AAAADwAAAGRycy9kb3ducmV2LnhtbEVPS2sCMRC+F/ofwhS81axFFl2NQivFvVhQS/E4bMZNcDNZ&#10;NvH56xtB8DYf33Om84trxIm6YD0rGPQzEMSV15ZrBb/b7/cRiBCRNTaeScGVAsxnry9TLLQ/85pO&#10;m1iLFMKhQAUmxraQMlSGHIa+b4kTt/edw5hgV0vd4TmFu0Z+ZFkuHVpODQZb+jJUHTZHpyAudleT&#10;/1WfY/uzXa5yeyvLcqFU722QTUBEusSn+OEudZo/zOH+TLpAzv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yzTSC8AAAA&#10;3AAAAA8AAAAAAAAAAQAgAAAAIgAAAGRycy9kb3ducmV2LnhtbFBLAQIUABQAAAAIAIdO4kAzLwWe&#10;OwAAADkAAAAQAAAAAAAAAAEAIAAAAAsBAABkcnMvc2hhcGV4bWwueG1sUEsFBgAAAAAGAAYAWwEA&#10;ALUDAAAAAA==&#10;">
                    <v:fill on="f" focussize="0,0"/>
                    <v:stroke color="#000000" joinstyle="round" endarrow="block"/>
                    <v:imagedata o:title=""/>
                    <o:lock v:ext="edit" aspectratio="f"/>
                  </v:shape>
                  <v:shape id="自选图形 16" o:spid="_x0000_s1026" o:spt="32" type="#_x0000_t32" style="position:absolute;left:4360;top:480;height:510;width:0;" filled="f" stroked="t" coordsize="21600,21600" o:gfxdata="UEsDBAoAAAAAAIdO4kAAAAAAAAAAAAAAAAAEAAAAZHJzL1BLAwQUAAAACACHTuJA0//ou70AAADc&#10;AAAADwAAAGRycy9kb3ducmV2LnhtbEVPS2sCMRC+C/0PYQreatZStnY1CirFvVhwleJx2Ew3oZvJ&#10;skl99Nc3QsHbfHzPmS0urhUn6oP1rGA8ykAQ115bbhQc9u9PExAhImtsPZOCKwVYzB8GMyy0P/OO&#10;TlVsRArhUKACE2NXSBlqQw7DyHfEifvyvcOYYN9I3eM5hbtWPmdZLh1aTg0GO1oZqr+rH6cgro9X&#10;k3/Wyzf7sd9sc/tbluVaqeHjOJuCiHSJd/G/u9Rp/ssr3J5JF8j5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i7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group id="组合 93" o:spid="_x0000_s1026" o:spt="203" style="position:absolute;left:1637;top:990;height:850;width:5441;" coordorigin="1638,990" coordsize="5442,850" o:gfxdata="UEsDBAoAAAAAAIdO4kAAAAAAAAAAAAAAAAAEAAAAZHJzL1BLAwQUAAAACACHTuJAUOpytr8AAADb&#10;AAAADwAAAGRycy9kb3ducmV2LnhtbEWPzWrDMBCE74W8g9hCbo3s/LTFjWxCSEIPptCkUHpbrI1t&#10;Yq2Mpdjx21eBQo/DzHzDrLObaURPnastK4hnEQjiwuqaSwVfp/3TKwjnkTU2lknBSA6ydPKwxkTb&#10;gT+pP/pSBAi7BBVU3reJlK6oyKCb2ZY4eGfbGfRBdqXUHQ4Bbho5j6JnabDmsFBhS9uKisvxahQc&#10;Bhw2i3jX55fzdvw5rT6+85iUmj7G0RsITzf/H/5rv2sFL0u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Q6nK2vwAAANsAAAAPAAAAAAAAAAEAIAAAACIAAABkcnMvZG93bnJldi54&#10;bWxQSwECFAAUAAAACACHTuJAMy8FnjsAAAA5AAAAFQAAAAAAAAABACAAAAAOAQAAZHJzL2dyb3Vw&#10;c2hhcGV4bWwueG1sUEsFBgAAAAAGAAYAYAEAAMsDAAAAAA==&#10;">
                    <o:lock v:ext="edit" aspectratio="f"/>
                    <v:shape id="自选图形 17" o:spid="_x0000_s1026" o:spt="5" type="#_x0000_t5" style="position:absolute;left:1637;top:990;height:850;width:5442;rotation:11796480f;" filled="f" stroked="t" coordsize="21600,21600" o:gfxdata="UEsDBAoAAAAAAIdO4kAAAAAAAAAAAAAAAAAEAAAAZHJzL1BLAwQUAAAACACHTuJAcCeboMAAAADc&#10;AAAADwAAAGRycy9kb3ducmV2LnhtbEWPT2sCQQzF7wW/wxChtzqjFSmrowdBsS0W1Ar1lu6ku4s7&#10;me3O+O/bNweht4T38t4vk9nV1+pMbawCW+j3DCjiPLiKCwufu8XTC6iYkB3WgcnCjSLMpp2HCWYu&#10;XHhD520qlIRwzNBCmVKTaR3zkjzGXmiIRfsJrccka1to1+JFwn2tB8aMtMeKpaHEhuYl5cftyVvY&#10;vw9232a/fF6/3ZZfH6f8FfH3YO1jt2/GoBJd07/5fr1ygj8UWnlGJtDTP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BwJ5ug&#10;wAAAANwAAAAPAAAAAAAAAAEAIAAAACIAAABkcnMvZG93bnJldi54bWxQSwECFAAUAAAACACHTuJA&#10;My8FnjsAAAA5AAAAEAAAAAAAAAABACAAAAAPAQAAZHJzL3NoYXBleG1sLnhtbFBLBQYAAAAABgAG&#10;AFsBAAC5AwAAAAA=&#10;" adj="10800">
                      <v:fill on="f" focussize="0,0"/>
                      <v:stroke color="#000000" joinstyle="miter"/>
                      <v:imagedata o:title=""/>
                      <o:lock v:ext="edit" aspectratio="f"/>
                    </v:shape>
                    <v:shape id="文本框 18" o:spid="_x0000_s1026" o:spt="202" type="#_x0000_t202" style="position:absolute;left:3358;top:1051;height:454;width:1984;" filled="f" stroked="f" coordsize="21600,21600" o:gfxdata="UEsDBAoAAAAAAIdO4kAAAAAAAAAAAAAAAAAEAAAAZHJzL1BLAwQUAAAACACHTuJALV4IMLkAAADc&#10;AAAADwAAAGRycy9kb3ducmV2LnhtbEVPS4vCMBC+C/6HMII3TVx00Wr04CJ4cvEJ3oZmbIvNpDTR&#10;1n+/EYS9zcf3nMWqtaV4Uu0LxxpGQwWCOHWm4EzD6bgZTEH4gGywdEwaXuRhtex2FpgY1/CenoeQ&#10;iRjCPkENeQhVIqVPc7Loh64ijtzN1RZDhHUmTY1NDLel/FLqW1osODbkWNE6p/R+eFgN593tehmr&#10;3+zHTqrGtUqynUmt+72RmoMI1IZ/8ce9NXH+eAbvZ+IFcv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1eCDC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pPr>
                            <w:r>
                              <w:rPr>
                                <w:rFonts w:hint="eastAsia"/>
                              </w:rPr>
                              <w:t>基础资料整理分析</w:t>
                            </w:r>
                          </w:p>
                        </w:txbxContent>
                      </v:textbox>
                    </v:shape>
                  </v:group>
                  <v:group id="组合 91" o:spid="_x0000_s1026" o:spt="203" style="position:absolute;left:654;top:1835;height:2268;width:7369;" coordorigin="641,1666" coordsize="7370,2268" o:gfxdata="UEsDBAoAAAAAAIdO4kAAAAAAAAAAAAAAAAAEAAAAZHJzL1BLAwQUAAAACACHTuJAP6bXLb0AAADb&#10;AAAADwAAAGRycy9kb3ducmV2LnhtbEWPQYvCMBSE7wv+h/CEva1pXVylGkVExYMsWAXx9miebbF5&#10;KU1s9d8bYWGPw8x8w8wWD1OJlhpXWlYQDyIQxJnVJecKTsfN1wSE88gaK8uk4EkOFvPexwwTbTs+&#10;UJv6XAQIuwQVFN7XiZQuK8igG9iaOHhX2xj0QTa51A12AW4qOYyiH2mw5LBQYE2rgrJbejcKth12&#10;y+943e5v19Xzchz9nvcxKfXZj6MpCE8P/x/+a++0gvEI3l/CD5DzF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P6bXLb0AAADbAAAADwAAAAAAAAABACAAAAAiAAAAZHJzL2Rvd25yZXYueG1s&#10;UEsBAhQAFAAAAAgAh07iQDMvBZ47AAAAOQAAABUAAAAAAAAAAQAgAAAADAEAAGRycy9ncm91cHNo&#10;YXBleG1sLnhtbFBLBQYAAAAABgAGAGABAADJAwAAAAA=&#10;">
                    <o:lock v:ext="edit" aspectratio="f"/>
                    <v:rect id="矩形 20" o:spid="_x0000_s1026" o:spt="1" style="position:absolute;left:641;top:1666;height:2267;width:7369;" filled="f" stroked="t" coordsize="21600,21600" o:gfxdata="UEsDBAoAAAAAAIdO4kAAAAAAAAAAAAAAAAAEAAAAZHJzL1BLAwQUAAAACACHTuJAsFBRlLoAAADc&#10;AAAADwAAAGRycy9kb3ducmV2LnhtbEVPTYvCMBC9L/gfwgje1rQLylKNorLCngRdQb0NzZgUm0lp&#10;slb/vREEb/N4nzOd31wtrtSGyrOCfJiBIC69rtgo2P+tP79BhIissfZMCu4UYD7rfUyx0L7jLV13&#10;0YgUwqFABTbGppAylJYchqFviBN39q3DmGBrpG6xS+Gull9ZNpYOK04NFhtaWSovu3+n4Kc5bRYj&#10;E+TiEO3x4pfd2m6MUoN+nk1ARLrFt/jl/tVp/iiH5zPpAjl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UFGUugAAANwA&#10;AAAPAAAAAAAAAAEAIAAAACIAAABkcnMvZG93bnJldi54bWxQSwECFAAUAAAACACHTuJAMy8FnjsA&#10;AAA5AAAAEAAAAAAAAAABACAAAAAJAQAAZHJzL3NoYXBleG1sLnhtbFBLBQYAAAAABgAGAFsBAACz&#10;AwAAAAA=&#10;">
                      <v:fill on="f" focussize="0,0"/>
                      <v:stroke color="#000000" joinstyle="miter"/>
                      <v:imagedata o:title=""/>
                      <o:lock v:ext="edit" aspectratio="f"/>
                    </v:rect>
                    <v:group id="组合 24" o:spid="_x0000_s1026" o:spt="203" style="position:absolute;left:824;top:1858;height:1870;width:2097;" coordorigin="941,2157" coordsize="2098,1870" o:gfxdata="UEsDBAoAAAAAAIdO4kAAAAAAAAAAAAAAAAAEAAAAZHJzL1BLAwQUAAAACACHTuJAz3RJWr8AAADb&#10;AAAADwAAAGRycy9kb3ducmV2LnhtbEWPQWvCQBSE70L/w/IK3ppNlNqSuoYSVDxIoUmh9PbIPpNg&#10;9m3Iron++26h4HGYmW+YdXY1nRhpcK1lBUkUgyCurG65VvBV7p5eQTiPrLGzTApu5CDbPMzWmGo7&#10;8SeNha9FgLBLUUHjfZ9K6aqGDLrI9sTBO9nBoA9yqKUecApw08lFHK+kwZbDQoM95Q1V5+JiFOwn&#10;nN6XyXY8nk/57ad8/vg+JqTU/DGJ30B4uvp7+L990ApeVvD3JfwAufk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DPdElavwAAANsAAAAPAAAAAAAAAAEAIAAAACIAAABkcnMvZG93bnJldi54&#10;bWxQSwECFAAUAAAACACHTuJAMy8FnjsAAAA5AAAAFQAAAAAAAAABACAAAAAOAQAAZHJzL2dyb3Vw&#10;c2hhcGV4bWwueG1sUEsFBgAAAAAGAAYAYAEAAMsDAAAAAA==&#10;">
                      <o:lock v:ext="edit" aspectratio="f"/>
                      <v:roundrect id="自选图形 22" o:spid="_x0000_s1026" o:spt="2" style="position:absolute;left:941;top:2157;height:1870;width:2097;" filled="f" stroked="t" coordsize="21600,21600" arcsize="0.166666666666667" o:gfxdata="UEsDBAoAAAAAAIdO4kAAAAAAAAAAAAAAAAAEAAAAZHJzL1BLAwQUAAAACACHTuJAcefjWbwAAADc&#10;AAAADwAAAGRycy9kb3ducmV2LnhtbEVPTWsCMRC9C/6HMII3zbrgIlujB6EgntSKZW/DZprddjPZ&#10;Jqmu/74pFLzN433OejvYTtzIh9axgsU8A0FcO92yUXB5e52tQISIrLFzTAoeFGC7GY/WWGp35xPd&#10;ztGIFMKhRAVNjH0pZagbshjmridO3IfzFmOC3kjt8Z7CbSfzLCukxZZTQ4M97Rqqv84/VkF1LXK/&#10;rN75cNhV+6Hoj+bz2yg1nSyyFxCRhvgU/7v3Os1f5vD3TLpAbn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Hn41m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23" o:spid="_x0000_s1026" o:spt="202" type="#_x0000_t202" style="position:absolute;left:1078;top:2221;height:1701;width:1814;" filled="f" stroked="f" coordsize="21600,21600" o:gfxdata="UEsDBAoAAAAAAIdO4kAAAAAAAAAAAAAAAAAEAAAAZHJzL1BLAwQUAAAACACHTuJAyW+pB7sAAADc&#10;AAAADwAAAGRycy9kb3ducmV2LnhtbEVPyWrDMBC9F/IPYgK91VLSOiROlBxSCj21NBvkNljjhVgj&#10;Y6m2+/dVoZDbPN46m91oG9FT52vHGmaJAkGcO1NzqeF0fHtagvAB2WDjmDT8kIfddvKwwcy4gb+o&#10;P4RSxBD2GWqoQmgzKX1ekUWfuJY4coXrLIYIu1KaDocYbhs5V2ohLdYcGypsaV9Rfjt8Ww3nj+J6&#10;eVGf5atN28GNSrJdSa0fpzO1BhFoDHfxv/vdxPnpM/w9Ey+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W+pB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设置单位概况：</w:t>
                              </w:r>
                            </w:p>
                            <w:p>
                              <w:r>
                                <w:rPr>
                                  <w:rFonts w:hint="eastAsia"/>
                                </w:rPr>
                                <w:t>生产工艺</w:t>
                              </w:r>
                            </w:p>
                            <w:p>
                              <w:r>
                                <w:rPr>
                                  <w:rFonts w:hint="eastAsia"/>
                                </w:rPr>
                                <w:t>用水流程</w:t>
                              </w:r>
                            </w:p>
                            <w:p>
                              <w:r>
                                <w:rPr>
                                  <w:rFonts w:hint="eastAsia"/>
                                </w:rPr>
                                <w:t>废污水处理工艺</w:t>
                              </w:r>
                            </w:p>
                            <w:p>
                              <w:r>
                                <w:rPr>
                                  <w:rFonts w:hint="eastAsia"/>
                                </w:rPr>
                                <w:t>污废水排放情况</w:t>
                              </w:r>
                            </w:p>
                          </w:txbxContent>
                        </v:textbox>
                      </v:shape>
                    </v:group>
                    <v:group id="组合 28" o:spid="_x0000_s1026" o:spt="203" style="position:absolute;left:3116;top:1866;height:1870;width:2153;" coordorigin="3298,1892" coordsize="2154,1870" o:gfxdata="UEsDBAoAAAAAAIdO4kAAAAAAAAAAAAAAAAAEAAAAZHJzL1BLAwQUAAAACACHTuJAoDjswb0AAADb&#10;AAAADwAAAGRycy9kb3ducmV2LnhtbEWPT4vCMBTE74LfITzBm6Zd8Q/VKCKreBBhVRBvj+bZFpuX&#10;0sRWv71ZWNjjMDO/YRarlylFQ7UrLCuIhxEI4tTqgjMFl/N2MAPhPLLG0jIpeJOD1bLbWWCibcs/&#10;1Jx8JgKEXYIKcu+rREqX5mTQDW1FHLy7rQ36IOtM6hrbADel/IqiiTRYcFjIsaJNTunj9DQKdi22&#10;61H83Rwe9837dh4fr4eYlOr34mgOwtPL/4f/2nutYDqF3y/hB8j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oDjswb0AAADbAAAADwAAAAAAAAABACAAAAAiAAAAZHJzL2Rvd25yZXYueG1s&#10;UEsBAhQAFAAAAAgAh07iQDMvBZ47AAAAOQAAABUAAAAAAAAAAQAgAAAADAEAAGRycy9ncm91cHNo&#10;YXBleG1sLnhtbFBLBQYAAAAABgAGAGABAADJAwAAAAA=&#10;">
                      <o:lock v:ext="edit" aspectratio="f"/>
                      <v:roundrect id="自选图形 26" o:spid="_x0000_s1026" o:spt="2" style="position:absolute;left:3298;top:1892;height:1871;width:2154;" filled="f" stroked="t" coordsize="21600,21600" arcsize="0.166666666666667" o:gfxdata="UEsDBAoAAAAAAIdO4kAAAAAAAAAAAAAAAAAEAAAAZHJzL1BLAwQUAAAACACHTuJA/g57LbwAAADc&#10;AAAADwAAAGRycy9kb3ducmV2LnhtbEVPTWsCMRC9F/wPYQRvNauwS9kaPQgF8dSqtOxt2Eyz224m&#10;axJ1/fdGELzN433OYjXYTpzJh9axgtk0A0FcO92yUXDYf7y+gQgRWWPnmBRcKcBqOXpZYKndhb/o&#10;vItGpBAOJSpoYuxLKUPdkMUwdT1x4n6dtxgT9EZqj5cUbjs5z7JCWmw5NTTY07qh+n93sgqq72Lu&#10;8+qHt9t1tRmK/tP8HY1Sk/EsewcRaYhP8cO90Wl+nsP9mXSBX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4Oey2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roundrect>
                      <v:shape id="文本框 27" o:spid="_x0000_s1026" o:spt="202" type="#_x0000_t202" style="position:absolute;left:3435;top:1956;height:1702;width:1870;" filled="f" stroked="f" coordsize="21600,21600" o:gfxdata="UEsDBAoAAAAAAIdO4kAAAAAAAAAAAAAAAAAEAAAAZHJzL1BLAwQUAAAACACHTuJA2RgKn7wAAADc&#10;AAAADwAAAGRycy9kb3ducmV2LnhtbEVPTWvCQBC9C/0PyxR6M7spjdTUjQel4ElpbAvehuyYhGZn&#10;Q3Y18d+7hUJv83ifs1pPthNXGnzrWEOaKBDElTMt1xo+j+/zVxA+IBvsHJOGG3lYFw+zFebGjfxB&#10;1zLUIoawz1FDE0KfS+mrhiz6xPXEkTu7wWKIcKilGXCM4baTz0otpMWWY0ODPW0aqn7Ki9XwtT+f&#10;vl/Uod7arB/dpCTbpdT66TFVbyACTeFf/OfemTg/W8DvM/ECW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kYCp+8AAAA&#10;3AAAAA8AAAAAAAAAAQAgAAAAIgAAAGRycy9kb3ducmV2LnhtbFBLAQIUABQAAAAIAIdO4kAzLwWe&#10;OwAAADkAAAAQAAAAAAAAAAEAIAAAAAsBAABkcnMvc2hhcGV4bWwueG1sUEsFBgAAAAAGAAYAWwEA&#10;ALUDAAAAAA==&#10;">
                        <v:fill on="f" focussize="0,0"/>
                        <v:stroke on="f"/>
                        <v:imagedata o:title=""/>
                        <o:lock v:ext="edit" aspectratio="f"/>
                        <v:textbox>
                          <w:txbxContent>
                            <w:p>
                              <w:r>
                                <w:rPr>
                                  <w:rFonts w:hint="eastAsia"/>
                                </w:rPr>
                                <w:t>废污水产排分析：</w:t>
                              </w:r>
                            </w:p>
                            <w:p>
                              <w:r>
                                <w:rPr>
                                  <w:rFonts w:hint="eastAsia"/>
                                </w:rPr>
                                <w:t>排污位置、方式</w:t>
                              </w:r>
                            </w:p>
                            <w:p>
                              <w:r>
                                <w:rPr>
                                  <w:rFonts w:hint="eastAsia"/>
                                </w:rPr>
                                <w:t>排污总量、浓度</w:t>
                              </w:r>
                            </w:p>
                            <w:p>
                              <w:r>
                                <w:rPr>
                                  <w:rFonts w:hint="eastAsia"/>
                                </w:rPr>
                                <w:t>......</w:t>
                              </w:r>
                            </w:p>
                          </w:txbxContent>
                        </v:textbox>
                      </v:shape>
                    </v:group>
                    <v:group id="组合 33" o:spid="_x0000_s1026" o:spt="203" style="position:absolute;left:5459;top:1869;height:1870;width:2379;" coordorigin="5654,1895" coordsize="2380,1870" o:gfxdata="UEsDBAoAAAAAAIdO4kAAAAAAAAAAAAAAAAAEAAAAZHJzL1BLAwQUAAAACACHTuJA0ad4s7sAAADb&#10;AAAADwAAAGRycy9kb3ducmV2LnhtbEVPy4rCMBTdD/gP4QqzG9M6jEo1FREdZiGCDxB3l+b2gc1N&#10;aWKrfz9ZCC4P571YPkwtOmpdZVlBPIpAEGdWV1woOJ+2XzMQziNrrC2Tgic5WKaDjwUm2vZ8oO7o&#10;CxFC2CWooPS+SaR0WUkG3cg2xIHLbWvQB9gWUrfYh3BTy3EUTaTBikNDiQ2tS8pux7tR8Ntjv/qO&#10;N93ulq+f19PP/rKLSanPYRzNQXh6+Lf45f7TCqZhbPgSfoBM/wF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NGneLO7AAAA2wAAAA8AAAAAAAAAAQAgAAAAIgAAAGRycy9kb3ducmV2LnhtbFBL&#10;AQIUABQAAAAIAIdO4kAzLwWeOwAAADkAAAAVAAAAAAAAAAEAIAAAAAoBAABkcnMvZ3JvdXBzaGFw&#10;ZXhtbC54bWxQSwUGAAAAAAYABgBgAQAAxwMAAAAA&#10;">
                      <o:lock v:ext="edit" aspectratio="f"/>
                      <v:roundrect id="自选图形 30" o:spid="_x0000_s1026" o:spt="2" style="position:absolute;left:5653;top:1895;height:1871;width:2381;" filled="f" stroked="t" coordsize="21600,21600" arcsize="0.166666666666667" o:gfxdata="UEsDBAoAAAAAAIdO4kAAAAAAAAAAAAAAAAAEAAAAZHJzL1BLAwQUAAAACACHTuJAEA/Us78AAADc&#10;AAAADwAAAGRycy9kb3ducmV2LnhtbEWPQWsCMRCF74X+hzAFbzWr4FJWowehIJ6qLZW9DZsxu7qZ&#10;bJNUt/++cyj0NsN78943q83oe3WjmLrABmbTAhRxE2zHzsDH++vzC6iUkS32gcnADyXYrB8fVljZ&#10;cOcD3Y7ZKQnhVKGBNueh0jo1LXlM0zAQi3YO0WOWNTptI94l3Pd6XhSl9tixNLQ40Lal5nr89gbq&#10;z3IeF/WJ9/ttvRvL4c1dvpwxk6dZsQSVacz/5r/rnRX8hdDKMzKBXv8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BAP1LO/&#10;AAAA3AAAAA8AAAAAAAAAAQAgAAAAIgAAAGRycy9kb3ducmV2LnhtbFBLAQIUABQAAAAIAIdO4kAz&#10;LwWeOwAAADkAAAAQAAAAAAAAAAEAIAAAAA4BAABkcnMvc2hhcGV4bWwueG1sUEsFBgAAAAAGAAYA&#10;WwEAALgDAAAAAA==&#10;">
                        <v:fill on="f" focussize="0,0"/>
                        <v:stroke color="#000000" joinstyle="round"/>
                        <v:imagedata o:title=""/>
                        <o:lock v:ext="edit" aspectratio="f"/>
                      </v:roundrect>
                      <v:shape id="文本框 31" o:spid="_x0000_s1026" o:spt="202" type="#_x0000_t202" style="position:absolute;left:5791;top:1959;height:1702;width:2097;" filled="f" stroked="f" coordsize="21600,21600" o:gfxdata="UEsDBAoAAAAAAIdO4kAAAAAAAAAAAAAAAAAEAAAAZHJzL1BLAwQUAAAACACHTuJAqIee7boAAADc&#10;AAAADwAAAGRycy9kb3ducmV2LnhtbEVPS4vCMBC+C/6HMMLebOKiotXowUXwtItP8DY0Y1tsJqWJ&#10;tvvvNwuCt/n4nrNcd7YST2p86VjDKFEgiDNnSs41nI7b4QyED8gGK8ek4Zc8rFf93hJT41re0/MQ&#10;chFD2KeooQihTqX0WUEWfeJq4sjdXGMxRNjk0jTYxnBbyU+lptJiybGhwJo2BWX3w8NqOH/frpex&#10;+sm/7KRuXack27nU+mMwUgsQgbrwFr/cOxPnT+bw/0y8QK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h57tugAAANwA&#10;AAAPAAAAAAAAAAEAIAAAACIAAABkcnMvZG93bnJldi54bWxQSwECFAAUAAAACACHTuJAMy8FnjsA&#10;AAA5AAAAEAAAAAAAAAABACAAAAAJAQAAZHJzL3NoYXBleG1sLnhtbFBLBQYAAAAABgAGAFsBAACz&#10;AwAAAAA=&#10;">
                        <v:fill on="f" focussize="0,0"/>
                        <v:stroke on="f"/>
                        <v:imagedata o:title=""/>
                        <o:lock v:ext="edit" aspectratio="f"/>
                        <v:textbox>
                          <w:txbxContent>
                            <w:p>
                              <w:r>
                                <w:rPr>
                                  <w:rFonts w:hint="eastAsia"/>
                                </w:rPr>
                                <w:t>拟纳污水域概况：</w:t>
                              </w:r>
                            </w:p>
                            <w:p>
                              <w:r>
                                <w:rPr>
                                  <w:rFonts w:hint="eastAsia"/>
                                </w:rPr>
                                <w:t>水文、水质</w:t>
                              </w:r>
                            </w:p>
                            <w:p>
                              <w:r>
                                <w:rPr>
                                  <w:rFonts w:hint="eastAsia"/>
                                </w:rPr>
                                <w:t>污染源、水生态现状</w:t>
                              </w:r>
                            </w:p>
                            <w:p>
                              <w:r>
                                <w:rPr>
                                  <w:rFonts w:hint="eastAsia"/>
                                </w:rPr>
                                <w:t>生态敏感点</w:t>
                              </w:r>
                            </w:p>
                            <w:p>
                              <w:r>
                                <w:rPr>
                                  <w:rFonts w:hint="eastAsia"/>
                                </w:rPr>
                                <w:t>......</w:t>
                              </w:r>
                            </w:p>
                          </w:txbxContent>
                        </v:textbox>
                      </v:shape>
                    </v:group>
                  </v:group>
                  <v:shape id="自选图形 34" o:spid="_x0000_s1026" o:spt="67" type="#_x0000_t67" style="position:absolute;left:1576;top:4104;height:680;width:454;" filled="f" stroked="t" coordsize="21600,21600" o:gfxdata="UEsDBAoAAAAAAIdO4kAAAAAAAAAAAAAAAAAEAAAAZHJzL1BLAwQUAAAACACHTuJAMP+AiLsAAADc&#10;AAAADwAAAGRycy9kb3ducmV2LnhtbEVPTWsCMRC9F/wPYYTeanY9SF2NHsRKLRR0VbwOm3GzuJks&#10;Sarbf98UBG/zeJ8zX/a2FTfyoXGsIB9lIIgrpxuuFRwPH2/vIEJE1tg6JgW/FGC5GLzMsdDuznu6&#10;lbEWKYRDgQpMjF0hZagMWQwj1xEn7uK8xZigr6X2eE/htpXjLJtIiw2nBoMdrQxV1/LHKtj12+1J&#10;H3M+b/xm92XW5TdPV0q9DvNsBiJSH5/ih/tTp/mTMfw/ky6Qi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P+AiLsAAADc&#10;AAAADwAAAAAAAAABACAAAAAiAAAAZHJzL2Rvd25yZXYueG1sUEsBAhQAFAAAAAgAh07iQDMvBZ47&#10;AAAAOQAAABAAAAAAAAAAAQAgAAAACgEAAGRycy9zaGFwZXhtbC54bWxQSwUGAAAAAAYABgBbAQAA&#10;tAMAAAAA&#10;" adj="16201,5400">
                    <v:fill on="f" focussize="0,0"/>
                    <v:stroke color="#000000" joinstyle="miter"/>
                    <v:imagedata o:title=""/>
                    <o:lock v:ext="edit" aspectratio="f"/>
                  </v:shape>
                  <v:shape id="自选图形 35" o:spid="_x0000_s1026" o:spt="67" type="#_x0000_t67" style="position:absolute;left:3975;top:4108;height:680;width:453;" filled="f" stroked="t" coordsize="21600,21600" o:gfxdata="UEsDBAoAAAAAAIdO4kAAAAAAAAAAAAAAAAAEAAAAZHJzL1BLAwQUAAAACACHTuJAX7MlE7wAAADc&#10;AAAADwAAAGRycy9kb3ducmV2LnhtbEVPTWsCMRC9C/0PYQq9aXYtiF2NHqRKLRR0q3gdNuNm6Way&#10;JKlu/30jCN7m8T5nvuxtKy7kQ+NYQT7KQBBXTjdcKzh8r4dTECEia2wdk4I/CrBcPA3mWGh35T1d&#10;yliLFMKhQAUmxq6QMlSGLIaR64gTd3beYkzQ11J7vKZw28pxlk2kxYZTg8GOVoaqn/LXKtj12+1R&#10;H3I+bfxm92neyy9+Wyn18pxnMxCR+vgQ390fOs2fvMLtmXSBX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zJRO8AAAA&#10;3AAAAA8AAAAAAAAAAQAgAAAAIgAAAGRycy9kb3ducmV2LnhtbFBLAQIUABQAAAAIAIdO4kAzLwWe&#10;OwAAADkAAAAQAAAAAAAAAAEAIAAAAAsBAABkcnMvc2hhcGV4bWwueG1sUEsFBgAAAAAGAAYAWwEA&#10;ALUDAAAAAA==&#10;" adj="16201,5400">
                    <v:fill on="f" focussize="0,0"/>
                    <v:stroke color="#000000" joinstyle="miter"/>
                    <v:imagedata o:title=""/>
                    <o:lock v:ext="edit" aspectratio="f"/>
                  </v:shape>
                  <v:shape id="自选图形 36" o:spid="_x0000_s1026" o:spt="67" type="#_x0000_t67" style="position:absolute;left:6461;top:4117;height:680;width:453;" filled="f" stroked="t" coordsize="21600,21600" o:gfxdata="UEsDBAoAAAAAAIdO4kAAAAAAAAAAAAAAAAAEAAAAZHJzL1BLAwQUAAAACACHTuJA0Fq9Z7wAAADc&#10;AAAADwAAAGRycy9kb3ducmV2LnhtbEVPTWsCMRC9C/0PYQq9aXaliF2NHqRKLRR0q3gdNuNm6Way&#10;JKlu/30jCN7m8T5nvuxtKy7kQ+NYQT7KQBBXTjdcKzh8r4dTECEia2wdk4I/CrBcPA3mWGh35T1d&#10;yliLFMKhQAUmxq6QMlSGLIaR64gTd3beYkzQ11J7vKZw28pxlk2kxYZTg8GOVoaqn/LXKtj12+1R&#10;H3I+bfxm92neyy9+Wyn18pxnMxCR+vgQ390fOs2fvMLtmXSBXPw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BavWe8AAAA&#10;3AAAAA8AAAAAAAAAAQAgAAAAIgAAAGRycy9kb3ducmV2LnhtbFBLAQIUABQAAAAIAIdO4kAzLwWe&#10;OwAAADkAAAAQAAAAAAAAAAEAIAAAAAsBAABkcnMvc2hhcGV4bWwueG1sUEsFBgAAAAAGAAYAWwEA&#10;ALUDAAAAAA==&#10;" adj="16201,5400">
                    <v:fill on="f" focussize="0,0"/>
                    <v:stroke color="#000000" joinstyle="miter"/>
                    <v:imagedata o:title=""/>
                    <o:lock v:ext="edit" aspectratio="f"/>
                  </v:shape>
                  <v:shape id="文本框 38" o:spid="_x0000_s1026" o:spt="202" type="#_x0000_t202" style="position:absolute;left:876;top:4791;height:454;width:1814;" filled="f" stroked="t" coordsize="21600,21600" o:gfxdata="UEsDBAoAAAAAAIdO4kAAAAAAAAAAAAAAAAAEAAAAZHJzL1BLAwQUAAAACACHTuJAabYnkL8AAADc&#10;AAAADwAAAGRycy9kb3ducmV2LnhtbEWPQW/CMAyF75P4D5GRdhspoLWjEDjAkHZkHRtX05i2onGq&#10;JtDCr1+QJu1m673v+Xmx6k0trtS6yrKC8SgCQZxbXXGhYP+1fXkD4TyyxtoyKbiRg9Vy8LTAVNuO&#10;P+ma+UKEEHYpKii9b1IpXV6SQTeyDXHQTrY16MPaFlK32IVwU8tJFMXSYMXhQokNrUvKz9nFhBqT&#10;w3662WWUJHicbt7v37PTT63U83AczUF46v2/+Y/+0IGLX+HxTJhALn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m2J5C/&#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污水处理措施</w:t>
                          </w:r>
                        </w:p>
                      </w:txbxContent>
                    </v:textbox>
                  </v:shape>
                  <v:shape id="文本框 39" o:spid="_x0000_s1026" o:spt="202" type="#_x0000_t202" style="position:absolute;left:3271;top:4790;height:454;width:1814;" filled="f" stroked="t" coordsize="21600,21600" o:gfxdata="UEsDBAoAAAAAAIdO4kAAAAAAAAAAAAAAAAAEAAAAZHJzL1BLAwQUAAAACACHTuJAmWS5578AAADc&#10;AAAADwAAAGRycy9kb3ducmV2LnhtbEWPQW/CMAyF75P4D5GRdqMpVCpbaeAwNmnHUbpxNY1pKxqn&#10;arLC9usXJKTdbL33PT/nm6vpxEiDay0rmEcxCOLK6pZrBeX+bfYEwnlkjZ1lUvBDDjbryUOOmbYX&#10;3tFY+FqEEHYZKmi87zMpXdWQQRfZnjhoJzsY9GEdaqkHvIRw08lFHKfSYMvhQoM9vTRUnYtvE2os&#10;DmWy/ShoucRjsn39/Xw+fXVKPU7n8QqEp6v/N9/pdx24NIXbM2ECuf4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lkuee/&#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jc w:val="center"/>
                          </w:pPr>
                          <w:r>
                            <w:rPr>
                              <w:rFonts w:hint="eastAsia"/>
                            </w:rPr>
                            <w:t>废污水排放情况</w:t>
                          </w:r>
                        </w:p>
                      </w:txbxContent>
                    </v:textbox>
                  </v:shape>
                  <v:shape id="文本框 40" o:spid="_x0000_s1026" o:spt="202" type="#_x0000_t202" style="position:absolute;left:5545;top:4792;height:454;width:2323;" filled="f" stroked="t" coordsize="21600,21600" o:gfxdata="UEsDBAoAAAAAAIdO4kAAAAAAAAAAAAAAAAAEAAAAZHJzL1BLAwQUAAAACACHTuJA9igcfL0AAADc&#10;AAAADwAAAGRycy9kb3ducmV2LnhtbEWPS4/CMAyE7yvxHyIjcVtSQKJQCBx4SBzZ8rqaxrQVjVM1&#10;4fnryUor7c3WzDceT+dPU4k7Na60rKDXjUAQZ1aXnCvY79bfIxDOI2usLJOCFzmYz1pfU0y0ffAP&#10;3VOfixDCLkEFhfd1IqXLCjLourYmDtrFNgZ9WJtc6gYfIdxUsh9FQ2mw5HChwJoWBWXX9GZCjf5p&#10;P1huU4pjPA+Wq/dhfDlWSnXavWgCwtPT/5v/6I0O3DCG32fCBHL2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2KBx8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textbox>
                      <w:txbxContent>
                        <w:p>
                          <w:pPr>
                            <w:jc w:val="center"/>
                          </w:pPr>
                          <w:r>
                            <w:rPr>
                              <w:rFonts w:hint="eastAsia"/>
                            </w:rPr>
                            <w:t>水功能区（水域）现状</w:t>
                          </w:r>
                        </w:p>
                      </w:txbxContent>
                    </v:textbox>
                  </v:shape>
                  <v:group id="组合 45" o:spid="_x0000_s1026" o:spt="203" style="position:absolute;left:1772;top:5244;height:907;width:4936;" coordorigin="1758,4955" coordsize="4936,907" o:gfxdata="UEsDBAoAAAAAAIdO4kAAAAAAAAAAAAAAAAAEAAAAZHJzL1BLAwQUAAAACACHTuJAvuvdKL8AAADb&#10;AAAADwAAAGRycy9kb3ducmV2LnhtbEWPQWvCQBSE7wX/w/IK3uomirZN3QQRlR5CoVoovT2yzySY&#10;fRuya2L+fVco9DjMzDfMOruZRvTUudqygngWgSAurK65VPB12j+9gHAeWWNjmRSM5CBLJw9rTLQd&#10;+JP6oy9FgLBLUEHlfZtI6YqKDLqZbYmDd7adQR9kV0rd4RDgppHzKFpJgzWHhQpb2lZUXI5Xo+Aw&#10;4LBZxLs+v5y3489p+fGdx6TU9DGO3kB4uvn/8F/7XSt4foX7l/ADZPoL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C+690ovwAAANsAAAAPAAAAAAAAAAEAIAAAACIAAABkcnMvZG93bnJldi54&#10;bWxQSwECFAAUAAAACACHTuJAMy8FnjsAAAA5AAAAFQAAAAAAAAABACAAAAAOAQAAZHJzL2dyb3Vw&#10;c2hhcGV4bWwueG1sUEsFBgAAAAAGAAYAYAEAAMsDAAAAAA==&#10;">
                    <o:lock v:ext="edit" aspectratio="f"/>
                    <v:shape id="自选图形 41" o:spid="_x0000_s1026" o:spt="32" type="#_x0000_t32" style="position:absolute;left:1758;top:4956;flip:x;height:453;width:0;" filled="f" stroked="t" coordsize="21600,21600" o:gfxdata="UEsDBAoAAAAAAIdO4kAAAAAAAAAAAAAAAAAEAAAAZHJzL1BLAwQUAAAACACHTuJA2sKDyb0AAADc&#10;AAAADwAAAGRycy9kb3ducmV2LnhtbEWPQWvCQBCF7wX/wzKCt7qxSCrR1YNg8SCBWr0P2TGJZmdj&#10;dk3033cOhd5meG/e+2a1ebpG9dSF2rOB2TQBRVx4W3Np4PSze1+AChHZYuOZDLwowGY9elthZv3A&#10;39QfY6kkhEOGBqoY20zrUFTkMEx9SyzaxXcOo6xdqW2Hg4S7Rn8kSaod1iwNFba0rai4HR/OwJ0/&#10;X+e57hfXPI/p1/5QMuWDMZPxLFmCivSM/+a/670V/FRo5RmZQK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awoPJ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shape id="自选图形 42" o:spid="_x0000_s1026" o:spt="32" type="#_x0000_t32" style="position:absolute;left:4158;top:4955;flip:x;height:907;width:0;" filled="f" stroked="t" coordsize="21600,21600" o:gfxdata="UEsDBAoAAAAAAIdO4kAAAAAAAAAAAAAAAAAEAAAAZHJzL1BLAwQUAAAACACHTuJAqptJxb0AAADc&#10;AAAADwAAAGRycy9kb3ducmV2LnhtbEVPTWvCQBC9F/wPyxS8lGZjoGKjqwdbWy9FjPE+ZKdJMDsb&#10;smtM/n1XKHibx/uc1WYwjeipc7VlBbMoBkFcWF1zqSA/7V4XIJxH1thYJgUjOdisJ08rTLW98ZH6&#10;zJcihLBLUUHlfZtK6YqKDLrItsSB+7WdQR9gV0rd4S2Em0YmcTyXBmsODRW2tK2ouGRXo+AjO7zt&#10;zi/5kIzF90/2tbgcePxUavo8i5cgPA3+If5373WYP3+H+zPhArn+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qm0nFvQAA&#10;ANwAAAAPAAAAAAAAAAEAIAAAACIAAABkcnMvZG93bnJldi54bWxQSwECFAAUAAAACACHTuJAMy8F&#10;njsAAAA5AAAAEAAAAAAAAAABACAAAAAMAQAAZHJzL3NoYXBleG1sLnhtbFBLBQYAAAAABgAGAFsB&#10;AAC2AwAAAAA=&#10;">
                      <v:fill on="f" focussize="0,0"/>
                      <v:stroke color="#000000" joinstyle="round" endarrow="block"/>
                      <v:imagedata o:title=""/>
                      <o:lock v:ext="edit" aspectratio="f"/>
                    </v:shape>
                    <v:shape id="自选图形 43" o:spid="_x0000_s1026" o:spt="32" type="#_x0000_t32" style="position:absolute;left:6694;top:4957;height:453;width:0;" filled="f" stroked="t" coordsize="21600,21600" o:gfxdata="UEsDBAoAAAAAAIdO4kAAAAAAAAAAAAAAAAAEAAAAZHJzL1BLAwQUAAAACACHTuJAGEVCgL4AAADc&#10;AAAADwAAAGRycy9kb3ducmV2LnhtbEWPQWvCQBCF7wX/wzIFL0V3I9RqdBUpFOyxKvQ6ZMckNjsb&#10;sqtRf71zKHib4b1575vl+uobdaEu1oEtZGMDirgIrubSwmH/NZqBignZYROYLNwowno1eFli7kLP&#10;P3TZpVJJCMccLVQptbnWsajIYxyHlli0Y+g8Jlm7UrsOewn3jZ4YM9Uea5aGClv6rKj42529BYrn&#10;98xs5r48fN/7t9/J/dS3e2uHr5lZgEp0TU/z//XWCf6H4MszMoFePQ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GEVCg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shape id="自选图形 44" o:spid="_x0000_s1026" o:spt="32" type="#_x0000_t32" style="position:absolute;left:1759;top:5408;height:0;width:4932;" filled="f" stroked="t" coordsize="21600,21600" o:gfxdata="UEsDBAoAAAAAAIdO4kAAAAAAAAAAAAAAAAAEAAAAZHJzL1BLAwQUAAAACACHTuJAdwnnG7wAAADc&#10;AAAADwAAAGRycy9kb3ducmV2LnhtbEVPTWvCQBC9F/wPywheSt2N0GpT1yCCYI9VweuQnSbR7GzI&#10;bkzMr+8WCr3N433OOhtsLe7U+sqxhmSuQBDnzlRcaDif9i8rED4gG6wdk4YHecg2k6c1psb1/EX3&#10;YyhEDGGfooYyhCaV0uclWfRz1xBH7tu1FkOEbSFNi30Mt7VcKPUmLVYcG0psaFdSfjt2VgP57jVR&#10;23dbnD/H/vmyGK99c9J6Nk3UB4hAQ/gX/7kPJs5fJvD7TLxAbn4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cJ5xu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group>
                  <v:shape id="文本框 46" o:spid="_x0000_s1026" o:spt="202" type="#_x0000_t202" style="position:absolute;left:2894;top:6135;height:680;width:2551;" filled="f" stroked="t" coordsize="21600,21600" o:gfxdata="UEsDBAoAAAAAAIdO4kAAAAAAAAAAAAAAAAAEAAAAZHJzL1BLAwQUAAAACACHTuJADMqMor8AAADc&#10;AAAADwAAAGRycy9kb3ducmV2LnhtbEWPQW/CMAyF75P4D5GRuK0pVKJbIXCgQ9qRdd12NY1pKxqn&#10;arLC+PVk0qTdbL33PT+vt1fTiZEG11pWMI9iEMSV1S3XCsr3/eMTCOeRNXaWScEPOdhuJg9rzLS9&#10;8BuNha9FCGGXoYLG+z6T0lUNGXSR7YmDdrKDQR/WoZZ6wEsIN51cxPFSGmw5XGiwp11D1bn4NqHG&#10;4qtM8kNBaYrHJH+5fTyfPjulZtN5vALh6er/zX/0qw5cmsDvM2ECubk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zKjKK/&#10;AAAA3AAAAA8AAAAAAAAAAQAgAAAAIgAAAGRycy9kb3ducmV2LnhtbFBLAQIUABQAAAAIAIdO4kAz&#10;LwWeOwAAADkAAAAQAAAAAAAAAAEAIAAAAA4BAABkcnMvc2hhcGV4bWwueG1sUEsFBgAAAAAGAAYA&#10;WwEAALgDAAAAAA==&#10;">
                    <v:fill on="f" focussize="0,0"/>
                    <v:stroke color="#000000" joinstyle="miter"/>
                    <v:imagedata o:title=""/>
                    <o:lock v:ext="edit" aspectratio="f"/>
                    <v:textbox>
                      <w:txbxContent>
                        <w:p>
                          <w:pPr>
                            <w:spacing w:line="400" w:lineRule="exact"/>
                            <w:jc w:val="center"/>
                          </w:pPr>
                          <w:r>
                            <w:rPr>
                              <w:rFonts w:hint="eastAsia"/>
                            </w:rPr>
                            <w:t>入河排污数值模拟分析</w:t>
                          </w:r>
                        </w:p>
                      </w:txbxContent>
                    </v:textbox>
                  </v:shape>
                  <v:shape id="自选图形 47" o:spid="_x0000_s1026" o:spt="32" type="#_x0000_t32" style="position:absolute;left:4169;top:6815;flip:x;height:453;width:0;" filled="f" stroked="t" coordsize="21600,21600" o:gfxdata="UEsDBAoAAAAAAIdO4kAAAAAAAAAAAAAAAAAEAAAAZHJzL1BLAwQUAAAACACHTuJA3lYfEboAAADc&#10;AAAADwAAAGRycy9kb3ducmV2LnhtbEVPS4vCMBC+C/6HMII3TV1EpZr2IOziQQrr4z40Y1ttJrXJ&#10;tvrvN4LgbT6+52zSh6lFR62rLCuYTSMQxLnVFRcKTsfvyQqE88gaa8uk4EkO0mQ42GCsbc+/1B18&#10;IUIIuxgVlN43sZQuL8mgm9qGOHAX2xr0AbaF1C32IdzU8iuKFtJgxaGhxIa2JeW3w59RcOfl8zyX&#10;3eqaZX7xs9sXTFmv1Hg0i9YgPD38R/x273SYv5zD65lwgUz+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eVh8R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group id="组合 50" o:spid="_x0000_s1026" o:spt="203" style="position:absolute;left:3048;top:7274;height:1134;width:2267;" coordorigin="3007,6655" coordsize="2268,1134" o:gfxdata="UEsDBAoAAAAAAIdO4kAAAAAAAAAAAAAAAAAEAAAAZHJzL1BLAwQUAAAACACHTuJAGgQEkrsAAADb&#10;AAAADwAAAGRycy9kb3ducmV2LnhtbEVPy2rCQBTdF/oPwxW6q5NYFEkdRUKVLoJgLJTuLplrEszc&#10;CZkxj7/vLASXh/Pe7EbTiJ46V1tWEM8jEMSF1TWXCn4uh/c1COeRNTaWScFEDnbb15cNJtoOfKY+&#10;96UIIewSVFB53yZSuqIig25uW+LAXW1n0AfYlVJ3OIRw08hFFK2kwZpDQ4UtpRUVt/xuFBwHHPYf&#10;8Vef3a7p9HdZnn6zmJR6m8XRJwhPo3+KH+5vrWAd1ocv4QfI7T9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BoEBJK7AAAA2wAAAA8AAAAAAAAAAQAgAAAAIgAAAGRycy9kb3ducmV2LnhtbFBL&#10;AQIUABQAAAAIAIdO4kAzLwWeOwAAADkAAAAVAAAAAAAAAAEAIAAAAAoBAABkcnMvZ3JvdXBzaGFw&#10;ZXhtbC54bWxQSwUGAAAAAAYABgBgAQAAxwMAAAAA&#10;">
                    <o:lock v:ext="edit" aspectratio="f"/>
                    <v:shape id="自选图形 48" o:spid="_x0000_s1026" o:spt="4" type="#_x0000_t4" style="position:absolute;left:3007;top:6655;height:1134;width:2267;" filled="f" stroked="t" coordsize="21600,21600" o:gfxdata="UEsDBAoAAAAAAIdO4kAAAAAAAAAAAAAAAAAEAAAAZHJzL1BLAwQUAAAACACHTuJAWR0jC7sAAADc&#10;AAAADwAAAGRycy9kb3ducmV2LnhtbEVPS4vCMBC+C/6HMAvebNKCD7pGD4KPw150RT0OzWxbtpmU&#10;Jlb33xtB2Nt8fM9ZrB62ET11vnasIU0UCOLCmZpLDafvzXgOwgdkg41j0vBHHlbL4WCBuXF3PlB/&#10;DKWIIexz1FCF0OZS+qIiiz5xLXHkflxnMUTYldJ0eI/htpGZUlNpsebYUGFL64qK3+PNavC0PW/d&#10;5KvPZul6t1HZpThcd1qPPlL1CSLQI/yL3+69ifNnE3g9Ey+Qyy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WR0jC7sAAADc&#10;AAAADwAAAAAAAAABACAAAAAiAAAAZHJzL2Rvd25yZXYueG1sUEsBAhQAFAAAAAgAh07iQDMvBZ47&#10;AAAAOQAAABAAAAAAAAAAAQAgAAAACgEAAGRycy9zaGFwZXhtbC54bWxQSwUGAAAAAAYABgBbAQAA&#10;tAMAAAAA&#10;">
                      <v:fill on="f" focussize="0,0"/>
                      <v:stroke color="#000000" joinstyle="miter"/>
                      <v:imagedata o:title=""/>
                      <o:lock v:ext="edit" aspectratio="f"/>
                    </v:shape>
                    <v:shape id="文本框 49" o:spid="_x0000_s1026" o:spt="202" type="#_x0000_t202" style="position:absolute;left:3544;top:6975;height:454;width:1191;" filled="f" stroked="f" coordsize="21600,21600" o:gfxdata="UEsDBAoAAAAAAIdO4kAAAAAAAAAAAAAAAAAEAAAAZHJzL1BLAwQUAAAACACHTuJAkq1W/7sAAADc&#10;AAAADwAAAGRycy9kb3ducmV2LnhtbEVPyWrDMBC9F/IPYgK91VJC6yROlBxSCj21NBvkNljjhVgj&#10;Y6m2+/dVoZDbPN46m91oG9FT52vHGmaJAkGcO1NzqeF0fHtagvAB2WDjmDT8kIfddvKwwcy4gb+o&#10;P4RSxBD2GWqoQmgzKX1ekUWfuJY4coXrLIYIu1KaDocYbhs5VyqVFmuODRW2tK8ovx2+rYbzR3G9&#10;PKvP8tW+tIMblWS7klo/TmdqDSLQGO7if/e7ifMXKfw9Ey+Q21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q1W/7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r>
                              <w:rPr>
                                <w:rFonts w:hint="eastAsia"/>
                              </w:rPr>
                              <w:t>影响分析</w:t>
                            </w:r>
                          </w:p>
                        </w:txbxContent>
                      </v:textbox>
                    </v:shape>
                  </v:group>
                  <v:shape id="自选图形 51" o:spid="_x0000_s1026" o:spt="32" type="#_x0000_t32" style="position:absolute;left:4172;top:8408;flip:x;height:340;width:0;" filled="f" stroked="t" coordsize="21600,21600" o:gfxdata="UEsDBAoAAAAAAIdO4kAAAAAAAAAAAAAAAAAEAAAAZHJzL1BLAwQUAAAACACHTuJAXxsVFLwAAADc&#10;AAAADwAAAGRycy9kb3ducmV2LnhtbEWPQYvCQAyF7wv+hyGCt3WqLCrV0YOwi4eloKv30IlttZOp&#10;nbHVf28Owt4S3st7X1abh6tVR22oPBuYjBNQxLm3FRcGjn/fnwtQISJbrD2TgScF2KwHHytMre95&#10;T90hFkpCOKRooIyxSbUOeUkOw9g3xKKdfeswytoW2rbYS7ir9TRJZtphxdJQYkPbkvLr4e4M3Hj+&#10;PH3pbnHJsjj72f0WTFlvzGg4SZagIj3iv/l9vbOCPxdaeUYm0OsX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8bFRS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rect id="矩形 53" o:spid="_x0000_s1026" o:spt="1" style="position:absolute;left:1335;top:8755;height:2040;width:5669;" filled="f" stroked="t" coordsize="21600,21600" o:gfxdata="UEsDBAoAAAAAAIdO4kAAAAAAAAAAAAAAAAAEAAAAZHJzL1BLAwQUAAAACACHTuJABZMB8rwAAADc&#10;AAAADwAAAGRycy9kb3ducmV2LnhtbEVP32vCMBB+F/Y/hBv4ZlMFt1mN0skKexLmBPXtaG5JsbmU&#10;JrPuv18GA9/u4/t5q83NteJKfWg8K5hmOQji2uuGjYLDZzV5AREissbWMyn4oQCb9cNohYX2A3/Q&#10;dR+NSCEcClRgY+wKKUNtyWHIfEecuC/fO4wJ9kbqHocU7lo5y/Mn6bDh1GCxo62l+rL/dgreuvOu&#10;nJsgy2O0p4t/HSq7M0qNH6f5EkSkW7yL/93vOs1/XsDfM+kCuf4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WTAfK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group id="组合 72" o:spid="_x0000_s1026" o:spt="203" style="position:absolute;left:132;top:9024;height:1474;width:1020;" coordorigin="52,8285" coordsize="1024,1474" o:gfxdata="UEsDBAoAAAAAAIdO4kAAAAAAAAAAAAAAAAAEAAAAZHJzL1BLAwQUAAAACACHTuJAdUihCb4AAADb&#10;AAAADwAAAGRycy9kb3ducmV2LnhtbEWPQWvCQBSE74X+h+UVems2q7SE1DWUoNKDFKqCeHtkn0kw&#10;+zZk10T/fbdQ6HGYmW+YRXGznRhp8K1jDSpJQRBXzrRcazjs1y8ZCB+QDXaOScOdPBTLx4cF5sZN&#10;/E3jLtQiQtjnqKEJoc+l9FVDFn3ieuLond1gMUQ51NIMOEW47eQsTd+kxZbjQoM9lQ1Vl93VathM&#10;OH3M1WrcXs7l/bR//TpuFWn9/KTSdxCBbuE//Nf+NBoyBb9f4g+Qyx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HVIoQm+AAAA2wAAAA8AAAAAAAAAAQAgAAAAIgAAAGRycy9kb3ducmV2Lnht&#10;bFBLAQIUABQAAAAIAIdO4kAzLwWeOwAAADkAAAAVAAAAAAAAAAEAIAAAAA0BAABkcnMvZ3JvdXBz&#10;aGFwZXhtbC54bWxQSwUGAAAAAAYABgBgAQAAygMAAAAA&#10;">
                    <o:lock v:ext="edit" aspectratio="f"/>
                    <v:rect id="矩形 70" o:spid="_x0000_s1026" o:spt="1" style="position:absolute;left:52;top:8285;height:1474;width:1020;" filled="f" stroked="t" coordsize="21600,21600" o:gfxdata="UEsDBAoAAAAAAIdO4kAAAAAAAAAAAAAAAAAEAAAAZHJzL1BLAwQUAAAACACHTuJAoXzYSL0AAADc&#10;AAAADwAAAGRycy9kb3ducmV2LnhtbEWPQWsCMRCF7wX/QxjBW81asMjWKFYUPAlVQXsbNtNkcTNZ&#10;Nqmr/75zKHib4b1575v58h4adaMu1ZENTMYFKOIq2pqdgdNx+zoDlTKyxSYyGXhQguVi8DLH0sae&#10;v+h2yE5JCKcSDfic21LrVHkKmMaxJRbtJ3YBs6yd07bDXsJDo9+K4l0HrFkaPLa09lRdD7/BwKb9&#10;3q+mLunVOfvLNX72W793xoyGk+IDVKZ7fpr/r3dW8GeCL8/IBHrx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fNhIvQAA&#10;ANwAAAAPAAAAAAAAAAEAIAAAACIAAABkcnMvZG93bnJldi54bWxQSwECFAAUAAAACACHTuJAMy8F&#10;njsAAAA5AAAAEAAAAAAAAAABACAAAAAMAQAAZHJzL3NoYXBleG1sLnhtbFBLBQYAAAAABgAGAFsB&#10;AAC2AwAAAAA=&#10;">
                      <v:fill on="f" focussize="0,0"/>
                      <v:stroke color="#000000" joinstyle="miter"/>
                      <v:imagedata o:title=""/>
                      <o:lock v:ext="edit" aspectratio="f"/>
                    </v:rect>
                    <v:shape id="文本框 71" o:spid="_x0000_s1026" o:spt="202" type="#_x0000_t202" style="position:absolute;left:55;top:8471;height:1077;width:1020;" filled="f" stroked="f" coordsize="21600,21600" o:gfxdata="UEsDBAoAAAAAAIdO4kAAAAAAAAAAAAAAAAAEAAAAZHJzL1BLAwQUAAAACACHTuJAKJG+rLsAAADc&#10;AAAADwAAAGRycy9kb3ducmV2LnhtbEVPS2vCQBC+F/oflil4a3YjVmLqJocWwZNS+wBvQ3ZMQrOz&#10;Ibua+O/dQsHbfHzPWZeT7cSFBt861pAmCgRx5UzLtYavz81zBsIHZIOdY9JwJQ9l8fiwxty4kT/o&#10;cgi1iCHsc9TQhNDnUvqqIYs+cT1x5E5usBgiHGppBhxjuO3kXKmltNhybGiwp7eGqt/D2Wr43p2O&#10;Pwu1r9/tSz+6SUm2K6n17ClVryACTeEu/ndvTZyfpfD3TLxAFj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JG+r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pPr>
                              <w:jc w:val="center"/>
                            </w:pPr>
                            <w:r>
                              <w:rPr>
                                <w:rFonts w:hint="eastAsia"/>
                              </w:rPr>
                              <w:t>风险事故与影响分析</w:t>
                            </w:r>
                          </w:p>
                        </w:txbxContent>
                      </v:textbox>
                    </v:shape>
                  </v:group>
                  <v:group id="组合 76" o:spid="_x0000_s1026" o:spt="203" style="position:absolute;left:7189;top:9027;height:1474;width:1419;" coordorigin="7162,8288" coordsize="1419,1474" o:gfxdata="UEsDBAoAAAAAAIdO4kAAAAAAAAAAAAAAAAAEAAAAZHJzL1BLAwQUAAAACACHTuJAhZo/fr4AAADb&#10;AAAADwAAAGRycy9kb3ducmV2LnhtbEWPQWuDQBSE74X8h+UFemtWE1qCyRpCSEMPUqgWSm4P90VF&#10;9624W43/vlso9DjMzDfM/nA3nRhpcI1lBfEqAkFcWt1wpeCzeH3agnAeWWNnmRTM5OCQLh72mGg7&#10;8QeNua9EgLBLUEHtfZ9I6cqaDLqV7YmDd7ODQR/kUEk94BTgppPrKHqRBhsOCzX2dKqpbPNvo+Ay&#10;4XTcxOcxa2+n+Vo8v39lMSn1uIyjHQhPd/8f/mu/aQXbNfx+CT9Apj9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WaP36+AAAA2wAAAA8AAAAAAAAAAQAgAAAAIgAAAGRycy9kb3ducmV2Lnht&#10;bFBLAQIUABQAAAAIAIdO4kAzLwWeOwAAADkAAAAVAAAAAAAAAAEAIAAAAA0BAABkcnMvZ3JvdXBz&#10;aGFwZXhtbC54bWxQSwUGAAAAAAYABgBgAQAAygMAAAAA&#10;">
                    <o:lock v:ext="edit" aspectratio="f"/>
                    <v:rect id="矩形 74" o:spid="_x0000_s1026" o:spt="1" style="position:absolute;left:7161;top:8288;height:1474;width:1417;" filled="f" stroked="t" coordsize="21600,21600" o:gfxdata="UEsDBAoAAAAAAIdO4kAAAAAAAAAAAAAAAAAEAAAAZHJzL1BLAwQUAAAACACHTuJAUa5GP7wAAADc&#10;AAAADwAAAGRycy9kb3ducmV2LnhtbEVP32vCMBB+H+x/CDfY25rqmJRqFDcU9lRQB9vejuZMis2l&#10;NJmt/70ZCL7dx/fzFqvRteJMfWg8K5hkOQji2uuGjYKvw/alABEissbWMym4UIDV8vFhgaX2A+/o&#10;vI9GpBAOJSqwMXallKG25DBkviNO3NH3DmOCvZG6xyGFu1ZO83wmHTacGix29GGpPu3/nIJN91ut&#10;30yQ6+9of07+fdjayij1/DTJ5yAijfEuvrk/dZpfvML/M+kCub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GuRj+8AAAA&#10;3AAAAA8AAAAAAAAAAQAgAAAAIgAAAGRycy9kb3ducmV2LnhtbFBLAQIUABQAAAAIAIdO4kAzLwWe&#10;OwAAADkAAAAQAAAAAAAAAAEAIAAAAAsBAABkcnMvc2hhcGV4bWwueG1sUEsFBgAAAAAGAAYAWwEA&#10;ALUDAAAAAA==&#10;">
                      <v:fill on="f" focussize="0,0"/>
                      <v:stroke color="#000000" joinstyle="miter"/>
                      <v:imagedata o:title=""/>
                      <o:lock v:ext="edit" aspectratio="f"/>
                    </v:rect>
                    <v:shape id="文本框 75" o:spid="_x0000_s1026" o:spt="202" type="#_x0000_t202" style="position:absolute;left:7164;top:8474;height:1077;width:1417;" filled="f" stroked="f" coordsize="21600,21600" o:gfxdata="UEsDBAoAAAAAAIdO4kAAAAAAAAAAAAAAAAAEAAAAZHJzL1BLAwQUAAAACACHTuJAOOYdNLkAAADc&#10;AAAADwAAAGRycy9kb3ducmV2LnhtbEVPS4vCMBC+C/6HMII3TVx00Wr04CJ4cvEJ3oZmbIvNpDTR&#10;1n+/EYS9zcf3nMWqtaV4Uu0LxxpGQwWCOHWm4EzD6bgZTEH4gGywdEwaXuRhtex2FpgY1/CenoeQ&#10;iRjCPkENeQhVIqVPc7Loh64ijtzN1RZDhHUmTY1NDLel/FLqW1osODbkWNE6p/R+eFgN593tehmr&#10;3+zHTqrGtUqynUmt+72RmoMI1IZ/8ce9NXH+dAzvZ+IFcvk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jmHTS5AAAA3AAA&#10;AA8AAAAAAAAAAQAgAAAAIgAAAGRycy9kb3ducmV2LnhtbFBLAQIUABQAAAAIAIdO4kAzLwWeOwAA&#10;ADkAAAAQAAAAAAAAAAEAIAAAAAgBAABkcnMvc2hhcGV4bWwueG1sUEsFBgAAAAAGAAYAWwEAALID&#10;AAAAAA==&#10;">
                      <v:fill on="f" focussize="0,0"/>
                      <v:stroke on="f"/>
                      <v:imagedata o:title=""/>
                      <o:lock v:ext="edit" aspectratio="f"/>
                      <v:textbox>
                        <w:txbxContent>
                          <w:p>
                            <w:pPr>
                              <w:jc w:val="center"/>
                            </w:pPr>
                            <w:r>
                              <w:rPr>
                                <w:rFonts w:hint="eastAsia"/>
                              </w:rPr>
                              <w:t>入河排污口设置可行性合理性分析</w:t>
                            </w:r>
                          </w:p>
                        </w:txbxContent>
                      </v:textbox>
                    </v:shape>
                  </v:group>
                  <v:group id="组合 79" o:spid="_x0000_s1026" o:spt="203" style="position:absolute;left:5303;top:7826;height:1191;width:2610;" coordorigin="5275,7207" coordsize="2610,1191" o:gfxdata="UEsDBAoAAAAAAIdO4kAAAAAAAAAAAAAAAAAEAAAAZHJzL1BLAwQUAAAACACHTuJA6taa5b0AAADb&#10;AAAADwAAAGRycy9kb3ducmV2LnhtbEWPQYvCMBSE7wv+h/AEb2taZReppiKi4kEWVgXx9miebWnz&#10;UprY6r/fLAgeh5n5hlksH6YWHbWutKwgHkcgiDOrS84VnE/bzxkI55E11pZJwZMcLNPBxwITbXv+&#10;pe7ocxEg7BJUUHjfJFK6rCCDbmwb4uDdbGvQB9nmUrfYB7ip5SSKvqXBksNCgQ2tC8qq490o2PXY&#10;r6bxpjtUt/Xzevr6uRxiUmo0jKM5CE8P/w6/2nutYDaF/y/hB8j0D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6taa5b0AAADbAAAADwAAAAAAAAABACAAAAAiAAAAZHJzL2Rvd25yZXYueG1s&#10;UEsBAhQAFAAAAAgAh07iQDMvBZ47AAAAOQAAABUAAAAAAAAAAQAgAAAADAEAAGRycy9ncm91cHNo&#10;YXBleG1sLnhtbFBLBQYAAAAABgAGAGABAADJAwAAAAA=&#10;">
                    <o:lock v:ext="edit" aspectratio="f"/>
                    <v:shape id="自选图形 77" o:spid="_x0000_s1026" o:spt="32" type="#_x0000_t32" style="position:absolute;left:5275;top:7207;height:0;width:2608;" filled="f" stroked="t" coordsize="21600,21600" o:gfxdata="UEsDBAoAAAAAAIdO4kAAAAAAAAAAAAAAAAAEAAAAZHJzL1BLAwQUAAAACACHTuJAzTUPSLsAAADc&#10;AAAADwAAAGRycy9kb3ducmV2LnhtbEVPTWvCQBC9F/oflhG8lLqbgKLRVUqhoMdGweuQnSbR7GzI&#10;ribm13eFQm/zeJ+z2Q22EXfqfO1YQzJTIIgLZ2ouNZyOX+9LED4gG2wck4YHedhtX182mBnX8zfd&#10;81CKGMI+Qw1VCG0mpS8qsuhnriWO3I/rLIYIu1KaDvsYbhuZKrWQFmuODRW29FlRcc1vVgP52zxR&#10;Hytbng5j/3ZOx0vfHrWeThK1BhFoCP/iP/fexPnLBTyfiRfI7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TUPSLsAAADc&#10;AAAADwAAAAAAAAABACAAAAAiAAAAZHJzL2Rvd25yZXYueG1sUEsBAhQAFAAAAAgAh07iQDMvBZ47&#10;AAAAOQAAABAAAAAAAAAAAQAgAAAACgEAAGRycy9zaGFwZXhtbC54bWxQSwUGAAAAAAYABgBbAQAA&#10;tAMAAAAA&#10;">
                      <v:fill on="f" focussize="0,0"/>
                      <v:stroke color="#000000" joinstyle="round"/>
                      <v:imagedata o:title=""/>
                      <o:lock v:ext="edit" aspectratio="f"/>
                    </v:shape>
                    <v:shape id="自选图形 78" o:spid="_x0000_s1026" o:spt="32" type="#_x0000_t32" style="position:absolute;left:7885;top:7207;flip:y;height:1191;width:0;" filled="f" stroked="t" coordsize="21600,21600" o:gfxdata="UEsDBAoAAAAAAIdO4kAAAAAAAAAAAAAAAAAEAAAAZHJzL1BLAwQUAAAACACHTuJAG1HxQboAAADc&#10;AAAADwAAAGRycy9kb3ducmV2LnhtbEVPS4vCMBC+L/gfwgje1lQRLdW0hwXFgxR83Ydmtu1uM6lN&#10;bPXfm4UFb/PxPWeTPUwjeupcbVnBbBqBIC6srrlUcDlvP2MQziNrbCyTgic5yNLRxwYTbQc+Un/y&#10;pQgh7BJUUHnfJlK6oiKDbmpb4sB9286gD7Arpe5wCOGmkfMoWkqDNYeGClv6qqj4Pd2NghuvnteF&#10;7OOfPPfL3f5QMuWDUpPxLFqD8PTwb/G/e6/D/HgFf8+EC2T6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bUfFBugAAANwA&#10;AAAPAAAAAAAAAAEAIAAAACIAAABkcnMvZG93bnJldi54bWxQSwECFAAUAAAACACHTuJAMy8FnjsA&#10;AAA5AAAAEAAAAAAAAAABACAAAAAJAQAAZHJzL3NoYXBleG1sLnhtbFBLBQYAAAAABgAGAFsBAACz&#10;AwAAAAA=&#10;">
                      <v:fill on="f" focussize="0,0"/>
                      <v:stroke color="#000000" joinstyle="round"/>
                      <v:imagedata o:title=""/>
                      <o:lock v:ext="edit" aspectratio="f"/>
                    </v:shape>
                  </v:group>
                  <v:group id="组合 82" o:spid="_x0000_s1026" o:spt="203" style="position:absolute;left:627;top:7835;height:1191;width:2437;" coordorigin="600,7216" coordsize="2450,1191" o:gfxdata="UEsDBAoAAAAAAIdO4kAAAAAAAAAAAAAAAAAEAAAAZHJzL1BLAwQUAAAACACHTuJAZT8Ckb0AAADb&#10;AAAADwAAAGRycy9kb3ducmV2LnhtbEWPQYvCMBSE74L/ITzB25pW3UW6RhFR8SDC1oVlb4/m2Rab&#10;l9LEVv+9EQSPw8x8w8yXN1OJlhpXWlYQjyIQxJnVJecKfk/bjxkI55E1VpZJwZ0cLBf93hwTbTv+&#10;oTb1uQgQdgkqKLyvEyldVpBBN7I1cfDOtjHog2xyqRvsAtxUchxFX9JgyWGhwJrWBWWX9GoU7Drs&#10;VpN40x4u5/X9//R5/DvEpNRwEEffIDzd/Dv8au+1gtkUnl/CD5CL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ZT8Ckb0AAADbAAAADwAAAAAAAAABACAAAAAiAAAAZHJzL2Rvd25yZXYueG1s&#10;UEsBAhQAFAAAAAgAh07iQDMvBZ47AAAAOQAAABUAAAAAAAAAAQAgAAAADAEAAGRycy9ncm91cHNo&#10;YXBleG1sLnhtbFBLBQYAAAAABgAGAGABAADJAwAAAAA=&#10;">
                    <o:lock v:ext="edit" aspectratio="f"/>
                    <v:shape id="自选图形 80" o:spid="_x0000_s1026" o:spt="32" type="#_x0000_t32" style="position:absolute;left:600;top:7216;flip:x y;height:1191;width:0;" filled="f" stroked="t" coordsize="21600,21600" o:gfxdata="UEsDBAoAAAAAAIdO4kAAAAAAAAAAAAAAAAAEAAAAZHJzL1BLAwQUAAAACACHTuJAtMjRZLwAAADc&#10;AAAADwAAAGRycy9kb3ducmV2LnhtbEVPTYvCMBC9L/gfwgheRFNFXK1NPQiKsodlVTyPzdgWm0lp&#10;olV//WZB2Ns83ucky4epxJ0aV1pWMBpGIIgzq0vOFRwP68EMhPPIGivLpOBJDpZp5yPBWNuWf+i+&#10;97kIIexiVFB4X8dSuqwgg25oa+LAXWxj0AfY5FI32IZwU8lxFE2lwZJDQ4E1rQrKrvubUTCZHs6b&#10;NqPdp/x+tfpre9rs+kapXncULUB4evh/8du91WH+bA5/z4QLZPoL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TI0WS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自选图形 81" o:spid="_x0000_s1026" o:spt="32" type="#_x0000_t32" style="position:absolute;left:612;top:7222;flip:x;height:0;width:2438;" filled="f" stroked="t" coordsize="21600,21600" o:gfxdata="UEsDBAoAAAAAAIdO4kAAAAAAAAAAAAAAAAAEAAAAZHJzL1BLAwQUAAAACACHTuJAEWH/6L0AAADc&#10;AAAADwAAAGRycy9kb3ducmV2LnhtbEWPQW/CMAyF75P4D5GRdhsp08RKIXBAGuIwVYKNu9WYttA4&#10;pQkt/Pv5gLSbrff83ufl+u4a1VMXas8GppMEFHHhbc2lgd+fr7cUVIjIFhvPZOBBAdar0csSM+sH&#10;3lN/iKWSEA4ZGqhibDOtQ1GRwzDxLbFoJ985jLJ2pbYdDhLuGv2eJDPtsGZpqLClTUXF5XBzBq78&#10;+Th+6D4953mcbXffJVM+GPM6niYLUJHu8d/8vN5ZwZ8LvjwjE+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Yf/ovQAA&#10;ANwAAAAPAAAAAAAAAAEAIAAAACIAAABkcnMvZG93bnJldi54bWxQSwECFAAUAAAACACHTuJAMy8F&#10;njsAAAA5AAAAEAAAAAAAAAABACAAAAAMAQAAZHJzL3NoYXBleG1sLnhtbFBLBQYAAAAABgAGAFsB&#10;AAC2AwAAAAA=&#10;">
                      <v:fill on="f" focussize="0,0"/>
                      <v:stroke color="#000000" joinstyle="round"/>
                      <v:imagedata o:title=""/>
                      <o:lock v:ext="edit" aspectratio="f"/>
                    </v:shape>
                  </v:group>
                  <v:shape id="自选图形 83" o:spid="_x0000_s1026" o:spt="67" type="#_x0000_t67" style="position:absolute;left:3947;top:10802;height:680;width:453;" filled="f" stroked="t" coordsize="21600,21600" o:gfxdata="UEsDBAoAAAAAAIdO4kAAAAAAAAAAAAAAAAAEAAAAZHJzL1BLAwQUAAAACACHTuJABSrwr7sAAADc&#10;AAAADwAAAGRycy9kb3ducmV2LnhtbEVPTWsCMRC9F/wPYYTeanY9iK5GD9JKLQi6Kr0Om+lm6Way&#10;JFG3/74RBG/zeJ+zWPW2FVfyoXGsIB9lIIgrpxuuFZyOH29TECEia2wdk4I/CrBaDl4WWGh34wNd&#10;y1iLFMKhQAUmxq6QMlSGLIaR64gT9+O8xZigr6X2eEvhtpXjLJtIiw2nBoMdrQ1Vv+XFKtj32+1Z&#10;n3L+3vjN/su8lzuerZV6HebZHESkPj7FD/enTvNnY7g/ky6Qy3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BSrwr7sAAADc&#10;AAAADwAAAAAAAAABACAAAAAiAAAAZHJzL2Rvd25yZXYueG1sUEsBAhQAFAAAAAgAh07iQDMvBZ47&#10;AAAAOQAAABAAAAAAAAAAAQAgAAAACgEAAGRycy9zaGFwZXhtbC54bWxQSwUGAAAAAAYABgBbAQAA&#10;tAMAAAAA&#10;" adj="16201,5400">
                    <v:fill on="f" focussize="0,0"/>
                    <v:stroke color="#000000" joinstyle="miter"/>
                    <v:imagedata o:title=""/>
                    <o:lock v:ext="edit" aspectratio="f"/>
                  </v:shape>
                  <v:shape id="文本框 84" o:spid="_x0000_s1026" o:spt="202" type="#_x0000_t202" style="position:absolute;left:3041;top:11484;height:737;width:2267;" filled="f" stroked="t" coordsize="21600,21600" o:gfxdata="UEsDBAoAAAAAAIdO4kAAAAAAAAAAAAAAAAAEAAAAZHJzL1BLAwQUAAAACACHTuJAvMZqWL4AAADc&#10;AAAADwAAAGRycy9kb3ducmV2LnhtbEWPQW/CMAyF75P4D5GRuK0pVBq0I3CgIO24FdiuXmPaisap&#10;mlAYv55MmrSbrfe+5+fl+mZaMVDvGssKplEMgri0uuFKwWG/e16AcB5ZY2uZFPyQg/Vq9LTETNsr&#10;f9BQ+EqEEHYZKqi97zIpXVmTQRfZjjhoJ9sb9GHtK6l7vIZw08pZHL9Igw2HCzV2tKmpPBcXE2rM&#10;vg5J/l7QfI7fSb69H9PTZ6vUZDyNX0F4uvl/8x/9pgOXJvD7TJhArh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MZqWL4A&#10;AADcAAAADwAAAAAAAAABACAAAAAiAAAAZHJzL2Rvd25yZXYueG1sUEsBAhQAFAAAAAgAh07iQDMv&#10;BZ47AAAAOQAAABAAAAAAAAAAAQAgAAAADQEAAGRycy9zaGFwZXhtbC54bWxQSwUGAAAAAAYABgBb&#10;AQAAtwMAAAAA&#10;">
                    <v:fill on="f" focussize="0,0"/>
                    <v:stroke color="#000000" joinstyle="miter"/>
                    <v:imagedata o:title=""/>
                    <o:lock v:ext="edit" aspectratio="f"/>
                    <v:textbox>
                      <w:txbxContent>
                        <w:p>
                          <w:pPr>
                            <w:jc w:val="center"/>
                          </w:pPr>
                          <w:r>
                            <w:rPr>
                              <w:rFonts w:hint="eastAsia"/>
                            </w:rPr>
                            <w:t>入河排污口设置论证结论与建议</w:t>
                          </w:r>
                        </w:p>
                      </w:txbxContent>
                    </v:textbox>
                  </v:shape>
                  <v:group id="组合 139" o:spid="_x0000_s1026" o:spt="203" style="position:absolute;left:640;top:10498;height:1360;width:2400;" coordorigin="640,10498" coordsize="2401,1360" o:gfxdata="UEsDBAoAAAAAAIdO4kAAAAAAAAAAAAAAAAAEAAAAZHJzL1BLAwQUAAAACACHTuJACnOnCr4AAADb&#10;AAAADwAAAGRycy9kb3ducmV2LnhtbEWPQWvCQBSE74L/YXmF3nQTiyKpayhBpQcpmAjS2yP7TILZ&#10;tyG7Jvrvu4VCj8PMfMNs0odpxUC9aywriOcRCOLS6oYrBediP1uDcB5ZY2uZFDzJQbqdTjaYaDvy&#10;iYbcVyJA2CWooPa+S6R0ZU0G3dx2xMG72t6gD7KvpO5xDHDTykUUraTBhsNCjR1lNZW3/G4UHEYc&#10;P97i3XC8XbPnd7H8uhxjUur1JY7eQXh6+P/wX/tTK1gv4fdL+AFy+wN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Apzpwq+AAAA2wAAAA8AAAAAAAAAAQAgAAAAIgAAAGRycy9kb3ducmV2Lnht&#10;bFBLAQIUABQAAAAIAIdO4kAzLwWeOwAAADkAAAAVAAAAAAAAAAEAIAAAAA0BAABkcnMvZ3JvdXBz&#10;aGFwZXhtbC54bWxQSwUGAAAAAAYABgBgAQAAygMAAAAA&#10;">
                    <o:lock v:ext="edit" aspectratio="f"/>
                    <v:shape id="自选图形 86" o:spid="_x0000_s1026" o:spt="32" type="#_x0000_t32" style="position:absolute;left:640;top:10498;flip:x;height:1360;width:0;" filled="f" stroked="t" coordsize="21600,21600" o:gfxdata="UEsDBAoAAAAAAIdO4kAAAAAAAAAAAAAAAAAEAAAAZHJzL1BLAwQUAAAACACHTuJAblr567wAAADc&#10;AAAADwAAAGRycy9kb3ducmV2LnhtbEVPS2vCQBC+C/6HZYTedGMJamM2HoSWHEqgtr0P2TFJm52N&#10;2W0e/75bKHibj+856WkyrRiod41lBdtNBIK4tLrhSsHH+/P6AMJ5ZI2tZVIwk4NTtlykmGg78hsN&#10;F1+JEMIuQQW1910ipStrMug2tiMO3NX2Bn2AfSV1j2MIN618jKKdNNhwaKixo3NN5fflxyi48X7+&#10;jOVw+CoKv3vJXyumYlTqYbWNjiA8Tf4u/nfnOsx/iuHvmXCBzH4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5a+eu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shape>
                    <v:shape id="自选图形 136" o:spid="_x0000_s1026" o:spt="32" type="#_x0000_t32" style="position:absolute;left:660;top:11850;flip:x y;height:0;width:2381;" filled="f" stroked="t" coordsize="21600,21600" o:gfxdata="UEsDBAoAAAAAAIdO4kAAAAAAAAAAAAAAAAAEAAAAZHJzL1BLAwQUAAAACACHTuJAtjFu1b4AAADc&#10;AAAADwAAAGRycy9kb3ducmV2LnhtbEVPTWvCQBC9F/oflhF6KbqxrRKjq2ChtB4EjSIeh+y4Sc3O&#10;huw22n/fFQre5vE+Z7a42lp01PrKsYLhIAFBXDhdsVGw3330UxA+IGusHZOCX/KwmD8+zDDT7sJb&#10;6vJgRAxhn6GCMoQmk9IXJVn0A9cQR+7kWoshwtZI3eIlhttaviTJWFqsODaU2NB7ScU5/7EKXtfL&#10;gzGTzXf3fBx9ShfS3dsqVeqpN0ymIAJdw1387/7Scf5kBLdn4gVy/g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jFu1b4A&#10;AADcAAAADwAAAAAAAAABACAAAAAiAAAAZHJzL2Rvd25yZXYueG1sUEsBAhQAFAAAAAgAh07iQDMv&#10;BZ47AAAAOQAAABAAAAAAAAAAAQAgAAAADQEAAGRycy9zaGFwZXhtbC54bWxQSwUGAAAAAAYABgBb&#10;AQAAtwMAAAAA&#10;">
                      <v:fill on="f" focussize="0,0"/>
                      <v:stroke color="#000000" joinstyle="round" startarrow="block"/>
                      <v:imagedata o:title=""/>
                      <o:lock v:ext="edit" aspectratio="f"/>
                    </v:shape>
                  </v:group>
                  <v:group id="组合 140" o:spid="_x0000_s1026" o:spt="203" style="position:absolute;left:5309;top:10501;height:1360;width:2608;" coordorigin="5310,10501" coordsize="2608,1360" o:gfxdata="UEsDBAoAAAAAAIdO4kAAAAAAAAAAAAAAAAAEAAAAZHJzL1BLAwQUAAAACACHTuJA+qE5fb0AAADb&#10;AAAADwAAAGRycy9kb3ducmV2LnhtbEWPQYvCMBSE74L/ITzBm6ZVVqSaiojKHmRhVRBvj+bZljYv&#10;pYmt/vvNwsIeh5n5hllvXqYWHbWutKwgnkYgiDOrS84VXC+HyRKE88gaa8uk4E0ONulwsMZE256/&#10;qTv7XAQIuwQVFN43iZQuK8igm9qGOHgP2xr0Qba51C32AW5qOYuihTRYclgosKFdQVl1fhoFxx77&#10;7Tzed6fqsXvfLx9ft1NMSo1HcbQC4enl/8N/7U+tYLmA3y/hB8j0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qE5fb0AAADbAAAADwAAAAAAAAABACAAAAAiAAAAZHJzL2Rvd25yZXYueG1s&#10;UEsBAhQAFAAAAAgAh07iQDMvBZ47AAAAOQAAABUAAAAAAAAAAQAgAAAADAEAAGRycy9ncm91cHNo&#10;YXBleG1sLnhtbFBLBQYAAAAABgAGAGABAADJAwAAAAA=&#10;">
                    <o:lock v:ext="edit" aspectratio="f"/>
                    <v:shape id="自选图形 137" o:spid="_x0000_s1026" o:spt="32" type="#_x0000_t32" style="position:absolute;left:5309;top:11850;flip:y;height:0;width:2608;" filled="f" stroked="t" coordsize="21600,21600" o:gfxdata="UEsDBAoAAAAAAIdO4kAAAAAAAAAAAAAAAAAEAAAAZHJzL1BLAwQUAAAACACHTuJA42liz70AAADc&#10;AAAADwAAAGRycy9kb3ducmV2LnhtbEVPS2vCQBC+C/6HZQq96SYeWo2uUtRqLymopXgcsmMeZmdD&#10;dpuk/75bKPQ2H99zVpvB1KKj1pWWFcTTCARxZnXJuYKPy+tkDsJ5ZI21ZVLwTQ426/FohYm2PZ+o&#10;O/tchBB2CSoovG8SKV1WkEE3tQ1x4G62NegDbHOpW+xDuKnlLIqepMGSQ0OBDW0Lyu7nL6OgSm/p&#10;/nrSw5yql+b9uPtMvT4o9fgQR0sQngb/L/5zv+kwf/EMv8+EC+T6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aWLPvQAA&#10;ANwAAAAPAAAAAAAAAAEAIAAAACIAAABkcnMvZG93bnJldi54bWxQSwECFAAUAAAACACHTuJAMy8F&#10;njsAAAA5AAAAEAAAAAAAAAABACAAAAAMAQAAZHJzL3NoYXBleG1sLnhtbFBLBQYAAAAABgAGAFsB&#10;AAC2AwAAAAA=&#10;">
                      <v:fill on="f" focussize="0,0"/>
                      <v:stroke color="#000000" joinstyle="round" startarrow="block"/>
                      <v:imagedata o:title=""/>
                      <o:lock v:ext="edit" aspectratio="f"/>
                    </v:shape>
                    <v:shape id="自选图形 138" o:spid="_x0000_s1026" o:spt="32" type="#_x0000_t32" style="position:absolute;left:7912;top:10501;height:1361;width:0;" filled="f" stroked="t" coordsize="21600,21600" o:gfxdata="UEsDBAoAAAAAAIdO4kAAAAAAAAAAAAAAAAAEAAAAZHJzL1BLAwQUAAAACACHTuJAVj+ofL4AAADc&#10;AAAADwAAAGRycy9kb3ducmV2LnhtbEWPT2vDMAzF74V+B6NBL2W1U9hY0zqhDAbdsX9gVxFrSbpY&#10;DrHbdP301WGwm8R7eu+nTXnznbrSENvAFrKFAUVcBddybeF0/Hh+AxUTssMuMFn4pQhlMZ1sMHdh&#10;5D1dD6lWEsIxRwtNSn2udawa8hgXoScW7TsMHpOsQ63dgKOE+04vjXnVHluWhgZ7em+o+jlcvAWK&#10;l5fMbFe+Pn3ex/nX8n4e+6O1s6fMrEEluqV/89/1zgn+SmjlGZlAFw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Vj+ofL4A&#10;AADcAAAADwAAAAAAAAABACAAAAAiAAAAZHJzL2Rvd25yZXYueG1sUEsBAhQAFAAAAAgAh07iQDMv&#10;BZ47AAAAOQAAABAAAAAAAAAAAQAgAAAADQEAAGRycy9zaGFwZXhtbC54bWxQSwUGAAAAAAYABgBb&#10;AQAAtwMAAAAA&#10;">
                      <v:fill on="f" focussize="0,0"/>
                      <v:stroke color="#000000" joinstyle="round"/>
                      <v:imagedata o:title=""/>
                      <o:lock v:ext="edit" aspectratio="f"/>
                    </v:shape>
                  </v:group>
                </v:group>
                <w10:wrap type="topAndBottom"/>
              </v:group>
            </w:pict>
          </mc:Fallback>
        </mc:AlternateContent>
      </w:r>
      <w:r>
        <w:rPr>
          <w:rFonts w:hint="default" w:ascii="Times New Roman" w:hAnsi="Times New Roman" w:cs="Times New Roman"/>
          <w:b/>
          <w:bCs/>
          <w:highlight w:val="none"/>
        </w:rPr>
        <w:t>图1-1  入河排污口设置论证工作程序</w:t>
      </w:r>
    </w:p>
    <w:p>
      <w:pPr>
        <w:pStyle w:val="10"/>
        <w:widowControl w:val="0"/>
        <w:spacing w:before="0" w:after="0" w:line="360" w:lineRule="auto"/>
        <w:ind w:firstLine="482" w:firstLineChars="200"/>
        <w:jc w:val="both"/>
        <w:outlineLvl w:val="1"/>
        <w:rPr>
          <w:rFonts w:hint="default" w:ascii="Times New Roman" w:hAnsi="Times New Roman" w:cs="Times New Roman"/>
          <w:b/>
          <w:bCs/>
          <w:highlight w:val="none"/>
        </w:rPr>
      </w:pPr>
      <w:bookmarkStart w:id="26" w:name="_Toc12021"/>
      <w:r>
        <w:rPr>
          <w:rFonts w:hint="default" w:ascii="Times New Roman" w:hAnsi="Times New Roman" w:cs="Times New Roman"/>
          <w:b/>
          <w:bCs/>
          <w:highlight w:val="none"/>
        </w:rPr>
        <w:t>1.6.论证的主要内容</w:t>
      </w:r>
      <w:bookmarkEnd w:id="26"/>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（1）建设项目基本情况；</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（2）拟建入河排污口所在水功能区（水域）水质及纳污现状分析；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（3）拟建项目入河排污口设置可行性分析论证及入河排污口设置方案；</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（4）入河排污口设置对水功能区（水域）水质影响分析；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（5）入河排污口设置对水功能区（水域）水生态影响分析；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（6）入河排污口设置对地下水影响分析；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（7）入河排污口设置对有利害关系的第三者权益的影响分析；</w:t>
      </w:r>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（8）入河排污口设置的合理性分析；</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（9）结论和建议。</w:t>
      </w:r>
    </w:p>
    <w:p>
      <w:pPr>
        <w:pStyle w:val="10"/>
        <w:widowControl w:val="0"/>
        <w:spacing w:before="0" w:after="0" w:line="360" w:lineRule="auto"/>
        <w:ind w:firstLine="482" w:firstLineChars="200"/>
        <w:jc w:val="both"/>
        <w:outlineLvl w:val="1"/>
        <w:rPr>
          <w:rFonts w:hint="default" w:ascii="Times New Roman" w:hAnsi="Times New Roman" w:cs="Times New Roman"/>
          <w:b/>
          <w:bCs/>
          <w:highlight w:val="none"/>
        </w:rPr>
      </w:pPr>
      <w:bookmarkStart w:id="27" w:name="_Toc11538"/>
      <w:r>
        <w:rPr>
          <w:rFonts w:hint="default" w:ascii="Times New Roman" w:hAnsi="Times New Roman" w:cs="Times New Roman"/>
          <w:b/>
          <w:bCs/>
          <w:highlight w:val="none"/>
        </w:rPr>
        <w:t>1.7.论证水平年</w:t>
      </w:r>
      <w:bookmarkEnd w:id="27"/>
    </w:p>
    <w:p>
      <w:pPr>
        <w:pStyle w:val="10"/>
        <w:widowControl w:val="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highlight w:val="none"/>
        </w:rPr>
        <w:t>综合考虑论证范围内的社会经济发展情况，河流水文特征变化情况以及资料的实际情况，确定本次入河排污口论证的现状水平年为2021年，论证规划水平年为2021年（项目建成排污年）。</w:t>
      </w:r>
    </w:p>
    <w:p>
      <w:pPr>
        <w:pStyle w:val="10"/>
        <w:widowControl w:val="0"/>
        <w:spacing w:before="0" w:after="0" w:line="360" w:lineRule="auto"/>
        <w:ind w:firstLine="482" w:firstLineChars="200"/>
        <w:jc w:val="both"/>
        <w:outlineLvl w:val="1"/>
        <w:rPr>
          <w:rFonts w:hint="default" w:ascii="Times New Roman" w:hAnsi="Times New Roman" w:cs="Times New Roman"/>
          <w:b/>
          <w:bCs/>
          <w:highlight w:val="none"/>
        </w:rPr>
      </w:pPr>
      <w:bookmarkStart w:id="28" w:name="_Toc26706"/>
      <w:r>
        <w:rPr>
          <w:rFonts w:hint="default" w:ascii="Times New Roman" w:hAnsi="Times New Roman" w:cs="Times New Roman"/>
          <w:b/>
          <w:bCs/>
          <w:highlight w:val="none"/>
        </w:rPr>
        <w:t>1.8.论证工作等级</w:t>
      </w:r>
      <w:bookmarkEnd w:id="28"/>
    </w:p>
    <w:p>
      <w:pPr>
        <w:pStyle w:val="10"/>
        <w:widowControl w:val="0"/>
        <w:spacing w:before="0" w:after="0" w:line="360" w:lineRule="auto"/>
        <w:ind w:firstLine="480" w:firstLineChars="200"/>
        <w:jc w:val="both"/>
        <w:rPr>
          <w:rFonts w:hint="default" w:ascii="Times New Roman" w:hAnsi="Times New Roman" w:cs="Times New Roman"/>
          <w:highlight w:val="none"/>
          <w:u w:val="single"/>
        </w:rPr>
      </w:pPr>
      <w:r>
        <w:rPr>
          <w:rFonts w:hint="default" w:ascii="Times New Roman" w:hAnsi="Times New Roman" w:cs="Times New Roman"/>
          <w:highlight w:val="none"/>
          <w:u w:val="single"/>
        </w:rPr>
        <w:t>入河排污口设置论证工作等级由各分类指标等级的最高级别确定，分类等级由地区水资源与水生态状况、水资源利用状况、水域管理要求、污染物排放类型、废污水排放量等分类指标的最高级别确定。入河排污口设置论证分类分级指标见下表。</w:t>
      </w:r>
    </w:p>
    <w:p>
      <w:pPr>
        <w:pStyle w:val="10"/>
        <w:widowControl w:val="0"/>
        <w:spacing w:before="0" w:after="0" w:line="360" w:lineRule="auto"/>
        <w:ind w:firstLine="482" w:firstLineChars="200"/>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表1-1  入河排污口设置论证分类分级指标</w:t>
      </w:r>
    </w:p>
    <w:tbl>
      <w:tblPr>
        <w:tblStyle w:val="2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20"/>
        <w:gridCol w:w="2551"/>
        <w:gridCol w:w="2102"/>
        <w:gridCol w:w="19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Merge w:val="restart"/>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分类指标</w:t>
            </w:r>
          </w:p>
        </w:tc>
        <w:tc>
          <w:tcPr>
            <w:tcW w:w="3921" w:type="pct"/>
            <w:gridSpan w:val="3"/>
            <w:tcMar>
              <w:top w:w="0" w:type="dxa"/>
              <w:left w:w="28" w:type="dxa"/>
              <w:bottom w:w="0" w:type="dxa"/>
              <w:right w:w="28" w:type="dxa"/>
            </w:tcMar>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Merge w:val="continue"/>
            <w:vAlign w:val="center"/>
          </w:tcPr>
          <w:p>
            <w:pPr>
              <w:spacing w:line="320" w:lineRule="exact"/>
              <w:jc w:val="center"/>
              <w:rPr>
                <w:rFonts w:hint="default" w:ascii="Times New Roman" w:hAnsi="Times New Roman" w:cs="Times New Roman"/>
                <w:highlight w:val="none"/>
                <w:u w:val="single"/>
              </w:rPr>
            </w:pP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一级</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二级</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水功能区管理要求</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涉及一级水功能区中的保护区、保留区、缓冲区及二级水功能区中饮用水水源区</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涉及二级水功能区中的工业、农业、渔业、景观娱乐用水区</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涉及二级水功能区中的排污控制区和过渡区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水功能区水域纳污现状</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现状污染物入河量超出水功能区水域纳污能力</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现状污染物入河量接近水功能区水域纳污能力</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现状污染物入河量远小于水功能区水域纳污能力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水生态现状</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现状生态问题敏感；相关水域现状排污对水文情势和水生态环境产生明显影响，同时存在水温或水体富营养化影响问题</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现状生态问题较为敏感；相关水域现状排污对水文情势和水生态环境产生一定影响</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现状无敏感生态问题；相关水域现状排污对水生态环境无影响或影响轻微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污染物排放种类</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所排放废污水含有毒有机物、重金属、放射性或持久性化学污染物</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所排放废污水含有多种可降解化学污染物</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所排放废污水含有少量可降解的污染物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废污水排放流量（缺水地区）（m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/h）</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≥1000（300）</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1000～500（300～100）</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≤500（100）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年度废污水排放量</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大于200万吨</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20～200万吨</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小于20万吨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1078" w:type="pct"/>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区域水资源状况</w:t>
            </w:r>
          </w:p>
        </w:tc>
        <w:tc>
          <w:tcPr>
            <w:tcW w:w="1511"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用水紧缺，取用水量达到或超出所分配用水指标</w:t>
            </w:r>
          </w:p>
        </w:tc>
        <w:tc>
          <w:tcPr>
            <w:tcW w:w="1245"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水资源量一般，取用水量小于或接近所分配用水指标</w:t>
            </w:r>
          </w:p>
        </w:tc>
        <w:tc>
          <w:tcPr>
            <w:tcW w:w="1164" w:type="pct"/>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水资源丰沛，取用水量远小于所分配用水指标</w:t>
            </w:r>
          </w:p>
        </w:tc>
      </w:tr>
    </w:tbl>
    <w:p>
      <w:pPr>
        <w:tabs>
          <w:tab w:val="left" w:pos="0"/>
        </w:tabs>
        <w:spacing w:line="360" w:lineRule="auto"/>
        <w:jc w:val="center"/>
        <w:rPr>
          <w:rFonts w:hint="default" w:ascii="Times New Roman" w:hAnsi="Times New Roman" w:cs="Times New Roman"/>
          <w:b/>
          <w:bCs/>
          <w:sz w:val="24"/>
          <w:szCs w:val="24"/>
          <w:highlight w:val="none"/>
          <w:u w:val="single"/>
        </w:rPr>
      </w:pPr>
      <w:r>
        <w:rPr>
          <w:rFonts w:hint="default" w:ascii="Times New Roman" w:hAnsi="Times New Roman" w:cs="Times New Roman"/>
          <w:b/>
          <w:bCs/>
          <w:sz w:val="24"/>
          <w:szCs w:val="24"/>
          <w:highlight w:val="none"/>
          <w:u w:val="single"/>
        </w:rPr>
        <w:t>表1-2  入河排污口设置论证分类分级指标</w:t>
      </w:r>
    </w:p>
    <w:tbl>
      <w:tblPr>
        <w:tblStyle w:val="2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0"/>
        <w:gridCol w:w="5120"/>
        <w:gridCol w:w="8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分类指标</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本项目情况</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分级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水功能区管理要求</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本项目直接纳污水体洢水为洢水安化源头水保护区，洢水目前水域功能为饮用水和农田灌溉水，因此现状管理目标为Ⅱ类，</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一级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水功能区水域纳污现状</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现状污染物入河量远小于水功能区水域纳污能力</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水生态现状</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现状无敏感生态问题；相关水域现状排污对水生态环境无影响或影响轻微</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污染物排放种类</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所排放废污水含有多种可降解的污染物，如COD、氨氮、动植物油</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废污水排放流量（缺水地区）（m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/h）</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本项目废水排放流量为6.23m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/h，小于500m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/h</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年度废污水排放量</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本项目年度废污水排放量为54750m</w:t>
            </w:r>
            <w:r>
              <w:rPr>
                <w:rFonts w:hint="default" w:ascii="Times New Roman" w:hAnsi="Times New Roman" w:cs="Times New Roman"/>
                <w:highlight w:val="none"/>
                <w:u w:val="single"/>
                <w:vertAlign w:val="superscript"/>
              </w:rPr>
              <w:t>3</w:t>
            </w:r>
            <w:r>
              <w:rPr>
                <w:rFonts w:hint="default" w:ascii="Times New Roman" w:hAnsi="Times New Roman" w:cs="Times New Roman"/>
                <w:highlight w:val="none"/>
                <w:u w:val="single"/>
              </w:rPr>
              <w:t>/a，小于20万吨</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2432" w:type="dxa"/>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区域水资源状况</w:t>
            </w:r>
          </w:p>
        </w:tc>
        <w:tc>
          <w:tcPr>
            <w:tcW w:w="5125"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本项目所在区域的水资源丰沛，取用水量远小于所分配用水指标</w:t>
            </w:r>
          </w:p>
        </w:tc>
        <w:tc>
          <w:tcPr>
            <w:tcW w:w="892" w:type="dxa"/>
            <w:tcMar>
              <w:top w:w="0" w:type="dxa"/>
              <w:left w:w="28" w:type="dxa"/>
              <w:bottom w:w="0" w:type="dxa"/>
              <w:right w:w="28" w:type="dxa"/>
            </w:tcMar>
            <w:vAlign w:val="center"/>
          </w:tcPr>
          <w:p>
            <w:pPr>
              <w:spacing w:line="320" w:lineRule="exact"/>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三级</w:t>
            </w:r>
          </w:p>
        </w:tc>
      </w:tr>
    </w:tbl>
    <w:p>
      <w:pPr>
        <w:adjustRightInd w:val="0"/>
        <w:snapToGrid w:val="0"/>
        <w:spacing w:before="156" w:beforeLines="50" w:line="360" w:lineRule="auto"/>
        <w:ind w:firstLine="480" w:firstLineChars="200"/>
        <w:rPr>
          <w:rFonts w:hint="default" w:ascii="Times New Roman" w:hAnsi="Times New Roman" w:cs="Times New Roman"/>
          <w:sz w:val="24"/>
          <w:szCs w:val="24"/>
          <w:highlight w:val="none"/>
          <w:u w:val="single"/>
        </w:rPr>
        <w:sectPr>
          <w:pgSz w:w="11906" w:h="16838"/>
          <w:pgMar w:top="1644" w:right="1800" w:bottom="1814" w:left="1800" w:header="851" w:footer="992" w:gutter="0"/>
          <w:pgNumType w:start="1"/>
          <w:cols w:space="720" w:num="1"/>
          <w:docGrid w:type="lines" w:linePitch="312" w:charSpace="0"/>
        </w:sectPr>
      </w:pPr>
      <w:r>
        <w:rPr>
          <w:rFonts w:hint="default" w:ascii="Times New Roman" w:hAnsi="Times New Roman" w:cs="Times New Roman"/>
          <w:sz w:val="24"/>
          <w:szCs w:val="24"/>
          <w:highlight w:val="none"/>
          <w:u w:val="single"/>
        </w:rPr>
        <w:t>综合上述分析，最终确定安化县乐安镇乐高污水处理厂入河排污口设置论证工作等级为一级。</w:t>
      </w:r>
    </w:p>
    <w:p>
      <w:pPr>
        <w:pStyle w:val="10"/>
        <w:spacing w:before="0" w:after="0" w:line="360" w:lineRule="auto"/>
        <w:outlineLvl w:val="0"/>
        <w:rPr>
          <w:rFonts w:hint="default" w:ascii="Times New Roman" w:hAnsi="Times New Roman" w:cs="Times New Roman"/>
          <w:b/>
          <w:bCs/>
          <w:sz w:val="32"/>
          <w:szCs w:val="32"/>
          <w:highlight w:val="none"/>
        </w:rPr>
      </w:pPr>
      <w:bookmarkStart w:id="29" w:name="_Toc18107"/>
      <w:r>
        <w:rPr>
          <w:rFonts w:hint="default" w:ascii="Times New Roman" w:hAnsi="Times New Roman" w:cs="Times New Roman"/>
          <w:b/>
          <w:bCs/>
          <w:sz w:val="32"/>
          <w:szCs w:val="32"/>
          <w:highlight w:val="none"/>
        </w:rPr>
        <w:t>2  项目概况</w:t>
      </w:r>
      <w:bookmarkEnd w:id="29"/>
    </w:p>
    <w:p>
      <w:pPr>
        <w:pStyle w:val="10"/>
        <w:spacing w:before="0" w:after="0" w:line="360" w:lineRule="auto"/>
        <w:jc w:val="both"/>
        <w:outlineLvl w:val="1"/>
        <w:rPr>
          <w:rFonts w:hint="default" w:ascii="Times New Roman" w:hAnsi="Times New Roman" w:cs="Times New Roman"/>
          <w:b/>
          <w:bCs/>
          <w:szCs w:val="24"/>
          <w:highlight w:val="none"/>
        </w:rPr>
      </w:pPr>
      <w:bookmarkStart w:id="30" w:name="_Toc10290"/>
      <w:r>
        <w:rPr>
          <w:rFonts w:hint="default" w:ascii="Times New Roman" w:hAnsi="Times New Roman" w:cs="Times New Roman"/>
          <w:b/>
          <w:bCs/>
          <w:szCs w:val="24"/>
          <w:highlight w:val="none"/>
        </w:rPr>
        <w:t>2.1.项目基本情况</w:t>
      </w:r>
      <w:bookmarkEnd w:id="30"/>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1" w:name="_Toc17955"/>
      <w:r>
        <w:rPr>
          <w:rFonts w:hint="default" w:ascii="Times New Roman" w:hAnsi="Times New Roman" w:cs="Times New Roman"/>
          <w:b/>
          <w:bCs/>
          <w:szCs w:val="24"/>
          <w:highlight w:val="none"/>
        </w:rPr>
        <w:t>2.1.1.项目概况</w:t>
      </w:r>
      <w:bookmarkEnd w:id="31"/>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（1）项目名称：安化县乐安镇乐高污水处理工程</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（2）建设单位：安化县住房和城乡建设局</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（3）厂址：湖南省益阳市安化县乐安镇乐高社区</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（5）建设性质：新建</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（6）工作人员：1人</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（7）项目投资：总投资525.7万元</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（8）工程规模：总用地面积为893m</w:t>
      </w:r>
      <w:r>
        <w:rPr>
          <w:rFonts w:hint="default" w:ascii="Times New Roman" w:hAnsi="Times New Roman" w:cs="Times New Roman"/>
          <w:szCs w:val="24"/>
          <w:highlight w:val="none"/>
          <w:vertAlign w:val="superscript"/>
        </w:rPr>
        <w:t>2</w:t>
      </w:r>
      <w:r>
        <w:rPr>
          <w:rFonts w:hint="default" w:ascii="Times New Roman" w:hAnsi="Times New Roman" w:cs="Times New Roman"/>
          <w:szCs w:val="24"/>
          <w:highlight w:val="none"/>
        </w:rPr>
        <w:t>；建设规模为150m</w:t>
      </w:r>
      <w:r>
        <w:rPr>
          <w:rFonts w:hint="default" w:ascii="Times New Roman" w:hAnsi="Times New Roman" w:cs="Times New Roman"/>
          <w:szCs w:val="24"/>
          <w:highlight w:val="none"/>
          <w:vertAlign w:val="superscript"/>
        </w:rPr>
        <w:t>3</w:t>
      </w:r>
      <w:r>
        <w:rPr>
          <w:rFonts w:hint="default" w:ascii="Times New Roman" w:hAnsi="Times New Roman" w:cs="Times New Roman"/>
          <w:szCs w:val="24"/>
          <w:highlight w:val="none"/>
        </w:rPr>
        <w:t>/d</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（9）服务范围：服务范围为乐安镇乐高社区，共计约2000人</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szCs w:val="24"/>
          <w:highlight w:val="none"/>
        </w:rPr>
        <w:t>（10）建设情况：2021年建设完成，目前项目</w:t>
      </w:r>
      <w:r>
        <w:rPr>
          <w:rFonts w:hint="default" w:ascii="Times New Roman" w:hAnsi="Times New Roman" w:cs="Times New Roman"/>
          <w:highlight w:val="none"/>
        </w:rPr>
        <w:t>处于调试试运营阶段</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（11）工作制度：每年工作365天，巡检制，厂区无员工驻守</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2" w:name="_Toc15358"/>
      <w:r>
        <w:rPr>
          <w:rFonts w:hint="default" w:ascii="Times New Roman" w:hAnsi="Times New Roman" w:cs="Times New Roman"/>
          <w:b/>
          <w:bCs/>
          <w:szCs w:val="24"/>
          <w:highlight w:val="none"/>
        </w:rPr>
        <w:t>2.1.2.污水处理规模</w:t>
      </w:r>
      <w:bookmarkEnd w:id="32"/>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根据《安化县乡镇污水处理及配套设施项目（二期）初步设计》（湖南平安环保股份有限公司，2020.7）、《安化县乡镇污水处理及配套设施项目（二期）可行性研究报告》（安徽民力工程院咨询有限公司，2020.3），本项目处理规模为150m</w:t>
      </w:r>
      <w:r>
        <w:rPr>
          <w:rFonts w:hint="default" w:ascii="Times New Roman" w:hAnsi="Times New Roman" w:cs="Times New Roman"/>
          <w:szCs w:val="24"/>
          <w:highlight w:val="none"/>
          <w:vertAlign w:val="superscript"/>
        </w:rPr>
        <w:t>3</w:t>
      </w:r>
      <w:r>
        <w:rPr>
          <w:rFonts w:hint="default" w:ascii="Times New Roman" w:hAnsi="Times New Roman" w:cs="Times New Roman"/>
          <w:szCs w:val="24"/>
          <w:highlight w:val="none"/>
        </w:rPr>
        <w:t>/d，出水水质执行《城镇污水处理站污染物排放标准》（GB18918-2002）一级B排放标准。</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3" w:name="_Toc26452"/>
      <w:r>
        <w:rPr>
          <w:rFonts w:hint="default" w:ascii="Times New Roman" w:hAnsi="Times New Roman" w:cs="Times New Roman"/>
          <w:b/>
          <w:bCs/>
          <w:szCs w:val="24"/>
          <w:highlight w:val="none"/>
        </w:rPr>
        <w:t>2.1.3.进水水质要求</w:t>
      </w:r>
      <w:bookmarkEnd w:id="33"/>
    </w:p>
    <w:p>
      <w:pPr>
        <w:pStyle w:val="10"/>
        <w:spacing w:before="0" w:after="0" w:line="360" w:lineRule="auto"/>
        <w:ind w:firstLine="482" w:firstLineChars="200"/>
        <w:jc w:val="both"/>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2.1.3.1.设计进水水质要求</w:t>
      </w:r>
    </w:p>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根据《安化县乡镇污水处理及配套设施项目（二期）初步设计》（湖南平安环保股份有限公司，2020.7）、《安化县乡镇污水处理及配套设施项目（二期）可行性研究报告》（安徽民力工程院咨询有限公司，2020.3），本项目设计进水水质参数如下：</w:t>
      </w:r>
    </w:p>
    <w:p>
      <w:pPr>
        <w:pStyle w:val="10"/>
        <w:spacing w:before="0" w:after="0" w:line="360" w:lineRule="auto"/>
        <w:ind w:firstLine="482" w:firstLineChars="200"/>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表2-1  设计进水水质指标一览表</w:t>
      </w:r>
      <w:r>
        <w:rPr>
          <w:rFonts w:hint="default" w:ascii="Times New Roman" w:hAnsi="Times New Roman" w:cs="Times New Roman"/>
          <w:szCs w:val="24"/>
          <w:highlight w:val="none"/>
        </w:rPr>
        <w:t>（mg/L）</w:t>
      </w:r>
    </w:p>
    <w:tbl>
      <w:tblPr>
        <w:tblStyle w:val="2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62"/>
        <w:gridCol w:w="1065"/>
        <w:gridCol w:w="1065"/>
        <w:gridCol w:w="1065"/>
        <w:gridCol w:w="1065"/>
        <w:gridCol w:w="1065"/>
        <w:gridCol w:w="808"/>
        <w:gridCol w:w="13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623"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项目</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COD</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BOD</w:t>
            </w:r>
            <w:r>
              <w:rPr>
                <w:rFonts w:hint="default" w:ascii="Times New Roman" w:hAnsi="Times New Roman" w:cs="Times New Roman"/>
                <w:b/>
                <w:bCs/>
                <w:sz w:val="21"/>
                <w:szCs w:val="21"/>
                <w:highlight w:val="none"/>
                <w:vertAlign w:val="subscript"/>
              </w:rPr>
              <w:t>5</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SS</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TN</w:t>
            </w:r>
          </w:p>
        </w:tc>
        <w:tc>
          <w:tcPr>
            <w:tcW w:w="62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NH</w:t>
            </w:r>
            <w:r>
              <w:rPr>
                <w:rFonts w:hint="default" w:ascii="Times New Roman" w:hAnsi="Times New Roman" w:cs="Times New Roman"/>
                <w:b/>
                <w:bCs/>
                <w:sz w:val="21"/>
                <w:szCs w:val="21"/>
                <w:highlight w:val="none"/>
                <w:vertAlign w:val="subscript"/>
              </w:rPr>
              <w:t>3</w:t>
            </w:r>
            <w:r>
              <w:rPr>
                <w:rFonts w:hint="default" w:ascii="Times New Roman" w:hAnsi="Times New Roman" w:cs="Times New Roman"/>
                <w:b/>
                <w:bCs/>
                <w:sz w:val="21"/>
                <w:szCs w:val="21"/>
                <w:highlight w:val="none"/>
              </w:rPr>
              <w:t>-H</w:t>
            </w:r>
          </w:p>
        </w:tc>
        <w:tc>
          <w:tcPr>
            <w:tcW w:w="474"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TP</w:t>
            </w:r>
          </w:p>
        </w:tc>
        <w:tc>
          <w:tcPr>
            <w:tcW w:w="775"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粪大肠菌群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3" w:type="pct"/>
          </w:tcPr>
          <w:p>
            <w:pPr>
              <w:pStyle w:val="10"/>
              <w:spacing w:before="0" w:after="0" w:line="360" w:lineRule="auto"/>
              <w:rPr>
                <w:rFonts w:hint="default" w:ascii="Times New Roman" w:hAnsi="Times New Roman" w:cs="Times New Roman"/>
                <w:b/>
                <w:bCs/>
                <w:sz w:val="21"/>
                <w:szCs w:val="21"/>
                <w:highlight w:val="none"/>
              </w:rPr>
            </w:pPr>
            <w:r>
              <w:rPr>
                <w:rFonts w:hint="default" w:ascii="Times New Roman" w:hAnsi="Times New Roman" w:cs="Times New Roman"/>
                <w:sz w:val="21"/>
                <w:szCs w:val="21"/>
                <w:highlight w:val="none"/>
              </w:rPr>
              <w:t>水质指标</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220</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120</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150</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40</w:t>
            </w:r>
          </w:p>
        </w:tc>
        <w:tc>
          <w:tcPr>
            <w:tcW w:w="62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30</w:t>
            </w:r>
          </w:p>
        </w:tc>
        <w:tc>
          <w:tcPr>
            <w:tcW w:w="474"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3.0</w:t>
            </w:r>
          </w:p>
        </w:tc>
        <w:tc>
          <w:tcPr>
            <w:tcW w:w="775" w:type="pct"/>
          </w:tcPr>
          <w:p>
            <w:pPr>
              <w:pStyle w:val="10"/>
              <w:spacing w:before="0" w:after="0" w:line="360" w:lineRule="auto"/>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r>
    </w:tbl>
    <w:p>
      <w:pPr>
        <w:pStyle w:val="10"/>
        <w:widowControl w:val="0"/>
        <w:spacing w:before="0" w:after="0" w:line="360" w:lineRule="auto"/>
        <w:ind w:firstLine="482" w:firstLineChars="200"/>
        <w:jc w:val="both"/>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2.1.3.2.设计出水水质要求</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本工程主要处理纳污范围内的生活废水，经本项目处理后，出水水质达到《城镇污水处理厂污染物排放标准》（GB18918-2002）一级B标准，各项指标详见表2-2所示：</w:t>
      </w:r>
    </w:p>
    <w:p>
      <w:pPr>
        <w:pStyle w:val="10"/>
        <w:spacing w:before="0" w:after="0" w:line="360" w:lineRule="auto"/>
        <w:ind w:firstLine="482" w:firstLineChars="200"/>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表2-2  设计出水水质指标一览表</w:t>
      </w:r>
      <w:r>
        <w:rPr>
          <w:rFonts w:hint="default" w:ascii="Times New Roman" w:hAnsi="Times New Roman" w:cs="Times New Roman"/>
          <w:szCs w:val="24"/>
          <w:highlight w:val="none"/>
        </w:rPr>
        <w:t>（mg/L）</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6"/>
        <w:gridCol w:w="1326"/>
        <w:gridCol w:w="857"/>
        <w:gridCol w:w="56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778"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控制指标</w:t>
            </w:r>
          </w:p>
        </w:tc>
        <w:tc>
          <w:tcPr>
            <w:tcW w:w="503"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3303"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《城镇污水处理厂污染物排放标准》（GB18918-2002）一级B标准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BOD</w:t>
            </w:r>
            <w:r>
              <w:rPr>
                <w:rFonts w:hint="default" w:ascii="Times New Roman" w:hAnsi="Times New Roman" w:cs="Times New Roman"/>
                <w:highlight w:val="none"/>
                <w:vertAlign w:val="subscript"/>
              </w:rPr>
              <w:t>5</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SS</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NH</w:t>
            </w:r>
            <w:r>
              <w:rPr>
                <w:rFonts w:hint="default" w:ascii="Times New Roman" w:hAnsi="Times New Roman" w:cs="Times New Roman"/>
                <w:highlight w:val="none"/>
                <w:vertAlign w:val="subscript"/>
              </w:rPr>
              <w:t>3</w:t>
            </w:r>
            <w:r>
              <w:rPr>
                <w:rFonts w:hint="default" w:ascii="Times New Roman" w:hAnsi="Times New Roman" w:cs="Times New Roman"/>
                <w:highlight w:val="none"/>
              </w:rPr>
              <w:t>-N</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kern w:val="2"/>
                <w:sz w:val="21"/>
                <w:szCs w:val="21"/>
                <w:highlight w:val="none"/>
              </w:rPr>
              <w:t>≤</w:t>
            </w:r>
            <w:r>
              <w:rPr>
                <w:rFonts w:hint="default" w:ascii="Times New Roman" w:hAnsi="Times New Roman" w:cs="Times New Roman"/>
                <w:sz w:val="21"/>
                <w:szCs w:val="21"/>
                <w:highlight w:val="none"/>
              </w:rPr>
              <w:t>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TN</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w:t>
            </w:r>
          </w:p>
        </w:tc>
        <w:tc>
          <w:tcPr>
            <w:tcW w:w="1326"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TP</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5630" w:type="dxa"/>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w:t>
            </w:r>
          </w:p>
        </w:tc>
        <w:tc>
          <w:tcPr>
            <w:tcW w:w="77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粪大肠菌群</w:t>
            </w:r>
          </w:p>
        </w:tc>
        <w:tc>
          <w:tcPr>
            <w:tcW w:w="5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个/L</w:t>
            </w:r>
          </w:p>
        </w:tc>
        <w:tc>
          <w:tcPr>
            <w:tcW w:w="330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r>
              <w:rPr>
                <w:rFonts w:hint="default" w:ascii="Times New Roman" w:hAnsi="Times New Roman" w:cs="Times New Roman"/>
                <w:sz w:val="21"/>
                <w:szCs w:val="21"/>
                <w:highlight w:val="none"/>
                <w:vertAlign w:val="superscript"/>
              </w:rPr>
              <w:t>4</w:t>
            </w:r>
          </w:p>
        </w:tc>
      </w:tr>
    </w:tbl>
    <w:p>
      <w:pPr>
        <w:pStyle w:val="1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本项目进出水质及处理程度如下所示</w:t>
      </w:r>
    </w:p>
    <w:p>
      <w:pPr>
        <w:pStyle w:val="10"/>
        <w:spacing w:before="0" w:after="0" w:line="360" w:lineRule="auto"/>
        <w:ind w:firstLine="482" w:firstLineChars="200"/>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表2-3  设计进出水水质及处理程度一览表</w:t>
      </w:r>
      <w:r>
        <w:rPr>
          <w:rFonts w:hint="default" w:ascii="Times New Roman" w:hAnsi="Times New Roman" w:cs="Times New Roman"/>
          <w:szCs w:val="24"/>
          <w:highlight w:val="none"/>
        </w:rPr>
        <w:t>（mg/L）</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302"/>
        <w:gridCol w:w="951"/>
        <w:gridCol w:w="1642"/>
        <w:gridCol w:w="1961"/>
        <w:gridCol w:w="1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3"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764"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控制指标</w:t>
            </w:r>
          </w:p>
        </w:tc>
        <w:tc>
          <w:tcPr>
            <w:tcW w:w="558"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963"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设计进水水质</w:t>
            </w:r>
          </w:p>
        </w:tc>
        <w:tc>
          <w:tcPr>
            <w:tcW w:w="1150"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设计出水水质</w:t>
            </w:r>
          </w:p>
        </w:tc>
        <w:tc>
          <w:tcPr>
            <w:tcW w:w="1149" w:type="pct"/>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去除效率</w:t>
            </w:r>
            <w:r>
              <w:rPr>
                <w:rFonts w:hint="default" w:ascii="Times New Roman" w:hAnsi="Times New Roman" w:cs="Times New Roman"/>
                <w:sz w:val="21"/>
                <w:szCs w:val="21"/>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1" w:hRule="atLeast"/>
        </w:trPr>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COD</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≤220</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≤60</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72.72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BOD</w:t>
            </w:r>
            <w:r>
              <w:rPr>
                <w:rFonts w:hint="default" w:ascii="Times New Roman" w:hAnsi="Times New Roman" w:cs="Times New Roman"/>
                <w:highlight w:val="none"/>
                <w:vertAlign w:val="subscript"/>
              </w:rPr>
              <w:t>5</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≤120</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83.33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SS</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≤150</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86.66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4</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NH</w:t>
            </w:r>
            <w:r>
              <w:rPr>
                <w:rFonts w:hint="default" w:ascii="Times New Roman" w:hAnsi="Times New Roman" w:cs="Times New Roman"/>
                <w:highlight w:val="none"/>
                <w:vertAlign w:val="subscript"/>
              </w:rPr>
              <w:t>3</w:t>
            </w:r>
            <w:r>
              <w:rPr>
                <w:rFonts w:hint="default" w:ascii="Times New Roman" w:hAnsi="Times New Roman" w:cs="Times New Roman"/>
                <w:highlight w:val="none"/>
              </w:rPr>
              <w:t>-N</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≤30</w:t>
            </w:r>
          </w:p>
        </w:tc>
        <w:tc>
          <w:tcPr>
            <w:tcW w:w="1150" w:type="pct"/>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kern w:val="2"/>
                <w:sz w:val="21"/>
                <w:szCs w:val="21"/>
                <w:highlight w:val="none"/>
              </w:rPr>
              <w:t>≤</w:t>
            </w:r>
            <w:r>
              <w:rPr>
                <w:rFonts w:hint="default" w:ascii="Times New Roman" w:hAnsi="Times New Roman" w:cs="Times New Roman"/>
                <w:sz w:val="21"/>
                <w:szCs w:val="21"/>
                <w:highlight w:val="none"/>
              </w:rPr>
              <w:t>8（15）</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73.33（50）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5</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TN</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≤40</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w:t>
            </w:r>
          </w:p>
        </w:tc>
        <w:tc>
          <w:tcPr>
            <w:tcW w:w="764"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TP</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mg/L</w:t>
            </w:r>
          </w:p>
        </w:tc>
        <w:tc>
          <w:tcPr>
            <w:tcW w:w="963"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1150"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1149" w:type="pct"/>
            <w:vAlign w:val="center"/>
          </w:tcPr>
          <w:p>
            <w:pPr>
              <w:spacing w:line="320" w:lineRule="exact"/>
              <w:jc w:val="center"/>
              <w:rPr>
                <w:rFonts w:hint="default" w:ascii="Times New Roman" w:hAnsi="Times New Roman" w:cs="Times New Roman"/>
                <w:highlight w:val="none"/>
              </w:rPr>
            </w:pPr>
            <w:r>
              <w:rPr>
                <w:rFonts w:hint="default" w:ascii="Times New Roman" w:hAnsi="Times New Roman" w:cs="Times New Roman"/>
                <w:highlight w:val="none"/>
              </w:rPr>
              <w:t>66.66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7</w:t>
            </w:r>
          </w:p>
        </w:tc>
        <w:tc>
          <w:tcPr>
            <w:tcW w:w="764"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粪大肠菌群</w:t>
            </w:r>
          </w:p>
        </w:tc>
        <w:tc>
          <w:tcPr>
            <w:tcW w:w="558"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个/L</w:t>
            </w:r>
          </w:p>
        </w:tc>
        <w:tc>
          <w:tcPr>
            <w:tcW w:w="963"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p>
        </w:tc>
        <w:tc>
          <w:tcPr>
            <w:tcW w:w="1150" w:type="pct"/>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10</w:t>
            </w:r>
            <w:r>
              <w:rPr>
                <w:rFonts w:hint="default" w:ascii="Times New Roman" w:hAnsi="Times New Roman" w:cs="Times New Roman"/>
                <w:sz w:val="21"/>
                <w:szCs w:val="21"/>
                <w:highlight w:val="none"/>
                <w:vertAlign w:val="superscript"/>
              </w:rPr>
              <w:t>3</w:t>
            </w:r>
          </w:p>
        </w:tc>
        <w:tc>
          <w:tcPr>
            <w:tcW w:w="1149" w:type="pct"/>
            <w:vAlign w:val="center"/>
          </w:tcPr>
          <w:p>
            <w:pPr>
              <w:widowControl/>
              <w:jc w:val="center"/>
              <w:textAlignment w:val="center"/>
              <w:rPr>
                <w:rFonts w:hint="default" w:ascii="Times New Roman" w:hAnsi="Times New Roman" w:cs="Times New Roman"/>
                <w:kern w:val="0"/>
                <w:highlight w:val="none"/>
              </w:rPr>
            </w:pPr>
            <w:r>
              <w:rPr>
                <w:rFonts w:hint="default" w:ascii="Times New Roman" w:hAnsi="Times New Roman" w:cs="Times New Roman"/>
                <w:kern w:val="0"/>
                <w:highlight w:val="none"/>
              </w:rPr>
              <w:t>-</w:t>
            </w:r>
          </w:p>
        </w:tc>
      </w:tr>
    </w:tbl>
    <w:p>
      <w:pPr>
        <w:widowControl/>
        <w:spacing w:line="360" w:lineRule="auto"/>
        <w:ind w:firstLine="482" w:firstLineChars="200"/>
        <w:jc w:val="left"/>
        <w:outlineLvl w:val="2"/>
        <w:rPr>
          <w:rFonts w:hint="default" w:ascii="Times New Roman" w:hAnsi="Times New Roman" w:cs="Times New Roman"/>
          <w:highlight w:val="none"/>
        </w:rPr>
      </w:pPr>
      <w:bookmarkStart w:id="34" w:name="_Toc2771"/>
      <w:r>
        <w:rPr>
          <w:rFonts w:hint="default" w:ascii="Times New Roman" w:hAnsi="Times New Roman" w:cs="Times New Roman"/>
          <w:b/>
          <w:bCs/>
          <w:color w:val="000000"/>
          <w:kern w:val="0"/>
          <w:sz w:val="24"/>
          <w:szCs w:val="24"/>
          <w:highlight w:val="none"/>
          <w:lang w:bidi="ar"/>
        </w:rPr>
        <w:t>2.1.4.污水处理工艺</w:t>
      </w:r>
      <w:bookmarkEnd w:id="34"/>
    </w:p>
    <w:p>
      <w:pPr>
        <w:pStyle w:val="10"/>
        <w:spacing w:before="0" w:after="0" w:line="360" w:lineRule="auto"/>
        <w:ind w:firstLine="482" w:firstLineChars="200"/>
        <w:jc w:val="both"/>
        <w:outlineLvl w:val="3"/>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2.1.4.1处理工艺</w:t>
      </w:r>
    </w:p>
    <w:p>
      <w:pPr>
        <w:pStyle w:val="10"/>
        <w:spacing w:before="0" w:after="0" w:line="360" w:lineRule="auto"/>
        <w:ind w:firstLine="480" w:firstLineChars="200"/>
        <w:jc w:val="both"/>
        <w:rPr>
          <w:rFonts w:hint="default" w:ascii="Times New Roman" w:hAnsi="Times New Roman" w:cs="Times New Roman"/>
          <w:highlight w:val="none"/>
        </w:rPr>
      </w:pPr>
      <w:r>
        <w:rPr>
          <w:rFonts w:hint="default" w:ascii="Times New Roman" w:hAnsi="Times New Roman" w:cs="Times New Roman"/>
          <w:szCs w:val="24"/>
          <w:highlight w:val="none"/>
        </w:rPr>
        <w:t>本污水处理厂的处理工艺为：</w:t>
      </w:r>
      <w:r>
        <w:rPr>
          <w:rFonts w:hint="default" w:ascii="Times New Roman" w:hAnsi="Times New Roman" w:cs="Times New Roman"/>
          <w:highlight w:val="none"/>
        </w:rPr>
        <w:t>格栅渠-调节池-水解酸化-接触氧化（厌氧-缺氧-好氧）-二沉池-清水池-多介质过滤器-紫外线消毒-计量渠-外排，处理工艺如下所示：</w:t>
      </w:r>
    </w:p>
    <w:p>
      <w:pPr>
        <w:pStyle w:val="10"/>
        <w:spacing w:before="0" w:after="0" w:line="360" w:lineRule="auto"/>
        <w:jc w:val="both"/>
        <w:rPr>
          <w:rFonts w:hint="default" w:ascii="Times New Roman" w:hAnsi="Times New Roman" w:cs="Times New Roman"/>
          <w:highlight w:val="none"/>
        </w:rPr>
      </w:pPr>
      <w:r>
        <w:rPr>
          <w:rFonts w:hint="default" w:ascii="Times New Roman" w:hAnsi="Times New Roman" w:cs="Times New Roman"/>
          <w:szCs w:val="24"/>
          <w:highlight w:val="none"/>
        </w:rPr>
        <w:drawing>
          <wp:inline distT="0" distB="0" distL="114300" distR="114300">
            <wp:extent cx="5260975" cy="1874520"/>
            <wp:effectExtent l="0" t="0" r="12065" b="0"/>
            <wp:docPr id="2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IMG_256"/>
                    <pic:cNvPicPr>
                      <a:picLocks noChangeAspect="1"/>
                    </pic:cNvPicPr>
                  </pic:nvPicPr>
                  <pic:blipFill>
                    <a:blip r:embed="rId8"/>
                    <a:stretch>
                      <a:fillRect/>
                    </a:stretch>
                  </pic:blipFill>
                  <pic:spPr>
                    <a:xfrm>
                      <a:off x="0" y="0"/>
                      <a:ext cx="5260975" cy="1874520"/>
                    </a:xfrm>
                    <a:prstGeom prst="rect">
                      <a:avLst/>
                    </a:prstGeom>
                    <a:noFill/>
                    <a:ln w="9525">
                      <a:noFill/>
                    </a:ln>
                  </pic:spPr>
                </pic:pic>
              </a:graphicData>
            </a:graphic>
          </wp:inline>
        </w:drawing>
      </w:r>
    </w:p>
    <w:p>
      <w:pPr>
        <w:pStyle w:val="10"/>
        <w:spacing w:before="0" w:after="0" w:line="360" w:lineRule="auto"/>
        <w:rPr>
          <w:rFonts w:hint="default" w:ascii="Times New Roman" w:hAnsi="Times New Roman" w:cs="Times New Roman"/>
          <w:b/>
          <w:bCs/>
          <w:highlight w:val="none"/>
        </w:rPr>
      </w:pPr>
      <w:r>
        <w:rPr>
          <w:rFonts w:hint="default" w:ascii="Times New Roman" w:hAnsi="Times New Roman" w:cs="Times New Roman"/>
          <w:b/>
          <w:bCs/>
          <w:highlight w:val="none"/>
        </w:rPr>
        <w:t>图2-1  污水处理工艺流程图</w:t>
      </w:r>
    </w:p>
    <w:p>
      <w:pPr>
        <w:pStyle w:val="10"/>
        <w:widowControl w:val="0"/>
        <w:spacing w:before="0" w:after="0" w:line="360" w:lineRule="auto"/>
        <w:ind w:firstLine="482" w:firstLineChars="200"/>
        <w:jc w:val="both"/>
        <w:outlineLvl w:val="3"/>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2.1.4.2处理设施设计参数</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本污水处理厂各部分设计参数如下所示：</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（1）预处理</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预处理段设置格栅井，主要去除污水中较粗大的漂浮物（如树叶、杂草、木块、废塑料等），保护水泵的正常工作。在调节池前端设置提篮式格栅。设施具体情况如下所示：</w:t>
      </w:r>
    </w:p>
    <w:p>
      <w:pPr>
        <w:pStyle w:val="10"/>
        <w:widowControl w:val="0"/>
        <w:spacing w:before="0" w:after="0" w:line="360" w:lineRule="auto"/>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表2-4  格栅设备设施一览表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230"/>
        <w:gridCol w:w="2977"/>
        <w:gridCol w:w="1001"/>
        <w:gridCol w:w="775"/>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序号</w:t>
            </w:r>
          </w:p>
        </w:tc>
        <w:tc>
          <w:tcPr>
            <w:tcW w:w="1230"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名称</w:t>
            </w:r>
          </w:p>
        </w:tc>
        <w:tc>
          <w:tcPr>
            <w:tcW w:w="2977"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规格型号</w:t>
            </w:r>
          </w:p>
        </w:tc>
        <w:tc>
          <w:tcPr>
            <w:tcW w:w="1001"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单位</w:t>
            </w:r>
          </w:p>
        </w:tc>
        <w:tc>
          <w:tcPr>
            <w:tcW w:w="775"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数量</w:t>
            </w:r>
          </w:p>
        </w:tc>
        <w:tc>
          <w:tcPr>
            <w:tcW w:w="1790" w:type="dxa"/>
            <w:vAlign w:val="center"/>
          </w:tcPr>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b/>
                <w:bCs/>
                <w:kern w:val="0"/>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230"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格栅井</w:t>
            </w:r>
          </w:p>
        </w:tc>
        <w:tc>
          <w:tcPr>
            <w:tcW w:w="2977"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L×B×H=6.5m×1.0m×4.35m</w:t>
            </w:r>
          </w:p>
        </w:tc>
        <w:tc>
          <w:tcPr>
            <w:tcW w:w="1001"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7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790"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地下钢砼结构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2</w:t>
            </w:r>
          </w:p>
        </w:tc>
        <w:tc>
          <w:tcPr>
            <w:tcW w:w="1230"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方闸门</w:t>
            </w:r>
          </w:p>
        </w:tc>
        <w:tc>
          <w:tcPr>
            <w:tcW w:w="2977"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B×H=400×400</w:t>
            </w:r>
          </w:p>
        </w:tc>
        <w:tc>
          <w:tcPr>
            <w:tcW w:w="1001"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7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790" w:type="dxa"/>
            <w:vAlign w:val="center"/>
          </w:tcPr>
          <w:p>
            <w:pPr>
              <w:widowControl/>
              <w:jc w:val="center"/>
              <w:textAlignment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49"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3</w:t>
            </w:r>
          </w:p>
        </w:tc>
        <w:tc>
          <w:tcPr>
            <w:tcW w:w="1230"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回转式机械格栅</w:t>
            </w:r>
          </w:p>
        </w:tc>
        <w:tc>
          <w:tcPr>
            <w:tcW w:w="2977"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B=900mm，b=10mm，θ=75°，H=4.35m，N=0.75kW</w:t>
            </w:r>
          </w:p>
        </w:tc>
        <w:tc>
          <w:tcPr>
            <w:tcW w:w="1001"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775" w:type="dxa"/>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790" w:type="dxa"/>
            <w:vAlign w:val="center"/>
          </w:tcPr>
          <w:p>
            <w:pPr>
              <w:widowControl/>
              <w:jc w:val="center"/>
              <w:textAlignment w:val="center"/>
              <w:rPr>
                <w:rFonts w:hint="default" w:ascii="Times New Roman" w:hAnsi="Times New Roman" w:cs="Times New Roman"/>
                <w:highlight w:val="none"/>
              </w:rPr>
            </w:pPr>
          </w:p>
        </w:tc>
      </w:tr>
    </w:tbl>
    <w:p>
      <w:pPr>
        <w:pStyle w:val="10"/>
        <w:widowControl w:val="0"/>
        <w:numPr>
          <w:ilvl w:val="0"/>
          <w:numId w:val="4"/>
        </w:numPr>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调节池</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对进厂污水进行水质水量调节，将污水提升输送至一体化设备。</w:t>
      </w:r>
    </w:p>
    <w:p>
      <w:pPr>
        <w:pStyle w:val="10"/>
        <w:widowControl w:val="0"/>
        <w:spacing w:before="0" w:after="0" w:line="360" w:lineRule="auto"/>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表2-5  调节池设备设施一览表</w:t>
      </w:r>
    </w:p>
    <w:tbl>
      <w:tblPr>
        <w:tblStyle w:val="24"/>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302"/>
        <w:gridCol w:w="2414"/>
        <w:gridCol w:w="662"/>
        <w:gridCol w:w="638"/>
        <w:gridCol w:w="28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1302"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名称</w:t>
            </w:r>
          </w:p>
        </w:tc>
        <w:tc>
          <w:tcPr>
            <w:tcW w:w="2414"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规格型号</w:t>
            </w:r>
          </w:p>
        </w:tc>
        <w:tc>
          <w:tcPr>
            <w:tcW w:w="662"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638"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数量</w:t>
            </w:r>
          </w:p>
        </w:tc>
        <w:tc>
          <w:tcPr>
            <w:tcW w:w="2829" w:type="dxa"/>
            <w:vAlign w:val="center"/>
          </w:tcPr>
          <w:p>
            <w:pPr>
              <w:pStyle w:val="10"/>
              <w:adjustRightInd w:val="0"/>
              <w:snapToGrid w:val="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130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调节池</w:t>
            </w:r>
          </w:p>
        </w:tc>
        <w:tc>
          <w:tcPr>
            <w:tcW w:w="2414"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L×B×H=13.8m×6.5m×5.45m</w:t>
            </w:r>
          </w:p>
        </w:tc>
        <w:tc>
          <w:tcPr>
            <w:tcW w:w="66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座</w:t>
            </w:r>
          </w:p>
        </w:tc>
        <w:tc>
          <w:tcPr>
            <w:tcW w:w="638"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2829"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钢筋混凝土结构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2</w:t>
            </w:r>
          </w:p>
        </w:tc>
        <w:tc>
          <w:tcPr>
            <w:tcW w:w="130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潜水排污泵</w:t>
            </w:r>
          </w:p>
        </w:tc>
        <w:tc>
          <w:tcPr>
            <w:tcW w:w="2414"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Q=12.5m³/h，H=10m，N=1.1kW，自耦式</w:t>
            </w:r>
          </w:p>
        </w:tc>
        <w:tc>
          <w:tcPr>
            <w:tcW w:w="66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638"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2</w:t>
            </w:r>
          </w:p>
        </w:tc>
        <w:tc>
          <w:tcPr>
            <w:tcW w:w="2829"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2台，1用1备，其中备用泵加变频；控制方式：根据调节池液位，由PLC自动控制，也可现场手动控制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3</w:t>
            </w:r>
          </w:p>
        </w:tc>
        <w:tc>
          <w:tcPr>
            <w:tcW w:w="130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潜水搅拌机</w:t>
            </w:r>
          </w:p>
        </w:tc>
        <w:tc>
          <w:tcPr>
            <w:tcW w:w="2414"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QJB1.5</w:t>
            </w:r>
          </w:p>
        </w:tc>
        <w:tc>
          <w:tcPr>
            <w:tcW w:w="66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638"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2829"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管径为260mm，N=1.5kW，转速：960rp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7"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4</w:t>
            </w:r>
          </w:p>
        </w:tc>
        <w:tc>
          <w:tcPr>
            <w:tcW w:w="130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手动葫芦</w:t>
            </w:r>
          </w:p>
        </w:tc>
        <w:tc>
          <w:tcPr>
            <w:tcW w:w="2414"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CD1.0-13</w:t>
            </w:r>
          </w:p>
        </w:tc>
        <w:tc>
          <w:tcPr>
            <w:tcW w:w="662"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台</w:t>
            </w:r>
          </w:p>
        </w:tc>
        <w:tc>
          <w:tcPr>
            <w:tcW w:w="638"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1</w:t>
            </w:r>
          </w:p>
        </w:tc>
        <w:tc>
          <w:tcPr>
            <w:tcW w:w="2829" w:type="dxa"/>
            <w:vAlign w:val="center"/>
          </w:tcPr>
          <w:p>
            <w:pPr>
              <w:widowControl/>
              <w:adjustRightInd w:val="0"/>
              <w:snapToGrid w:val="0"/>
              <w:jc w:val="center"/>
              <w:textAlignment w:val="center"/>
              <w:rPr>
                <w:rFonts w:hint="default" w:ascii="Times New Roman" w:hAnsi="Times New Roman" w:cs="Times New Roman"/>
                <w:highlight w:val="none"/>
              </w:rPr>
            </w:pPr>
            <w:r>
              <w:rPr>
                <w:rFonts w:hint="default" w:ascii="Times New Roman" w:hAnsi="Times New Roman" w:cs="Times New Roman"/>
                <w:kern w:val="0"/>
                <w:highlight w:val="none"/>
              </w:rPr>
              <w:t>提升重量1.0t，提升高度13m</w:t>
            </w:r>
          </w:p>
        </w:tc>
      </w:tr>
    </w:tbl>
    <w:p>
      <w:pPr>
        <w:pStyle w:val="10"/>
        <w:widowControl w:val="0"/>
        <w:numPr>
          <w:ilvl w:val="0"/>
          <w:numId w:val="4"/>
        </w:numPr>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一体化设备</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在设备内污水依次经过水解酸化区、生物接触氧化区、沉淀区、清水区，污水中污染因子被微生物充分降解分解或与水分离。</w:t>
      </w:r>
    </w:p>
    <w:p>
      <w:pPr>
        <w:pStyle w:val="10"/>
        <w:spacing w:before="0" w:after="0" w:line="360" w:lineRule="auto"/>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表2-6  一体化设备设施一览表</w:t>
      </w:r>
    </w:p>
    <w:tbl>
      <w:tblPr>
        <w:tblStyle w:val="2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6"/>
        <w:gridCol w:w="2517"/>
        <w:gridCol w:w="2787"/>
        <w:gridCol w:w="498"/>
        <w:gridCol w:w="486"/>
        <w:gridCol w:w="18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序号</w:t>
            </w:r>
          </w:p>
        </w:tc>
        <w:tc>
          <w:tcPr>
            <w:tcW w:w="1476" w:type="pct"/>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名称</w:t>
            </w:r>
          </w:p>
        </w:tc>
        <w:tc>
          <w:tcPr>
            <w:tcW w:w="1635" w:type="pct"/>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规格型号</w:t>
            </w:r>
          </w:p>
        </w:tc>
        <w:tc>
          <w:tcPr>
            <w:tcW w:w="292" w:type="pct"/>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单位</w:t>
            </w:r>
          </w:p>
        </w:tc>
        <w:tc>
          <w:tcPr>
            <w:tcW w:w="285" w:type="pct"/>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数量</w:t>
            </w:r>
          </w:p>
        </w:tc>
        <w:tc>
          <w:tcPr>
            <w:tcW w:w="1066" w:type="pct"/>
            <w:vAlign w:val="center"/>
          </w:tcPr>
          <w:p>
            <w:pPr>
              <w:widowControl/>
              <w:jc w:val="center"/>
              <w:textAlignment w:val="center"/>
              <w:rPr>
                <w:rFonts w:hint="default" w:ascii="Times New Roman" w:hAnsi="Times New Roman" w:cs="Times New Roman"/>
                <w:b/>
                <w:bCs/>
                <w:kern w:val="0"/>
                <w:highlight w:val="none"/>
              </w:rPr>
            </w:pPr>
            <w:r>
              <w:rPr>
                <w:rFonts w:hint="default" w:ascii="Times New Roman" w:hAnsi="Times New Roman" w:cs="Times New Roman"/>
                <w:b/>
                <w:bCs/>
                <w:kern w:val="0"/>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一体化设备</w:t>
            </w:r>
          </w:p>
        </w:tc>
        <w:tc>
          <w:tcPr>
            <w:tcW w:w="1635"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150m</w:t>
            </w:r>
            <w:r>
              <w:rPr>
                <w:rFonts w:hint="default" w:ascii="Times New Roman" w:hAnsi="Times New Roman" w:cs="Times New Roman"/>
                <w:color w:val="000000"/>
                <w:kern w:val="0"/>
                <w:highlight w:val="none"/>
                <w:vertAlign w:val="superscript"/>
                <w:lang w:bidi="ar"/>
              </w:rPr>
              <w:t>3</w:t>
            </w:r>
            <w:r>
              <w:rPr>
                <w:rFonts w:hint="default" w:ascii="Times New Roman" w:hAnsi="Times New Roman" w:cs="Times New Roman"/>
                <w:color w:val="000000"/>
                <w:kern w:val="0"/>
                <w:highlight w:val="none"/>
                <w:lang w:bidi="ar"/>
              </w:rPr>
              <w:t>/d；L×B×H=10.7m×3.0m×3.0m</w:t>
            </w:r>
          </w:p>
        </w:tc>
        <w:tc>
          <w:tcPr>
            <w:tcW w:w="292"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套</w:t>
            </w:r>
          </w:p>
        </w:tc>
        <w:tc>
          <w:tcPr>
            <w:tcW w:w="285"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2</w:t>
            </w:r>
          </w:p>
        </w:tc>
        <w:tc>
          <w:tcPr>
            <w:tcW w:w="1066" w:type="pct"/>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一备一用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电动阀</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DN80</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填料</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弹性填料，</w:t>
            </w:r>
            <w:r>
              <w:rPr>
                <w:rFonts w:hint="default" w:ascii="Times New Roman" w:hAnsi="Times New Roman" w:eastAsia="黑体" w:cs="Times New Roman"/>
                <w:color w:val="000000"/>
                <w:kern w:val="0"/>
                <w:sz w:val="18"/>
                <w:szCs w:val="18"/>
                <w:highlight w:val="none"/>
                <w:lang w:bidi="ar"/>
              </w:rPr>
              <w:t>φ</w:t>
            </w:r>
            <w:r>
              <w:rPr>
                <w:rFonts w:hint="default" w:ascii="Times New Roman" w:hAnsi="Times New Roman" w:cs="Times New Roman"/>
                <w:color w:val="000000"/>
                <w:kern w:val="0"/>
                <w:highlight w:val="none"/>
                <w:lang w:bidi="ar"/>
              </w:rPr>
              <w:t>150，1.5m/根</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highlight w:val="none"/>
                <w:lang w:bidi="ar"/>
              </w:rPr>
              <w:t>m³</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28</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填料支架</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碳钢防腐处理</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w:t>
            </w:r>
          </w:p>
        </w:tc>
        <w:tc>
          <w:tcPr>
            <w:tcW w:w="1066" w:type="pct"/>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曝气盘</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ABS，</w:t>
            </w:r>
            <w:r>
              <w:rPr>
                <w:rFonts w:hint="default" w:ascii="Times New Roman" w:hAnsi="Times New Roman" w:eastAsia="黑体" w:cs="Times New Roman"/>
                <w:color w:val="000000"/>
                <w:kern w:val="0"/>
                <w:sz w:val="18"/>
                <w:szCs w:val="18"/>
                <w:highlight w:val="none"/>
                <w:lang w:bidi="ar"/>
              </w:rPr>
              <w:t>φ</w:t>
            </w:r>
            <w:r>
              <w:rPr>
                <w:rFonts w:hint="default" w:ascii="Times New Roman" w:hAnsi="Times New Roman" w:cs="Times New Roman"/>
                <w:color w:val="000000"/>
                <w:kern w:val="0"/>
                <w:highlight w:val="none"/>
                <w:lang w:bidi="ar"/>
              </w:rPr>
              <w:t>215</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54</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污泥泵</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50WQ10-7-0.55</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剩余污泥泵</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50WQ10-7-0.55</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南方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潜水搅拌机</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0.37KW，铸铁材质</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不锈钢主机，铸铁支架。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液位浮球</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0-3m量程</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斜管填料支架</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碳钢防腐处理</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斜管填料</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孔径</w:t>
            </w:r>
            <w:r>
              <w:rPr>
                <w:rFonts w:hint="default" w:ascii="Times New Roman" w:hAnsi="Times New Roman" w:eastAsia="黑体" w:cs="Times New Roman"/>
                <w:color w:val="000000"/>
                <w:kern w:val="0"/>
                <w:sz w:val="18"/>
                <w:szCs w:val="18"/>
                <w:highlight w:val="none"/>
                <w:lang w:bidi="ar"/>
              </w:rPr>
              <w:t>φ</w:t>
            </w:r>
            <w:r>
              <w:rPr>
                <w:rFonts w:hint="default" w:ascii="Times New Roman" w:hAnsi="Times New Roman" w:cs="Times New Roman"/>
                <w:color w:val="000000"/>
                <w:kern w:val="0"/>
                <w:highlight w:val="none"/>
                <w:lang w:bidi="ar"/>
              </w:rPr>
              <w:t>50</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6</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多介质过滤器</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eastAsia="黑体" w:cs="Times New Roman"/>
                <w:color w:val="000000"/>
                <w:kern w:val="0"/>
                <w:sz w:val="18"/>
                <w:szCs w:val="18"/>
                <w:highlight w:val="none"/>
                <w:lang w:bidi="ar"/>
              </w:rPr>
              <w:t>Φ</w:t>
            </w:r>
            <w:r>
              <w:rPr>
                <w:rFonts w:hint="default" w:ascii="Times New Roman" w:hAnsi="Times New Roman" w:cs="Times New Roman"/>
                <w:color w:val="000000"/>
                <w:kern w:val="0"/>
                <w:highlight w:val="none"/>
                <w:lang w:bidi="ar"/>
              </w:rPr>
              <w:t>750*2000，玻璃钢罐体、滤料（石英砂）、自动阀头、增压泵、排污泵、污水桶。</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转子流量计</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PVC材质</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只</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DN40，1-10t/h；DN80，5-25t/h各1套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紫外线消毒器</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highlight w:val="none"/>
                <w:lang w:bidi="ar"/>
              </w:rPr>
              <w:t>7.0m³/h，套管式</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一体化设备内部管道</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各型号给水\排水\线管\钢管等</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批</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箱体</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10.7m*3*2.8，内部环氧煤沥青漆防腐，外部防锈底漆二道；8mm Q235 碳钢防腐</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套</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鼓风机</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highlight w:val="none"/>
                <w:lang w:bidi="ar"/>
              </w:rPr>
              <w:t>102m³/h，32kpa</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1用1备，国产优质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PAC加药</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200LPE桶，搅拌机，24L/h计量泵</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集水桶</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300L方桶，86.5*64.7*61.5cm</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只</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排水泵</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WQD5-4-0.18，220V</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台</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一体化设备内电控系统</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电控柜及国标电子配件</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批</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一体化设备内电线电缆</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国标</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批</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国产优质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44" w:type="pct"/>
            <w:vAlign w:val="center"/>
          </w:tcPr>
          <w:p>
            <w:pPr>
              <w:widowControl/>
              <w:numPr>
                <w:ilvl w:val="0"/>
                <w:numId w:val="5"/>
              </w:numPr>
              <w:jc w:val="center"/>
              <w:textAlignment w:val="center"/>
              <w:rPr>
                <w:rFonts w:hint="default" w:ascii="Times New Roman" w:hAnsi="Times New Roman" w:cs="Times New Roman"/>
                <w:kern w:val="0"/>
                <w:highlight w:val="none"/>
              </w:rPr>
            </w:pPr>
          </w:p>
        </w:tc>
        <w:tc>
          <w:tcPr>
            <w:tcW w:w="147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PLC自动化控制</w:t>
            </w:r>
          </w:p>
        </w:tc>
        <w:tc>
          <w:tcPr>
            <w:tcW w:w="163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PLC模块及自动化系统等</w:t>
            </w:r>
          </w:p>
        </w:tc>
        <w:tc>
          <w:tcPr>
            <w:tcW w:w="292"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批</w:t>
            </w:r>
          </w:p>
        </w:tc>
        <w:tc>
          <w:tcPr>
            <w:tcW w:w="285"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1</w:t>
            </w:r>
          </w:p>
        </w:tc>
        <w:tc>
          <w:tcPr>
            <w:tcW w:w="1066" w:type="pct"/>
            <w:vAlign w:val="center"/>
          </w:tcPr>
          <w:p>
            <w:pPr>
              <w:widowControl/>
              <w:jc w:val="center"/>
              <w:textAlignment w:val="center"/>
              <w:rPr>
                <w:rFonts w:hint="default" w:ascii="Times New Roman" w:hAnsi="Times New Roman" w:cs="Times New Roman"/>
                <w:highlight w:val="none"/>
              </w:rPr>
            </w:pPr>
            <w:r>
              <w:rPr>
                <w:rFonts w:hint="default" w:ascii="Times New Roman" w:hAnsi="Times New Roman" w:cs="Times New Roman"/>
                <w:color w:val="000000"/>
                <w:kern w:val="0"/>
                <w:highlight w:val="none"/>
                <w:lang w:bidi="ar"/>
              </w:rPr>
              <w:t>国产品牌（含软件编程）</w:t>
            </w:r>
          </w:p>
        </w:tc>
      </w:tr>
    </w:tbl>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运行方式：生物接触氧化区的混合液通过回流装置回流至水解酸化区，沉淀区的底部污泥通过污泥泵回流至水解酸化。接触氧化区出水流入至沉淀区进行固液分离，沉淀区的出水经清水池后，经紫外消毒器消毒处理后达标排放。污泥定期自动外排至污泥池。整套处理工艺设有应急系统，当出现污水不达标时，污水通过管道排放至调节池重新处理，以确保污水达标后排放。</w:t>
      </w:r>
    </w:p>
    <w:p>
      <w:pPr>
        <w:pStyle w:val="10"/>
        <w:widowControl w:val="0"/>
        <w:numPr>
          <w:ilvl w:val="0"/>
          <w:numId w:val="4"/>
        </w:numPr>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污泥池</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用于对一体化设备剩余污泥进行适当暂存并浓缩，污泥定期抽走至污泥处置中心统一处置。</w:t>
      </w:r>
    </w:p>
    <w:p>
      <w:pPr>
        <w:pStyle w:val="10"/>
        <w:widowControl w:val="0"/>
        <w:spacing w:before="0" w:after="0" w:line="360" w:lineRule="auto"/>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表2-7 污泥池设施一览表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9"/>
        <w:gridCol w:w="1230"/>
        <w:gridCol w:w="2977"/>
        <w:gridCol w:w="1001"/>
        <w:gridCol w:w="775"/>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1230"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名称</w:t>
            </w:r>
          </w:p>
        </w:tc>
        <w:tc>
          <w:tcPr>
            <w:tcW w:w="2977"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规格型号</w:t>
            </w:r>
          </w:p>
        </w:tc>
        <w:tc>
          <w:tcPr>
            <w:tcW w:w="1001"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775"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数量</w:t>
            </w:r>
          </w:p>
        </w:tc>
        <w:tc>
          <w:tcPr>
            <w:tcW w:w="1790"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49"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12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污泥池</w:t>
            </w:r>
          </w:p>
        </w:tc>
        <w:tc>
          <w:tcPr>
            <w:tcW w:w="2977"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L×B×H=2.5m×2.5m×3.0</w:t>
            </w:r>
          </w:p>
        </w:tc>
        <w:tc>
          <w:tcPr>
            <w:tcW w:w="1001"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座</w:t>
            </w:r>
          </w:p>
        </w:tc>
        <w:tc>
          <w:tcPr>
            <w:tcW w:w="775"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179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钢筋混凝土结构</w:t>
            </w:r>
          </w:p>
        </w:tc>
      </w:tr>
    </w:tbl>
    <w:p>
      <w:pPr>
        <w:pStyle w:val="10"/>
        <w:widowControl w:val="0"/>
        <w:numPr>
          <w:ilvl w:val="0"/>
          <w:numId w:val="4"/>
        </w:numPr>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综合管理用房</w:t>
      </w:r>
    </w:p>
    <w:p>
      <w:pPr>
        <w:pStyle w:val="10"/>
        <w:widowControl w:val="0"/>
        <w:spacing w:before="0" w:after="0" w:line="360" w:lineRule="auto"/>
        <w:ind w:firstLine="480" w:firstLineChars="200"/>
        <w:jc w:val="both"/>
        <w:rPr>
          <w:rFonts w:hint="default" w:ascii="Times New Roman" w:hAnsi="Times New Roman" w:cs="Times New Roman"/>
          <w:szCs w:val="24"/>
          <w:highlight w:val="none"/>
        </w:rPr>
      </w:pPr>
      <w:r>
        <w:rPr>
          <w:rFonts w:hint="default" w:ascii="Times New Roman" w:hAnsi="Times New Roman" w:cs="Times New Roman"/>
          <w:szCs w:val="24"/>
          <w:highlight w:val="none"/>
        </w:rPr>
        <w:t>包括配电间及中控室、值班室等。配电间主要放置工艺所需的电控系统和必要的维护工具等。</w:t>
      </w:r>
    </w:p>
    <w:p>
      <w:pPr>
        <w:pStyle w:val="10"/>
        <w:spacing w:before="0" w:after="0" w:line="360" w:lineRule="auto"/>
        <w:ind w:firstLine="241" w:firstLineChars="100"/>
        <w:rPr>
          <w:rFonts w:hint="default" w:ascii="Times New Roman" w:hAnsi="Times New Roman" w:cs="Times New Roman"/>
          <w:b/>
          <w:bCs/>
          <w:szCs w:val="24"/>
          <w:highlight w:val="none"/>
        </w:rPr>
      </w:pPr>
      <w:r>
        <w:rPr>
          <w:rFonts w:hint="default" w:ascii="Times New Roman" w:hAnsi="Times New Roman" w:cs="Times New Roman"/>
          <w:b/>
          <w:bCs/>
          <w:szCs w:val="24"/>
          <w:highlight w:val="none"/>
        </w:rPr>
        <w:t>表2-8 综合管理用房设备设施一览表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074"/>
        <w:gridCol w:w="2430"/>
        <w:gridCol w:w="900"/>
        <w:gridCol w:w="730"/>
        <w:gridCol w:w="27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序号</w:t>
            </w:r>
          </w:p>
        </w:tc>
        <w:tc>
          <w:tcPr>
            <w:tcW w:w="1074"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名称</w:t>
            </w:r>
          </w:p>
        </w:tc>
        <w:tc>
          <w:tcPr>
            <w:tcW w:w="2430"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规格型号</w:t>
            </w:r>
          </w:p>
        </w:tc>
        <w:tc>
          <w:tcPr>
            <w:tcW w:w="900"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单位</w:t>
            </w:r>
          </w:p>
        </w:tc>
        <w:tc>
          <w:tcPr>
            <w:tcW w:w="730"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数量</w:t>
            </w:r>
          </w:p>
        </w:tc>
        <w:tc>
          <w:tcPr>
            <w:tcW w:w="2711" w:type="dxa"/>
            <w:vAlign w:val="center"/>
          </w:tcPr>
          <w:p>
            <w:pPr>
              <w:pStyle w:val="10"/>
              <w:spacing w:before="0" w:after="0"/>
              <w:rPr>
                <w:rFonts w:hint="default" w:ascii="Times New Roman" w:hAnsi="Times New Roman" w:cs="Times New Roman"/>
                <w:b/>
                <w:bCs/>
                <w:sz w:val="21"/>
                <w:szCs w:val="21"/>
                <w:highlight w:val="none"/>
              </w:rPr>
            </w:pPr>
            <w:r>
              <w:rPr>
                <w:rFonts w:hint="default" w:ascii="Times New Roman" w:hAnsi="Times New Roman" w:cs="Times New Roman"/>
                <w:b/>
                <w:bCs/>
                <w:sz w:val="21"/>
                <w:szCs w:val="21"/>
                <w:highlight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center"/>
          </w:tcPr>
          <w:p>
            <w:pPr>
              <w:pStyle w:val="10"/>
              <w:numPr>
                <w:ilvl w:val="0"/>
                <w:numId w:val="6"/>
              </w:numPr>
              <w:spacing w:before="0" w:after="0"/>
              <w:rPr>
                <w:rFonts w:hint="default" w:ascii="Times New Roman" w:hAnsi="Times New Roman" w:cs="Times New Roman"/>
                <w:sz w:val="21"/>
                <w:szCs w:val="21"/>
                <w:highlight w:val="none"/>
              </w:rPr>
            </w:pPr>
          </w:p>
        </w:tc>
        <w:tc>
          <w:tcPr>
            <w:tcW w:w="1074"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房体</w:t>
            </w:r>
          </w:p>
        </w:tc>
        <w:tc>
          <w:tcPr>
            <w:tcW w:w="24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L×B×H=11.0×5.0×3.6m</w:t>
            </w:r>
          </w:p>
        </w:tc>
        <w:tc>
          <w:tcPr>
            <w:tcW w:w="90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栋</w:t>
            </w:r>
          </w:p>
        </w:tc>
        <w:tc>
          <w:tcPr>
            <w:tcW w:w="7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w:t>
            </w:r>
          </w:p>
        </w:tc>
        <w:tc>
          <w:tcPr>
            <w:tcW w:w="2711"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砖混结构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center"/>
          </w:tcPr>
          <w:p>
            <w:pPr>
              <w:pStyle w:val="10"/>
              <w:numPr>
                <w:ilvl w:val="0"/>
                <w:numId w:val="6"/>
              </w:numPr>
              <w:spacing w:before="0" w:after="0"/>
              <w:rPr>
                <w:rFonts w:hint="default" w:ascii="Times New Roman" w:hAnsi="Times New Roman" w:cs="Times New Roman"/>
                <w:sz w:val="21"/>
                <w:szCs w:val="21"/>
                <w:highlight w:val="none"/>
              </w:rPr>
            </w:pPr>
          </w:p>
        </w:tc>
        <w:tc>
          <w:tcPr>
            <w:tcW w:w="1074"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轴流风机</w:t>
            </w:r>
          </w:p>
        </w:tc>
        <w:tc>
          <w:tcPr>
            <w:tcW w:w="24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Q=826m</w:t>
            </w:r>
            <w:r>
              <w:rPr>
                <w:rFonts w:hint="default" w:ascii="Times New Roman" w:hAnsi="Times New Roman" w:cs="Times New Roman"/>
                <w:sz w:val="21"/>
                <w:szCs w:val="21"/>
                <w:highlight w:val="none"/>
                <w:vertAlign w:val="superscript"/>
              </w:rPr>
              <w:t>3</w:t>
            </w:r>
            <w:r>
              <w:rPr>
                <w:rFonts w:hint="default" w:ascii="Times New Roman" w:hAnsi="Times New Roman" w:cs="Times New Roman"/>
                <w:sz w:val="21"/>
                <w:szCs w:val="21"/>
                <w:highlight w:val="none"/>
              </w:rPr>
              <w:t>/h，风压=38Pa，N=0.012kW</w:t>
            </w:r>
          </w:p>
        </w:tc>
        <w:tc>
          <w:tcPr>
            <w:tcW w:w="90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台</w:t>
            </w:r>
          </w:p>
        </w:tc>
        <w:tc>
          <w:tcPr>
            <w:tcW w:w="7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3</w:t>
            </w:r>
          </w:p>
        </w:tc>
        <w:tc>
          <w:tcPr>
            <w:tcW w:w="2711" w:type="dxa"/>
            <w:vAlign w:val="center"/>
          </w:tcPr>
          <w:p>
            <w:pPr>
              <w:pStyle w:val="10"/>
              <w:spacing w:before="0" w:after="0"/>
              <w:rPr>
                <w:rFonts w:hint="default" w:ascii="Times New Roman" w:hAnsi="Times New Roman"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center"/>
          </w:tcPr>
          <w:p>
            <w:pPr>
              <w:pStyle w:val="10"/>
              <w:numPr>
                <w:ilvl w:val="0"/>
                <w:numId w:val="6"/>
              </w:numPr>
              <w:spacing w:before="0" w:after="0"/>
              <w:rPr>
                <w:rFonts w:hint="default" w:ascii="Times New Roman" w:hAnsi="Times New Roman" w:cs="Times New Roman"/>
                <w:sz w:val="21"/>
                <w:szCs w:val="21"/>
                <w:highlight w:val="none"/>
              </w:rPr>
            </w:pPr>
          </w:p>
        </w:tc>
        <w:tc>
          <w:tcPr>
            <w:tcW w:w="1074"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干粉灭火器</w:t>
            </w:r>
          </w:p>
        </w:tc>
        <w:tc>
          <w:tcPr>
            <w:tcW w:w="24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磷酸铵盐干粉灭火器(MFZB)</w:t>
            </w:r>
          </w:p>
        </w:tc>
        <w:tc>
          <w:tcPr>
            <w:tcW w:w="90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个</w:t>
            </w:r>
          </w:p>
        </w:tc>
        <w:tc>
          <w:tcPr>
            <w:tcW w:w="7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6</w:t>
            </w:r>
          </w:p>
        </w:tc>
        <w:tc>
          <w:tcPr>
            <w:tcW w:w="2711" w:type="dxa"/>
            <w:vAlign w:val="center"/>
          </w:tcPr>
          <w:p>
            <w:pPr>
              <w:pStyle w:val="10"/>
              <w:spacing w:before="0" w:after="0"/>
              <w:rPr>
                <w:rFonts w:hint="default" w:ascii="Times New Roman" w:hAnsi="Times New Roman" w:cs="Times New Roman"/>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77" w:type="dxa"/>
            <w:vAlign w:val="center"/>
          </w:tcPr>
          <w:p>
            <w:pPr>
              <w:pStyle w:val="10"/>
              <w:numPr>
                <w:ilvl w:val="0"/>
                <w:numId w:val="6"/>
              </w:numPr>
              <w:spacing w:before="0" w:after="0"/>
              <w:rPr>
                <w:rFonts w:hint="default" w:ascii="Times New Roman" w:hAnsi="Times New Roman" w:cs="Times New Roman"/>
                <w:sz w:val="21"/>
                <w:szCs w:val="21"/>
                <w:highlight w:val="none"/>
              </w:rPr>
            </w:pPr>
          </w:p>
        </w:tc>
        <w:tc>
          <w:tcPr>
            <w:tcW w:w="1074"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空调</w:t>
            </w:r>
          </w:p>
        </w:tc>
        <w:tc>
          <w:tcPr>
            <w:tcW w:w="24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1.5P</w:t>
            </w:r>
          </w:p>
        </w:tc>
        <w:tc>
          <w:tcPr>
            <w:tcW w:w="90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台</w:t>
            </w:r>
          </w:p>
        </w:tc>
        <w:tc>
          <w:tcPr>
            <w:tcW w:w="730" w:type="dxa"/>
            <w:vAlign w:val="center"/>
          </w:tcPr>
          <w:p>
            <w:pPr>
              <w:pStyle w:val="10"/>
              <w:spacing w:before="0" w:after="0"/>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2</w:t>
            </w:r>
          </w:p>
        </w:tc>
        <w:tc>
          <w:tcPr>
            <w:tcW w:w="2711" w:type="dxa"/>
            <w:vAlign w:val="center"/>
          </w:tcPr>
          <w:p>
            <w:pPr>
              <w:pStyle w:val="10"/>
              <w:spacing w:before="0" w:after="0"/>
              <w:rPr>
                <w:rFonts w:hint="default" w:ascii="Times New Roman" w:hAnsi="Times New Roman" w:cs="Times New Roman"/>
                <w:sz w:val="21"/>
                <w:szCs w:val="21"/>
                <w:highlight w:val="none"/>
              </w:rPr>
            </w:pPr>
          </w:p>
        </w:tc>
      </w:tr>
    </w:tbl>
    <w:p>
      <w:pPr>
        <w:pStyle w:val="10"/>
        <w:spacing w:before="0" w:after="0" w:line="360" w:lineRule="auto"/>
        <w:jc w:val="both"/>
        <w:outlineLvl w:val="1"/>
        <w:rPr>
          <w:rFonts w:hint="default" w:ascii="Times New Roman" w:hAnsi="Times New Roman" w:cs="Times New Roman"/>
          <w:b/>
          <w:bCs/>
          <w:szCs w:val="24"/>
          <w:highlight w:val="none"/>
        </w:rPr>
      </w:pPr>
      <w:bookmarkStart w:id="35" w:name="_Toc17158"/>
      <w:bookmarkStart w:id="36" w:name="_Toc2886"/>
      <w:r>
        <w:rPr>
          <w:rFonts w:hint="default" w:ascii="Times New Roman" w:hAnsi="Times New Roman" w:cs="Times New Roman"/>
          <w:b/>
          <w:bCs/>
          <w:szCs w:val="24"/>
          <w:highlight w:val="none"/>
        </w:rPr>
        <w:t>2.2.项目所在区域概况</w:t>
      </w:r>
      <w:bookmarkEnd w:id="35"/>
      <w:bookmarkEnd w:id="36"/>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7" w:name="_Toc30413"/>
      <w:r>
        <w:rPr>
          <w:rFonts w:hint="default" w:ascii="Times New Roman" w:hAnsi="Times New Roman" w:cs="Times New Roman"/>
          <w:b/>
          <w:bCs/>
          <w:szCs w:val="24"/>
          <w:highlight w:val="none"/>
        </w:rPr>
        <w:t>2.2.1.自然环境</w:t>
      </w:r>
      <w:bookmarkEnd w:id="37"/>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（1）自然地理</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位于资水中游，湘中偏北，雪峰山北段，东与桃江、宁乡接壤，南与涟源，新化毗邻，西与溆浦、沅陵交界，北与常德、桃源相连。居雪峰山的北段主干带，安化古称“梅山”，是梅山文化的发祥地，宋神宗熙宁五年(1072)置县。安化总面积4950平方公里，是湖南省第三个面积最大的县，山地面积达82%，又是典型的山区县、库区县，有林地面积536万亩，森林覆盖率76.51%，</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乐安镇位于安化县东南部，东面和北面与梅城镇接壤，西面与南面依次与新化县圳上镇、吉庆镇、田坪镇为邻。镇政府驻地乐高社区，全镇总面积为 191.9 平方千米；境内山多田少，伊水流经乡境。耕地 2983 公顷，其中稻田 2060 公顷，旱地 923 公顷，林 地 10733 公顷，人均 3.26 亩。在滂潭、大禾、马井、团乐等村，有丰富的高品位膨润土、海泡石、白云石、二氧化硅等矿藏。镇政府设乐安桥。</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全境分属湘江和资江两大流域，盛产木材、楠竹，矿产资源丰富，主要有锰、钨、重晶石、铁、萤石、金等，是“全国最大的磨削料回收加工基地”、“全国三大钨钴废料有色金属集散地之一”。</w:t>
      </w:r>
    </w:p>
    <w:p>
      <w:pPr>
        <w:pStyle w:val="9"/>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622165" cy="2954020"/>
            <wp:effectExtent l="0" t="0" r="635"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9"/>
                    <a:stretch>
                      <a:fillRect/>
                    </a:stretch>
                  </pic:blipFill>
                  <pic:spPr>
                    <a:xfrm>
                      <a:off x="0" y="0"/>
                      <a:ext cx="4622165" cy="2954020"/>
                    </a:xfrm>
                    <a:prstGeom prst="rect">
                      <a:avLst/>
                    </a:prstGeom>
                    <a:noFill/>
                    <a:ln>
                      <a:noFill/>
                    </a:ln>
                  </pic:spPr>
                </pic:pic>
              </a:graphicData>
            </a:graphic>
          </wp:inline>
        </w:drawing>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（2）地形地貌</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安化在雪峰山北段主干带，地形地貌多样，地势从西向东倾斜，西部高峰九龙池，海拔1622m，东部善溪口，海拔57m，相对高差1565m。境内群山起伏，岭谷相间，有较大的山脉29支，有海拔1000米以上的山峰157 座，属典型的山区县。全县共有山地面积4052.5平方公里，占县域面积的81.9%；山岗地面积有546.9 平方公里，占县域面积的11.1%；岗地面积134.0平方公里，占县域面积的2.5%，平地面积139.7平方公里，占县域面积的2.8%，其余为水面。</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（3）地质构造</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出露地层有元古界板溪群、震旦系，古生界寒武系、奧陶系、志留系、泥盆系、石炭系、二跌系，中生界侏罗系、白垩系及新生界地四系，其中志留系、泥盆系、白垩系发育不完整，板溪群分布最为广泛。安化县位于雪峰山弧形构造向东偏转部位，东南部地区邻近祁阳弧形北段。县内岩浆岩分布面积小，岩石种类较多，酸-中性浸入岩基，岩株集中分布在东南部，酸-中-基性的浅成岩脉(墙)在岩基、岩株内外成群出现，部分零散分布，此外尚有少量喷出岩。岩浆岩形成时代为燕山早期和燕山晚期，燕山早期波及面小，燕山晚期岩浆活动频繁，规模较大，类型较多。根据1:400 万《中国地震动峰值加速度区划图(1:400万》&gt;(GB18306-2015)，本工程区地震动峰值加速度为0.05g，地震动反应谱特征周期为0.35s，相对应的地震基本烈度为小于VI度，属相对稳定地区。</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（4）水文气象</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安化县属亚热带季风湿润气候区，气候温和，雨量充沛，四季分明，严寒期短，无霜期长，温差较大，日照时间长。</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根据安化县气象站多年实测资料统计：多年平均气温为16.2℃，年内气温变幅大，最高温度出现在七月，月平均气温27.7℃，极端最高气温为41.8℃ (1961年7月23日)，最低气温出现在一月，月平均气温4.5℃，极端最低气温-11.3℃，(1977年1月30日)；；多年平均降雨量1692.0m，区内降雨在年内及年际间分布都很不均匀，降雨主要集中在4~8月，占全年的52%，其中以5月份最多，占全年的15%，最大年降雨量为最小年降雨量的两倍以上；多年平均蒸发量为117.6mm，多年平均无霜期为284.0d，多年平均相对湿度为81%，多年平均风速为1.2m/s，历年最大风速为15.7m/s。</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（5）河流水系</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安化县境内水系十分发达，溪河纵横交错，分属资水、湘江、沅水三大水系，以资水水系为主，其流域面积为4850.6 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，占全县总面积的97.9%；属湘江流域的90.35km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；属沅江流域的9.3 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。县内集雨面积大于10km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或干流长度大于5km的河流有163条(其中一级支流45条，二级支流83条，三级支流35条)，有泄溪、洋溪、善溪、沂溪、麻溪、渠江等9条资江一级支流的流域面积均超过200km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。资江由平口镇入境，流经马路、东坪、小淹等16个乡镇，自西向东横贯全境，干流长度在县境内长120km，资江干流上因柘溪水电站建设形成大型水库一座，库容量30.2亿m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38" w:name="_Toc9350"/>
      <w:r>
        <w:rPr>
          <w:rFonts w:hint="default" w:ascii="Times New Roman" w:hAnsi="Times New Roman" w:cs="Times New Roman"/>
          <w:b/>
          <w:bCs/>
          <w:szCs w:val="24"/>
          <w:highlight w:val="none"/>
        </w:rPr>
        <w:t>2.2.2社会经济</w:t>
      </w:r>
      <w:bookmarkEnd w:id="38"/>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安化县共辖18个镇、5个乡，517个行政村、43 个社区居委会。至2016年末，全县户籍人口数102.96万人，常住人口91.38万人，其中城镇常住人口28.28万人，城镇化率为30.95%。人口自然增长率6.3‰。</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是湖南有名的有色金属大县，水能资源大县，林业资源大县，茶叶生产大县，药材产业大县，先后获得“中国厚朴之乡”、“羽毛球之乡”、“中国竹子之乡”、“中国最美小城”、“中国最佳养生休闲旅游胜地"等称号。</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据统计，2016年安化县生产总值(GDP) 196.3 亿元，同比增长7.6%。其中，第一产业增加值44.7亿元，增长3.5%；第二产业增加值72.3亿元(其中工业增加值68.9 亿元)，增长6.3%；第三产业增加值79.3 亿元，增长11.3%。三次产业比为22.8：36.8：40.4，一产业比重下降0.2百分点，二产业比重下降0.4个百分点，三产业比重上升0.6个百分点，产业结构不断优化。按常住人口计算，全县人均GDP为21499元。</w:t>
      </w:r>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rPr>
        <w:t>安化全县共有耕地面积63万亩，其中水田面积34万亩，早土面积29万亩，传统特色农业有一定规模，盛产茶叶、柑桔、名优鱼等优质农产品。</w:t>
      </w:r>
    </w:p>
    <w:p>
      <w:pPr>
        <w:spacing w:line="360" w:lineRule="auto"/>
        <w:ind w:right="73" w:rightChars="35" w:firstLine="480"/>
        <w:rPr>
          <w:rFonts w:hint="default" w:ascii="Times New Roman" w:hAnsi="Times New Roman" w:cs="Times New Roman"/>
          <w:color w:val="7030A0"/>
          <w:sz w:val="24"/>
          <w:highlight w:val="none"/>
        </w:rPr>
      </w:pPr>
      <w:r>
        <w:rPr>
          <w:rFonts w:hint="default" w:ascii="Times New Roman" w:hAnsi="Times New Roman" w:cs="Times New Roman"/>
          <w:color w:val="7030A0"/>
          <w:sz w:val="24"/>
          <w:highlight w:val="none"/>
        </w:rPr>
        <w:t>乐安镇地处</w:t>
      </w:r>
      <w:r>
        <w:rPr>
          <w:rFonts w:hint="default" w:ascii="Times New Roman" w:hAnsi="Times New Roman" w:cs="Times New Roman"/>
          <w:color w:val="7030A0"/>
          <w:sz w:val="24"/>
          <w:highlight w:val="none"/>
        </w:rPr>
        <w:fldChar w:fldCharType="begin"/>
      </w:r>
      <w:r>
        <w:rPr>
          <w:rFonts w:hint="default" w:ascii="Times New Roman" w:hAnsi="Times New Roman" w:cs="Times New Roman"/>
          <w:color w:val="7030A0"/>
          <w:sz w:val="24"/>
          <w:highlight w:val="none"/>
        </w:rPr>
        <w:instrText xml:space="preserve"> HYPERLINK "https://baike.baidu.com/item/%E5%AE%89%E5%8C%96%E5%8E%BF/3458516" \t "https://baike.baidu.com/item/%E4%B9%90%E5%AE%89%E9%95%87/_blank" </w:instrText>
      </w:r>
      <w:r>
        <w:rPr>
          <w:rFonts w:hint="default" w:ascii="Times New Roman" w:hAnsi="Times New Roman" w:cs="Times New Roman"/>
          <w:color w:val="7030A0"/>
          <w:sz w:val="24"/>
          <w:highlight w:val="none"/>
        </w:rPr>
        <w:fldChar w:fldCharType="separate"/>
      </w:r>
      <w:r>
        <w:rPr>
          <w:rFonts w:hint="default" w:ascii="Times New Roman" w:hAnsi="Times New Roman" w:cs="Times New Roman"/>
          <w:color w:val="7030A0"/>
          <w:sz w:val="24"/>
          <w:highlight w:val="none"/>
        </w:rPr>
        <w:t>安化县</w:t>
      </w:r>
      <w:r>
        <w:rPr>
          <w:rFonts w:hint="default" w:ascii="Times New Roman" w:hAnsi="Times New Roman" w:cs="Times New Roman"/>
          <w:color w:val="7030A0"/>
          <w:sz w:val="24"/>
          <w:highlight w:val="none"/>
        </w:rPr>
        <w:fldChar w:fldCharType="end"/>
      </w:r>
      <w:r>
        <w:rPr>
          <w:rFonts w:hint="default" w:ascii="Times New Roman" w:hAnsi="Times New Roman" w:cs="Times New Roman"/>
          <w:color w:val="7030A0"/>
          <w:sz w:val="24"/>
          <w:highlight w:val="none"/>
        </w:rPr>
        <w:t>东南部，东与</w:t>
      </w:r>
      <w:r>
        <w:rPr>
          <w:rFonts w:hint="default" w:ascii="Times New Roman" w:hAnsi="Times New Roman" w:cs="Times New Roman"/>
          <w:color w:val="7030A0"/>
          <w:sz w:val="24"/>
          <w:highlight w:val="none"/>
        </w:rPr>
        <w:fldChar w:fldCharType="begin"/>
      </w:r>
      <w:r>
        <w:rPr>
          <w:rFonts w:hint="default" w:ascii="Times New Roman" w:hAnsi="Times New Roman" w:cs="Times New Roman"/>
          <w:color w:val="7030A0"/>
          <w:sz w:val="24"/>
          <w:highlight w:val="none"/>
        </w:rPr>
        <w:instrText xml:space="preserve"> HYPERLINK "https://baike.baidu.com/item/%E6%A2%85%E5%9F%8E%E9%95%87/4483950" \t "https://baike.baidu.com/item/%E4%B9%90%E5%AE%89%E9%95%87/_blank" </w:instrText>
      </w:r>
      <w:r>
        <w:rPr>
          <w:rFonts w:hint="default" w:ascii="Times New Roman" w:hAnsi="Times New Roman" w:cs="Times New Roman"/>
          <w:color w:val="7030A0"/>
          <w:sz w:val="24"/>
          <w:highlight w:val="none"/>
        </w:rPr>
        <w:fldChar w:fldCharType="separate"/>
      </w:r>
      <w:r>
        <w:rPr>
          <w:rFonts w:hint="default" w:ascii="Times New Roman" w:hAnsi="Times New Roman" w:cs="Times New Roman"/>
          <w:color w:val="7030A0"/>
          <w:sz w:val="24"/>
          <w:highlight w:val="none"/>
        </w:rPr>
        <w:t>梅城镇</w:t>
      </w:r>
      <w:r>
        <w:rPr>
          <w:rFonts w:hint="default" w:ascii="Times New Roman" w:hAnsi="Times New Roman" w:cs="Times New Roman"/>
          <w:color w:val="7030A0"/>
          <w:sz w:val="24"/>
          <w:highlight w:val="none"/>
        </w:rPr>
        <w:fldChar w:fldCharType="end"/>
      </w:r>
      <w:r>
        <w:rPr>
          <w:rFonts w:hint="default" w:ascii="Times New Roman" w:hAnsi="Times New Roman" w:cs="Times New Roman"/>
          <w:color w:val="7030A0"/>
          <w:sz w:val="24"/>
          <w:highlight w:val="none"/>
        </w:rPr>
        <w:t>相邻，南、西依次与娄底市</w:t>
      </w:r>
      <w:r>
        <w:rPr>
          <w:rFonts w:hint="default" w:ascii="Times New Roman" w:hAnsi="Times New Roman" w:cs="Times New Roman"/>
          <w:color w:val="7030A0"/>
          <w:sz w:val="24"/>
          <w:highlight w:val="none"/>
        </w:rPr>
        <w:fldChar w:fldCharType="begin"/>
      </w:r>
      <w:r>
        <w:rPr>
          <w:rFonts w:hint="default" w:ascii="Times New Roman" w:hAnsi="Times New Roman" w:cs="Times New Roman"/>
          <w:color w:val="7030A0"/>
          <w:sz w:val="24"/>
          <w:highlight w:val="none"/>
        </w:rPr>
        <w:instrText xml:space="preserve"> HYPERLINK "https://baike.baidu.com/item/%E6%96%B0%E5%8C%96%E5%8E%BF/4819787" \t "https://baike.baidu.com/item/%E4%B9%90%E5%AE%89%E9%95%87/_blank" </w:instrText>
      </w:r>
      <w:r>
        <w:rPr>
          <w:rFonts w:hint="default" w:ascii="Times New Roman" w:hAnsi="Times New Roman" w:cs="Times New Roman"/>
          <w:color w:val="7030A0"/>
          <w:sz w:val="24"/>
          <w:highlight w:val="none"/>
        </w:rPr>
        <w:fldChar w:fldCharType="separate"/>
      </w:r>
      <w:r>
        <w:rPr>
          <w:rFonts w:hint="default" w:ascii="Times New Roman" w:hAnsi="Times New Roman" w:cs="Times New Roman"/>
          <w:color w:val="7030A0"/>
          <w:sz w:val="24"/>
          <w:highlight w:val="none"/>
        </w:rPr>
        <w:t>新化县</w:t>
      </w:r>
      <w:r>
        <w:rPr>
          <w:rFonts w:hint="default" w:ascii="Times New Roman" w:hAnsi="Times New Roman" w:cs="Times New Roman"/>
          <w:color w:val="7030A0"/>
          <w:sz w:val="24"/>
          <w:highlight w:val="none"/>
        </w:rPr>
        <w:fldChar w:fldCharType="end"/>
      </w:r>
      <w:r>
        <w:rPr>
          <w:rFonts w:hint="default" w:ascii="Times New Roman" w:hAnsi="Times New Roman" w:cs="Times New Roman"/>
          <w:color w:val="7030A0"/>
          <w:sz w:val="24"/>
          <w:highlight w:val="none"/>
        </w:rPr>
        <w:t>圳上镇、</w:t>
      </w:r>
      <w:r>
        <w:rPr>
          <w:rFonts w:hint="default" w:ascii="Times New Roman" w:hAnsi="Times New Roman" w:cs="Times New Roman"/>
          <w:color w:val="7030A0"/>
          <w:sz w:val="24"/>
          <w:highlight w:val="none"/>
        </w:rPr>
        <w:fldChar w:fldCharType="begin"/>
      </w:r>
      <w:r>
        <w:rPr>
          <w:rFonts w:hint="default" w:ascii="Times New Roman" w:hAnsi="Times New Roman" w:cs="Times New Roman"/>
          <w:color w:val="7030A0"/>
          <w:sz w:val="24"/>
          <w:highlight w:val="none"/>
        </w:rPr>
        <w:instrText xml:space="preserve"> HYPERLINK "https://baike.baidu.com/item/%E5%90%89%E5%BA%86%E9%95%87/3243372" \t "https://baike.baidu.com/item/%E4%B9%90%E5%AE%89%E9%95%87/_blank" </w:instrText>
      </w:r>
      <w:r>
        <w:rPr>
          <w:rFonts w:hint="default" w:ascii="Times New Roman" w:hAnsi="Times New Roman" w:cs="Times New Roman"/>
          <w:color w:val="7030A0"/>
          <w:sz w:val="24"/>
          <w:highlight w:val="none"/>
        </w:rPr>
        <w:fldChar w:fldCharType="separate"/>
      </w:r>
      <w:r>
        <w:rPr>
          <w:rFonts w:hint="default" w:ascii="Times New Roman" w:hAnsi="Times New Roman" w:cs="Times New Roman"/>
          <w:color w:val="7030A0"/>
          <w:sz w:val="24"/>
          <w:highlight w:val="none"/>
        </w:rPr>
        <w:t>吉庆镇</w:t>
      </w:r>
      <w:r>
        <w:rPr>
          <w:rFonts w:hint="default" w:ascii="Times New Roman" w:hAnsi="Times New Roman" w:cs="Times New Roman"/>
          <w:color w:val="7030A0"/>
          <w:sz w:val="24"/>
          <w:highlight w:val="none"/>
        </w:rPr>
        <w:fldChar w:fldCharType="end"/>
      </w:r>
      <w:r>
        <w:rPr>
          <w:rFonts w:hint="default" w:ascii="Times New Roman" w:hAnsi="Times New Roman" w:cs="Times New Roman"/>
          <w:color w:val="7030A0"/>
          <w:sz w:val="24"/>
          <w:highlight w:val="none"/>
        </w:rPr>
        <w:t>、田坪镇接壤，北与梅城镇相连。  </w:t>
      </w:r>
      <w:bookmarkStart w:id="39" w:name="ref_3"/>
      <w:bookmarkEnd w:id="39"/>
      <w:r>
        <w:rPr>
          <w:rFonts w:hint="default" w:ascii="Times New Roman" w:hAnsi="Times New Roman" w:cs="Times New Roman"/>
          <w:color w:val="7030A0"/>
          <w:sz w:val="24"/>
          <w:highlight w:val="none"/>
        </w:rPr>
        <w:t>区域面积191.21平方千米。乐安镇下辖2个社区和22个行政村。截至2019年末，乐安镇户籍人口49711人。</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40" w:name="_Toc26020"/>
      <w:r>
        <w:rPr>
          <w:rFonts w:hint="default" w:ascii="Times New Roman" w:hAnsi="Times New Roman" w:cs="Times New Roman"/>
          <w:b/>
          <w:bCs/>
          <w:szCs w:val="24"/>
          <w:highlight w:val="none"/>
        </w:rPr>
        <w:t>2.2.3区城水生态现状</w:t>
      </w:r>
      <w:bookmarkEnd w:id="40"/>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资水流域水生生物主要由浮游植物、浮游动物、底栖动物、水生维管束植物及鱼类等组成。据调查资料统计，资水流域记录分布有浮游植物7门65属139种，其中，干流分布有浮游植物7门65属139种，支流分布有浮游植物计111种。在浮游植物种类组成中，硅藻门有23属65种，占总种数的46.8%；绿藻门24属47种，占总种数的33.8%；蓝藻门11属17种，占总种数的12.3%；甲藻门1属1种，占总种数的0.7%；裸藻门3属5种，占总种数的3.6%；隐藻门1属2种，占总种数的1.4%；金藻门2属2种，占总种数的 1.4%。资水干流浮游植物密度平均为571239ind./L，密度组成以蓝藻门为主，所占比例超过45%，其次为硅藻门。资水干流浮游植物生物量平均为5624×10</w:t>
      </w:r>
      <w:r>
        <w:rPr>
          <w:rFonts w:hint="default" w:ascii="Times New Roman" w:hAnsi="Times New Roman" w:cs="Times New Roman"/>
          <w:sz w:val="24"/>
          <w:highlight w:val="none"/>
          <w:vertAlign w:val="superscript"/>
        </w:rPr>
        <w:t>-4</w:t>
      </w:r>
      <w:r>
        <w:rPr>
          <w:rFonts w:hint="default" w:ascii="Times New Roman" w:hAnsi="Times New Roman" w:cs="Times New Roman"/>
          <w:sz w:val="24"/>
          <w:highlight w:val="none"/>
        </w:rPr>
        <w:t>mg/L，支流浮游植物生物量平均5947×10</w:t>
      </w:r>
      <w:r>
        <w:rPr>
          <w:rFonts w:hint="default" w:ascii="Times New Roman" w:hAnsi="Times New Roman" w:cs="Times New Roman"/>
          <w:sz w:val="24"/>
          <w:highlight w:val="none"/>
          <w:vertAlign w:val="superscript"/>
        </w:rPr>
        <w:t>-4</w:t>
      </w:r>
      <w:r>
        <w:rPr>
          <w:rFonts w:hint="default" w:ascii="Times New Roman" w:hAnsi="Times New Roman" w:cs="Times New Roman"/>
          <w:sz w:val="24"/>
          <w:highlight w:val="none"/>
        </w:rPr>
        <w:t>mg/L，生物量组成以硅藻门为主，所占比例超过35%，其次为隐藻门。</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据调查资料统计，资水流城浮游动物有80属161种。其中原生动物种类66种，占总种类数的40.99%；轮虫68种，占总种类数的42.24%；枝角类15种， 占总种类数的9.32%；桡足类12种，种类最少，占总种类数的7.45%。浮游动物优势种主要有龟甲轮虫、晶囊轮虫、异尾轮虫、臂尾轮虫、象鼻湿、低额涵、盘肠涵、平直潘、剑水蚤、镖水蚤、砂壳虫、旋回侠盗虫等。</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据调查资料统计，资水流域有底栖动物40种，其中环节动物6种，占15.0%；软体动物16种，占40.0%；节肢动物18种，占45.0%。优势种有:水丝蚓、颤蚓、梨形环棱螺、铜锈环棱螺、湖沼股蛤、二翼蜉、米虾等。资水流域底栖动物平均密度约206.67ind./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 平均生物量约54.89g/m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 软体动物在组成中均占有较大优势。</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资水干流缓流区和岸边滩涂有少数维管束植物生长，呈点状和小面积分布，资源相对贫乏。主要分布有苦草、轮叶黑藻、金鱼藻、马来眼子菜、聚草以及水蓼、芦苇、水葱、喜旱莲子草、水葫芦等水生维管東植物。挺水植物有花叶芦竹、席草、菖蒲、香蒲、千屈菜、灯芯草、稗草、水鑾、马齿、水葱、水车前、水芋、空心莲子草、水芹菜等14种，以花叶芦竹、芦苇、千屈菜、灯芯草、稗草、水蓼、水葱、空心莲子草等8种分布最广，主要在资水沿岸消落区，调查显示水泥人工江堤区段的挺水植物种类和数量均有限；浮叶植物有青萍、紫萍、水萍、风眼莲、满江红等5种，在各江段均只有零散分布，数量有限；沉水植物有苦草、竹叶眼子菜、茨藻、轮叶黑藻、丝藻、金鱼藻等6种。</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资水水系历史调查记录鱼类共有155种(亚种)，以广布性鱼类为主，被列入《中国濒危动物红皮书鱼类》的有鲥鱼、胭脂鱼、长薄鰍、綜、长身鱖。2009-2010年在资水干流及四大支流共调查到鱼类108 种,资水各江段鱼类组成及分布特征为：沿资水干流往下，越靠近河口鱼类种类越丰富。资水鱼类以鲤科鱼类最多，其次依次为偿科，鰍科，鯔科，其余鱼类很少。在上世纪70年代以前，泪游性珍稀名贵鱼类一鲥鱼、鰻鲡等在渔业中均占有一定的比例。随着资水流域特别是资水干流的梯级开发，洄游通道受阻，导致资水胭脂鱼等洄游性鱼类的种群数量急剧下降，鲥鱼几近绝迹。目前资水珍稀水生动物主要是胭脂鱼、鲥鱼、长薄鳅等品种，2009-2010 年调查采集到调查采集到3种珍稀鱼类，分别是长薄鰍和长身鱖。</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41" w:name="_Toc12767"/>
      <w:r>
        <w:rPr>
          <w:rFonts w:hint="default" w:ascii="Times New Roman" w:hAnsi="Times New Roman" w:cs="Times New Roman"/>
          <w:b/>
          <w:bCs/>
          <w:szCs w:val="24"/>
          <w:highlight w:val="none"/>
        </w:rPr>
        <w:t>2.2.4区域内主要生态敏感区</w:t>
      </w:r>
      <w:bookmarkEnd w:id="41"/>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2009年12月23日，国家林业局以“林湿发[2009]297号”文件批准雪峰湖国家湿地公园进行试点建设。安化县高度重视，先后整合投入各类建设资金约1.85亿元，严格按照试点要求，扎实推进各项工作。目前，雪峰湖国家湿地公园已基本满足各项管理与服务的要求。成为安化县生态旅游的一个新“亮点”。</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2016年，国家林业局下发《国家林业局关于2016年试点国家湿地公园验收结果的通知》(林湿发[2016]107号)，安化雪峰湖国家湿地公园通过验收，是益阳市首批试点验收正式挂牌的国家湿地公园之一。</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雪峰湖国家湿地公园于2009年经国家林业局批准设立，公园主要包括雪峰湖、资江干流安化东坪-株溪口段及周边区域。湿地公园由南向北呈狭长型廊道走向，最南端至雪峰湖柘溪林场附近、最北端至株溪口水电站大坝。湿地公园大致范围包括雪峰湖及其周边第一层山脊线或公路、资江东坪-株溪口段及其周边第一层山脊线或公路，当第-层山脊内有居民点、农地时，则以雪峰湖或资江最高水位至居民点农地边缘为界。同时，入库小溪以库尾至小溪2-5公里长、20-50米宽的为界。整个湿地公园东西垂直长约40公里，南北垂直宽约30公里。总面积9450.2公顷。</w:t>
      </w:r>
    </w:p>
    <w:p>
      <w:pPr>
        <w:adjustRightInd w:val="0"/>
        <w:snapToGrid w:val="0"/>
        <w:spacing w:line="360" w:lineRule="auto"/>
        <w:ind w:firstLine="482"/>
        <w:rPr>
          <w:rFonts w:hint="default" w:ascii="Times New Roman" w:hAnsi="Times New Roman" w:cs="Times New Roman"/>
          <w:sz w:val="24"/>
          <w:highlight w:val="none"/>
        </w:rPr>
      </w:pPr>
      <w:r>
        <w:rPr>
          <w:rFonts w:hint="default" w:ascii="Times New Roman" w:hAnsi="Times New Roman" w:cs="Times New Roman"/>
          <w:sz w:val="24"/>
          <w:highlight w:val="none"/>
        </w:rPr>
        <w:t>湿地公园区划为6个功能区：雪峰湖湿地保护保育区、资江（东坪-株溪口）河流湿地保护保育区、湖滨生态缓冲保护区、山溪入库口湿地保护保育区、湿地宜教展示区和综合管理服务区。</w:t>
      </w:r>
      <w:r>
        <w:rPr>
          <w:rFonts w:hint="default" w:ascii="Times New Roman" w:hAnsi="Times New Roman" w:cs="Times New Roman"/>
          <w:sz w:val="24"/>
          <w:highlight w:val="none"/>
          <w:u w:val="single"/>
        </w:rPr>
        <w:t>本排污口位于雪峰湖国家湿地公园下游，排污口不在湿地公园内，因此不会对其产生影响。</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42" w:name="_Toc4894"/>
      <w:r>
        <w:rPr>
          <w:rFonts w:hint="default" w:ascii="Times New Roman" w:hAnsi="Times New Roman" w:cs="Times New Roman"/>
          <w:b/>
          <w:bCs/>
          <w:szCs w:val="24"/>
          <w:highlight w:val="none"/>
        </w:rPr>
        <w:t>2.2.5洢水流域基本情况</w:t>
      </w:r>
      <w:bookmarkEnd w:id="42"/>
    </w:p>
    <w:p>
      <w:pPr>
        <w:spacing w:line="360" w:lineRule="auto"/>
        <w:ind w:right="73" w:rightChars="35" w:firstLine="480"/>
        <w:rPr>
          <w:rFonts w:hint="default" w:ascii="Times New Roman" w:hAnsi="Times New Roman" w:cs="Times New Roman"/>
          <w:sz w:val="24"/>
          <w:highlight w:val="none"/>
        </w:rPr>
      </w:pPr>
      <w:r>
        <w:rPr>
          <w:rFonts w:hint="default" w:ascii="Times New Roman" w:hAnsi="Times New Roman" w:cs="Times New Roman"/>
          <w:sz w:val="24"/>
          <w:highlight w:val="none"/>
          <w:u w:val="single"/>
        </w:rPr>
        <w:t>洢水为资江</w:t>
      </w:r>
      <w:r>
        <w:rPr>
          <w:rFonts w:hint="default" w:ascii="Times New Roman" w:hAnsi="Times New Roman" w:cs="Times New Roman"/>
          <w:sz w:val="24"/>
          <w:highlight w:val="none"/>
          <w:u w:val="single"/>
          <w:lang w:val="en-US" w:eastAsia="zh-CN"/>
        </w:rPr>
        <w:t>一</w:t>
      </w:r>
      <w:r>
        <w:rPr>
          <w:rFonts w:hint="default" w:ascii="Times New Roman" w:hAnsi="Times New Roman" w:cs="Times New Roman"/>
          <w:sz w:val="24"/>
          <w:highlight w:val="none"/>
          <w:u w:val="single"/>
        </w:rPr>
        <w:t>级支流，洢水发源于山溪界，洢水流经乐安镇、梅城镇等乡镇，与滔溪合流后排入资水，洢水水能资源丰富，沿河两岸生态良好。</w:t>
      </w:r>
    </w:p>
    <w:p>
      <w:pPr>
        <w:spacing w:line="360" w:lineRule="auto"/>
        <w:ind w:right="73" w:rightChars="35" w:firstLine="480"/>
        <w:rPr>
          <w:rFonts w:hint="default" w:ascii="Times New Roman" w:hAnsi="Times New Roman" w:cs="Times New Roman"/>
          <w:sz w:val="24"/>
          <w:highlight w:val="none"/>
        </w:rPr>
        <w:sectPr>
          <w:pgSz w:w="11906" w:h="16838"/>
          <w:pgMar w:top="1644" w:right="1800" w:bottom="1814" w:left="1800" w:header="851" w:footer="992" w:gutter="0"/>
          <w:cols w:space="720" w:num="1"/>
          <w:docGrid w:type="lines" w:linePitch="312" w:charSpace="0"/>
        </w:sectPr>
      </w:pPr>
    </w:p>
    <w:p>
      <w:pPr>
        <w:pStyle w:val="10"/>
        <w:spacing w:before="0" w:after="0" w:line="360" w:lineRule="auto"/>
        <w:outlineLvl w:val="0"/>
        <w:rPr>
          <w:rFonts w:hint="default" w:ascii="Times New Roman" w:hAnsi="Times New Roman" w:cs="Times New Roman"/>
          <w:b/>
          <w:bCs/>
          <w:sz w:val="32"/>
          <w:szCs w:val="32"/>
          <w:highlight w:val="none"/>
        </w:rPr>
      </w:pPr>
      <w:bookmarkStart w:id="43" w:name="_Toc32641"/>
      <w:r>
        <w:rPr>
          <w:rFonts w:hint="default" w:ascii="Times New Roman" w:hAnsi="Times New Roman" w:cs="Times New Roman"/>
          <w:b/>
          <w:bCs/>
          <w:sz w:val="32"/>
          <w:szCs w:val="32"/>
          <w:highlight w:val="none"/>
        </w:rPr>
        <w:t>3  水功能区（水域）水质现状及纳污状况</w:t>
      </w:r>
      <w:bookmarkEnd w:id="43"/>
    </w:p>
    <w:p>
      <w:pPr>
        <w:pStyle w:val="10"/>
        <w:spacing w:before="0" w:after="0" w:line="360" w:lineRule="auto"/>
        <w:jc w:val="both"/>
        <w:outlineLvl w:val="1"/>
        <w:rPr>
          <w:rFonts w:hint="default" w:ascii="Times New Roman" w:hAnsi="Times New Roman" w:cs="Times New Roman"/>
          <w:b/>
          <w:bCs/>
          <w:szCs w:val="24"/>
          <w:highlight w:val="none"/>
        </w:rPr>
      </w:pPr>
      <w:bookmarkStart w:id="44" w:name="_Toc9252"/>
      <w:r>
        <w:rPr>
          <w:rFonts w:hint="default" w:ascii="Times New Roman" w:hAnsi="Times New Roman" w:cs="Times New Roman"/>
          <w:b/>
          <w:bCs/>
          <w:szCs w:val="24"/>
          <w:highlight w:val="none"/>
        </w:rPr>
        <w:t>3.1.水功能区（水域）保护水质管理目标与要求</w:t>
      </w:r>
      <w:bookmarkEnd w:id="44"/>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水功能区划是通过对水资源和水生态环境现状的分析，根据国民经济发展规划与江河流域综合规划的要求，将江河湖库划分为不同使用目的的水功能区，并提出保护水功能区的水质目标。在整体功能布局确定的前提下，对重点开发利用水域详细划分多种用途的水域界限，以便为科学合理开发利用和保护水资源提供依据。</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水功能区划采用两级体系，即一级区划和二级区划。一级功能区分4类，即保护区、保留区、开发利用区和缓冲区；二级功能区划是在一级功能区中的开发利用区进行，分7类，包括饮用饮用水源区、工业用水区、农业用水区、渔业用水区、景观娱乐用水区、过渡区和排污控制区。</w:t>
      </w:r>
    </w:p>
    <w:p>
      <w:pPr>
        <w:pStyle w:val="10"/>
        <w:spacing w:before="0" w:after="0" w:line="360" w:lineRule="auto"/>
        <w:rPr>
          <w:rFonts w:hint="default" w:ascii="Times New Roman" w:hAnsi="Times New Roman" w:cs="Times New Roman"/>
          <w:kern w:val="2"/>
          <w:szCs w:val="24"/>
          <w:highlight w:val="none"/>
        </w:rPr>
      </w:pPr>
      <w:r>
        <w:rPr>
          <w:rFonts w:hint="default" w:ascii="Times New Roman" w:hAnsi="Times New Roman" w:cs="Times New Roman"/>
          <w:highlight w:val="none"/>
        </w:rPr>
        <w:drawing>
          <wp:inline distT="0" distB="0" distL="114300" distR="114300">
            <wp:extent cx="4813300" cy="4602480"/>
            <wp:effectExtent l="0" t="0" r="2540" b="0"/>
            <wp:docPr id="39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图片 1"/>
                    <pic:cNvPicPr>
                      <a:picLocks noChangeAspect="1"/>
                    </pic:cNvPicPr>
                  </pic:nvPicPr>
                  <pic:blipFill>
                    <a:blip r:embed="rId10"/>
                    <a:stretch>
                      <a:fillRect/>
                    </a:stretch>
                  </pic:blipFill>
                  <pic:spPr>
                    <a:xfrm>
                      <a:off x="0" y="0"/>
                      <a:ext cx="4813300" cy="4602480"/>
                    </a:xfrm>
                    <a:prstGeom prst="rect">
                      <a:avLst/>
                    </a:prstGeom>
                    <a:noFill/>
                    <a:ln>
                      <a:noFill/>
                    </a:ln>
                  </pic:spPr>
                </pic:pic>
              </a:graphicData>
            </a:graphic>
          </wp:inline>
        </w:drawing>
      </w:r>
    </w:p>
    <w:p>
      <w:pPr>
        <w:spacing w:line="360" w:lineRule="auto"/>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图3-1  水功能区分级分类系统</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根据《益阳市水功能区划》（益阳市水文水资源勘测局，2014年11月），共将益阳境内水域划分86个一级水功能区，其中保护区17个，开发利用区38个，保留区31个；从38个开发利用区共划分47个二级水功能区。</w:t>
      </w:r>
    </w:p>
    <w:p>
      <w:pPr>
        <w:numPr>
          <w:ilvl w:val="0"/>
          <w:numId w:val="7"/>
        </w:numPr>
        <w:spacing w:line="360" w:lineRule="auto"/>
        <w:ind w:firstLine="480" w:firstLineChars="200"/>
        <w:outlineLvl w:val="2"/>
        <w:rPr>
          <w:rFonts w:hint="default" w:ascii="Times New Roman" w:hAnsi="Times New Roman" w:cs="Times New Roman"/>
          <w:sz w:val="24"/>
          <w:highlight w:val="none"/>
        </w:rPr>
      </w:pPr>
      <w:bookmarkStart w:id="45" w:name="_Toc23871"/>
      <w:bookmarkStart w:id="46" w:name="_Toc27202"/>
      <w:r>
        <w:rPr>
          <w:rFonts w:hint="default" w:ascii="Times New Roman" w:hAnsi="Times New Roman" w:cs="Times New Roman"/>
          <w:sz w:val="24"/>
          <w:highlight w:val="none"/>
        </w:rPr>
        <w:t>一级水功能区：</w:t>
      </w:r>
      <w:bookmarkEnd w:id="45"/>
      <w:bookmarkEnd w:id="46"/>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按个数统计，以开发利用区最多，共38个，占一级区划总个数的44.2%；保留区个数31个，占一级区划总个数的36.0%；保护区个数17个，占一级区划总个数的19.8%。</w:t>
      </w:r>
    </w:p>
    <w:p>
      <w:pPr>
        <w:numPr>
          <w:ilvl w:val="0"/>
          <w:numId w:val="7"/>
        </w:numPr>
        <w:spacing w:line="360" w:lineRule="auto"/>
        <w:ind w:firstLine="480" w:firstLineChars="200"/>
        <w:outlineLvl w:val="2"/>
        <w:rPr>
          <w:rFonts w:hint="default" w:ascii="Times New Roman" w:hAnsi="Times New Roman" w:cs="Times New Roman"/>
          <w:sz w:val="24"/>
          <w:highlight w:val="none"/>
        </w:rPr>
      </w:pPr>
      <w:bookmarkStart w:id="47" w:name="_Toc6323"/>
      <w:bookmarkStart w:id="48" w:name="_Toc26499"/>
      <w:r>
        <w:rPr>
          <w:rFonts w:hint="default" w:ascii="Times New Roman" w:hAnsi="Times New Roman" w:cs="Times New Roman"/>
          <w:sz w:val="24"/>
          <w:highlight w:val="none"/>
        </w:rPr>
        <w:t>二级水功能区：</w:t>
      </w:r>
      <w:bookmarkEnd w:id="47"/>
      <w:bookmarkEnd w:id="48"/>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以第一主导功能排序，按个数统计，最多的是饮用水源区，共21个，占二级区划总个数的44.7%；其次是农业用水区共10个，占二级区划总个数的21.3%；工业用水区10个，占二级区划总个数的21.3%；景观娱乐用水区2个，占二级区划总个数的4.3%；渔业用水区2个，占二级区划总个数的4.3%；过渡区2个，占二级区划总个数的4.3%。</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本项目纳污水体为洢水安化源头水保护区，目前本项目纳污水体主要用于饮用用水及灌溉，属于Ⅱ类水。因此本次水质管理目标定位为Ⅱ类。</w:t>
      </w:r>
    </w:p>
    <w:p>
      <w:pPr>
        <w:pStyle w:val="10"/>
        <w:spacing w:before="0" w:after="0" w:line="360" w:lineRule="auto"/>
        <w:ind w:firstLine="240" w:firstLineChars="1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（1）符合国家产业政策及国家水污染防治规划</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污水处理工程属于《产业结构调整指导目录(2019年本)》修正版规定的鼓励类中，项目属符合国家法律、法规相关政策的允许类建设项目。因此，安化县乐安镇乐高污水处理厂建设符合国家产业政策。</w:t>
      </w:r>
    </w:p>
    <w:p>
      <w:pPr>
        <w:pStyle w:val="10"/>
        <w:spacing w:before="0" w:after="0" w:line="360" w:lineRule="auto"/>
        <w:ind w:firstLine="240" w:firstLineChars="1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（2）符合地方国家经济与城镇发展规划</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安化县乐安镇乐高污水处理厂有利于区域水环境的改善，是安化县乐安镇重点环保基础设施工程。因此项目建设符合安化县乐安镇的发展规划。</w:t>
      </w:r>
    </w:p>
    <w:p>
      <w:pPr>
        <w:pStyle w:val="10"/>
        <w:spacing w:before="0" w:after="0" w:line="360" w:lineRule="auto"/>
        <w:ind w:firstLine="240" w:firstLineChars="1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（3）符合水资源管理和环保要求</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安化县乐安镇乐高污水处理厂收集处理服务范围内的生活污水达标后排放，截留了大量进入洢水的生活污水，消减了进入水体的污染物量，洢水水质得到有效的改善。因此，本工程的建设符合水资源管理、环保要求。</w:t>
      </w:r>
    </w:p>
    <w:p>
      <w:pPr>
        <w:pStyle w:val="10"/>
        <w:spacing w:before="0" w:after="0" w:line="360" w:lineRule="auto"/>
        <w:ind w:firstLine="240" w:firstLineChars="1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（4）符合水功能区管理的要求</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安化县乐安镇乐高污水处理厂入河排污口位于洢水，属于洢水安化源头水保护区，本纳污河流现有主要功能为饮用及灌溉，水质管理目标为Ⅱ类水。根据调查，本项目监测断面监测数据均符合《地表水环境质量标准》Ⅱ类水，因此符合水功能区规划。</w:t>
      </w:r>
    </w:p>
    <w:p>
      <w:pPr>
        <w:pStyle w:val="10"/>
        <w:spacing w:before="0" w:after="0" w:line="360" w:lineRule="auto"/>
        <w:jc w:val="both"/>
        <w:outlineLvl w:val="1"/>
        <w:rPr>
          <w:rFonts w:hint="default" w:ascii="Times New Roman" w:hAnsi="Times New Roman" w:cs="Times New Roman"/>
          <w:b/>
          <w:bCs/>
          <w:szCs w:val="24"/>
          <w:highlight w:val="none"/>
        </w:rPr>
      </w:pPr>
      <w:bookmarkStart w:id="49" w:name="_Toc32225"/>
      <w:r>
        <w:rPr>
          <w:rFonts w:hint="default" w:ascii="Times New Roman" w:hAnsi="Times New Roman" w:cs="Times New Roman"/>
          <w:b/>
          <w:bCs/>
          <w:szCs w:val="24"/>
          <w:highlight w:val="none"/>
        </w:rPr>
        <w:t>3.2.水功能区（水域）现有取排水状况</w:t>
      </w:r>
      <w:bookmarkEnd w:id="49"/>
    </w:p>
    <w:p>
      <w:pPr>
        <w:pStyle w:val="10"/>
        <w:spacing w:before="0" w:after="0" w:line="360" w:lineRule="auto"/>
        <w:ind w:firstLine="482" w:firstLineChars="200"/>
        <w:jc w:val="both"/>
        <w:outlineLvl w:val="2"/>
        <w:rPr>
          <w:rFonts w:hint="default" w:ascii="Times New Roman" w:hAnsi="Times New Roman" w:cs="Times New Roman"/>
          <w:b/>
          <w:bCs/>
          <w:szCs w:val="24"/>
          <w:highlight w:val="none"/>
        </w:rPr>
      </w:pPr>
      <w:bookmarkStart w:id="50" w:name="_Toc22935"/>
      <w:r>
        <w:rPr>
          <w:rFonts w:hint="default" w:ascii="Times New Roman" w:hAnsi="Times New Roman" w:cs="Times New Roman"/>
          <w:b/>
          <w:bCs/>
          <w:szCs w:val="24"/>
          <w:highlight w:val="none"/>
        </w:rPr>
        <w:t>3.2.1.取水状况</w:t>
      </w:r>
      <w:bookmarkEnd w:id="50"/>
    </w:p>
    <w:p>
      <w:pPr>
        <w:pStyle w:val="10"/>
        <w:spacing w:before="0" w:after="0" w:line="360" w:lineRule="auto"/>
        <w:ind w:firstLine="480" w:firstLineChars="200"/>
        <w:jc w:val="both"/>
        <w:rPr>
          <w:rFonts w:hint="default" w:ascii="Times New Roman" w:hAnsi="Times New Roman" w:cs="Times New Roman"/>
          <w:bCs/>
          <w:color w:val="7030A0"/>
          <w:sz w:val="24"/>
          <w:highlight w:val="none"/>
          <w:u w:val="single"/>
          <w:lang w:val="en-US" w:eastAsia="zh-CN"/>
        </w:rPr>
      </w:pPr>
      <w:r>
        <w:rPr>
          <w:rFonts w:hint="default" w:ascii="Times New Roman" w:hAnsi="Times New Roman" w:cs="Times New Roman"/>
          <w:bCs/>
          <w:color w:val="7030A0"/>
          <w:sz w:val="24"/>
          <w:highlight w:val="none"/>
          <w:u w:val="single"/>
          <w:lang w:val="en-US" w:eastAsia="zh-CN"/>
        </w:rPr>
        <w:t>根据调查和收集资料，</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val="en-US" w:eastAsia="zh-CN"/>
        </w:rPr>
        <w:t>乐安镇有乡镇水厂一座，其取水口位于</w:t>
      </w:r>
      <w:r>
        <w:rPr>
          <w:rFonts w:hint="default" w:ascii="Times New Roman" w:hAnsi="Times New Roman" w:cs="Times New Roman"/>
          <w:bCs/>
          <w:color w:val="7030A0"/>
          <w:sz w:val="24"/>
          <w:highlight w:val="none"/>
          <w:u w:val="single"/>
        </w:rPr>
        <w:t>洢水</w:t>
      </w:r>
      <w:r>
        <w:rPr>
          <w:rFonts w:hint="default" w:ascii="Times New Roman" w:hAnsi="Times New Roman" w:cs="Times New Roman"/>
          <w:bCs/>
          <w:color w:val="7030A0"/>
          <w:sz w:val="24"/>
          <w:highlight w:val="none"/>
          <w:u w:val="single"/>
          <w:lang w:val="en-US" w:eastAsia="zh-CN"/>
        </w:rPr>
        <w:t>支流汇入口上游4.2km的碑冲水库，该支流汇入口位于</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eastAsia="zh-CN"/>
        </w:rPr>
        <w:t>乐安镇乐高</w:t>
      </w:r>
      <w:r>
        <w:rPr>
          <w:rFonts w:hint="default" w:ascii="Times New Roman" w:hAnsi="Times New Roman" w:cs="Times New Roman"/>
          <w:bCs/>
          <w:color w:val="7030A0"/>
          <w:sz w:val="24"/>
          <w:highlight w:val="none"/>
          <w:u w:val="single"/>
        </w:rPr>
        <w:t>污水处理厂洢水</w:t>
      </w:r>
      <w:r>
        <w:rPr>
          <w:rFonts w:hint="default" w:ascii="Times New Roman" w:hAnsi="Times New Roman" w:cs="Times New Roman"/>
          <w:bCs/>
          <w:color w:val="7030A0"/>
          <w:sz w:val="24"/>
          <w:highlight w:val="none"/>
          <w:u w:val="single"/>
          <w:lang w:val="en-US" w:eastAsia="zh-CN"/>
        </w:rPr>
        <w:t>排放口上游3.3km处，其位置关系详见</w:t>
      </w:r>
      <w:r>
        <w:rPr>
          <w:rFonts w:hint="default" w:ascii="Times New Roman" w:hAnsi="Times New Roman" w:cs="Times New Roman"/>
          <w:bCs/>
          <w:color w:val="7030A0"/>
          <w:sz w:val="24"/>
          <w:highlight w:val="none"/>
          <w:u w:val="single"/>
        </w:rPr>
        <w:t>附图</w:t>
      </w:r>
      <w:r>
        <w:rPr>
          <w:rFonts w:hint="default" w:ascii="Times New Roman" w:hAnsi="Times New Roman" w:cs="Times New Roman"/>
          <w:bCs/>
          <w:color w:val="7030A0"/>
          <w:sz w:val="24"/>
          <w:highlight w:val="none"/>
          <w:u w:val="single"/>
          <w:lang w:val="en-US" w:eastAsia="zh-CN"/>
        </w:rPr>
        <w:t>4《污水处理厂排放口与乐安水厂饮用水源保护区取水口相对关系图》。</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目前本项目入河排污口的洢水为安化源头水保护区，河流目前的主要功能为饮用水及灌溉，水质管理目标为Ⅱ类。根据本项目废水排污的可能影响范围，对本项目论证范围（洢水安化源头水保护区）的主要取水口现状进行调查，根据调查，本项目论证范围内有</w:t>
      </w:r>
      <w:r>
        <w:rPr>
          <w:rFonts w:hint="default" w:ascii="Times New Roman" w:hAnsi="Times New Roman" w:cs="Times New Roman"/>
          <w:kern w:val="2"/>
          <w:szCs w:val="24"/>
          <w:highlight w:val="none"/>
          <w:u w:val="single"/>
          <w:lang w:val="en-US" w:eastAsia="zh-CN"/>
        </w:rPr>
        <w:t>少量</w:t>
      </w:r>
      <w:r>
        <w:rPr>
          <w:rFonts w:hint="default" w:ascii="Times New Roman" w:hAnsi="Times New Roman" w:cs="Times New Roman"/>
          <w:kern w:val="2"/>
          <w:szCs w:val="24"/>
          <w:highlight w:val="none"/>
          <w:u w:val="single"/>
        </w:rPr>
        <w:t>农业取水口</w:t>
      </w:r>
      <w:r>
        <w:rPr>
          <w:rFonts w:hint="default" w:ascii="Times New Roman" w:hAnsi="Times New Roman" w:cs="Times New Roman"/>
          <w:kern w:val="2"/>
          <w:szCs w:val="24"/>
          <w:highlight w:val="none"/>
          <w:u w:val="single"/>
          <w:lang w:eastAsia="zh-CN"/>
        </w:rPr>
        <w:t>，</w:t>
      </w:r>
      <w:r>
        <w:rPr>
          <w:rFonts w:hint="default" w:ascii="Times New Roman" w:hAnsi="Times New Roman" w:cs="Times New Roman"/>
          <w:kern w:val="2"/>
          <w:szCs w:val="24"/>
          <w:highlight w:val="none"/>
          <w:u w:val="single"/>
        </w:rPr>
        <w:t>无</w:t>
      </w:r>
      <w:r>
        <w:rPr>
          <w:rFonts w:hint="default" w:ascii="Times New Roman" w:hAnsi="Times New Roman" w:cs="Times New Roman"/>
          <w:kern w:val="2"/>
          <w:szCs w:val="24"/>
          <w:highlight w:val="none"/>
          <w:u w:val="single"/>
          <w:lang w:val="en-US" w:eastAsia="zh-CN"/>
        </w:rPr>
        <w:t>市</w:t>
      </w:r>
      <w:r>
        <w:rPr>
          <w:rFonts w:hint="default" w:ascii="Times New Roman" w:hAnsi="Times New Roman" w:cs="Times New Roman"/>
          <w:kern w:val="2"/>
          <w:szCs w:val="24"/>
          <w:highlight w:val="none"/>
          <w:u w:val="single"/>
        </w:rPr>
        <w:t>政供水取水口。</w:t>
      </w:r>
    </w:p>
    <w:p>
      <w:pPr>
        <w:pStyle w:val="10"/>
        <w:spacing w:before="0" w:after="0" w:line="360" w:lineRule="auto"/>
        <w:ind w:firstLine="482" w:firstLineChars="200"/>
        <w:jc w:val="both"/>
        <w:outlineLvl w:val="2"/>
        <w:rPr>
          <w:rFonts w:hint="default" w:ascii="Times New Roman" w:hAnsi="Times New Roman" w:cs="Times New Roman"/>
          <w:b/>
          <w:bCs/>
          <w:szCs w:val="24"/>
          <w:highlight w:val="none"/>
          <w:u w:val="single"/>
        </w:rPr>
      </w:pPr>
      <w:bookmarkStart w:id="51" w:name="_Toc20088"/>
      <w:r>
        <w:rPr>
          <w:rFonts w:hint="default" w:ascii="Times New Roman" w:hAnsi="Times New Roman" w:cs="Times New Roman"/>
          <w:b/>
          <w:bCs/>
          <w:szCs w:val="24"/>
          <w:highlight w:val="none"/>
          <w:u w:val="single"/>
        </w:rPr>
        <w:t>3.2.2.排水状况</w:t>
      </w:r>
      <w:bookmarkEnd w:id="51"/>
    </w:p>
    <w:p>
      <w:pPr>
        <w:spacing w:line="360" w:lineRule="auto"/>
        <w:ind w:firstLine="480" w:firstLineChars="200"/>
        <w:rPr>
          <w:rFonts w:hint="default" w:ascii="Times New Roman" w:hAnsi="Times New Roman" w:cs="Times New Roman"/>
          <w:color w:val="auto"/>
          <w:sz w:val="24"/>
          <w:szCs w:val="24"/>
          <w:highlight w:val="none"/>
          <w:u w:val="single"/>
        </w:rPr>
      </w:pPr>
      <w:r>
        <w:rPr>
          <w:rFonts w:hint="default" w:ascii="Times New Roman" w:hAnsi="Times New Roman" w:cs="Times New Roman"/>
          <w:sz w:val="24"/>
          <w:szCs w:val="24"/>
          <w:highlight w:val="none"/>
          <w:u w:val="single"/>
        </w:rPr>
        <w:t>根据本项目废水排污的可能影响范围，对本项目入河排污口下游河段（论证范围内的洢水）的主要排水口现状进行调查，根据现状调查，下游有农业退水口</w:t>
      </w:r>
      <w:r>
        <w:rPr>
          <w:rFonts w:hint="default" w:ascii="Times New Roman" w:hAnsi="Times New Roman" w:cs="Times New Roman"/>
          <w:sz w:val="24"/>
          <w:szCs w:val="24"/>
          <w:highlight w:val="none"/>
          <w:u w:val="single"/>
          <w:lang w:eastAsia="zh-CN"/>
        </w:rPr>
        <w:t>，</w:t>
      </w:r>
      <w:r>
        <w:rPr>
          <w:rFonts w:hint="default" w:ascii="Times New Roman" w:hAnsi="Times New Roman" w:cs="Times New Roman"/>
          <w:color w:val="auto"/>
          <w:sz w:val="24"/>
          <w:szCs w:val="24"/>
          <w:highlight w:val="none"/>
          <w:u w:val="single"/>
          <w:lang w:val="en-US" w:eastAsia="zh-CN"/>
        </w:rPr>
        <w:t>上游500m有一处同等规模的乐安镇乐桥</w:t>
      </w:r>
      <w:r>
        <w:rPr>
          <w:rFonts w:hint="default" w:ascii="Times New Roman" w:hAnsi="Times New Roman" w:cs="Times New Roman"/>
          <w:bCs/>
          <w:color w:val="auto"/>
          <w:sz w:val="24"/>
          <w:highlight w:val="none"/>
          <w:u w:val="single"/>
        </w:rPr>
        <w:t>污水处理厂</w:t>
      </w:r>
      <w:r>
        <w:rPr>
          <w:rFonts w:hint="default" w:ascii="Times New Roman" w:hAnsi="Times New Roman" w:cs="Times New Roman"/>
          <w:bCs/>
          <w:color w:val="auto"/>
          <w:sz w:val="24"/>
          <w:highlight w:val="none"/>
          <w:u w:val="single"/>
          <w:lang w:val="en-US" w:eastAsia="zh-CN"/>
        </w:rPr>
        <w:t>排放口</w:t>
      </w:r>
      <w:r>
        <w:rPr>
          <w:rFonts w:hint="default" w:ascii="Times New Roman" w:hAnsi="Times New Roman" w:cs="Times New Roman"/>
          <w:color w:val="auto"/>
          <w:sz w:val="24"/>
          <w:szCs w:val="24"/>
          <w:highlight w:val="none"/>
          <w:u w:val="single"/>
        </w:rPr>
        <w:t>。</w:t>
      </w:r>
    </w:p>
    <w:p>
      <w:pPr>
        <w:pStyle w:val="10"/>
        <w:spacing w:before="0" w:after="0" w:line="360" w:lineRule="auto"/>
        <w:jc w:val="both"/>
        <w:outlineLvl w:val="1"/>
        <w:rPr>
          <w:rFonts w:hint="default" w:ascii="Times New Roman" w:hAnsi="Times New Roman" w:cs="Times New Roman"/>
          <w:b/>
          <w:bCs/>
          <w:szCs w:val="24"/>
          <w:highlight w:val="none"/>
        </w:rPr>
      </w:pPr>
      <w:bookmarkStart w:id="52" w:name="_Toc27254"/>
      <w:r>
        <w:rPr>
          <w:rFonts w:hint="default" w:ascii="Times New Roman" w:hAnsi="Times New Roman" w:cs="Times New Roman"/>
          <w:b/>
          <w:bCs/>
          <w:szCs w:val="24"/>
          <w:highlight w:val="none"/>
        </w:rPr>
        <w:t>3.3.水功能区（水域）水质现状</w:t>
      </w:r>
      <w:bookmarkEnd w:id="52"/>
    </w:p>
    <w:p>
      <w:pPr>
        <w:pStyle w:val="10"/>
        <w:spacing w:before="0" w:after="0" w:line="360" w:lineRule="auto"/>
        <w:ind w:firstLine="240" w:firstLineChars="100"/>
        <w:jc w:val="both"/>
        <w:outlineLvl w:val="2"/>
        <w:rPr>
          <w:rFonts w:hint="default" w:ascii="Times New Roman" w:hAnsi="Times New Roman" w:cs="Times New Roman"/>
          <w:kern w:val="2"/>
          <w:szCs w:val="24"/>
          <w:highlight w:val="none"/>
        </w:rPr>
      </w:pPr>
      <w:bookmarkStart w:id="53" w:name="_Toc23701"/>
      <w:bookmarkStart w:id="54" w:name="_Toc11914"/>
      <w:r>
        <w:rPr>
          <w:rFonts w:hint="default" w:ascii="Times New Roman" w:hAnsi="Times New Roman" w:cs="Times New Roman"/>
          <w:kern w:val="2"/>
          <w:szCs w:val="24"/>
          <w:highlight w:val="none"/>
        </w:rPr>
        <w:t>（1）监控断面水质现状</w:t>
      </w:r>
      <w:bookmarkEnd w:id="53"/>
      <w:bookmarkEnd w:id="54"/>
    </w:p>
    <w:p>
      <w:pPr>
        <w:pStyle w:val="10"/>
        <w:spacing w:before="0" w:after="0" w:line="360" w:lineRule="auto"/>
        <w:jc w:val="both"/>
        <w:rPr>
          <w:rFonts w:hint="default" w:ascii="Times New Roman" w:hAnsi="Times New Roman" w:cs="Times New Roman"/>
          <w:color w:val="000000" w:themeColor="text1"/>
          <w:kern w:val="2"/>
          <w:szCs w:val="24"/>
          <w:highlight w:val="none"/>
          <w:u w:val="single"/>
          <w14:textFill>
            <w14:solidFill>
              <w14:schemeClr w14:val="tx1"/>
            </w14:solidFill>
          </w14:textFill>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kern w:val="2"/>
          <w:szCs w:val="24"/>
          <w:highlight w:val="none"/>
        </w:rPr>
        <w:t xml:space="preserve">    </w:t>
      </w:r>
      <w:r>
        <w:rPr>
          <w:rFonts w:hint="default" w:ascii="Times New Roman" w:hAnsi="Times New Roman" w:cs="Times New Roman"/>
          <w:kern w:val="2"/>
          <w:szCs w:val="24"/>
          <w:highlight w:val="none"/>
          <w:u w:val="single"/>
        </w:rPr>
        <w:t>敷溪断面位于洢水下游（洢水和滔溪汇合后的洢水亦称敷溪，具体位置见附图）。</w:t>
      </w:r>
      <w:r>
        <w:rPr>
          <w:rFonts w:hint="default" w:ascii="Times New Roman" w:hAnsi="Times New Roman" w:cs="Times New Roman"/>
          <w:color w:val="000000" w:themeColor="text1"/>
          <w:kern w:val="2"/>
          <w:szCs w:val="24"/>
          <w:highlight w:val="none"/>
          <w:u w:val="single"/>
          <w14:textFill>
            <w14:solidFill>
              <w14:schemeClr w14:val="tx1"/>
            </w14:solidFill>
          </w14:textFill>
        </w:rPr>
        <w:t>本次收集了国控平台系统2020年全年的数据，具体如下表所示：</w:t>
      </w:r>
    </w:p>
    <w:p>
      <w:pPr>
        <w:pStyle w:val="11"/>
        <w:jc w:val="center"/>
        <w:rPr>
          <w:rFonts w:hint="default" w:ascii="Times New Roman" w:hAnsi="Times New Roman" w:cs="Times New Roman"/>
          <w:b/>
          <w:bCs/>
          <w:sz w:val="24"/>
          <w:highlight w:val="none"/>
          <w:u w:val="single"/>
          <w:lang w:val="en-US" w:eastAsia="zh-CN"/>
        </w:rPr>
      </w:pPr>
      <w:r>
        <w:rPr>
          <w:rFonts w:hint="default" w:ascii="Times New Roman" w:hAnsi="Times New Roman" w:cs="Times New Roman"/>
          <w:b/>
          <w:bCs/>
          <w:sz w:val="24"/>
          <w:highlight w:val="none"/>
          <w:u w:val="single"/>
        </w:rPr>
        <w:t>表3-</w:t>
      </w:r>
      <w:r>
        <w:rPr>
          <w:rFonts w:hint="default" w:ascii="Times New Roman" w:hAnsi="Times New Roman" w:cs="Times New Roman"/>
          <w:b/>
          <w:bCs/>
          <w:sz w:val="24"/>
          <w:highlight w:val="none"/>
          <w:u w:val="single"/>
          <w:lang w:val="en-US" w:eastAsia="zh-CN"/>
        </w:rPr>
        <w:t>1</w:t>
      </w:r>
      <w:r>
        <w:rPr>
          <w:rFonts w:hint="default" w:ascii="Times New Roman" w:hAnsi="Times New Roman" w:cs="Times New Roman"/>
          <w:b/>
          <w:bCs/>
          <w:sz w:val="24"/>
          <w:highlight w:val="none"/>
          <w:u w:val="single"/>
        </w:rPr>
        <w:t xml:space="preserve">  敷溪断面2020年</w:t>
      </w:r>
      <w:r>
        <w:rPr>
          <w:rFonts w:hint="default" w:ascii="Times New Roman" w:hAnsi="Times New Roman" w:cs="Times New Roman"/>
          <w:b/>
          <w:bCs/>
          <w:sz w:val="24"/>
          <w:highlight w:val="none"/>
          <w:u w:val="single"/>
          <w:lang w:val="en-US" w:eastAsia="zh-CN"/>
        </w:rPr>
        <w:t>水质监测结果一览表</w:t>
      </w:r>
    </w:p>
    <w:tbl>
      <w:tblPr>
        <w:tblStyle w:val="23"/>
        <w:tblW w:w="13718"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autofit"/>
        <w:tblCellMar>
          <w:top w:w="0" w:type="dxa"/>
          <w:left w:w="0" w:type="dxa"/>
          <w:bottom w:w="0" w:type="dxa"/>
          <w:right w:w="0" w:type="dxa"/>
        </w:tblCellMar>
      </w:tblPr>
      <w:tblGrid>
        <w:gridCol w:w="359"/>
        <w:gridCol w:w="660"/>
        <w:gridCol w:w="327"/>
        <w:gridCol w:w="525"/>
        <w:gridCol w:w="567"/>
        <w:gridCol w:w="435"/>
        <w:gridCol w:w="450"/>
        <w:gridCol w:w="435"/>
        <w:gridCol w:w="567"/>
        <w:gridCol w:w="567"/>
        <w:gridCol w:w="615"/>
        <w:gridCol w:w="615"/>
        <w:gridCol w:w="600"/>
        <w:gridCol w:w="660"/>
        <w:gridCol w:w="705"/>
        <w:gridCol w:w="750"/>
        <w:gridCol w:w="675"/>
        <w:gridCol w:w="555"/>
        <w:gridCol w:w="585"/>
        <w:gridCol w:w="705"/>
        <w:gridCol w:w="660"/>
        <w:gridCol w:w="567"/>
        <w:gridCol w:w="567"/>
        <w:gridCol w:w="567"/>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断面名称</w:t>
            </w:r>
          </w:p>
        </w:tc>
        <w:tc>
          <w:tcPr>
            <w:tcW w:w="66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监测</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时间</w:t>
            </w:r>
          </w:p>
        </w:tc>
        <w:tc>
          <w:tcPr>
            <w:tcW w:w="32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监测频次</w:t>
            </w:r>
          </w:p>
        </w:tc>
        <w:tc>
          <w:tcPr>
            <w:tcW w:w="52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pH</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溶</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解</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氧</w:t>
            </w:r>
          </w:p>
        </w:tc>
        <w:tc>
          <w:tcPr>
            <w:tcW w:w="43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高锰酸盐指数</w:t>
            </w:r>
          </w:p>
        </w:tc>
        <w:tc>
          <w:tcPr>
            <w:tcW w:w="45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化学需氧量</w:t>
            </w:r>
          </w:p>
        </w:tc>
        <w:tc>
          <w:tcPr>
            <w:tcW w:w="43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生化需氧量</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氨氮</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总磷</w:t>
            </w:r>
          </w:p>
        </w:tc>
        <w:tc>
          <w:tcPr>
            <w:tcW w:w="61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铜</w:t>
            </w:r>
          </w:p>
        </w:tc>
        <w:tc>
          <w:tcPr>
            <w:tcW w:w="61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锌</w:t>
            </w:r>
          </w:p>
        </w:tc>
        <w:tc>
          <w:tcPr>
            <w:tcW w:w="60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氟</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化</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物</w:t>
            </w:r>
          </w:p>
        </w:tc>
        <w:tc>
          <w:tcPr>
            <w:tcW w:w="66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硒</w:t>
            </w:r>
          </w:p>
        </w:tc>
        <w:tc>
          <w:tcPr>
            <w:tcW w:w="70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砷</w:t>
            </w:r>
          </w:p>
        </w:tc>
        <w:tc>
          <w:tcPr>
            <w:tcW w:w="75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汞</w:t>
            </w:r>
          </w:p>
        </w:tc>
        <w:tc>
          <w:tcPr>
            <w:tcW w:w="67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镉</w:t>
            </w:r>
          </w:p>
        </w:tc>
        <w:tc>
          <w:tcPr>
            <w:tcW w:w="55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六</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价</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铬</w:t>
            </w:r>
          </w:p>
        </w:tc>
        <w:tc>
          <w:tcPr>
            <w:tcW w:w="58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铅</w:t>
            </w:r>
          </w:p>
        </w:tc>
        <w:tc>
          <w:tcPr>
            <w:tcW w:w="705"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氰</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化</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物</w:t>
            </w:r>
          </w:p>
        </w:tc>
        <w:tc>
          <w:tcPr>
            <w:tcW w:w="660"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挥</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发</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酚</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石</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油</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类</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阴离子表面活性剂</w:t>
            </w:r>
          </w:p>
        </w:tc>
        <w:tc>
          <w:tcPr>
            <w:tcW w:w="56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硫</w:t>
            </w:r>
          </w:p>
          <w:p>
            <w:pPr>
              <w:widowControl/>
              <w:jc w:val="center"/>
              <w:textAlignment w:val="center"/>
              <w:rPr>
                <w:rFonts w:hint="default" w:ascii="Times New Roman" w:hAnsi="Times New Roman" w:cs="Times New Roman"/>
                <w:b/>
                <w:color w:val="000000"/>
                <w:kern w:val="0"/>
                <w:sz w:val="18"/>
                <w:szCs w:val="18"/>
                <w:highlight w:val="none"/>
                <w:lang w:bidi="ar"/>
              </w:rPr>
            </w:pPr>
            <w:r>
              <w:rPr>
                <w:rFonts w:hint="default" w:ascii="Times New Roman" w:hAnsi="Times New Roman" w:cs="Times New Roman"/>
                <w:b/>
                <w:color w:val="000000"/>
                <w:kern w:val="0"/>
                <w:sz w:val="18"/>
                <w:szCs w:val="18"/>
                <w:highlight w:val="none"/>
                <w:lang w:bidi="ar"/>
              </w:rPr>
              <w:t>化</w:t>
            </w:r>
          </w:p>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b/>
                <w:color w:val="000000"/>
                <w:kern w:val="0"/>
                <w:sz w:val="18"/>
                <w:szCs w:val="18"/>
                <w:highlight w:val="none"/>
                <w:lang w:bidi="ar"/>
              </w:rPr>
              <w:t>物</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0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7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5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8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0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7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5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8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43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1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0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5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7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5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8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705"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6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color w:val="000000"/>
                <w:kern w:val="0"/>
                <w:sz w:val="18"/>
                <w:szCs w:val="18"/>
                <w:highlight w:val="none"/>
                <w:lang w:bidi="ar"/>
              </w:rPr>
              <w:t>敷溪</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2020.1</w:t>
            </w:r>
          </w:p>
        </w:tc>
        <w:tc>
          <w:tcPr>
            <w:tcW w:w="327" w:type="dxa"/>
            <w:vMerge w:val="restart"/>
            <w:shd w:val="clear" w:color="auto" w:fill="auto"/>
            <w:tcMar>
              <w:top w:w="15" w:type="dxa"/>
              <w:left w:w="15" w:type="dxa"/>
              <w:right w:w="15" w:type="dxa"/>
            </w:tcMar>
            <w:vAlign w:val="center"/>
          </w:tcPr>
          <w:p>
            <w:pPr>
              <w:widowControl/>
              <w:jc w:val="center"/>
              <w:textAlignment w:val="center"/>
              <w:rPr>
                <w:rFonts w:hint="default" w:ascii="Times New Roman" w:hAnsi="Times New Roman" w:cs="Times New Roman"/>
                <w:color w:val="000000"/>
                <w:sz w:val="18"/>
                <w:szCs w:val="18"/>
                <w:highlight w:val="none"/>
              </w:rPr>
            </w:pPr>
            <w:r>
              <w:rPr>
                <w:rFonts w:hint="default" w:ascii="Times New Roman" w:hAnsi="Times New Roman" w:cs="Times New Roman"/>
                <w:color w:val="000000"/>
                <w:kern w:val="0"/>
                <w:sz w:val="18"/>
                <w:szCs w:val="18"/>
                <w:highlight w:val="none"/>
                <w:lang w:bidi="ar"/>
              </w:rPr>
              <w:t>1次/月</w:t>
            </w: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11.9</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7.4</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0.027</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0.006L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0.0008</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0.006</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2020.2</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13.2</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6.9</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0.023</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0.083</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0.0005</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0.007</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2020.3</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1.7</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7.8</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0.51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0.396</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0.0009</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0.007</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2020.4</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11.1</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1.7</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7.1</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0.23</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0.022</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0.006L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0.0006</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0.005</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2020.5</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9.4</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1.7</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7.0</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1.5</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0.047</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0.158</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0.0007</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0.006</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0.034</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2020.6</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8.5</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7.5</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0.039</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0.144</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0.0007</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0.007</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2020.7</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7.9</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1.9</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9.2</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1.9</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0.023</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0.118</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0.009</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0.012</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2020.8</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7.6</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8.5</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0.157</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0.011</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2020.9</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9.3</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1.9</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0.094</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0.0006</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0.010</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2020.10</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1.5</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0.22</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0.023</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0.711</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0.005</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0.009</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2020.11</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9.7</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8.0</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2.1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0.025</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0.329</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0.0007</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0.005</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0" w:type="dxa"/>
            <w:bottom w:w="0" w:type="dxa"/>
            <w:right w:w="0" w:type="dxa"/>
          </w:tblCellMar>
        </w:tblPrEx>
        <w:trPr>
          <w:trHeight w:val="340" w:hRule="atLeast"/>
        </w:trPr>
        <w:tc>
          <w:tcPr>
            <w:tcW w:w="359"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pacing w:val="-10"/>
                <w:sz w:val="18"/>
                <w:szCs w:val="18"/>
                <w:highlight w:val="none"/>
              </w:rPr>
              <w:t>2020.12</w:t>
            </w:r>
          </w:p>
        </w:tc>
        <w:tc>
          <w:tcPr>
            <w:tcW w:w="327" w:type="dxa"/>
            <w:vMerge w:val="continue"/>
            <w:shd w:val="clear" w:color="auto" w:fill="auto"/>
            <w:tcMar>
              <w:top w:w="15" w:type="dxa"/>
              <w:left w:w="15" w:type="dxa"/>
              <w:right w:w="15" w:type="dxa"/>
            </w:tcMar>
            <w:vAlign w:val="center"/>
          </w:tcPr>
          <w:p>
            <w:pPr>
              <w:jc w:val="center"/>
              <w:rPr>
                <w:rFonts w:hint="default" w:ascii="Times New Roman" w:hAnsi="Times New Roman" w:cs="Times New Roman"/>
                <w:color w:val="000000"/>
                <w:sz w:val="18"/>
                <w:szCs w:val="18"/>
                <w:highlight w:val="none"/>
              </w:rPr>
            </w:pPr>
          </w:p>
        </w:tc>
        <w:tc>
          <w:tcPr>
            <w:tcW w:w="52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11.3</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1.6</w:t>
            </w:r>
          </w:p>
        </w:tc>
        <w:tc>
          <w:tcPr>
            <w:tcW w:w="4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7.8</w:t>
            </w:r>
          </w:p>
        </w:tc>
        <w:tc>
          <w:tcPr>
            <w:tcW w:w="43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1.8</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0.10</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0.027</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1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60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0.139</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0.0004L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0.0006</w:t>
            </w:r>
          </w:p>
        </w:tc>
        <w:tc>
          <w:tcPr>
            <w:tcW w:w="75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0.00004L</w:t>
            </w:r>
          </w:p>
        </w:tc>
        <w:tc>
          <w:tcPr>
            <w:tcW w:w="67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0.0001L</w:t>
            </w:r>
          </w:p>
        </w:tc>
        <w:tc>
          <w:tcPr>
            <w:tcW w:w="55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0.004</w:t>
            </w:r>
          </w:p>
        </w:tc>
        <w:tc>
          <w:tcPr>
            <w:tcW w:w="58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0.002L</w:t>
            </w:r>
          </w:p>
        </w:tc>
        <w:tc>
          <w:tcPr>
            <w:tcW w:w="705"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0.001L</w:t>
            </w:r>
          </w:p>
        </w:tc>
        <w:tc>
          <w:tcPr>
            <w:tcW w:w="660"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0.0003L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0.01L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0.05L</w:t>
            </w:r>
          </w:p>
        </w:tc>
        <w:tc>
          <w:tcPr>
            <w:tcW w:w="567" w:type="dxa"/>
            <w:shd w:val="clear" w:color="auto" w:fill="auto"/>
            <w:tcMar>
              <w:top w:w="15" w:type="dxa"/>
              <w:left w:w="15" w:type="dxa"/>
              <w:right w:w="15" w:type="dxa"/>
            </w:tcMar>
            <w:vAlign w:val="center"/>
          </w:tcPr>
          <w:p>
            <w:pPr>
              <w:widowControl/>
              <w:jc w:val="center"/>
              <w:rPr>
                <w:rFonts w:hint="default" w:ascii="Times New Roman" w:hAnsi="Times New Roman" w:cs="Times New Roman"/>
                <w:spacing w:val="-10"/>
                <w:sz w:val="18"/>
                <w:szCs w:val="18"/>
                <w:highlight w:val="none"/>
              </w:rPr>
            </w:pPr>
            <w:r>
              <w:rPr>
                <w:rFonts w:hint="default" w:ascii="Times New Roman" w:hAnsi="Times New Roman" w:cs="Times New Roman"/>
                <w:sz w:val="18"/>
                <w:szCs w:val="18"/>
                <w:highlight w:val="none"/>
              </w:rPr>
              <w:t>0.005L</w:t>
            </w:r>
          </w:p>
        </w:tc>
      </w:tr>
    </w:tbl>
    <w:p>
      <w:pPr>
        <w:pStyle w:val="11"/>
        <w:ind w:left="0" w:leftChars="0" w:firstLine="480" w:firstLineChars="200"/>
        <w:rPr>
          <w:rFonts w:hint="default" w:ascii="Times New Roman" w:hAnsi="Times New Roman" w:cs="Times New Roman"/>
          <w:highlight w:val="none"/>
          <w:u w:val="single"/>
        </w:rPr>
        <w:sectPr>
          <w:pgSz w:w="16838" w:h="11906" w:orient="landscape"/>
          <w:pgMar w:top="1800" w:right="1644" w:bottom="1800" w:left="1814" w:header="851" w:footer="992" w:gutter="0"/>
          <w:cols w:space="720" w:num="1"/>
          <w:docGrid w:type="lines" w:linePitch="312" w:charSpace="0"/>
        </w:sectPr>
      </w:pPr>
      <w:r>
        <w:rPr>
          <w:rFonts w:hint="default" w:ascii="Times New Roman" w:hAnsi="Times New Roman" w:cs="Times New Roman"/>
          <w:sz w:val="24"/>
          <w:highlight w:val="none"/>
          <w:u w:val="single"/>
        </w:rPr>
        <w:t>根据上表可知，洢水下游敷溪监测断面水质良好，能满足《地表水环境质量标准》（GB3838-2002）中Ⅱ类水要求。</w:t>
      </w:r>
    </w:p>
    <w:p>
      <w:pPr>
        <w:pStyle w:val="10"/>
        <w:spacing w:before="0" w:after="0" w:line="360" w:lineRule="auto"/>
        <w:ind w:firstLine="240" w:firstLineChars="100"/>
        <w:jc w:val="both"/>
        <w:outlineLvl w:val="2"/>
        <w:rPr>
          <w:rFonts w:hint="default" w:ascii="Times New Roman" w:hAnsi="Times New Roman" w:cs="Times New Roman"/>
          <w:kern w:val="2"/>
          <w:szCs w:val="24"/>
          <w:highlight w:val="none"/>
        </w:rPr>
      </w:pPr>
      <w:bookmarkStart w:id="55" w:name="_Toc17323"/>
      <w:bookmarkStart w:id="56" w:name="_Toc16983"/>
      <w:r>
        <w:rPr>
          <w:rFonts w:hint="default" w:ascii="Times New Roman" w:hAnsi="Times New Roman" w:cs="Times New Roman"/>
          <w:kern w:val="2"/>
          <w:szCs w:val="24"/>
          <w:highlight w:val="none"/>
        </w:rPr>
        <w:t>（2）水质现状监测</w:t>
      </w:r>
      <w:bookmarkEnd w:id="55"/>
      <w:bookmarkEnd w:id="56"/>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为进一步了解本项目排污口纳污河流现状水质情况，本次排污口论证委托湖南立德正检测有限公司于2021年11月26日-11月28日对本项目入河排污口洢水上游500m、下游500m、下游1500m进行了采样监测，并出具监测报告，监测数据如下所示：</w:t>
      </w:r>
    </w:p>
    <w:p>
      <w:pPr>
        <w:pStyle w:val="10"/>
        <w:spacing w:before="0" w:after="0" w:line="360" w:lineRule="auto"/>
        <w:ind w:firstLine="241" w:firstLineChars="100"/>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表3-</w:t>
      </w:r>
      <w:r>
        <w:rPr>
          <w:rFonts w:hint="default" w:ascii="Times New Roman" w:hAnsi="Times New Roman" w:cs="Times New Roman"/>
          <w:b/>
          <w:bCs/>
          <w:kern w:val="2"/>
          <w:szCs w:val="24"/>
          <w:highlight w:val="none"/>
          <w:lang w:val="en-US" w:eastAsia="zh-CN"/>
        </w:rPr>
        <w:t>2</w:t>
      </w:r>
      <w:r>
        <w:rPr>
          <w:rFonts w:hint="default" w:ascii="Times New Roman" w:hAnsi="Times New Roman" w:cs="Times New Roman"/>
          <w:b/>
          <w:bCs/>
          <w:kern w:val="2"/>
          <w:szCs w:val="24"/>
          <w:highlight w:val="none"/>
        </w:rPr>
        <w:t xml:space="preserve">  采样点位一览表</w:t>
      </w:r>
    </w:p>
    <w:tbl>
      <w:tblPr>
        <w:tblStyle w:val="2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08"/>
        <w:gridCol w:w="2240"/>
        <w:gridCol w:w="2734"/>
        <w:gridCol w:w="273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474" w:type="pc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b/>
                <w:bCs/>
                <w:kern w:val="2"/>
                <w:sz w:val="21"/>
                <w:szCs w:val="21"/>
                <w:highlight w:val="none"/>
              </w:rPr>
              <w:t>序号</w:t>
            </w:r>
          </w:p>
        </w:tc>
        <w:tc>
          <w:tcPr>
            <w:tcW w:w="1314" w:type="pc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b/>
                <w:bCs/>
                <w:kern w:val="2"/>
                <w:sz w:val="21"/>
                <w:szCs w:val="21"/>
                <w:highlight w:val="none"/>
              </w:rPr>
              <w:t>采样时间</w:t>
            </w:r>
          </w:p>
        </w:tc>
        <w:tc>
          <w:tcPr>
            <w:tcW w:w="1604" w:type="pc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b/>
                <w:bCs/>
                <w:kern w:val="2"/>
                <w:sz w:val="21"/>
                <w:szCs w:val="21"/>
                <w:highlight w:val="none"/>
              </w:rPr>
              <w:t>采样位置</w:t>
            </w:r>
          </w:p>
        </w:tc>
        <w:tc>
          <w:tcPr>
            <w:tcW w:w="1606" w:type="pc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b/>
                <w:bCs/>
                <w:kern w:val="2"/>
                <w:sz w:val="21"/>
                <w:szCs w:val="21"/>
                <w:highlight w:val="none"/>
              </w:rPr>
              <w:t>监测项目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8" w:hRule="atLeast"/>
        </w:trPr>
        <w:tc>
          <w:tcPr>
            <w:tcW w:w="474" w:type="pct"/>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W1</w:t>
            </w:r>
          </w:p>
        </w:tc>
        <w:tc>
          <w:tcPr>
            <w:tcW w:w="1314" w:type="pct"/>
            <w:vMerge w:val="restart"/>
            <w:vAlign w:val="center"/>
          </w:tcPr>
          <w:p>
            <w:pPr>
              <w:pStyle w:val="10"/>
              <w:spacing w:before="0" w:after="0"/>
              <w:rPr>
                <w:rFonts w:hint="default" w:ascii="Times New Roman" w:hAnsi="Times New Roman" w:cs="Times New Roman"/>
                <w:b/>
                <w:bCs/>
                <w:kern w:val="2"/>
                <w:sz w:val="21"/>
                <w:szCs w:val="21"/>
                <w:highlight w:val="none"/>
              </w:rPr>
            </w:pPr>
            <w:r>
              <w:rPr>
                <w:rFonts w:hint="default" w:ascii="Times New Roman" w:hAnsi="Times New Roman" w:cs="Times New Roman"/>
                <w:kern w:val="2"/>
                <w:sz w:val="21"/>
                <w:szCs w:val="21"/>
                <w:highlight w:val="none"/>
              </w:rPr>
              <w:t>2021年11月26日-11月28日</w:t>
            </w:r>
          </w:p>
        </w:tc>
        <w:tc>
          <w:tcPr>
            <w:tcW w:w="1604" w:type="pct"/>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排污口</w:t>
            </w:r>
          </w:p>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highlight w:val="none"/>
              </w:rPr>
              <w:t>上游500m</w:t>
            </w:r>
          </w:p>
        </w:tc>
        <w:tc>
          <w:tcPr>
            <w:tcW w:w="1606" w:type="pct"/>
            <w:vMerge w:val="restart"/>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pH值、悬浮物、溶解氧、</w:t>
            </w:r>
            <w:r>
              <w:rPr>
                <w:rFonts w:hint="eastAsia" w:ascii="Times New Roman" w:hAnsi="Times New Roman" w:cs="Times New Roman"/>
                <w:kern w:val="2"/>
                <w:sz w:val="21"/>
                <w:szCs w:val="21"/>
                <w:highlight w:val="none"/>
                <w:lang w:eastAsia="zh-CN"/>
              </w:rPr>
              <w:t>高锰酸盐指数</w:t>
            </w:r>
            <w:r>
              <w:rPr>
                <w:rFonts w:hint="default" w:ascii="Times New Roman" w:hAnsi="Times New Roman" w:cs="Times New Roman"/>
                <w:kern w:val="2"/>
                <w:sz w:val="21"/>
                <w:szCs w:val="21"/>
                <w:highlight w:val="none"/>
              </w:rPr>
              <w:t>、化学需氧量</w:t>
            </w:r>
          </w:p>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五日、生化需氧量、氨氮</w:t>
            </w:r>
          </w:p>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总磷、总氮、铜、锌、氟化物、硒、砷、汞、镉、铬（六价）、铅、氰化物、挥发酚、石油类、阴离子、表面活性剂、硫化物、粪大肠菌群、流速、流量、水温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trPr>
        <w:tc>
          <w:tcPr>
            <w:tcW w:w="474" w:type="pct"/>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W2</w:t>
            </w:r>
          </w:p>
        </w:tc>
        <w:tc>
          <w:tcPr>
            <w:tcW w:w="1314" w:type="pct"/>
            <w:vMerge w:val="continue"/>
            <w:vAlign w:val="center"/>
          </w:tcPr>
          <w:p>
            <w:pPr>
              <w:pStyle w:val="10"/>
              <w:spacing w:before="0" w:after="0"/>
              <w:rPr>
                <w:rFonts w:hint="default" w:ascii="Times New Roman" w:hAnsi="Times New Roman" w:cs="Times New Roman"/>
                <w:b/>
                <w:bCs/>
                <w:kern w:val="2"/>
                <w:sz w:val="21"/>
                <w:szCs w:val="21"/>
                <w:highlight w:val="none"/>
              </w:rPr>
            </w:pPr>
          </w:p>
        </w:tc>
        <w:tc>
          <w:tcPr>
            <w:tcW w:w="1604" w:type="pct"/>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排污口</w:t>
            </w:r>
          </w:p>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highlight w:val="none"/>
              </w:rPr>
              <w:t>下游500m</w:t>
            </w:r>
          </w:p>
        </w:tc>
        <w:tc>
          <w:tcPr>
            <w:tcW w:w="1606" w:type="pct"/>
            <w:vMerge w:val="continue"/>
            <w:vAlign w:val="center"/>
          </w:tcPr>
          <w:p>
            <w:pPr>
              <w:pStyle w:val="10"/>
              <w:spacing w:before="0" w:after="0"/>
              <w:rPr>
                <w:rFonts w:hint="default" w:ascii="Times New Roman" w:hAnsi="Times New Roman" w:cs="Times New Roman"/>
                <w:kern w:val="2"/>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8" w:hRule="atLeast"/>
        </w:trPr>
        <w:tc>
          <w:tcPr>
            <w:tcW w:w="474" w:type="pct"/>
            <w:vAlign w:val="center"/>
          </w:tcPr>
          <w:p>
            <w:pPr>
              <w:pStyle w:val="10"/>
              <w:spacing w:before="0" w:after="0"/>
              <w:rPr>
                <w:rFonts w:hint="default" w:ascii="Times New Roman" w:hAnsi="Times New Roman" w:cs="Times New Roman"/>
                <w:kern w:val="2"/>
                <w:sz w:val="21"/>
                <w:szCs w:val="21"/>
                <w:highlight w:val="none"/>
              </w:rPr>
            </w:pPr>
            <w:r>
              <w:rPr>
                <w:rFonts w:hint="default" w:ascii="Times New Roman" w:hAnsi="Times New Roman" w:cs="Times New Roman"/>
                <w:kern w:val="2"/>
                <w:sz w:val="21"/>
                <w:szCs w:val="21"/>
                <w:highlight w:val="none"/>
              </w:rPr>
              <w:t>W3</w:t>
            </w:r>
          </w:p>
        </w:tc>
        <w:tc>
          <w:tcPr>
            <w:tcW w:w="1314" w:type="pct"/>
            <w:vMerge w:val="continue"/>
            <w:vAlign w:val="center"/>
          </w:tcPr>
          <w:p>
            <w:pPr>
              <w:pStyle w:val="10"/>
              <w:spacing w:before="0" w:after="0"/>
              <w:rPr>
                <w:rFonts w:hint="default" w:ascii="Times New Roman" w:hAnsi="Times New Roman" w:cs="Times New Roman"/>
                <w:b/>
                <w:bCs/>
                <w:kern w:val="2"/>
                <w:sz w:val="21"/>
                <w:szCs w:val="21"/>
                <w:highlight w:val="none"/>
              </w:rPr>
            </w:pPr>
          </w:p>
        </w:tc>
        <w:tc>
          <w:tcPr>
            <w:tcW w:w="1604" w:type="pct"/>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排污口</w:t>
            </w:r>
          </w:p>
          <w:p>
            <w:pPr>
              <w:widowControl/>
              <w:jc w:val="center"/>
              <w:textAlignment w:val="center"/>
              <w:rPr>
                <w:rFonts w:hint="default" w:ascii="Times New Roman" w:hAnsi="Times New Roman" w:cs="Times New Roman"/>
                <w:b/>
                <w:bCs/>
                <w:highlight w:val="none"/>
              </w:rPr>
            </w:pPr>
            <w:r>
              <w:rPr>
                <w:rFonts w:hint="default" w:ascii="Times New Roman" w:hAnsi="Times New Roman" w:cs="Times New Roman"/>
                <w:highlight w:val="none"/>
              </w:rPr>
              <w:t>下游1500m</w:t>
            </w:r>
          </w:p>
        </w:tc>
        <w:tc>
          <w:tcPr>
            <w:tcW w:w="1606" w:type="pct"/>
            <w:vMerge w:val="continue"/>
            <w:vAlign w:val="center"/>
          </w:tcPr>
          <w:p>
            <w:pPr>
              <w:pStyle w:val="10"/>
              <w:spacing w:before="0" w:after="0"/>
              <w:rPr>
                <w:rFonts w:hint="default" w:ascii="Times New Roman" w:hAnsi="Times New Roman" w:cs="Times New Roman"/>
                <w:kern w:val="2"/>
                <w:sz w:val="21"/>
                <w:szCs w:val="21"/>
                <w:highlight w:val="none"/>
              </w:rPr>
            </w:pPr>
          </w:p>
        </w:tc>
      </w:tr>
    </w:tbl>
    <w:p>
      <w:pPr>
        <w:pStyle w:val="10"/>
        <w:spacing w:before="0" w:after="0" w:line="360" w:lineRule="auto"/>
        <w:ind w:firstLine="241" w:firstLineChars="100"/>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表3-</w:t>
      </w:r>
      <w:r>
        <w:rPr>
          <w:rFonts w:hint="default" w:ascii="Times New Roman" w:hAnsi="Times New Roman" w:cs="Times New Roman"/>
          <w:b/>
          <w:bCs/>
          <w:kern w:val="2"/>
          <w:szCs w:val="24"/>
          <w:highlight w:val="none"/>
          <w:lang w:val="en-US" w:eastAsia="zh-CN"/>
        </w:rPr>
        <w:t>3</w:t>
      </w:r>
      <w:r>
        <w:rPr>
          <w:rFonts w:hint="default" w:ascii="Times New Roman" w:hAnsi="Times New Roman" w:cs="Times New Roman"/>
          <w:b/>
          <w:bCs/>
          <w:kern w:val="2"/>
          <w:szCs w:val="24"/>
          <w:highlight w:val="none"/>
        </w:rPr>
        <w:t xml:space="preserve">  水样监测结果一览表</w:t>
      </w:r>
    </w:p>
    <w:tbl>
      <w:tblPr>
        <w:tblStyle w:val="23"/>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7"/>
        <w:gridCol w:w="1965"/>
        <w:gridCol w:w="1272"/>
        <w:gridCol w:w="1273"/>
        <w:gridCol w:w="1275"/>
        <w:gridCol w:w="802"/>
        <w:gridCol w:w="7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98" w:type="dxa"/>
            <w:vMerge w:val="restart"/>
            <w:tcBorders>
              <w:tl2br w:val="nil"/>
              <w:tr2bl w:val="nil"/>
            </w:tcBorders>
            <w:vAlign w:val="center"/>
          </w:tcPr>
          <w:p>
            <w:pPr>
              <w:adjustRightInd w:val="0"/>
              <w:snapToGrid w:val="0"/>
              <w:jc w:val="center"/>
              <w:rPr>
                <w:rFonts w:hint="default" w:ascii="Times New Roman" w:hAnsi="Times New Roman" w:cs="Times New Roman"/>
                <w:b/>
                <w:bCs/>
                <w:highlight w:val="none"/>
              </w:rPr>
            </w:pPr>
            <w:r>
              <w:rPr>
                <w:rFonts w:hint="default" w:ascii="Times New Roman" w:hAnsi="Times New Roman" w:cs="Times New Roman"/>
                <w:highlight w:val="none"/>
              </w:rPr>
              <w:t>检测点位</w:t>
            </w:r>
          </w:p>
        </w:tc>
        <w:tc>
          <w:tcPr>
            <w:tcW w:w="1965" w:type="dxa"/>
            <w:vMerge w:val="restart"/>
            <w:tcBorders>
              <w:tl2br w:val="nil"/>
              <w:tr2bl w:val="nil"/>
            </w:tcBorders>
            <w:vAlign w:val="center"/>
          </w:tcPr>
          <w:p>
            <w:pPr>
              <w:adjustRightInd w:val="0"/>
              <w:snapToGrid w:val="0"/>
              <w:jc w:val="center"/>
              <w:rPr>
                <w:rFonts w:hint="default" w:ascii="Times New Roman" w:hAnsi="Times New Roman" w:cs="Times New Roman"/>
                <w:b/>
                <w:bCs/>
                <w:highlight w:val="none"/>
              </w:rPr>
            </w:pPr>
            <w:r>
              <w:rPr>
                <w:rFonts w:hint="default" w:ascii="Times New Roman" w:hAnsi="Times New Roman" w:cs="Times New Roman"/>
                <w:highlight w:val="none"/>
              </w:rPr>
              <w:t>检测项目</w:t>
            </w:r>
          </w:p>
        </w:tc>
        <w:tc>
          <w:tcPr>
            <w:tcW w:w="3820" w:type="dxa"/>
            <w:gridSpan w:val="3"/>
            <w:tcBorders>
              <w:tl2br w:val="nil"/>
              <w:tr2bl w:val="nil"/>
            </w:tcBorders>
            <w:vAlign w:val="center"/>
          </w:tcPr>
          <w:p>
            <w:pPr>
              <w:adjustRightInd w:val="0"/>
              <w:snapToGrid w:val="0"/>
              <w:jc w:val="center"/>
              <w:rPr>
                <w:rFonts w:hint="default" w:ascii="Times New Roman" w:hAnsi="Times New Roman" w:cs="Times New Roman"/>
                <w:b/>
                <w:bCs/>
                <w:highlight w:val="none"/>
              </w:rPr>
            </w:pPr>
            <w:r>
              <w:rPr>
                <w:rFonts w:hint="default" w:ascii="Times New Roman" w:hAnsi="Times New Roman" w:cs="Times New Roman"/>
                <w:highlight w:val="none"/>
              </w:rPr>
              <w:t>监测日期及检测结果</w:t>
            </w:r>
          </w:p>
        </w:tc>
        <w:tc>
          <w:tcPr>
            <w:tcW w:w="802" w:type="dxa"/>
            <w:vMerge w:val="restart"/>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标准</w:t>
            </w:r>
          </w:p>
          <w:p>
            <w:pPr>
              <w:adjustRightInd w:val="0"/>
              <w:snapToGrid w:val="0"/>
              <w:jc w:val="center"/>
              <w:rPr>
                <w:rFonts w:hint="default" w:ascii="Times New Roman" w:hAnsi="Times New Roman" w:cs="Times New Roman"/>
                <w:b/>
                <w:bCs/>
                <w:highlight w:val="none"/>
              </w:rPr>
            </w:pPr>
            <w:r>
              <w:rPr>
                <w:rFonts w:hint="default" w:ascii="Times New Roman" w:hAnsi="Times New Roman" w:cs="Times New Roman"/>
                <w:highlight w:val="none"/>
              </w:rPr>
              <w:t>限值</w:t>
            </w:r>
          </w:p>
        </w:tc>
        <w:tc>
          <w:tcPr>
            <w:tcW w:w="736" w:type="dxa"/>
            <w:vMerge w:val="restart"/>
            <w:tcBorders>
              <w:tl2br w:val="nil"/>
              <w:tr2bl w:val="nil"/>
            </w:tcBorders>
            <w:vAlign w:val="center"/>
          </w:tcPr>
          <w:p>
            <w:pPr>
              <w:adjustRightInd w:val="0"/>
              <w:snapToGrid w:val="0"/>
              <w:jc w:val="center"/>
              <w:rPr>
                <w:rFonts w:hint="default" w:ascii="Times New Roman" w:hAnsi="Times New Roman" w:cs="Times New Roman"/>
                <w:b/>
                <w:bCs/>
                <w:highlight w:val="none"/>
              </w:rPr>
            </w:pPr>
            <w:r>
              <w:rPr>
                <w:rFonts w:hint="default" w:ascii="Times New Roman" w:hAnsi="Times New Roman" w:cs="Times New Roman"/>
                <w:highlight w:val="none"/>
              </w:rPr>
              <w:t>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jc w:val="center"/>
        </w:trPr>
        <w:tc>
          <w:tcPr>
            <w:tcW w:w="1198" w:type="dxa"/>
            <w:vMerge w:val="continue"/>
            <w:tcBorders>
              <w:tl2br w:val="nil"/>
              <w:tr2bl w:val="nil"/>
            </w:tcBorders>
            <w:vAlign w:val="center"/>
          </w:tcPr>
          <w:p>
            <w:pPr>
              <w:adjustRightInd w:val="0"/>
              <w:snapToGrid w:val="0"/>
              <w:jc w:val="center"/>
              <w:rPr>
                <w:rFonts w:hint="default" w:ascii="Times New Roman" w:hAnsi="Times New Roman" w:cs="Times New Roman"/>
                <w:highlight w:val="none"/>
              </w:rPr>
            </w:pPr>
          </w:p>
        </w:tc>
        <w:tc>
          <w:tcPr>
            <w:tcW w:w="1965" w:type="dxa"/>
            <w:vMerge w:val="continue"/>
            <w:tcBorders>
              <w:tl2br w:val="nil"/>
              <w:tr2bl w:val="nil"/>
            </w:tcBorders>
            <w:vAlign w:val="center"/>
          </w:tcPr>
          <w:p>
            <w:pPr>
              <w:adjustRightInd w:val="0"/>
              <w:snapToGrid w:val="0"/>
              <w:jc w:val="center"/>
              <w:rPr>
                <w:rFonts w:hint="default" w:ascii="Times New Roman" w:hAnsi="Times New Roman" w:cs="Times New Roman"/>
                <w:highlight w:val="none"/>
              </w:rPr>
            </w:pPr>
          </w:p>
        </w:tc>
        <w:tc>
          <w:tcPr>
            <w:tcW w:w="127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2021年</w:t>
            </w:r>
          </w:p>
          <w:p>
            <w:pPr>
              <w:jc w:val="center"/>
              <w:rPr>
                <w:rFonts w:hint="default" w:ascii="Times New Roman" w:hAnsi="Times New Roman" w:cs="Times New Roman"/>
                <w:highlight w:val="none"/>
              </w:rPr>
            </w:pPr>
            <w:r>
              <w:rPr>
                <w:rFonts w:hint="default" w:ascii="Times New Roman" w:hAnsi="Times New Roman" w:cs="Times New Roman"/>
                <w:highlight w:val="none"/>
              </w:rPr>
              <w:t>11月26日</w:t>
            </w:r>
          </w:p>
        </w:tc>
        <w:tc>
          <w:tcPr>
            <w:tcW w:w="1273"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2021年</w:t>
            </w:r>
          </w:p>
          <w:p>
            <w:pPr>
              <w:jc w:val="center"/>
              <w:rPr>
                <w:rFonts w:hint="default" w:ascii="Times New Roman" w:hAnsi="Times New Roman" w:cs="Times New Roman"/>
                <w:highlight w:val="none"/>
              </w:rPr>
            </w:pPr>
            <w:r>
              <w:rPr>
                <w:rFonts w:hint="default" w:ascii="Times New Roman" w:hAnsi="Times New Roman" w:cs="Times New Roman"/>
                <w:highlight w:val="none"/>
              </w:rPr>
              <w:t>11月27日</w:t>
            </w:r>
          </w:p>
        </w:tc>
        <w:tc>
          <w:tcPr>
            <w:tcW w:w="127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2021年</w:t>
            </w:r>
          </w:p>
          <w:p>
            <w:pPr>
              <w:jc w:val="center"/>
              <w:rPr>
                <w:rFonts w:hint="default" w:ascii="Times New Roman" w:hAnsi="Times New Roman" w:cs="Times New Roman"/>
                <w:highlight w:val="none"/>
              </w:rPr>
            </w:pPr>
            <w:r>
              <w:rPr>
                <w:rFonts w:hint="default" w:ascii="Times New Roman" w:hAnsi="Times New Roman" w:cs="Times New Roman"/>
                <w:highlight w:val="none"/>
              </w:rPr>
              <w:t>11月28日</w:t>
            </w:r>
          </w:p>
        </w:tc>
        <w:tc>
          <w:tcPr>
            <w:tcW w:w="802" w:type="dxa"/>
            <w:vMerge w:val="continue"/>
            <w:tcBorders>
              <w:tl2br w:val="nil"/>
              <w:tr2bl w:val="nil"/>
            </w:tcBorders>
            <w:vAlign w:val="center"/>
          </w:tcPr>
          <w:p>
            <w:pPr>
              <w:adjustRightInd w:val="0"/>
              <w:snapToGrid w:val="0"/>
              <w:jc w:val="center"/>
              <w:rPr>
                <w:rFonts w:hint="default" w:ascii="Times New Roman" w:hAnsi="Times New Roman" w:cs="Times New Roman"/>
                <w:highlight w:val="none"/>
              </w:rPr>
            </w:pPr>
          </w:p>
        </w:tc>
        <w:tc>
          <w:tcPr>
            <w:tcW w:w="736" w:type="dxa"/>
            <w:vMerge w:val="continue"/>
            <w:tcBorders>
              <w:tl2br w:val="nil"/>
              <w:tr2bl w:val="nil"/>
            </w:tcBorders>
            <w:vAlign w:val="center"/>
          </w:tcPr>
          <w:p>
            <w:pPr>
              <w:adjustRightInd w:val="0"/>
              <w:snapToGrid w:val="0"/>
              <w:jc w:val="center"/>
              <w:rPr>
                <w:rFonts w:hint="default" w:ascii="Times New Roman" w:hAnsi="Times New Roman" w:cs="Times New Roman"/>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restar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W1排污口</w:t>
            </w:r>
          </w:p>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上游500m</w:t>
            </w: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pH值</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8.3</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8.4</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8.3</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6-9</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悬浮物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14</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17</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溶解氧</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6.31</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6.44</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6.29</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高锰酸盐指数</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0.9</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0.8</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0.8</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化学需氧量</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五日生化需氧量</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氨氮</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0.101</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0.126</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0.136</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总磷</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0.03</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0.02</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0.02</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总氮</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0.49</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0.45</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0.48</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铜</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锌</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氟化物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0.38</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0.41</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0.32</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硒</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1.1×10</w:t>
            </w:r>
            <w:r>
              <w:rPr>
                <w:rFonts w:hint="default" w:ascii="Times New Roman" w:hAnsi="Times New Roman" w:cs="Times New Roman"/>
                <w:highlight w:val="none"/>
                <w:vertAlign w:val="superscript"/>
              </w:rPr>
              <w:t>-3</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1.1×10</w:t>
            </w:r>
            <w:r>
              <w:rPr>
                <w:rFonts w:hint="default" w:ascii="Times New Roman" w:hAnsi="Times New Roman" w:cs="Times New Roman"/>
                <w:highlight w:val="none"/>
                <w:vertAlign w:val="superscript"/>
              </w:rPr>
              <w:t>-3</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1.2×10</w:t>
            </w:r>
            <w:r>
              <w:rPr>
                <w:rFonts w:hint="default" w:ascii="Times New Roman" w:hAnsi="Times New Roman" w:cs="Times New Roman"/>
                <w:highlight w:val="none"/>
                <w:vertAlign w:val="superscript"/>
              </w:rPr>
              <w:t>-3</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砷</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汞</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镉</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铬（六价）</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0.006</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铅</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氰化物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挥发酚</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0.0007</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0.0006</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0.0009</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0.002</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石油类</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阴离子表面活性剂</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0.2</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硫化物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粪大肠菌群</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2000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MPN/L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水温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14.3</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14.6</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14.5</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restar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W2排污口</w:t>
            </w:r>
          </w:p>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下游500m</w:t>
            </w: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pH值</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8.2</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8.1</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8.2</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6-9</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悬浮物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18</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23</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溶解氧</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7.60</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7.36</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7.49</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高锰酸盐指数</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0.8</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0.8</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化学需氧量</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五日生化需氧量</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0.9</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0.8</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0.9</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氨氮</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0.116</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0.121</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0.111</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总磷</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0.06</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总氮</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0.57</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0.64</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0.54</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铜</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锌</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氟化物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0.67</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0.72</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0.69</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硒</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1.1×10</w:t>
            </w:r>
            <w:r>
              <w:rPr>
                <w:rFonts w:hint="default" w:ascii="Times New Roman" w:hAnsi="Times New Roman" w:cs="Times New Roman"/>
                <w:highlight w:val="none"/>
                <w:vertAlign w:val="superscript"/>
              </w:rPr>
              <w:t>-3</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1.0×10</w:t>
            </w:r>
            <w:r>
              <w:rPr>
                <w:rFonts w:hint="default" w:ascii="Times New Roman" w:hAnsi="Times New Roman" w:cs="Times New Roman"/>
                <w:highlight w:val="none"/>
                <w:vertAlign w:val="superscript"/>
              </w:rPr>
              <w:t>-3</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1.5×10</w:t>
            </w:r>
            <w:r>
              <w:rPr>
                <w:rFonts w:hint="default" w:ascii="Times New Roman" w:hAnsi="Times New Roman" w:cs="Times New Roman"/>
                <w:highlight w:val="none"/>
                <w:vertAlign w:val="superscript"/>
              </w:rPr>
              <w:t>-3</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砷</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汞</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镉</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铬（六价）</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铅</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氰化物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挥发酚</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0.0013</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0.005L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0.002</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石油类</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阴离子表面活性剂</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0.2</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硫化物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0.0012</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0.0015</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0.0013</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粪大肠菌群</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2000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MPN/L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水温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15.9</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16.1</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16.3</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restart"/>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W3排污口</w:t>
            </w:r>
          </w:p>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下游1500m</w:t>
            </w: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pH值</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8.3</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8.3</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8.4</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6-9</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悬浮物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22</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26</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21</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溶解氧</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6.86</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6.70</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6.87</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高锰酸盐指数</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0.8</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0.7</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化学需氧量</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9</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五日生化需氧量</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氨氮</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0.106</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0.091</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0.094</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总磷</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0.04</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0.04</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0.04</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总氮</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0.66</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0.69</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0.63</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铜</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锌</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0.08</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0.07</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氟化物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0.57</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0.61</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0.50</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硒</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1.2×10</w:t>
            </w:r>
            <w:r>
              <w:rPr>
                <w:rFonts w:hint="default" w:ascii="Times New Roman" w:hAnsi="Times New Roman" w:cs="Times New Roman"/>
                <w:highlight w:val="none"/>
                <w:vertAlign w:val="superscript"/>
              </w:rPr>
              <w:t>-3</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1.5×10</w:t>
            </w:r>
            <w:r>
              <w:rPr>
                <w:rFonts w:hint="default" w:ascii="Times New Roman" w:hAnsi="Times New Roman" w:cs="Times New Roman"/>
                <w:highlight w:val="none"/>
                <w:vertAlign w:val="superscript"/>
              </w:rPr>
              <w:t>-3</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1.2×10</w:t>
            </w:r>
            <w:r>
              <w:rPr>
                <w:rFonts w:hint="default" w:ascii="Times New Roman" w:hAnsi="Times New Roman" w:cs="Times New Roman"/>
                <w:highlight w:val="none"/>
                <w:vertAlign w:val="superscript"/>
              </w:rPr>
              <w:t>-3</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砷</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-4</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5×10</w:t>
            </w:r>
            <w:r>
              <w:rPr>
                <w:rFonts w:hint="default" w:ascii="Times New Roman" w:hAnsi="Times New Roman" w:cs="Times New Roman"/>
                <w:highlight w:val="none"/>
                <w:vertAlign w:val="superscript"/>
              </w:rPr>
              <w:t>-4</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汞</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4×10</w:t>
            </w:r>
            <w:r>
              <w:rPr>
                <w:rFonts w:hint="default" w:ascii="Times New Roman" w:hAnsi="Times New Roman" w:cs="Times New Roman"/>
                <w:highlight w:val="none"/>
                <w:vertAlign w:val="superscript"/>
              </w:rPr>
              <w:t>-5</w:t>
            </w:r>
            <w:r>
              <w:rPr>
                <w:rFonts w:hint="default" w:ascii="Times New Roman" w:hAnsi="Times New Roman" w:cs="Times New Roman"/>
                <w:highlight w:val="none"/>
              </w:rPr>
              <w:t>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镉</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-4</w:t>
            </w:r>
            <w:r>
              <w:rPr>
                <w:rFonts w:hint="default" w:ascii="Times New Roman" w:hAnsi="Times New Roman" w:cs="Times New Roman"/>
                <w:highlight w:val="none"/>
              </w:rPr>
              <w:t>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铬（六价）</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0.006</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0.007</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0.007</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color w:val="000000"/>
                <w:kern w:val="0"/>
                <w:highlight w:val="none"/>
              </w:rPr>
            </w:pPr>
            <w:r>
              <w:rPr>
                <w:rFonts w:hint="default" w:ascii="Times New Roman" w:hAnsi="Times New Roman" w:cs="Times New Roman"/>
                <w:color w:val="000000"/>
                <w:kern w:val="0"/>
                <w:highlight w:val="none"/>
              </w:rPr>
              <w:t>铅</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1×10</w:t>
            </w:r>
            <w:r>
              <w:rPr>
                <w:rFonts w:hint="default" w:ascii="Times New Roman" w:hAnsi="Times New Roman" w:cs="Times New Roman"/>
                <w:highlight w:val="none"/>
                <w:vertAlign w:val="superscript"/>
              </w:rPr>
              <w:t>-3</w:t>
            </w:r>
            <w:r>
              <w:rPr>
                <w:rFonts w:hint="default" w:ascii="Times New Roman" w:hAnsi="Times New Roman" w:cs="Times New Roman"/>
                <w:highlight w:val="none"/>
              </w:rPr>
              <w:t>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氰化物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0.004L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挥发酚</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0.0009</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0.0006</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0.0007</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0.002</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石油类</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0.05</w:t>
            </w:r>
          </w:p>
        </w:tc>
        <w:tc>
          <w:tcPr>
            <w:tcW w:w="736"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阴离子表面活性剂</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0.05L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0.2</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snapToGrid w:val="0"/>
              <w:jc w:val="center"/>
              <w:rPr>
                <w:rFonts w:hint="default" w:ascii="Times New Roman" w:hAnsi="Times New Roman" w:cs="Times New Roman"/>
                <w:highlight w:val="none"/>
              </w:rPr>
            </w:pPr>
            <w:r>
              <w:rPr>
                <w:rFonts w:hint="default" w:ascii="Times New Roman" w:hAnsi="Times New Roman" w:cs="Times New Roman"/>
                <w:highlight w:val="none"/>
              </w:rPr>
              <w:t>硫化物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0.007</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0.018</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0.009</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0.1</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粪大肠菌群</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20L</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2000</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MPN/L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vMerge w:val="continue"/>
            <w:tcBorders>
              <w:tl2br w:val="nil"/>
              <w:tr2bl w:val="nil"/>
            </w:tcBorders>
            <w:vAlign w:val="center"/>
          </w:tcPr>
          <w:p>
            <w:pPr>
              <w:jc w:val="center"/>
              <w:rPr>
                <w:rFonts w:hint="default" w:ascii="Times New Roman" w:hAnsi="Times New Roman" w:cs="Times New Roman"/>
                <w:highlight w:val="none"/>
              </w:rPr>
            </w:pPr>
          </w:p>
        </w:tc>
        <w:tc>
          <w:tcPr>
            <w:tcW w:w="1965"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水温</w:t>
            </w:r>
          </w:p>
        </w:tc>
        <w:tc>
          <w:tcPr>
            <w:tcW w:w="1272"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16.1</w:t>
            </w:r>
          </w:p>
        </w:tc>
        <w:tc>
          <w:tcPr>
            <w:tcW w:w="1273"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16.5</w:t>
            </w:r>
          </w:p>
        </w:tc>
        <w:tc>
          <w:tcPr>
            <w:tcW w:w="1275" w:type="dxa"/>
            <w:tcBorders>
              <w:tl2br w:val="nil"/>
              <w:tr2bl w:val="nil"/>
            </w:tcBorders>
            <w:vAlign w:val="center"/>
          </w:tcPr>
          <w:p>
            <w:pPr>
              <w:adjustRightInd w:val="0"/>
              <w:snapToGrid w:val="0"/>
              <w:jc w:val="center"/>
              <w:rPr>
                <w:rFonts w:hint="default" w:ascii="Times New Roman" w:hAnsi="Times New Roman" w:cs="Times New Roman"/>
                <w:highlight w:val="none"/>
              </w:rPr>
            </w:pPr>
            <w:r>
              <w:rPr>
                <w:rFonts w:hint="default" w:ascii="Times New Roman" w:hAnsi="Times New Roman" w:cs="Times New Roman"/>
                <w:highlight w:val="none"/>
              </w:rPr>
              <w:t>16.4</w:t>
            </w:r>
          </w:p>
        </w:tc>
        <w:tc>
          <w:tcPr>
            <w:tcW w:w="802"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c>
          <w:tcPr>
            <w:tcW w:w="736"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98" w:type="dxa"/>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备注</w:t>
            </w:r>
          </w:p>
        </w:tc>
        <w:tc>
          <w:tcPr>
            <w:tcW w:w="7323" w:type="dxa"/>
            <w:gridSpan w:val="6"/>
            <w:tcBorders>
              <w:tl2br w:val="nil"/>
              <w:tr2bl w:val="nil"/>
            </w:tcBorders>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执行《地表水质量标准》（GB 3838-2002）中Ⅱ类水水质要求</w:t>
            </w:r>
          </w:p>
        </w:tc>
      </w:tr>
    </w:tbl>
    <w:p>
      <w:pPr>
        <w:pStyle w:val="10"/>
        <w:widowControl w:val="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监测结果可知，本项目入河排污口下游监测断面除总氮外各监测因子均能满足《地表水环境质量标准》（GB3838-2002）中的Ⅱ类标准要求，总氮超标主要为居民生活污水排入导致超标，污水处理厂运营后将改善，区域水环境质量良好。</w:t>
      </w:r>
    </w:p>
    <w:p>
      <w:pPr>
        <w:pStyle w:val="10"/>
        <w:spacing w:before="0" w:after="0" w:line="360" w:lineRule="auto"/>
        <w:jc w:val="both"/>
        <w:outlineLvl w:val="1"/>
        <w:rPr>
          <w:rFonts w:hint="default" w:ascii="Times New Roman" w:hAnsi="Times New Roman" w:cs="Times New Roman"/>
          <w:b/>
          <w:bCs/>
          <w:szCs w:val="24"/>
          <w:highlight w:val="none"/>
        </w:rPr>
      </w:pPr>
      <w:bookmarkStart w:id="57" w:name="_Toc11841"/>
      <w:r>
        <w:rPr>
          <w:rFonts w:hint="default" w:ascii="Times New Roman" w:hAnsi="Times New Roman" w:cs="Times New Roman"/>
          <w:b/>
          <w:bCs/>
          <w:szCs w:val="24"/>
          <w:highlight w:val="none"/>
        </w:rPr>
        <w:t>3.4.所在水功能区（水域）纳污状况分析</w:t>
      </w:r>
      <w:bookmarkEnd w:id="57"/>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目前本项目入河排污口下游论证范围内的洢水为洢水安化源头水保护区，河流目前的主要功能为饮用、灌溉，水质管理目标为Ⅱ类。</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本项目论证范围内主要有少量村民自建农田灌溉取水口</w:t>
      </w:r>
      <w:r>
        <w:rPr>
          <w:rFonts w:hint="default" w:ascii="Times New Roman" w:hAnsi="Times New Roman" w:cs="Times New Roman"/>
          <w:kern w:val="2"/>
          <w:szCs w:val="24"/>
          <w:highlight w:val="none"/>
          <w:lang w:eastAsia="zh-CN"/>
        </w:rPr>
        <w:t>，</w:t>
      </w:r>
      <w:r>
        <w:rPr>
          <w:rFonts w:hint="default" w:ascii="Times New Roman" w:hAnsi="Times New Roman" w:cs="Times New Roman"/>
          <w:kern w:val="2"/>
          <w:szCs w:val="24"/>
          <w:highlight w:val="none"/>
        </w:rPr>
        <w:t>无</w:t>
      </w:r>
      <w:r>
        <w:rPr>
          <w:rFonts w:hint="default" w:ascii="Times New Roman" w:hAnsi="Times New Roman" w:cs="Times New Roman"/>
          <w:kern w:val="2"/>
          <w:szCs w:val="24"/>
          <w:highlight w:val="none"/>
          <w:lang w:val="en-US" w:eastAsia="zh-CN"/>
        </w:rPr>
        <w:t>市</w:t>
      </w:r>
      <w:r>
        <w:rPr>
          <w:rFonts w:hint="default" w:ascii="Times New Roman" w:hAnsi="Times New Roman" w:cs="Times New Roman"/>
          <w:kern w:val="2"/>
          <w:szCs w:val="24"/>
          <w:highlight w:val="none"/>
        </w:rPr>
        <w:t>政供水取水口</w:t>
      </w:r>
      <w:r>
        <w:rPr>
          <w:rFonts w:hint="default" w:ascii="Times New Roman" w:hAnsi="Times New Roman" w:cs="Times New Roman"/>
          <w:kern w:val="2"/>
          <w:szCs w:val="24"/>
          <w:highlight w:val="none"/>
          <w:lang w:eastAsia="zh-CN"/>
        </w:rPr>
        <w:t>；</w:t>
      </w:r>
      <w:r>
        <w:rPr>
          <w:rFonts w:hint="default" w:ascii="Times New Roman" w:hAnsi="Times New Roman" w:cs="Times New Roman"/>
          <w:kern w:val="2"/>
          <w:szCs w:val="24"/>
          <w:highlight w:val="none"/>
        </w:rPr>
        <w:t>下游有农业退水口</w:t>
      </w:r>
      <w:r>
        <w:rPr>
          <w:rFonts w:hint="default" w:ascii="Times New Roman" w:hAnsi="Times New Roman" w:cs="Times New Roman"/>
          <w:kern w:val="2"/>
          <w:szCs w:val="24"/>
          <w:highlight w:val="none"/>
          <w:lang w:eastAsia="zh-CN"/>
        </w:rPr>
        <w:t>，</w:t>
      </w:r>
      <w:r>
        <w:rPr>
          <w:rFonts w:hint="default" w:ascii="Times New Roman" w:hAnsi="Times New Roman" w:cs="Times New Roman"/>
          <w:kern w:val="2"/>
          <w:szCs w:val="24"/>
          <w:highlight w:val="none"/>
          <w:lang w:val="en-US" w:eastAsia="zh-CN"/>
        </w:rPr>
        <w:t>上游500m有一处同等规模的乐安镇乐桥</w:t>
      </w:r>
      <w:r>
        <w:rPr>
          <w:rFonts w:hint="default" w:ascii="Times New Roman" w:hAnsi="Times New Roman" w:cs="Times New Roman"/>
          <w:kern w:val="2"/>
          <w:szCs w:val="24"/>
          <w:highlight w:val="none"/>
        </w:rPr>
        <w:t>污水处理厂</w:t>
      </w:r>
      <w:r>
        <w:rPr>
          <w:rFonts w:hint="default" w:ascii="Times New Roman" w:hAnsi="Times New Roman" w:cs="Times New Roman"/>
          <w:kern w:val="2"/>
          <w:szCs w:val="24"/>
          <w:highlight w:val="none"/>
          <w:lang w:val="en-US" w:eastAsia="zh-CN"/>
        </w:rPr>
        <w:t>排放口</w:t>
      </w:r>
      <w:r>
        <w:rPr>
          <w:rFonts w:hint="default" w:ascii="Times New Roman" w:hAnsi="Times New Roman" w:cs="Times New Roman"/>
          <w:kern w:val="2"/>
          <w:szCs w:val="24"/>
          <w:highlight w:val="none"/>
        </w:rPr>
        <w:t>。</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根据国控平台系统敷溪断面</w:t>
      </w:r>
      <w:r>
        <w:rPr>
          <w:rFonts w:hint="default" w:ascii="Times New Roman" w:hAnsi="Times New Roman" w:cs="Times New Roman"/>
          <w:kern w:val="2"/>
          <w:szCs w:val="24"/>
          <w:highlight w:val="none"/>
          <w:lang w:val="en-US" w:eastAsia="zh-CN"/>
        </w:rPr>
        <w:t>和</w:t>
      </w:r>
      <w:r>
        <w:rPr>
          <w:rFonts w:hint="default" w:ascii="Times New Roman" w:hAnsi="Times New Roman" w:cs="Times New Roman"/>
          <w:kern w:val="2"/>
          <w:szCs w:val="24"/>
          <w:highlight w:val="none"/>
        </w:rPr>
        <w:t>水域水质现状调查情况，监测断面能达到水质管理目标，洢水水环境质量良好。</w:t>
      </w:r>
    </w:p>
    <w:p>
      <w:pPr>
        <w:pStyle w:val="10"/>
        <w:spacing w:before="0" w:after="0" w:line="360" w:lineRule="auto"/>
        <w:ind w:firstLine="240" w:firstLineChars="100"/>
        <w:jc w:val="both"/>
        <w:rPr>
          <w:rFonts w:hint="default" w:ascii="Times New Roman" w:hAnsi="Times New Roman" w:cs="Times New Roman"/>
          <w:kern w:val="2"/>
          <w:szCs w:val="24"/>
          <w:highlight w:val="none"/>
        </w:rPr>
        <w:sectPr>
          <w:pgSz w:w="11906" w:h="16838"/>
          <w:pgMar w:top="1644" w:right="1800" w:bottom="1814" w:left="1800" w:header="851" w:footer="992" w:gutter="0"/>
          <w:cols w:space="720" w:num="1"/>
          <w:docGrid w:type="lines" w:linePitch="312" w:charSpace="0"/>
        </w:sectPr>
      </w:pPr>
    </w:p>
    <w:p>
      <w:pPr>
        <w:pStyle w:val="10"/>
        <w:spacing w:before="0" w:after="0" w:line="360" w:lineRule="auto"/>
        <w:outlineLvl w:val="0"/>
        <w:rPr>
          <w:rFonts w:hint="default" w:ascii="Times New Roman" w:hAnsi="Times New Roman" w:cs="Times New Roman"/>
          <w:b/>
          <w:bCs/>
          <w:sz w:val="32"/>
          <w:szCs w:val="32"/>
          <w:highlight w:val="none"/>
        </w:rPr>
      </w:pPr>
      <w:bookmarkStart w:id="58" w:name="_Toc24135"/>
      <w:r>
        <w:rPr>
          <w:rFonts w:hint="default" w:ascii="Times New Roman" w:hAnsi="Times New Roman" w:cs="Times New Roman"/>
          <w:b/>
          <w:bCs/>
          <w:sz w:val="32"/>
          <w:szCs w:val="32"/>
          <w:highlight w:val="none"/>
        </w:rPr>
        <w:t>4  入河排污口设置情况</w:t>
      </w:r>
      <w:bookmarkEnd w:id="58"/>
    </w:p>
    <w:p>
      <w:pPr>
        <w:pStyle w:val="10"/>
        <w:spacing w:before="0" w:after="0" w:line="360" w:lineRule="auto"/>
        <w:jc w:val="both"/>
        <w:outlineLvl w:val="1"/>
        <w:rPr>
          <w:rFonts w:hint="default" w:ascii="Times New Roman" w:hAnsi="Times New Roman" w:cs="Times New Roman"/>
          <w:b/>
          <w:bCs/>
          <w:kern w:val="2"/>
          <w:szCs w:val="24"/>
          <w:highlight w:val="none"/>
        </w:rPr>
      </w:pPr>
      <w:bookmarkStart w:id="59" w:name="_Toc30167"/>
      <w:r>
        <w:rPr>
          <w:rFonts w:hint="default" w:ascii="Times New Roman" w:hAnsi="Times New Roman" w:cs="Times New Roman"/>
          <w:b/>
          <w:bCs/>
          <w:kern w:val="2"/>
          <w:szCs w:val="24"/>
          <w:highlight w:val="none"/>
        </w:rPr>
        <w:t>4.1.废水来源及构成</w:t>
      </w:r>
      <w:bookmarkEnd w:id="59"/>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安化县乐安镇乐高污水处理厂主要是接纳服务范围内的生活污水，主要污染因子为：COD、氨氮、总磷。</w:t>
      </w:r>
    </w:p>
    <w:p>
      <w:pPr>
        <w:pStyle w:val="10"/>
        <w:spacing w:before="0" w:after="0" w:line="360" w:lineRule="auto"/>
        <w:jc w:val="both"/>
        <w:outlineLvl w:val="1"/>
        <w:rPr>
          <w:rFonts w:hint="default" w:ascii="Times New Roman" w:hAnsi="Times New Roman" w:cs="Times New Roman"/>
          <w:b/>
          <w:bCs/>
          <w:kern w:val="2"/>
          <w:szCs w:val="24"/>
          <w:highlight w:val="none"/>
        </w:rPr>
      </w:pPr>
      <w:bookmarkStart w:id="60" w:name="_Toc28523"/>
      <w:r>
        <w:rPr>
          <w:rFonts w:hint="default" w:ascii="Times New Roman" w:hAnsi="Times New Roman" w:cs="Times New Roman"/>
          <w:b/>
          <w:bCs/>
          <w:kern w:val="2"/>
          <w:szCs w:val="24"/>
          <w:highlight w:val="none"/>
        </w:rPr>
        <w:t>4.2.废水所含主要污染物种类及其排放浓度、总量</w:t>
      </w:r>
      <w:bookmarkEnd w:id="60"/>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安化县乐安镇乐高污水处理厂目前</w:t>
      </w:r>
      <w:r>
        <w:rPr>
          <w:rFonts w:hint="default" w:ascii="Times New Roman" w:hAnsi="Times New Roman" w:cs="Times New Roman"/>
          <w:highlight w:val="none"/>
        </w:rPr>
        <w:t>处于</w:t>
      </w:r>
      <w:r>
        <w:rPr>
          <w:rFonts w:hint="default" w:ascii="Times New Roman" w:hAnsi="Times New Roman" w:cs="Times New Roman"/>
          <w:highlight w:val="none"/>
          <w:lang w:eastAsia="zh-CN"/>
        </w:rPr>
        <w:t>调试试运营阶段</w:t>
      </w:r>
      <w:r>
        <w:rPr>
          <w:rFonts w:hint="default" w:ascii="Times New Roman" w:hAnsi="Times New Roman" w:cs="Times New Roman"/>
          <w:kern w:val="2"/>
          <w:szCs w:val="24"/>
          <w:highlight w:val="none"/>
        </w:rPr>
        <w:t>，设计处理规模为150m</w:t>
      </w:r>
      <w:r>
        <w:rPr>
          <w:rFonts w:hint="default" w:ascii="Times New Roman" w:hAnsi="Times New Roman" w:cs="Times New Roman"/>
          <w:kern w:val="2"/>
          <w:szCs w:val="24"/>
          <w:highlight w:val="none"/>
          <w:vertAlign w:val="superscript"/>
        </w:rPr>
        <w:t>3</w:t>
      </w:r>
      <w:r>
        <w:rPr>
          <w:rFonts w:hint="default" w:ascii="Times New Roman" w:hAnsi="Times New Roman" w:cs="Times New Roman"/>
          <w:kern w:val="2"/>
          <w:szCs w:val="24"/>
          <w:highlight w:val="none"/>
        </w:rPr>
        <w:t>/d，出水水质执行《城镇污水处理厂污染物排放标准》（GB18918-2002）一级B排放标准，废水中所含的污染物种类及其排放浓度。总量如下所示：</w:t>
      </w:r>
    </w:p>
    <w:p>
      <w:pPr>
        <w:pStyle w:val="10"/>
        <w:spacing w:before="0" w:after="0" w:line="360" w:lineRule="auto"/>
        <w:ind w:firstLine="482" w:firstLineChars="200"/>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表4-1  废水所含主要污染物种类及其排放浓度、总量一览表</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10"/>
        <w:gridCol w:w="1248"/>
        <w:gridCol w:w="1248"/>
        <w:gridCol w:w="1778"/>
        <w:gridCol w:w="2005"/>
        <w:gridCol w:w="17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序号</w:t>
            </w:r>
          </w:p>
        </w:tc>
        <w:tc>
          <w:tcPr>
            <w:tcW w:w="732"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排放口编号</w:t>
            </w:r>
          </w:p>
        </w:tc>
        <w:tc>
          <w:tcPr>
            <w:tcW w:w="732"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污染物种类</w:t>
            </w:r>
          </w:p>
        </w:tc>
        <w:tc>
          <w:tcPr>
            <w:tcW w:w="1043"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排放浓度</w:t>
            </w:r>
            <w:r>
              <w:rPr>
                <w:rFonts w:hint="default" w:ascii="Times New Roman" w:hAnsi="Times New Roman" w:cs="Times New Roman"/>
                <w:color w:val="000000"/>
                <w:kern w:val="0"/>
                <w:sz w:val="20"/>
                <w:highlight w:val="none"/>
              </w:rPr>
              <w:t>（mg/L）</w:t>
            </w:r>
          </w:p>
        </w:tc>
        <w:tc>
          <w:tcPr>
            <w:tcW w:w="1176"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日排放量</w:t>
            </w:r>
            <w:r>
              <w:rPr>
                <w:rFonts w:hint="default" w:ascii="Times New Roman" w:hAnsi="Times New Roman" w:cs="Times New Roman"/>
                <w:color w:val="000000"/>
                <w:kern w:val="0"/>
                <w:sz w:val="20"/>
                <w:highlight w:val="none"/>
              </w:rPr>
              <w:t>（t/d）</w:t>
            </w:r>
          </w:p>
        </w:tc>
        <w:tc>
          <w:tcPr>
            <w:tcW w:w="1016" w:type="pct"/>
            <w:vAlign w:val="center"/>
          </w:tcPr>
          <w:p>
            <w:pPr>
              <w:jc w:val="center"/>
              <w:rPr>
                <w:rFonts w:hint="default" w:ascii="Times New Roman" w:hAnsi="Times New Roman" w:cs="Times New Roman"/>
                <w:b/>
                <w:bCs/>
                <w:color w:val="000000"/>
                <w:kern w:val="0"/>
                <w:sz w:val="20"/>
                <w:highlight w:val="none"/>
              </w:rPr>
            </w:pPr>
            <w:r>
              <w:rPr>
                <w:rFonts w:hint="default" w:ascii="Times New Roman" w:hAnsi="Times New Roman" w:cs="Times New Roman"/>
                <w:b/>
                <w:bCs/>
                <w:color w:val="000000"/>
                <w:kern w:val="0"/>
                <w:sz w:val="20"/>
                <w:highlight w:val="none"/>
              </w:rPr>
              <w:t>年排放量</w:t>
            </w:r>
            <w:r>
              <w:rPr>
                <w:rFonts w:hint="default" w:ascii="Times New Roman" w:hAnsi="Times New Roman" w:cs="Times New Roman"/>
                <w:color w:val="000000"/>
                <w:kern w:val="0"/>
                <w:sz w:val="20"/>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restart"/>
            <w:vAlign w:val="center"/>
          </w:tcPr>
          <w:p>
            <w:pPr>
              <w:jc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sz w:val="20"/>
                <w:highlight w:val="none"/>
              </w:rPr>
              <w:t>1</w:t>
            </w:r>
          </w:p>
        </w:tc>
        <w:tc>
          <w:tcPr>
            <w:tcW w:w="732" w:type="pct"/>
            <w:vMerge w:val="restart"/>
            <w:vAlign w:val="center"/>
          </w:tcPr>
          <w:p>
            <w:pPr>
              <w:jc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sz w:val="20"/>
                <w:highlight w:val="none"/>
              </w:rPr>
              <w:t>DW001</w:t>
            </w: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COD</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60</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0.009</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3.285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BOD</w:t>
            </w:r>
            <w:r>
              <w:rPr>
                <w:rStyle w:val="33"/>
                <w:rFonts w:hint="default" w:ascii="Times New Roman" w:hAnsi="Times New Roman" w:cs="Times New Roman"/>
                <w:highlight w:val="none"/>
                <w:lang w:bidi="ar"/>
              </w:rPr>
              <w:t>5</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20</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0.003</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1.095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SS</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20</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0.003</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1.095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NH</w:t>
            </w:r>
            <w:r>
              <w:rPr>
                <w:rStyle w:val="33"/>
                <w:rFonts w:hint="default" w:ascii="Times New Roman" w:hAnsi="Times New Roman" w:cs="Times New Roman"/>
                <w:highlight w:val="none"/>
                <w:lang w:bidi="ar"/>
              </w:rPr>
              <w:t>3</w:t>
            </w:r>
            <w:r>
              <w:rPr>
                <w:rFonts w:hint="default" w:ascii="Times New Roman" w:hAnsi="Times New Roman" w:cs="Times New Roman"/>
                <w:color w:val="000000"/>
                <w:kern w:val="0"/>
                <w:highlight w:val="none"/>
                <w:lang w:bidi="ar"/>
              </w:rPr>
              <w:t>-N</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8（15）</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0.0012（0.00225）</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0.438（0.822）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TN</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20</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0.003</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1.095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trPr>
        <w:tc>
          <w:tcPr>
            <w:tcW w:w="299"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Merge w:val="continue"/>
            <w:vAlign w:val="center"/>
          </w:tcPr>
          <w:p>
            <w:pPr>
              <w:widowControl/>
              <w:jc w:val="center"/>
              <w:rPr>
                <w:rFonts w:hint="default" w:ascii="Times New Roman" w:hAnsi="Times New Roman" w:cs="Times New Roman"/>
                <w:color w:val="000000"/>
                <w:kern w:val="0"/>
                <w:sz w:val="20"/>
                <w:highlight w:val="none"/>
              </w:rPr>
            </w:pPr>
          </w:p>
        </w:tc>
        <w:tc>
          <w:tcPr>
            <w:tcW w:w="732" w:type="pct"/>
            <w:vAlign w:val="center"/>
          </w:tcPr>
          <w:p>
            <w:pPr>
              <w:widowControl/>
              <w:jc w:val="center"/>
              <w:textAlignment w:val="center"/>
              <w:rPr>
                <w:rFonts w:hint="default" w:ascii="Times New Roman" w:hAnsi="Times New Roman" w:cs="Times New Roman"/>
                <w:color w:val="000000"/>
                <w:kern w:val="0"/>
                <w:sz w:val="24"/>
                <w:szCs w:val="20"/>
                <w:highlight w:val="none"/>
              </w:rPr>
            </w:pPr>
            <w:r>
              <w:rPr>
                <w:rFonts w:hint="default" w:ascii="Times New Roman" w:hAnsi="Times New Roman" w:cs="Times New Roman"/>
                <w:color w:val="000000"/>
                <w:kern w:val="0"/>
                <w:highlight w:val="none"/>
                <w:lang w:bidi="ar"/>
              </w:rPr>
              <w:t>TP</w:t>
            </w:r>
          </w:p>
        </w:tc>
        <w:tc>
          <w:tcPr>
            <w:tcW w:w="1043" w:type="pct"/>
            <w:vAlign w:val="center"/>
          </w:tcPr>
          <w:p>
            <w:pPr>
              <w:widowControl/>
              <w:jc w:val="center"/>
              <w:textAlignment w:val="center"/>
              <w:rPr>
                <w:rFonts w:hint="default" w:ascii="Times New Roman" w:hAnsi="Times New Roman" w:cs="Times New Roman"/>
                <w:color w:val="000000"/>
                <w:kern w:val="0"/>
                <w:sz w:val="20"/>
                <w:highlight w:val="none"/>
              </w:rPr>
            </w:pPr>
            <w:r>
              <w:rPr>
                <w:rFonts w:hint="default" w:ascii="Times New Roman" w:hAnsi="Times New Roman" w:cs="Times New Roman"/>
                <w:color w:val="000000"/>
                <w:kern w:val="0"/>
                <w:highlight w:val="none"/>
                <w:lang w:bidi="ar"/>
              </w:rPr>
              <w:t>1</w:t>
            </w:r>
          </w:p>
        </w:tc>
        <w:tc>
          <w:tcPr>
            <w:tcW w:w="117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0.00015</w:t>
            </w:r>
          </w:p>
        </w:tc>
        <w:tc>
          <w:tcPr>
            <w:tcW w:w="1016" w:type="pct"/>
            <w:vAlign w:val="center"/>
          </w:tcPr>
          <w:p>
            <w:pPr>
              <w:widowControl/>
              <w:jc w:val="center"/>
              <w:textAlignment w:val="center"/>
              <w:rPr>
                <w:rFonts w:hint="default" w:ascii="Times New Roman" w:hAnsi="Times New Roman" w:cs="Times New Roman"/>
                <w:color w:val="000000"/>
                <w:kern w:val="0"/>
                <w:highlight w:val="none"/>
                <w:lang w:bidi="ar"/>
              </w:rPr>
            </w:pPr>
            <w:r>
              <w:rPr>
                <w:rFonts w:hint="default" w:ascii="Times New Roman" w:hAnsi="Times New Roman" w:cs="Times New Roman"/>
                <w:color w:val="000000"/>
                <w:kern w:val="0"/>
                <w:highlight w:val="none"/>
                <w:lang w:bidi="ar"/>
              </w:rPr>
              <w:t>0.05475</w:t>
            </w:r>
          </w:p>
        </w:tc>
      </w:tr>
    </w:tbl>
    <w:p>
      <w:pPr>
        <w:ind w:firstLine="465"/>
        <w:jc w:val="left"/>
        <w:rPr>
          <w:rFonts w:hint="default" w:ascii="Times New Roman" w:hAnsi="Times New Roman" w:cs="Times New Roman"/>
          <w:b/>
          <w:color w:val="000000"/>
          <w:highlight w:val="none"/>
        </w:rPr>
      </w:pPr>
      <w:r>
        <w:rPr>
          <w:rFonts w:hint="default" w:ascii="Times New Roman" w:hAnsi="Times New Roman" w:cs="Times New Roman"/>
          <w:b/>
          <w:bCs/>
          <w:color w:val="000000"/>
          <w:highlight w:val="none"/>
        </w:rPr>
        <w:t>*注：</w:t>
      </w:r>
      <w:r>
        <w:rPr>
          <w:rFonts w:hint="default" w:ascii="Times New Roman" w:hAnsi="Times New Roman" w:cs="Times New Roman"/>
          <w:b/>
          <w:color w:val="000000"/>
          <w:highlight w:val="none"/>
        </w:rPr>
        <w:t>氨氮括号外数值为水温＞12℃时的控制指标，括号内数值为水温≤12℃时的控制指标。</w:t>
      </w:r>
    </w:p>
    <w:p>
      <w:pPr>
        <w:pStyle w:val="10"/>
        <w:spacing w:before="0" w:after="0" w:line="360" w:lineRule="auto"/>
        <w:jc w:val="both"/>
        <w:outlineLvl w:val="1"/>
        <w:rPr>
          <w:rFonts w:hint="default" w:ascii="Times New Roman" w:hAnsi="Times New Roman" w:cs="Times New Roman"/>
          <w:b/>
          <w:bCs/>
          <w:kern w:val="2"/>
          <w:szCs w:val="24"/>
          <w:highlight w:val="none"/>
        </w:rPr>
      </w:pPr>
      <w:bookmarkStart w:id="61" w:name="_Toc23637"/>
      <w:r>
        <w:rPr>
          <w:rFonts w:hint="default" w:ascii="Times New Roman" w:hAnsi="Times New Roman" w:cs="Times New Roman"/>
          <w:b/>
          <w:bCs/>
          <w:kern w:val="2"/>
          <w:szCs w:val="24"/>
          <w:highlight w:val="none"/>
        </w:rPr>
        <w:t>4.3.废污水产生关键环节分析</w:t>
      </w:r>
      <w:bookmarkEnd w:id="61"/>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废污水来源于市政污水管网，服务于纳污范围。</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4.3.1.污水产排情况分析</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本排污口类型为生活污水排污口，废污水主要来源于乐安镇区内的生活污水，无工业废水。本污水厂污水产排情况采用该项目初步设计及可行性研究报告成果。</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（1）生活污水</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根据可研及初步设计报告，2022年本项目服务人口数为2000人，根据用水量预测，2022年居民生活用水定额为110L (人●d)。污水排放系数取0.8，污水收集系数取0.85，则2022年年污水量为149.6m</w:t>
      </w:r>
      <w:r>
        <w:rPr>
          <w:rFonts w:hint="default" w:ascii="Times New Roman" w:hAnsi="Times New Roman" w:cs="Times New Roman"/>
          <w:kern w:val="2"/>
          <w:szCs w:val="24"/>
          <w:highlight w:val="none"/>
          <w:u w:val="single"/>
          <w:vertAlign w:val="superscript"/>
        </w:rPr>
        <w:t>3</w:t>
      </w:r>
      <w:r>
        <w:rPr>
          <w:rFonts w:hint="default" w:ascii="Times New Roman" w:hAnsi="Times New Roman" w:cs="Times New Roman"/>
          <w:kern w:val="2"/>
          <w:szCs w:val="24"/>
          <w:highlight w:val="none"/>
          <w:u w:val="single"/>
        </w:rPr>
        <w:t>/d。</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（2）工业废水</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本污水处理厂纳污范围内无工业企业，因此无工业废水产生。</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4.3.2.污水处理厂管网建设情况</w:t>
      </w:r>
    </w:p>
    <w:p>
      <w:pPr>
        <w:pStyle w:val="10"/>
        <w:spacing w:before="0" w:after="0" w:line="360" w:lineRule="auto"/>
        <w:ind w:firstLine="480" w:firstLineChars="200"/>
        <w:jc w:val="both"/>
        <w:rPr>
          <w:rFonts w:hint="default" w:ascii="Times New Roman" w:hAnsi="Times New Roman" w:cs="Times New Roman"/>
          <w:kern w:val="2"/>
          <w:szCs w:val="24"/>
          <w:highlight w:val="none"/>
          <w:u w:val="single"/>
        </w:rPr>
      </w:pPr>
      <w:r>
        <w:rPr>
          <w:rFonts w:hint="default" w:ascii="Times New Roman" w:hAnsi="Times New Roman" w:cs="Times New Roman"/>
          <w:kern w:val="2"/>
          <w:szCs w:val="24"/>
          <w:highlight w:val="none"/>
          <w:u w:val="single"/>
        </w:rPr>
        <w:t>本项目污水管网按照依托路网交通走线，纳污范围为乐安镇乐高社区，具体纳污范围图见附图。</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本项目为</w:t>
      </w:r>
      <w:r>
        <w:rPr>
          <w:rFonts w:hint="default" w:ascii="Times New Roman" w:hAnsi="Times New Roman" w:cs="Times New Roman"/>
          <w:szCs w:val="24"/>
          <w:highlight w:val="none"/>
        </w:rPr>
        <w:t>安化县乐安镇乐高污水处理厂建设</w:t>
      </w:r>
      <w:r>
        <w:rPr>
          <w:rFonts w:hint="default" w:ascii="Times New Roman" w:hAnsi="Times New Roman" w:cs="Times New Roman"/>
          <w:kern w:val="2"/>
          <w:szCs w:val="24"/>
          <w:highlight w:val="none"/>
        </w:rPr>
        <w:t>项目。</w:t>
      </w:r>
      <w:r>
        <w:rPr>
          <w:rFonts w:hint="default" w:ascii="Times New Roman" w:hAnsi="Times New Roman" w:cs="Times New Roman"/>
          <w:szCs w:val="24"/>
          <w:highlight w:val="none"/>
        </w:rPr>
        <w:t>安化县乐安镇乐高污水处理厂</w:t>
      </w:r>
      <w:r>
        <w:rPr>
          <w:rFonts w:hint="default" w:ascii="Times New Roman" w:hAnsi="Times New Roman" w:cs="Times New Roman"/>
          <w:kern w:val="2"/>
          <w:szCs w:val="24"/>
          <w:highlight w:val="none"/>
        </w:rPr>
        <w:t>与本管网工程同步实施。为了改善乐高社区及周边居民的生活环境，拟在</w:t>
      </w:r>
      <w:r>
        <w:rPr>
          <w:rFonts w:hint="default" w:ascii="Times New Roman" w:hAnsi="Times New Roman" w:cs="Times New Roman"/>
          <w:szCs w:val="24"/>
          <w:highlight w:val="none"/>
        </w:rPr>
        <w:t>安化县乐安镇乐高社区</w:t>
      </w:r>
      <w:r>
        <w:rPr>
          <w:rFonts w:hint="default" w:ascii="Times New Roman" w:hAnsi="Times New Roman" w:cs="Times New Roman"/>
          <w:kern w:val="2"/>
          <w:szCs w:val="24"/>
          <w:highlight w:val="none"/>
        </w:rPr>
        <w:t>新建污水厂一座，以便对乐安镇的生活污水进行集中处理。</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经现场调查，乐安镇内没有污水收集系统，生活污水大多都是排入路边暗沟后进入洢水，临河而建的住宅污水更是直接排入洢水，从而，长时间的污水直接排入洢水，造成了洢水局部河段水质恶化、变黑发臭，影响居民的生活环境。乐安镇现状排污主要为乐安镇内的居民、学校、事业单位、商业，本工程的建设收集以上主要集中排放的生活污水。</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根据乐高污水处理厂现有新建厂区的位置，结合乐安镇未来的发展方向及设计污水厂的位置，本着节省投资、易于实施的原则，本次厂外污水主管道主要考虑收集近期容易接入的污水，同时兼顾镇区远期发展，并按照适当留有余地的原则布置，与乐桥污水处理厂管道合约3.5km，管径DN300，污水主干管沿乐安镇道路及洢水河堤敷设。</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4.3.3.设计原则</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参照高明乡规划及排水规划的要求，充分利用地形高差，尽量采用重力流排放。</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1、全面规划，合理布局，近远期密切配合，相互协调。</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2、采用截流制合流制的排水体制，截污倍数n0=2。</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3、所有污水必须收集输送至污水处理厂，不得随意排放。</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4、实行污染物总量控制和浓度控制相结合的原则，污水在达到国家相关标准要求后，方可排入污水管网。</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5、污水管网的建设应适当留有余地。</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4.3.4.污水规划</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1、污水管网布置</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本污水处理厂纳污范围排水体制：采用分流制。规划区污水管道的布置按地形走向，顺坡排放的原则进行，按路网布设管道。</w:t>
      </w:r>
    </w:p>
    <w:p>
      <w:pPr>
        <w:pStyle w:val="10"/>
        <w:spacing w:before="0" w:after="0" w:line="360" w:lineRule="auto"/>
        <w:ind w:firstLine="482" w:firstLineChars="200"/>
        <w:jc w:val="both"/>
        <w:rPr>
          <w:rFonts w:hint="default" w:ascii="Times New Roman" w:hAnsi="Times New Roman" w:cs="Times New Roman"/>
          <w:b/>
          <w:bCs/>
          <w:kern w:val="2"/>
          <w:szCs w:val="24"/>
          <w:highlight w:val="none"/>
        </w:rPr>
      </w:pPr>
      <w:r>
        <w:rPr>
          <w:rFonts w:hint="default" w:ascii="Times New Roman" w:hAnsi="Times New Roman" w:cs="Times New Roman"/>
          <w:b/>
          <w:bCs/>
          <w:kern w:val="2"/>
          <w:szCs w:val="24"/>
          <w:highlight w:val="none"/>
        </w:rPr>
        <w:t>4.3.4.污水管、沟设计</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厂区管网主要包括工艺污水管、工艺污泥管、空气管、超越/溢流管、给水管、回用水管、雨水管、污水管、电力沟/加药管沟等管线，共计10余种。管线的布置原则为：</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（1）满足各种管道的功能及使用要求；</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（2）各管线的平面及竖向必须保证足够的管道布置空间；</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（3）重力管道应充分利用地形坡度，尽可能顺坡布置；</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（4）各构筑物之间连接管道尽量以直线形式布置，缩短距离，减少交叉；</w:t>
      </w:r>
    </w:p>
    <w:p>
      <w:pPr>
        <w:pStyle w:val="10"/>
        <w:spacing w:before="0" w:after="0" w:line="360" w:lineRule="auto"/>
        <w:ind w:firstLine="480" w:firstLineChars="200"/>
        <w:jc w:val="both"/>
        <w:rPr>
          <w:rFonts w:hint="default" w:ascii="Times New Roman" w:hAnsi="Times New Roman" w:eastAsia="宋体" w:cs="Times New Roman"/>
          <w:kern w:val="2"/>
          <w:szCs w:val="24"/>
          <w:highlight w:val="none"/>
          <w:lang w:eastAsia="zh-CN"/>
        </w:rPr>
      </w:pPr>
      <w:r>
        <w:rPr>
          <w:rFonts w:hint="default" w:ascii="Times New Roman" w:hAnsi="Times New Roman" w:cs="Times New Roman"/>
          <w:kern w:val="2"/>
          <w:szCs w:val="24"/>
          <w:highlight w:val="none"/>
        </w:rPr>
        <w:t>（5）当交叉管线高程发生矛盾时，按照小管让大管、压力管让重力管的布置原则</w:t>
      </w:r>
      <w:r>
        <w:rPr>
          <w:rFonts w:hint="default" w:ascii="Times New Roman" w:hAnsi="Times New Roman" w:cs="Times New Roman"/>
          <w:kern w:val="2"/>
          <w:szCs w:val="24"/>
          <w:highlight w:val="none"/>
          <w:lang w:eastAsia="zh-CN"/>
        </w:rPr>
        <w:t>。</w:t>
      </w:r>
    </w:p>
    <w:p>
      <w:pPr>
        <w:pStyle w:val="10"/>
        <w:spacing w:before="0" w:after="0" w:line="360" w:lineRule="auto"/>
        <w:jc w:val="both"/>
        <w:outlineLvl w:val="1"/>
        <w:rPr>
          <w:rFonts w:hint="default" w:ascii="Times New Roman" w:hAnsi="Times New Roman" w:cs="Times New Roman"/>
          <w:b/>
          <w:bCs/>
          <w:kern w:val="2"/>
          <w:szCs w:val="24"/>
          <w:highlight w:val="none"/>
        </w:rPr>
      </w:pPr>
      <w:bookmarkStart w:id="62" w:name="_Toc31065"/>
      <w:r>
        <w:rPr>
          <w:rFonts w:hint="default" w:ascii="Times New Roman" w:hAnsi="Times New Roman" w:cs="Times New Roman"/>
          <w:b/>
          <w:bCs/>
          <w:kern w:val="2"/>
          <w:szCs w:val="24"/>
          <w:highlight w:val="none"/>
        </w:rPr>
        <w:t>4.4.废污水处理措施及影响</w:t>
      </w:r>
      <w:bookmarkEnd w:id="62"/>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本工程建成后，收集进入本污水处理厂的废水将达到《城镇污水处理厂污染物排放标准》(GB181918-2002）一级B标准后再进行排放，洢水排污口河段水质没有发生改变，本工程为区域污水收集处理工程，将拦截大量的可能直接排入洢水的生活污水，可在一定程度上缓解居民生活污水对此河段的污染，能够大大削减区域内排水的污染物排放量，相比生活污水未被处理随意排放的情形，可减少生活污水污染物对水域的冲击，但仍需占用部分水域纳污能力。</w:t>
      </w:r>
    </w:p>
    <w:p>
      <w:pPr>
        <w:pStyle w:val="10"/>
        <w:spacing w:before="0" w:after="0" w:line="360" w:lineRule="auto"/>
        <w:jc w:val="both"/>
        <w:outlineLvl w:val="1"/>
        <w:rPr>
          <w:rFonts w:hint="default" w:ascii="Times New Roman" w:hAnsi="Times New Roman" w:cs="Times New Roman"/>
          <w:b/>
          <w:bCs/>
          <w:kern w:val="2"/>
          <w:szCs w:val="24"/>
          <w:highlight w:val="none"/>
        </w:rPr>
      </w:pPr>
      <w:bookmarkStart w:id="63" w:name="_Toc25845"/>
      <w:r>
        <w:rPr>
          <w:rFonts w:hint="default" w:ascii="Times New Roman" w:hAnsi="Times New Roman" w:cs="Times New Roman"/>
          <w:b/>
          <w:bCs/>
          <w:kern w:val="2"/>
          <w:szCs w:val="24"/>
          <w:highlight w:val="none"/>
        </w:rPr>
        <w:t>4.5.入河排污口设置方案</w:t>
      </w:r>
      <w:bookmarkEnd w:id="63"/>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安化县乐安镇乐高污水处理厂处理</w:t>
      </w:r>
      <w:r>
        <w:rPr>
          <w:rFonts w:hint="default" w:ascii="Times New Roman" w:hAnsi="Times New Roman" w:cs="Times New Roman"/>
          <w:sz w:val="24"/>
          <w:szCs w:val="24"/>
          <w:highlight w:val="none"/>
          <w:u w:val="single"/>
        </w:rPr>
        <w:t>规模150m³/d，设置的排污口坐标为</w:t>
      </w:r>
      <w:r>
        <w:rPr>
          <w:rFonts w:hint="default" w:ascii="Times New Roman" w:hAnsi="Times New Roman" w:cs="Times New Roman"/>
          <w:kern w:val="0"/>
          <w:highlight w:val="none"/>
          <w:u w:val="single"/>
        </w:rPr>
        <w:t>东</w:t>
      </w:r>
      <w:r>
        <w:rPr>
          <w:rFonts w:hint="default" w:ascii="Times New Roman" w:hAnsi="Times New Roman" w:cs="Times New Roman"/>
          <w:bCs/>
          <w:color w:val="000000"/>
          <w:sz w:val="24"/>
          <w:highlight w:val="none"/>
          <w:u w:val="single"/>
        </w:rPr>
        <w:t>经：111°34′58.550″，北纬：28°6′18.911″，出水执行《城镇污水处理厂污染物排放标准》（GB18918-2002）一级B标准。</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入河排污口地点：</w:t>
      </w:r>
      <w:r>
        <w:rPr>
          <w:rFonts w:hint="default" w:ascii="Times New Roman" w:hAnsi="Times New Roman" w:cs="Times New Roman"/>
          <w:sz w:val="24"/>
          <w:szCs w:val="24"/>
          <w:highlight w:val="none"/>
          <w:u w:val="single"/>
        </w:rPr>
        <w:t>湖南省益阳市安化县乐安镇乐高社区洢水右岸</w:t>
      </w:r>
    </w:p>
    <w:p>
      <w:pPr>
        <w:spacing w:line="360" w:lineRule="auto"/>
        <w:ind w:firstLine="480" w:firstLineChars="200"/>
        <w:jc w:val="left"/>
        <w:rPr>
          <w:rFonts w:hint="default" w:ascii="Times New Roman" w:hAnsi="Times New Roman" w:cs="Times New Roman"/>
          <w:sz w:val="24"/>
          <w:szCs w:val="24"/>
          <w:highlight w:val="none"/>
          <w:u w:val="single"/>
        </w:rPr>
      </w:pPr>
      <w:r>
        <w:rPr>
          <w:rFonts w:hint="default" w:ascii="Times New Roman" w:hAnsi="Times New Roman" w:cs="Times New Roman"/>
          <w:bCs/>
          <w:color w:val="000000"/>
          <w:sz w:val="24"/>
          <w:highlight w:val="none"/>
          <w:u w:val="single"/>
        </w:rPr>
        <w:t>入河排污口位</w:t>
      </w:r>
      <w:r>
        <w:rPr>
          <w:rFonts w:hint="default" w:ascii="Times New Roman" w:hAnsi="Times New Roman" w:cs="Times New Roman"/>
          <w:sz w:val="24"/>
          <w:szCs w:val="24"/>
          <w:highlight w:val="none"/>
          <w:u w:val="single"/>
        </w:rPr>
        <w:t>置：东经：111°34′58.550″，北纬：28°6′18.911″</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入河排污口类型：新建</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入河排污口分类：生活污水入河排污口</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排放方式：连续排放</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入河方式：管道</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排入水体名称：洢水</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排入的水功能区：洢水安化源头水保护区</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入河排污口废水排放量：54750m</w:t>
      </w:r>
      <w:r>
        <w:rPr>
          <w:rFonts w:hint="default" w:ascii="Times New Roman" w:hAnsi="Times New Roman" w:cs="Times New Roman"/>
          <w:bCs/>
          <w:color w:val="000000"/>
          <w:sz w:val="24"/>
          <w:highlight w:val="none"/>
          <w:u w:val="single"/>
          <w:vertAlign w:val="superscript"/>
        </w:rPr>
        <w:t>3</w:t>
      </w:r>
      <w:r>
        <w:rPr>
          <w:rFonts w:hint="default" w:ascii="Times New Roman" w:hAnsi="Times New Roman" w:cs="Times New Roman"/>
          <w:bCs/>
          <w:color w:val="000000"/>
          <w:sz w:val="24"/>
          <w:highlight w:val="none"/>
          <w:u w:val="single"/>
        </w:rPr>
        <w:t>/d</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入河排污口名称：</w:t>
      </w:r>
      <w:r>
        <w:rPr>
          <w:rFonts w:hint="default" w:ascii="Times New Roman" w:hAnsi="Times New Roman" w:cs="Times New Roman"/>
          <w:bCs/>
          <w:color w:val="000000"/>
          <w:sz w:val="24"/>
          <w:szCs w:val="24"/>
          <w:highlight w:val="none"/>
          <w:u w:val="single"/>
        </w:rPr>
        <w:t>安化县乐安镇乐高污水处理厂</w:t>
      </w:r>
      <w:r>
        <w:rPr>
          <w:rFonts w:hint="default" w:ascii="Times New Roman" w:hAnsi="Times New Roman" w:cs="Times New Roman"/>
          <w:bCs/>
          <w:color w:val="000000"/>
          <w:sz w:val="24"/>
          <w:highlight w:val="none"/>
          <w:u w:val="single"/>
        </w:rPr>
        <w:t>废水入河排污口</w:t>
      </w:r>
    </w:p>
    <w:p>
      <w:pPr>
        <w:pStyle w:val="10"/>
        <w:spacing w:before="0" w:after="0" w:line="360" w:lineRule="auto"/>
        <w:jc w:val="both"/>
        <w:rPr>
          <w:rFonts w:hint="default" w:ascii="Times New Roman" w:hAnsi="Times New Roman" w:cs="Times New Roman"/>
          <w:bCs/>
          <w:color w:val="000000"/>
          <w:highlight w:val="none"/>
          <w:u w:val="singl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bCs/>
          <w:color w:val="000000"/>
          <w:highlight w:val="none"/>
          <w:u w:val="single"/>
        </w:rPr>
        <w:t>各污染物排放浓度及排放量为：COD：</w:t>
      </w:r>
      <w:r>
        <w:rPr>
          <w:rFonts w:hint="default" w:ascii="Times New Roman" w:hAnsi="Times New Roman" w:cs="Times New Roman"/>
          <w:bCs/>
          <w:color w:val="000000"/>
          <w:szCs w:val="21"/>
          <w:highlight w:val="none"/>
          <w:u w:val="single"/>
        </w:rPr>
        <w:t>3.285t/a（60mg/L）、</w:t>
      </w:r>
      <w:r>
        <w:rPr>
          <w:rFonts w:hint="default" w:ascii="Times New Roman" w:hAnsi="Times New Roman" w:cs="Times New Roman"/>
          <w:bCs/>
          <w:color w:val="000000"/>
          <w:highlight w:val="none"/>
          <w:u w:val="single"/>
        </w:rPr>
        <w:t>BOD</w:t>
      </w:r>
      <w:r>
        <w:rPr>
          <w:rFonts w:hint="default" w:ascii="Times New Roman" w:hAnsi="Times New Roman" w:cs="Times New Roman"/>
          <w:bCs/>
          <w:color w:val="000000"/>
          <w:highlight w:val="none"/>
          <w:u w:val="single"/>
          <w:vertAlign w:val="subscript"/>
        </w:rPr>
        <w:t>5</w:t>
      </w:r>
      <w:r>
        <w:rPr>
          <w:rFonts w:hint="default" w:ascii="Times New Roman" w:hAnsi="Times New Roman" w:cs="Times New Roman"/>
          <w:bCs/>
          <w:color w:val="000000"/>
          <w:highlight w:val="none"/>
          <w:u w:val="single"/>
        </w:rPr>
        <w:t>：1.095</w:t>
      </w:r>
      <w:r>
        <w:rPr>
          <w:rFonts w:hint="default" w:ascii="Times New Roman" w:hAnsi="Times New Roman" w:cs="Times New Roman"/>
          <w:bCs/>
          <w:color w:val="000000"/>
          <w:kern w:val="2"/>
          <w:szCs w:val="24"/>
          <w:highlight w:val="none"/>
          <w:u w:val="single"/>
        </w:rPr>
        <w:t>t/a</w:t>
      </w:r>
      <w:r>
        <w:rPr>
          <w:rFonts w:hint="default" w:ascii="Times New Roman" w:hAnsi="Times New Roman" w:cs="Times New Roman"/>
          <w:bCs/>
          <w:color w:val="000000"/>
          <w:szCs w:val="21"/>
          <w:highlight w:val="none"/>
          <w:u w:val="single"/>
        </w:rPr>
        <w:t>（20mg/L）、</w:t>
      </w:r>
      <w:r>
        <w:rPr>
          <w:rFonts w:hint="default" w:ascii="Times New Roman" w:hAnsi="Times New Roman" w:cs="Times New Roman"/>
          <w:bCs/>
          <w:color w:val="000000"/>
          <w:highlight w:val="none"/>
          <w:u w:val="single"/>
        </w:rPr>
        <w:t>SS：1.095</w:t>
      </w:r>
      <w:r>
        <w:rPr>
          <w:rFonts w:hint="default" w:ascii="Times New Roman" w:hAnsi="Times New Roman" w:cs="Times New Roman"/>
          <w:bCs/>
          <w:color w:val="000000"/>
          <w:kern w:val="2"/>
          <w:szCs w:val="24"/>
          <w:highlight w:val="none"/>
          <w:u w:val="single"/>
        </w:rPr>
        <w:t>t/a</w:t>
      </w:r>
      <w:r>
        <w:rPr>
          <w:rFonts w:hint="default" w:ascii="Times New Roman" w:hAnsi="Times New Roman" w:cs="Times New Roman"/>
          <w:bCs/>
          <w:color w:val="000000"/>
          <w:szCs w:val="21"/>
          <w:highlight w:val="none"/>
          <w:u w:val="single"/>
        </w:rPr>
        <w:t>（20mg/L）、</w:t>
      </w:r>
      <w:r>
        <w:rPr>
          <w:rFonts w:hint="default" w:ascii="Times New Roman" w:hAnsi="Times New Roman" w:cs="Times New Roman"/>
          <w:bCs/>
          <w:color w:val="000000"/>
          <w:highlight w:val="none"/>
          <w:u w:val="single"/>
        </w:rPr>
        <w:t>氨氮：</w:t>
      </w:r>
      <w:r>
        <w:rPr>
          <w:rFonts w:hint="default" w:ascii="Times New Roman" w:hAnsi="Times New Roman" w:cs="Times New Roman"/>
          <w:bCs/>
          <w:color w:val="000000"/>
          <w:kern w:val="2"/>
          <w:szCs w:val="24"/>
          <w:highlight w:val="none"/>
          <w:u w:val="single"/>
        </w:rPr>
        <w:t>0.822t/a</w:t>
      </w:r>
      <w:r>
        <w:rPr>
          <w:rFonts w:hint="default" w:ascii="Times New Roman" w:hAnsi="Times New Roman" w:cs="Times New Roman"/>
          <w:bCs/>
          <w:color w:val="000000"/>
          <w:szCs w:val="21"/>
          <w:highlight w:val="none"/>
          <w:u w:val="single"/>
        </w:rPr>
        <w:t>（15mg/L）、</w:t>
      </w:r>
      <w:r>
        <w:rPr>
          <w:rFonts w:hint="default" w:ascii="Times New Roman" w:hAnsi="Times New Roman" w:cs="Times New Roman"/>
          <w:bCs/>
          <w:color w:val="000000"/>
          <w:highlight w:val="none"/>
          <w:u w:val="single"/>
        </w:rPr>
        <w:t>TN：1.095</w:t>
      </w:r>
      <w:r>
        <w:rPr>
          <w:rFonts w:hint="default" w:ascii="Times New Roman" w:hAnsi="Times New Roman" w:cs="Times New Roman"/>
          <w:bCs/>
          <w:color w:val="000000"/>
          <w:kern w:val="2"/>
          <w:szCs w:val="24"/>
          <w:highlight w:val="none"/>
          <w:u w:val="single"/>
        </w:rPr>
        <w:t>t/a</w:t>
      </w:r>
      <w:r>
        <w:rPr>
          <w:rFonts w:hint="default" w:ascii="Times New Roman" w:hAnsi="Times New Roman" w:cs="Times New Roman"/>
          <w:bCs/>
          <w:color w:val="000000"/>
          <w:szCs w:val="21"/>
          <w:highlight w:val="none"/>
          <w:u w:val="single"/>
        </w:rPr>
        <w:t>（20mg/L）、</w:t>
      </w:r>
      <w:r>
        <w:rPr>
          <w:rFonts w:hint="default" w:ascii="Times New Roman" w:hAnsi="Times New Roman" w:cs="Times New Roman"/>
          <w:bCs/>
          <w:color w:val="000000"/>
          <w:highlight w:val="none"/>
          <w:u w:val="single"/>
        </w:rPr>
        <w:t>TP：</w:t>
      </w:r>
      <w:r>
        <w:rPr>
          <w:rFonts w:hint="default" w:ascii="Times New Roman" w:hAnsi="Times New Roman" w:cs="Times New Roman"/>
          <w:bCs/>
          <w:color w:val="000000"/>
          <w:kern w:val="2"/>
          <w:szCs w:val="24"/>
          <w:highlight w:val="none"/>
          <w:u w:val="single"/>
        </w:rPr>
        <w:t>0.05475t/a</w:t>
      </w:r>
      <w:r>
        <w:rPr>
          <w:rFonts w:hint="default" w:ascii="Times New Roman" w:hAnsi="Times New Roman" w:cs="Times New Roman"/>
          <w:bCs/>
          <w:color w:val="000000"/>
          <w:szCs w:val="21"/>
          <w:highlight w:val="none"/>
          <w:u w:val="single"/>
        </w:rPr>
        <w:t>（1mg/L）。</w:t>
      </w:r>
    </w:p>
    <w:p>
      <w:pPr>
        <w:spacing w:line="360" w:lineRule="auto"/>
        <w:jc w:val="center"/>
        <w:outlineLvl w:val="0"/>
        <w:rPr>
          <w:rFonts w:hint="default" w:ascii="Times New Roman" w:hAnsi="Times New Roman" w:cs="Times New Roman"/>
          <w:bCs/>
          <w:color w:val="000000"/>
          <w:sz w:val="24"/>
          <w:highlight w:val="none"/>
        </w:rPr>
      </w:pPr>
      <w:bookmarkStart w:id="64" w:name="_Toc20570"/>
      <w:r>
        <w:rPr>
          <w:rFonts w:hint="default" w:ascii="Times New Roman" w:hAnsi="Times New Roman" w:cs="Times New Roman"/>
          <w:b/>
          <w:bCs/>
          <w:kern w:val="0"/>
          <w:sz w:val="32"/>
          <w:szCs w:val="32"/>
          <w:highlight w:val="none"/>
        </w:rPr>
        <w:t>5  入河排污口设置可行性分析</w:t>
      </w:r>
      <w:bookmarkEnd w:id="64"/>
    </w:p>
    <w:p>
      <w:pPr>
        <w:spacing w:line="360" w:lineRule="auto"/>
        <w:jc w:val="left"/>
        <w:outlineLvl w:val="1"/>
        <w:rPr>
          <w:rFonts w:hint="default" w:ascii="Times New Roman" w:hAnsi="Times New Roman" w:cs="Times New Roman"/>
          <w:b/>
          <w:color w:val="000000"/>
          <w:sz w:val="24"/>
          <w:highlight w:val="none"/>
        </w:rPr>
      </w:pPr>
      <w:bookmarkStart w:id="65" w:name="_Toc24815"/>
      <w:r>
        <w:rPr>
          <w:rFonts w:hint="default" w:ascii="Times New Roman" w:hAnsi="Times New Roman" w:cs="Times New Roman"/>
          <w:b/>
          <w:color w:val="000000"/>
          <w:sz w:val="24"/>
          <w:highlight w:val="none"/>
        </w:rPr>
        <w:t>5.1.水功能区（水域）对入河排污口的设置要求</w:t>
      </w:r>
      <w:bookmarkEnd w:id="65"/>
    </w:p>
    <w:p>
      <w:pPr>
        <w:spacing w:line="360" w:lineRule="auto"/>
        <w:ind w:firstLine="482" w:firstLineChars="200"/>
        <w:jc w:val="left"/>
        <w:outlineLvl w:val="2"/>
        <w:rPr>
          <w:rFonts w:hint="default" w:ascii="Times New Roman" w:hAnsi="Times New Roman" w:cs="Times New Roman"/>
          <w:bCs/>
          <w:color w:val="000000"/>
          <w:sz w:val="24"/>
          <w:highlight w:val="none"/>
        </w:rPr>
      </w:pPr>
      <w:bookmarkStart w:id="66" w:name="_Toc24206"/>
      <w:r>
        <w:rPr>
          <w:rFonts w:hint="default" w:ascii="Times New Roman" w:hAnsi="Times New Roman" w:cs="Times New Roman"/>
          <w:b/>
          <w:color w:val="000000"/>
          <w:sz w:val="24"/>
          <w:highlight w:val="none"/>
        </w:rPr>
        <w:t>5.1.1.与产业政策、区域入河排污口布设规划符合性分析</w:t>
      </w:r>
      <w:bookmarkEnd w:id="66"/>
    </w:p>
    <w:p>
      <w:pPr>
        <w:spacing w:line="360" w:lineRule="auto"/>
        <w:ind w:firstLine="480" w:firstLineChars="200"/>
        <w:jc w:val="left"/>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本污水处理工程不属于《产业结构调整指导目录（2019年本)》修正版规定的限制类、淘汰类中，项目属符合国家法律、法规相关政策。</w:t>
      </w:r>
    </w:p>
    <w:p>
      <w:pPr>
        <w:spacing w:line="360" w:lineRule="auto"/>
        <w:ind w:firstLine="480" w:firstLineChars="200"/>
        <w:jc w:val="left"/>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项目所在区域无入河排污口布设规划。</w:t>
      </w:r>
    </w:p>
    <w:p>
      <w:pPr>
        <w:spacing w:line="360" w:lineRule="auto"/>
        <w:ind w:firstLine="480" w:firstLineChars="200"/>
        <w:jc w:val="left"/>
        <w:rPr>
          <w:rFonts w:hint="default" w:ascii="Times New Roman" w:hAnsi="Times New Roman" w:cs="Times New Roman"/>
          <w:sz w:val="24"/>
          <w:szCs w:val="24"/>
          <w:highlight w:val="none"/>
        </w:rPr>
      </w:pPr>
      <w:r>
        <w:rPr>
          <w:rFonts w:hint="default" w:ascii="Times New Roman" w:hAnsi="Times New Roman" w:cs="Times New Roman"/>
          <w:sz w:val="24"/>
          <w:szCs w:val="24"/>
          <w:highlight w:val="none"/>
        </w:rPr>
        <w:t>《湖南省贯彻落实&lt;水污染防治行动计划&gt;实施方案（2016-2020年）》中提出“强化城镇生活污染治理，加快城镇污水处理设施建设与改造”，因此，安化县乐安镇乐高污水处理厂建设符合国家水污染防治规划。</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67" w:name="_Toc8329"/>
      <w:r>
        <w:rPr>
          <w:rFonts w:hint="default" w:ascii="Times New Roman" w:hAnsi="Times New Roman" w:cs="Times New Roman"/>
          <w:b/>
          <w:color w:val="000000"/>
          <w:sz w:val="24"/>
          <w:highlight w:val="none"/>
        </w:rPr>
        <w:t>5.1.2.与地方国家经济与城镇发展规划符合性分析</w:t>
      </w:r>
      <w:bookmarkEnd w:id="67"/>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安化县乐安镇乐高污水处理厂有利于区域水环境的改善，是乐安镇重点环保基础设施工程。因此项目建设符合安化县乐安镇的发展规划。</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68" w:name="_Toc3905"/>
      <w:r>
        <w:rPr>
          <w:rFonts w:hint="default" w:ascii="Times New Roman" w:hAnsi="Times New Roman" w:cs="Times New Roman"/>
          <w:b/>
          <w:color w:val="000000"/>
          <w:sz w:val="24"/>
          <w:highlight w:val="none"/>
        </w:rPr>
        <w:t>5.1.3.与水资源管理和环保要求符合性分析</w:t>
      </w:r>
      <w:bookmarkEnd w:id="68"/>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高污水处理厂收集处理纳污范围内的生活污水达标后排放，截留了直接进入洢水的生活污水，消减了进入水体的污染物量，也便于集中处理及管理，确保达标排放，环境效益明显。因此，本工程的建设符合水资源管理、环保要求。</w:t>
      </w:r>
    </w:p>
    <w:p>
      <w:pPr>
        <w:spacing w:line="360" w:lineRule="auto"/>
        <w:ind w:firstLine="482" w:firstLineChars="200"/>
        <w:jc w:val="left"/>
        <w:outlineLvl w:val="2"/>
        <w:rPr>
          <w:rFonts w:hint="default" w:ascii="Times New Roman" w:hAnsi="Times New Roman" w:cs="Times New Roman"/>
          <w:bCs/>
          <w:color w:val="000000"/>
          <w:sz w:val="24"/>
          <w:highlight w:val="none"/>
        </w:rPr>
      </w:pPr>
      <w:bookmarkStart w:id="69" w:name="_Toc13708"/>
      <w:r>
        <w:rPr>
          <w:rFonts w:hint="default" w:ascii="Times New Roman" w:hAnsi="Times New Roman" w:cs="Times New Roman"/>
          <w:b/>
          <w:color w:val="000000"/>
          <w:sz w:val="24"/>
          <w:highlight w:val="none"/>
        </w:rPr>
        <w:t>5.1.4.与水功能区管理要求符合性分析</w:t>
      </w:r>
      <w:bookmarkEnd w:id="69"/>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中华人民共和国水法》，在全国范围内对江河、湖泊、水库、运河、渠道等地表水体实行水功能区管理，水功能区划采用两级体系，一级水功能区分四类：保护区、保留区、开发利用区和缓冲区；二级区划在一级功能区划的开发利用区内分为七类：饮用水源区、工业用水区、渔业用水区、景观娱乐用水区、农业用水区、过渡区、排污控制区。</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根据水利部颁布，于2003年7月1日实施的《水功能区管理办法》(水资源[2003]233号文)第九条之规定</w:t>
      </w:r>
      <w:r>
        <w:rPr>
          <w:rFonts w:hint="default" w:ascii="Times New Roman" w:hAnsi="Times New Roman" w:cs="Times New Roman"/>
          <w:bCs/>
          <w:color w:val="000000"/>
          <w:sz w:val="24"/>
          <w:highlight w:val="none"/>
          <w:u w:val="single"/>
        </w:rPr>
        <w:t>：水功能区的管理应执行水功能区划确定的保护目标。保护区禁止进行不利于功能保护的活动，同时应遵守现行法律法规的规定。同时根据《湖南省一级水功能区划》，排污口纳污河流</w:t>
      </w:r>
      <w:r>
        <w:rPr>
          <w:rFonts w:hint="default" w:ascii="Times New Roman" w:hAnsi="Times New Roman" w:cs="Times New Roman"/>
          <w:sz w:val="24"/>
          <w:szCs w:val="24"/>
          <w:highlight w:val="none"/>
          <w:u w:val="single"/>
        </w:rPr>
        <w:t>为洢水安化源头水保护区，河流目前的主要功能为灌溉、饮用，水质管理目标为Ⅱ类</w:t>
      </w:r>
      <w:r>
        <w:rPr>
          <w:rFonts w:hint="default" w:ascii="Times New Roman" w:hAnsi="Times New Roman" w:cs="Times New Roman"/>
          <w:bCs/>
          <w:color w:val="000000"/>
          <w:sz w:val="24"/>
          <w:highlight w:val="none"/>
          <w:u w:val="single"/>
        </w:rPr>
        <w:t>。</w:t>
      </w:r>
    </w:p>
    <w:p>
      <w:pPr>
        <w:spacing w:line="360" w:lineRule="auto"/>
        <w:ind w:firstLine="480" w:firstLineChars="200"/>
        <w:jc w:val="left"/>
        <w:rPr>
          <w:rFonts w:hint="default" w:ascii="Times New Roman" w:hAnsi="Times New Roman" w:cs="Times New Roman"/>
          <w:highlight w:val="none"/>
          <w:u w:val="single"/>
        </w:rPr>
      </w:pPr>
      <w:r>
        <w:rPr>
          <w:rFonts w:hint="default" w:ascii="Times New Roman" w:hAnsi="Times New Roman" w:cs="Times New Roman"/>
          <w:bCs/>
          <w:color w:val="7030A0"/>
          <w:sz w:val="24"/>
          <w:highlight w:val="none"/>
          <w:u w:val="single"/>
          <w:lang w:val="en-US" w:eastAsia="zh-CN"/>
        </w:rPr>
        <w:t>根据调查和收集资料，</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val="en-US" w:eastAsia="zh-CN"/>
        </w:rPr>
        <w:t>乐安镇有乡镇水厂一座，其取水口位于</w:t>
      </w:r>
      <w:r>
        <w:rPr>
          <w:rFonts w:hint="default" w:ascii="Times New Roman" w:hAnsi="Times New Roman" w:cs="Times New Roman"/>
          <w:bCs/>
          <w:color w:val="7030A0"/>
          <w:sz w:val="24"/>
          <w:highlight w:val="none"/>
          <w:u w:val="single"/>
        </w:rPr>
        <w:t>洢水</w:t>
      </w:r>
      <w:r>
        <w:rPr>
          <w:rFonts w:hint="default" w:ascii="Times New Roman" w:hAnsi="Times New Roman" w:cs="Times New Roman"/>
          <w:bCs/>
          <w:color w:val="7030A0"/>
          <w:sz w:val="24"/>
          <w:highlight w:val="none"/>
          <w:u w:val="single"/>
          <w:lang w:val="en-US" w:eastAsia="zh-CN"/>
        </w:rPr>
        <w:t>支流汇入口上游4.2km的碑冲水库，该支流汇入口位于</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eastAsia="zh-CN"/>
        </w:rPr>
        <w:t>乐安镇乐高</w:t>
      </w:r>
      <w:r>
        <w:rPr>
          <w:rFonts w:hint="default" w:ascii="Times New Roman" w:hAnsi="Times New Roman" w:cs="Times New Roman"/>
          <w:bCs/>
          <w:color w:val="7030A0"/>
          <w:sz w:val="24"/>
          <w:highlight w:val="none"/>
          <w:u w:val="single"/>
        </w:rPr>
        <w:t>污水处理厂洢水</w:t>
      </w:r>
      <w:r>
        <w:rPr>
          <w:rFonts w:hint="default" w:ascii="Times New Roman" w:hAnsi="Times New Roman" w:cs="Times New Roman"/>
          <w:bCs/>
          <w:color w:val="7030A0"/>
          <w:sz w:val="24"/>
          <w:highlight w:val="none"/>
          <w:u w:val="single"/>
          <w:lang w:val="en-US" w:eastAsia="zh-CN"/>
        </w:rPr>
        <w:t>排放口上游3.3km处，其位置关系详见</w:t>
      </w:r>
      <w:r>
        <w:rPr>
          <w:rFonts w:hint="default" w:ascii="Times New Roman" w:hAnsi="Times New Roman" w:cs="Times New Roman"/>
          <w:bCs/>
          <w:color w:val="7030A0"/>
          <w:sz w:val="24"/>
          <w:highlight w:val="none"/>
          <w:u w:val="single"/>
        </w:rPr>
        <w:t>附图</w:t>
      </w:r>
      <w:r>
        <w:rPr>
          <w:rFonts w:hint="default" w:ascii="Times New Roman" w:hAnsi="Times New Roman" w:cs="Times New Roman"/>
          <w:bCs/>
          <w:color w:val="7030A0"/>
          <w:sz w:val="24"/>
          <w:highlight w:val="none"/>
          <w:u w:val="single"/>
          <w:lang w:val="en-US" w:eastAsia="zh-CN"/>
        </w:rPr>
        <w:t>4《污水处理厂排放口与乐安水厂饮用水源保护区取水口相对关系图》，因此</w:t>
      </w:r>
      <w:r>
        <w:rPr>
          <w:rFonts w:hint="default" w:ascii="Times New Roman" w:hAnsi="Times New Roman" w:cs="Times New Roman"/>
          <w:bCs/>
          <w:color w:val="7030A0"/>
          <w:sz w:val="24"/>
          <w:highlight w:val="none"/>
          <w:u w:val="single"/>
        </w:rPr>
        <w:t>本入河排污口不涉及生活饮用水一、二级保护区。</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70" w:name="_Toc31232"/>
      <w:r>
        <w:rPr>
          <w:rFonts w:hint="default" w:ascii="Times New Roman" w:hAnsi="Times New Roman" w:cs="Times New Roman"/>
          <w:b/>
          <w:color w:val="000000"/>
          <w:sz w:val="24"/>
          <w:highlight w:val="none"/>
        </w:rPr>
        <w:t>5.1.5.与《中华人民共和国水法》符合性分析</w:t>
      </w:r>
      <w:bookmarkEnd w:id="70"/>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根据《中华人民共和国水法》（主席令四十八号，2016年）：“第三十二条 县级以上人民政府水行政主管部门或者流域管理机构应当按照水功能区对水质的要求和水体的自然净化能力，核定该水域的纳污能力，向环境保护行政主管部门提出该水域的限制排污总量意见。”由于益阳市该河段段未提出限制排污总量，根据《入河排污口管理技术导则》（SL532-2011），未提出限制排污总量意见，以不超过纳污能力为限。“第三十四条 禁止在饮用水水源保护区内设置排污口。在江河、湖泊新建、改建或者扩大排污口，应当经过有管辖权的水行政主管部门或者流域管理机构同意，由环境保护行政主管部门负责对该建设项目的环境影响报告书进行审批。”</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洢水河水质现状良好，纳污能力较强，具备足够的容量消纳安化县乐安镇乐高污水处理厂外排的废污水。安化县乐安镇乐高污水处理厂入河排污口位置不在饮用水水源保护区范围内</w:t>
      </w:r>
      <w:r>
        <w:rPr>
          <w:rFonts w:hint="default" w:ascii="Times New Roman" w:hAnsi="Times New Roman" w:cs="Times New Roman"/>
          <w:bCs/>
          <w:color w:val="7030A0"/>
          <w:sz w:val="24"/>
          <w:highlight w:val="none"/>
          <w:u w:val="single"/>
        </w:rPr>
        <w:t>（</w:t>
      </w:r>
      <w:r>
        <w:rPr>
          <w:rFonts w:hint="default" w:ascii="Times New Roman" w:hAnsi="Times New Roman" w:cs="Times New Roman"/>
          <w:bCs/>
          <w:color w:val="7030A0"/>
          <w:sz w:val="24"/>
          <w:highlight w:val="none"/>
          <w:u w:val="single"/>
          <w:lang w:val="en-US" w:eastAsia="zh-CN"/>
        </w:rPr>
        <w:t>所在乡镇水厂取水口在</w:t>
      </w:r>
      <w:r>
        <w:rPr>
          <w:rFonts w:hint="default" w:ascii="Times New Roman" w:hAnsi="Times New Roman" w:cs="Times New Roman"/>
          <w:bCs/>
          <w:color w:val="7030A0"/>
          <w:sz w:val="24"/>
          <w:highlight w:val="none"/>
          <w:u w:val="single"/>
        </w:rPr>
        <w:t>洢水</w:t>
      </w:r>
      <w:r>
        <w:rPr>
          <w:rFonts w:hint="default" w:ascii="Times New Roman" w:hAnsi="Times New Roman" w:cs="Times New Roman"/>
          <w:bCs/>
          <w:color w:val="7030A0"/>
          <w:sz w:val="24"/>
          <w:highlight w:val="none"/>
          <w:u w:val="single"/>
          <w:lang w:val="en-US" w:eastAsia="zh-CN"/>
        </w:rPr>
        <w:t>支流汇入口上游4.2km的碑冲水库，该支流汇入口位于</w:t>
      </w:r>
      <w:r>
        <w:rPr>
          <w:rFonts w:hint="default" w:ascii="Times New Roman" w:hAnsi="Times New Roman" w:cs="Times New Roman"/>
          <w:bCs/>
          <w:color w:val="7030A0"/>
          <w:sz w:val="24"/>
          <w:highlight w:val="none"/>
          <w:u w:val="single"/>
        </w:rPr>
        <w:t>安化县</w:t>
      </w:r>
      <w:r>
        <w:rPr>
          <w:rFonts w:hint="default" w:ascii="Times New Roman" w:hAnsi="Times New Roman" w:cs="Times New Roman"/>
          <w:bCs/>
          <w:color w:val="7030A0"/>
          <w:sz w:val="24"/>
          <w:highlight w:val="none"/>
          <w:u w:val="single"/>
          <w:lang w:eastAsia="zh-CN"/>
        </w:rPr>
        <w:t>乐安镇乐高</w:t>
      </w:r>
      <w:r>
        <w:rPr>
          <w:rFonts w:hint="default" w:ascii="Times New Roman" w:hAnsi="Times New Roman" w:cs="Times New Roman"/>
          <w:bCs/>
          <w:color w:val="7030A0"/>
          <w:sz w:val="24"/>
          <w:highlight w:val="none"/>
          <w:u w:val="single"/>
        </w:rPr>
        <w:t>污水处理厂洢水</w:t>
      </w:r>
      <w:r>
        <w:rPr>
          <w:rFonts w:hint="default" w:ascii="Times New Roman" w:hAnsi="Times New Roman" w:cs="Times New Roman"/>
          <w:bCs/>
          <w:color w:val="7030A0"/>
          <w:sz w:val="24"/>
          <w:highlight w:val="none"/>
          <w:u w:val="single"/>
          <w:lang w:val="en-US" w:eastAsia="zh-CN"/>
        </w:rPr>
        <w:t>排放口上游3.3km处</w:t>
      </w:r>
      <w:r>
        <w:rPr>
          <w:rFonts w:hint="default" w:ascii="Times New Roman" w:hAnsi="Times New Roman" w:cs="Times New Roman"/>
          <w:bCs/>
          <w:color w:val="7030A0"/>
          <w:sz w:val="24"/>
          <w:highlight w:val="none"/>
          <w:u w:val="single"/>
        </w:rPr>
        <w:t>）</w:t>
      </w:r>
      <w:r>
        <w:rPr>
          <w:rFonts w:hint="default" w:ascii="Times New Roman" w:hAnsi="Times New Roman" w:cs="Times New Roman"/>
          <w:bCs/>
          <w:color w:val="000000"/>
          <w:sz w:val="24"/>
          <w:highlight w:val="none"/>
        </w:rPr>
        <w:t>。综上所述，安化县乐安镇乐高污水处理厂入河排污口设置符合《中华人民共和国水法》规定。</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71" w:name="_Toc6809"/>
      <w:r>
        <w:rPr>
          <w:rFonts w:hint="default" w:ascii="Times New Roman" w:hAnsi="Times New Roman" w:cs="Times New Roman"/>
          <w:b/>
          <w:color w:val="000000"/>
          <w:sz w:val="24"/>
          <w:highlight w:val="none"/>
        </w:rPr>
        <w:t>5.1.6.与《中华人民共和国渔业法》符合性分析</w:t>
      </w:r>
      <w:bookmarkEnd w:id="71"/>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中华人民共和国渔业法》（主席令2013年第8号）：“第三十五条进行水下爆破、勘探、施工作业，对渔业资源有严重影响的，作业单位应当事先同有关县级以上人民政府渔业行政主管部门协商，采取措施，防止或者减少对渔业资源的损害；造成渔业资源损失的，由有关县级以上人民政府责令赔偿。”安化县乐安镇乐高污水处理厂入河排污口设置不涉及水下爆破、勘探、施工作业，符合《中华人民共和国渔业法》相关规定要求。</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72" w:name="_Toc29476"/>
      <w:r>
        <w:rPr>
          <w:rFonts w:hint="default" w:ascii="Times New Roman" w:hAnsi="Times New Roman" w:cs="Times New Roman"/>
          <w:b/>
          <w:color w:val="000000"/>
          <w:sz w:val="24"/>
          <w:highlight w:val="none"/>
        </w:rPr>
        <w:t>5.1.7.与《入河排污口监督管理办法》符合性分析</w:t>
      </w:r>
      <w:bookmarkEnd w:id="72"/>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安化县乐安镇乐高污水处理厂入河排污口位于</w:t>
      </w:r>
      <w:r>
        <w:rPr>
          <w:rFonts w:hint="default" w:ascii="Times New Roman" w:hAnsi="Times New Roman" w:cs="Times New Roman"/>
          <w:sz w:val="24"/>
          <w:szCs w:val="24"/>
          <w:highlight w:val="none"/>
        </w:rPr>
        <w:t>湖南省益阳市安化县乐安镇乐高社区</w:t>
      </w:r>
      <w:r>
        <w:rPr>
          <w:rFonts w:hint="default" w:ascii="Times New Roman" w:hAnsi="Times New Roman" w:cs="Times New Roman"/>
          <w:bCs/>
          <w:color w:val="000000"/>
          <w:sz w:val="24"/>
          <w:highlight w:val="none"/>
        </w:rPr>
        <w:t>，外排废污水通过管道进入河流。根据现场勘查及查阅相关资料，安化县乐安镇乐高污水处理厂入河排污口位置不在饮用水水源保护区范围内；根据《《湖南省一级水功能区划》，安化县乐安镇乐高污水处理厂入河排污口排污口纳污河流</w:t>
      </w:r>
      <w:r>
        <w:rPr>
          <w:rFonts w:hint="default" w:ascii="Times New Roman" w:hAnsi="Times New Roman" w:cs="Times New Roman"/>
          <w:sz w:val="24"/>
          <w:szCs w:val="24"/>
          <w:highlight w:val="none"/>
        </w:rPr>
        <w:t>为洢水安化源头水保护区，论证范围内河流目前的主要功能为灌溉，水质管理目标为Ⅱ类</w:t>
      </w:r>
      <w:r>
        <w:rPr>
          <w:rFonts w:hint="default" w:ascii="Times New Roman" w:hAnsi="Times New Roman" w:cs="Times New Roman"/>
          <w:bCs/>
          <w:color w:val="000000"/>
          <w:sz w:val="24"/>
          <w:highlight w:val="none"/>
        </w:rPr>
        <w:t>，根据河段污染物河流二维模型计算，安化县乐安镇乐高污水处理厂污水排放不会对洢水河水质造成较大影响，不会影响其Ⅱ类地表水水质要求的水质管理目标。不属于水利部《入河排污口监督管理办法》不予设置入河排污口的情形。</w:t>
      </w:r>
    </w:p>
    <w:p>
      <w:pPr>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73" w:name="_Toc28144"/>
      <w:r>
        <w:rPr>
          <w:rFonts w:hint="default" w:ascii="Times New Roman" w:hAnsi="Times New Roman" w:cs="Times New Roman"/>
          <w:b/>
          <w:color w:val="000000"/>
          <w:sz w:val="24"/>
          <w:highlight w:val="none"/>
          <w:u w:val="single"/>
        </w:rPr>
        <w:t>5.1.8.与《湖南省入河排污口监督管理办法》符合性分析</w:t>
      </w:r>
      <w:bookmarkEnd w:id="73"/>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安化县乐安镇乐高污水处理厂入河排污口位于</w:t>
      </w:r>
      <w:r>
        <w:rPr>
          <w:rFonts w:hint="default" w:ascii="Times New Roman" w:hAnsi="Times New Roman" w:cs="Times New Roman"/>
          <w:sz w:val="24"/>
          <w:szCs w:val="24"/>
          <w:highlight w:val="none"/>
        </w:rPr>
        <w:t>湖南省益阳市安化县乐安镇乐高社区</w:t>
      </w:r>
      <w:r>
        <w:rPr>
          <w:rFonts w:hint="default" w:ascii="Times New Roman" w:hAnsi="Times New Roman" w:cs="Times New Roman"/>
          <w:bCs/>
          <w:color w:val="000000"/>
          <w:sz w:val="24"/>
          <w:highlight w:val="none"/>
        </w:rPr>
        <w:t>，外排废污水通过管道进入河流。根据现场勘查及查阅相关资料，安化县乐安镇乐高污水处理厂入河排污口位置不在饮用水水源保护区范围内；根据《《湖南省一级水功能区划》，安化县乐安镇乐高污水处理厂入河排污口排污口纳污河流为洢水安化源头水保护区</w:t>
      </w:r>
      <w:r>
        <w:rPr>
          <w:rFonts w:hint="default" w:ascii="Times New Roman" w:hAnsi="Times New Roman" w:cs="Times New Roman"/>
          <w:sz w:val="24"/>
          <w:szCs w:val="24"/>
          <w:highlight w:val="none"/>
        </w:rPr>
        <w:t>，河流目前的主要功能为饮用及灌溉，水质管理目标为Ⅱ类</w:t>
      </w:r>
      <w:r>
        <w:rPr>
          <w:rFonts w:hint="default" w:ascii="Times New Roman" w:hAnsi="Times New Roman" w:cs="Times New Roman"/>
          <w:bCs/>
          <w:color w:val="000000"/>
          <w:sz w:val="24"/>
          <w:highlight w:val="none"/>
        </w:rPr>
        <w:t>，根据河段污染物河流二维模型计算，安化县乐安镇乐高污水处理厂污水排放不会对洢水水质造成较大影响，不会影响其Ⅱ类地表水水质要求的水质管理目标。洢水本次论证范围内有少量</w:t>
      </w:r>
      <w:r>
        <w:rPr>
          <w:rFonts w:hint="default" w:ascii="Times New Roman" w:hAnsi="Times New Roman" w:cs="Times New Roman"/>
          <w:bCs/>
          <w:color w:val="000000"/>
          <w:sz w:val="24"/>
          <w:highlight w:val="none"/>
          <w:lang w:val="en-US" w:eastAsia="zh-CN"/>
        </w:rPr>
        <w:t>农用</w:t>
      </w:r>
      <w:r>
        <w:rPr>
          <w:rFonts w:hint="default" w:ascii="Times New Roman" w:hAnsi="Times New Roman" w:cs="Times New Roman"/>
          <w:bCs/>
          <w:color w:val="000000"/>
          <w:sz w:val="24"/>
          <w:highlight w:val="none"/>
        </w:rPr>
        <w:t>水取水口，安化县乐安镇乐高污水处理厂排污口的设置不会影响洢水防洪要求，排污口位置不在自然保护区、湿地公园内，符合国家法律法规和产业政策要求。不属于《湖南省入河排污口监督管理办法》不予设置入河排污口的情形。</w:t>
      </w:r>
    </w:p>
    <w:p>
      <w:pPr>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74" w:name="_Toc5618"/>
      <w:r>
        <w:rPr>
          <w:rFonts w:hint="default" w:ascii="Times New Roman" w:hAnsi="Times New Roman" w:cs="Times New Roman"/>
          <w:b/>
          <w:color w:val="000000"/>
          <w:sz w:val="24"/>
          <w:highlight w:val="none"/>
          <w:u w:val="single"/>
        </w:rPr>
        <w:t>5.1.9.水域纳污能力限制可行性分析</w:t>
      </w:r>
      <w:bookmarkEnd w:id="74"/>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与《入河排污口设置论证报告技术导则》（征求意见稿）可行性分析结论对比分析</w:t>
      </w:r>
    </w:p>
    <w:p>
      <w:pPr>
        <w:spacing w:line="360" w:lineRule="auto"/>
        <w:jc w:val="center"/>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表5-1  入河排污口设置可行性分析结论对比分析</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9"/>
        <w:gridCol w:w="3500"/>
        <w:gridCol w:w="3305"/>
        <w:gridCol w:w="100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5" w:hRule="atLeast"/>
        </w:trPr>
        <w:tc>
          <w:tcPr>
            <w:tcW w:w="709"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序号</w:t>
            </w:r>
          </w:p>
        </w:tc>
        <w:tc>
          <w:tcPr>
            <w:tcW w:w="3500"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明确事项</w:t>
            </w:r>
          </w:p>
        </w:tc>
        <w:tc>
          <w:tcPr>
            <w:tcW w:w="3305"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情况说明</w:t>
            </w:r>
          </w:p>
        </w:tc>
        <w:tc>
          <w:tcPr>
            <w:tcW w:w="1008"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分析结论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1</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设置单位建设项目是否符合国家法律法规和相关产业政策，是否符合区域产业结构布局和行业发展规划；</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安化县乐安镇乐高污水处理厂项目符合国家产业政策的要求，选址未占用基本农田，选址不属于当地城镇发展用地范围。项目选址不违背当地发展规划要求。</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2</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设置单位已有建设项目的立项、施工、验收、运行是否合法依规，是否满足取水许可、清洁生产、达标排放与总量控制、水功能区限排、入河排污口管理等要求；</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项目立项、环评符合相关法规，外排的污水能够达标排放，符合总量控制要求。</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3</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 xml:space="preserve">入河排污口设置位置是否符合入河排污口布设规划，可能影响范围内有无重要敏感保护目标；与第三方有无纠纷，以及纠纷是否已处理妥当； </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安化县乐安镇乐高污水处理厂入河排污口可能影响范围无重要敏感保护目标及第三方取水用户。</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4</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入河排污口设置是否造成水功能区（水域）水质明显超标，或改变水功能区（水域）的水质类别；</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本项目外排水为生活污水，排放量低、污染物易于降解，不会造成水质超标或改变水质类型。</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5</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入河排污口设置是否明显增加水功能区（水域）纳污总量，是否满足水功能区限排要求；</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本项目外排生活污水量较低，受纳水体纳污总量较好，本项目可满足水域限排要求。</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4" w:hRule="atLeast"/>
        </w:trPr>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6</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入河排污口设置对周边水生态是否产生重大影响，以及是否有相应保护措施；</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本项目外排污废水为生活污水，无一类污染物排放，不会对周边水生态噪声重大影响。</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7</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入河排污口设置是否存在重大水污染事故风险因素，以及是否有相应防范措施；</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安化县乐安镇乐高污水处理厂不在水污染事故风险因素，厂区设有事故池，具有相应防范措施。</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8</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入河排污工程方案是否满足地下水保护和河道管理要求；</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高污水处理厂，厂区地面采取混凝土硬化处理，有效阻隔项目废水污染物渗漏，满足地下水保护要求；不属于水利部《入河排污口监督管理办法》和《湖南省入河排污口监督管理办法》不予设置入河排污口的情形。</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9"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9</w:t>
            </w:r>
          </w:p>
        </w:tc>
        <w:tc>
          <w:tcPr>
            <w:tcW w:w="3500"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入河排污口设置是否可行。对基本可行的，应提出可行的限制条件或方案调整意见。</w:t>
            </w:r>
          </w:p>
        </w:tc>
        <w:tc>
          <w:tcPr>
            <w:tcW w:w="3305"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安化县乐安镇乐高污水处理厂入河排污口可行，无制约因素。</w:t>
            </w:r>
          </w:p>
        </w:tc>
        <w:tc>
          <w:tcPr>
            <w:tcW w:w="1008"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符合</w:t>
            </w:r>
          </w:p>
        </w:tc>
      </w:tr>
    </w:tbl>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sz w:val="24"/>
          <w:highlight w:val="none"/>
        </w:rPr>
        <w:t>综上分析，</w:t>
      </w:r>
      <w:r>
        <w:rPr>
          <w:rFonts w:hint="default" w:ascii="Times New Roman" w:hAnsi="Times New Roman" w:cs="Times New Roman"/>
          <w:sz w:val="24"/>
          <w:szCs w:val="24"/>
          <w:highlight w:val="none"/>
          <w:u w:val="single"/>
        </w:rPr>
        <w:t>安化县乐安镇乐高污水处理厂</w:t>
      </w:r>
      <w:r>
        <w:rPr>
          <w:rFonts w:hint="default" w:ascii="Times New Roman" w:hAnsi="Times New Roman" w:cs="Times New Roman"/>
          <w:sz w:val="24"/>
          <w:highlight w:val="none"/>
          <w:u w:val="single"/>
        </w:rPr>
        <w:t>入河排污口设置符合国家和省监督管理要求。受纳水体洢水纳污能力较好，具备消纳</w:t>
      </w:r>
      <w:r>
        <w:rPr>
          <w:rFonts w:hint="default" w:ascii="Times New Roman" w:hAnsi="Times New Roman" w:cs="Times New Roman"/>
          <w:sz w:val="24"/>
          <w:szCs w:val="24"/>
          <w:highlight w:val="none"/>
          <w:u w:val="single"/>
        </w:rPr>
        <w:t>安化县乐安镇乐高污水处理厂</w:t>
      </w:r>
      <w:r>
        <w:rPr>
          <w:rFonts w:hint="default" w:ascii="Times New Roman" w:hAnsi="Times New Roman" w:cs="Times New Roman"/>
          <w:sz w:val="24"/>
          <w:highlight w:val="none"/>
          <w:u w:val="single"/>
        </w:rPr>
        <w:t>排放的废污水污染物。污染物排放总量未超出生态环境主管部门限制排放总量。因此，本次论证认为</w:t>
      </w:r>
      <w:r>
        <w:rPr>
          <w:rFonts w:hint="default" w:ascii="Times New Roman" w:hAnsi="Times New Roman" w:cs="Times New Roman"/>
          <w:sz w:val="24"/>
          <w:szCs w:val="24"/>
          <w:highlight w:val="none"/>
          <w:u w:val="single"/>
        </w:rPr>
        <w:t>安化县乐安镇乐高污水处理厂</w:t>
      </w:r>
      <w:r>
        <w:rPr>
          <w:rFonts w:hint="default" w:ascii="Times New Roman" w:hAnsi="Times New Roman" w:cs="Times New Roman"/>
          <w:sz w:val="24"/>
          <w:highlight w:val="none"/>
          <w:u w:val="single"/>
        </w:rPr>
        <w:t>入河排污口设置可行。</w:t>
      </w:r>
    </w:p>
    <w:p>
      <w:pPr>
        <w:spacing w:line="360" w:lineRule="auto"/>
        <w:jc w:val="left"/>
        <w:outlineLvl w:val="1"/>
        <w:rPr>
          <w:rFonts w:hint="default" w:ascii="Times New Roman" w:hAnsi="Times New Roman" w:cs="Times New Roman"/>
          <w:b/>
          <w:color w:val="000000"/>
          <w:sz w:val="24"/>
          <w:highlight w:val="none"/>
        </w:rPr>
      </w:pPr>
      <w:bookmarkStart w:id="75" w:name="_Toc9129"/>
      <w:r>
        <w:rPr>
          <w:rFonts w:hint="default" w:ascii="Times New Roman" w:hAnsi="Times New Roman" w:cs="Times New Roman"/>
          <w:b/>
          <w:color w:val="000000"/>
          <w:sz w:val="24"/>
          <w:highlight w:val="none"/>
        </w:rPr>
        <w:t>5.2.水功能区（水域）纳污能力及限制排放总量</w:t>
      </w:r>
      <w:bookmarkEnd w:id="75"/>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本项目直接纳污水体为洢水，目前排污口所在位置为洢水安化源头水保护区</w:t>
      </w:r>
      <w:r>
        <w:rPr>
          <w:rFonts w:hint="default" w:ascii="Times New Roman" w:hAnsi="Times New Roman" w:cs="Times New Roman"/>
          <w:sz w:val="24"/>
          <w:szCs w:val="24"/>
          <w:highlight w:val="none"/>
        </w:rPr>
        <w:t>，该段河流目前的主要功能为灌溉，水质管理目标为Ⅱ类</w:t>
      </w:r>
      <w:r>
        <w:rPr>
          <w:rFonts w:hint="default" w:ascii="Times New Roman" w:hAnsi="Times New Roman" w:cs="Times New Roman"/>
          <w:bCs/>
          <w:color w:val="000000"/>
          <w:sz w:val="24"/>
          <w:highlight w:val="none"/>
        </w:rPr>
        <w:t>。本次论证根据现状用水功能和下一级水功能区水质目标要求，按照《水域纳污能力计算规程》（GB/T25173-2010）的规定，结合河流现状实测水质资料，采用数学模型计算法，以项目入河排污口处下游为计算断面，核算确定其河段纳污能力。限制排放总量以不超过纳污能力为限。</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76" w:name="_Toc15490"/>
      <w:r>
        <w:rPr>
          <w:rFonts w:hint="default" w:ascii="Times New Roman" w:hAnsi="Times New Roman" w:cs="Times New Roman"/>
          <w:b/>
          <w:color w:val="000000"/>
          <w:sz w:val="24"/>
          <w:highlight w:val="none"/>
        </w:rPr>
        <w:t>5.2.1.项目入河排污口处洢水纳污能力核算</w:t>
      </w:r>
      <w:bookmarkEnd w:id="76"/>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（1）计算规程</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根据水功能区管理要求、《水纳污能力计算规程》（SL348-2006），结合河流现状实测水质资料，以纳污口上游500m处为计算断面，核算确定其河段纳污能力。</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本评价地表水环境影响预测采用完全混合模式计算，公式如下：</w:t>
      </w:r>
    </w:p>
    <w:p>
      <w:pPr>
        <w:spacing w:line="360" w:lineRule="auto"/>
        <w:ind w:firstLine="420" w:firstLineChars="200"/>
        <w:jc w:val="center"/>
        <w:rPr>
          <w:rFonts w:hint="default" w:ascii="Times New Roman" w:hAnsi="Times New Roman" w:cs="Times New Roman"/>
          <w:bCs/>
          <w:color w:val="000000"/>
          <w:highlight w:val="none"/>
          <w:u w:val="single"/>
          <w:vertAlign w:val="superscript"/>
        </w:rPr>
      </w:pPr>
      <w:r>
        <w:rPr>
          <w:rFonts w:hint="default" w:ascii="Times New Roman" w:hAnsi="Times New Roman" w:cs="Times New Roman"/>
          <w:bCs/>
          <w:color w:val="000000"/>
          <w:highlight w:val="none"/>
        </w:rPr>
        <w:drawing>
          <wp:inline distT="0" distB="0" distL="114300" distR="114300">
            <wp:extent cx="1641475" cy="277495"/>
            <wp:effectExtent l="0" t="0" r="0" b="0"/>
            <wp:docPr id="13" name="图片 10" descr="C:\Users\ADMINI~1\AppData\Local\Temp\ksohtml6060\wp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0" descr="C:\Users\ADMINI~1\AppData\Local\Temp\ksohtml6060\wps1.png"/>
                    <pic:cNvPicPr>
                      <a:picLocks noChangeAspect="1"/>
                    </pic:cNvPicPr>
                  </pic:nvPicPr>
                  <pic:blipFill>
                    <a:blip r:embed="rId11"/>
                    <a:stretch>
                      <a:fillRect/>
                    </a:stretch>
                  </pic:blipFill>
                  <pic:spPr>
                    <a:xfrm>
                      <a:off x="0" y="0"/>
                      <a:ext cx="1641475" cy="277495"/>
                    </a:xfrm>
                    <a:prstGeom prst="rect">
                      <a:avLst/>
                    </a:prstGeom>
                    <a:noFill/>
                    <a:ln>
                      <a:noFill/>
                    </a:ln>
                  </pic:spPr>
                </pic:pic>
              </a:graphicData>
            </a:graphic>
          </wp:inline>
        </w:drawing>
      </w:r>
    </w:p>
    <w:p>
      <w:pPr>
        <w:spacing w:line="360" w:lineRule="auto"/>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式中：</w:t>
      </w:r>
      <w:r>
        <w:rPr>
          <w:rFonts w:hint="default" w:ascii="Times New Roman" w:hAnsi="Times New Roman" w:cs="Times New Roman"/>
          <w:bCs/>
          <w:color w:val="000000"/>
          <w:sz w:val="24"/>
          <w:highlight w:val="none"/>
        </w:rPr>
        <w:drawing>
          <wp:inline distT="0" distB="0" distL="114300" distR="114300">
            <wp:extent cx="209550" cy="172085"/>
            <wp:effectExtent l="0" t="0" r="3810" b="11430"/>
            <wp:docPr id="14" name="图片 11" descr="C:\Users\ADMINI~1\AppData\Local\Temp\ksohtml6060\wp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1" descr="C:\Users\ADMINI~1\AppData\Local\Temp\ksohtml6060\wps2.png"/>
                    <pic:cNvPicPr>
                      <a:picLocks noChangeAspect="1"/>
                    </pic:cNvPicPr>
                  </pic:nvPicPr>
                  <pic:blipFill>
                    <a:blip r:embed="rId12"/>
                    <a:stretch>
                      <a:fillRect/>
                    </a:stretch>
                  </pic:blipFill>
                  <pic:spPr>
                    <a:xfrm>
                      <a:off x="0" y="0"/>
                      <a:ext cx="209550" cy="172085"/>
                    </a:xfrm>
                    <a:prstGeom prst="rect">
                      <a:avLst/>
                    </a:prstGeom>
                    <a:noFill/>
                    <a:ln>
                      <a:noFill/>
                    </a:ln>
                  </pic:spPr>
                </pic:pic>
              </a:graphicData>
            </a:graphic>
          </wp:inline>
        </w:drawing>
      </w:r>
      <w:r>
        <w:rPr>
          <w:rFonts w:hint="default" w:ascii="Times New Roman" w:hAnsi="Times New Roman" w:cs="Times New Roman"/>
          <w:bCs/>
          <w:color w:val="000000"/>
          <w:sz w:val="24"/>
          <w:highlight w:val="none"/>
        </w:rPr>
        <w:t>—水域纳污能力，g/s；</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  </w:t>
      </w:r>
      <w:r>
        <w:rPr>
          <w:rFonts w:hint="default" w:ascii="Times New Roman" w:hAnsi="Times New Roman" w:cs="Times New Roman"/>
          <w:bCs/>
          <w:color w:val="000000"/>
          <w:sz w:val="24"/>
          <w:highlight w:val="none"/>
        </w:rPr>
        <w:drawing>
          <wp:inline distT="0" distB="0" distL="114300" distR="114300">
            <wp:extent cx="209550" cy="224790"/>
            <wp:effectExtent l="0" t="0" r="3810" b="3175"/>
            <wp:docPr id="16" name="图片 12" descr="C:\Users\ADMINI~1\AppData\Local\Temp\ksohtml6060\wps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2" descr="C:\Users\ADMINI~1\AppData\Local\Temp\ksohtml6060\wps3.png"/>
                    <pic:cNvPicPr>
                      <a:picLocks noChangeAspect="1"/>
                    </pic:cNvPicPr>
                  </pic:nvPicPr>
                  <pic:blipFill>
                    <a:blip r:embed="rId13"/>
                    <a:stretch>
                      <a:fillRect/>
                    </a:stretch>
                  </pic:blipFill>
                  <pic:spPr>
                    <a:xfrm>
                      <a:off x="0" y="0"/>
                      <a:ext cx="209550" cy="224790"/>
                    </a:xfrm>
                    <a:prstGeom prst="rect">
                      <a:avLst/>
                    </a:prstGeom>
                    <a:noFill/>
                    <a:ln>
                      <a:noFill/>
                    </a:ln>
                  </pic:spPr>
                </pic:pic>
              </a:graphicData>
            </a:graphic>
          </wp:inline>
        </w:drawing>
      </w:r>
      <w:r>
        <w:rPr>
          <w:rFonts w:hint="default" w:ascii="Times New Roman" w:hAnsi="Times New Roman" w:cs="Times New Roman"/>
          <w:bCs/>
          <w:color w:val="000000"/>
          <w:sz w:val="24"/>
          <w:highlight w:val="none"/>
        </w:rPr>
        <w:t>—水质目标浓度值，mg/L；</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  </w:t>
      </w:r>
      <w:r>
        <w:rPr>
          <w:rFonts w:hint="default" w:ascii="Times New Roman" w:hAnsi="Times New Roman" w:cs="Times New Roman"/>
          <w:bCs/>
          <w:color w:val="000000"/>
          <w:sz w:val="24"/>
          <w:highlight w:val="none"/>
        </w:rPr>
        <w:drawing>
          <wp:inline distT="0" distB="0" distL="114300" distR="114300">
            <wp:extent cx="209550" cy="224790"/>
            <wp:effectExtent l="0" t="0" r="0" b="3175"/>
            <wp:docPr id="15" name="图片 13" descr="C:\Users\ADMINI~1\AppData\Local\Temp\ksohtml6060\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3" descr="C:\Users\ADMINI~1\AppData\Local\Temp\ksohtml6060\wps4.png"/>
                    <pic:cNvPicPr>
                      <a:picLocks noChangeAspect="1"/>
                    </pic:cNvPicPr>
                  </pic:nvPicPr>
                  <pic:blipFill>
                    <a:blip r:embed="rId14"/>
                    <a:stretch>
                      <a:fillRect/>
                    </a:stretch>
                  </pic:blipFill>
                  <pic:spPr>
                    <a:xfrm>
                      <a:off x="0" y="0"/>
                      <a:ext cx="209550" cy="224790"/>
                    </a:xfrm>
                    <a:prstGeom prst="rect">
                      <a:avLst/>
                    </a:prstGeom>
                    <a:noFill/>
                    <a:ln>
                      <a:noFill/>
                    </a:ln>
                  </pic:spPr>
                </pic:pic>
              </a:graphicData>
            </a:graphic>
          </wp:inline>
        </w:drawing>
      </w:r>
      <w:r>
        <w:rPr>
          <w:rFonts w:hint="default" w:ascii="Times New Roman" w:hAnsi="Times New Roman" w:cs="Times New Roman"/>
          <w:bCs/>
          <w:color w:val="000000"/>
          <w:sz w:val="24"/>
          <w:highlight w:val="none"/>
        </w:rPr>
        <w:t>—初始断面的污染物浓度，mg/L；</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  </w:t>
      </w:r>
      <w:r>
        <w:rPr>
          <w:rFonts w:hint="default" w:ascii="Times New Roman" w:hAnsi="Times New Roman" w:cs="Times New Roman"/>
          <w:bCs/>
          <w:color w:val="000000"/>
          <w:sz w:val="24"/>
          <w:highlight w:val="none"/>
        </w:rPr>
        <w:drawing>
          <wp:inline distT="0" distB="0" distL="114300" distR="114300">
            <wp:extent cx="149860" cy="209550"/>
            <wp:effectExtent l="0" t="0" r="2540" b="0"/>
            <wp:docPr id="17" name="图片 14" descr="C:\Users\ADMINI~1\AppData\Local\Temp\ksohtml6060\wps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4" descr="C:\Users\ADMINI~1\AppData\Local\Temp\ksohtml6060\wps5.png"/>
                    <pic:cNvPicPr>
                      <a:picLocks noChangeAspect="1"/>
                    </pic:cNvPicPr>
                  </pic:nvPicPr>
                  <pic:blipFill>
                    <a:blip r:embed="rId15"/>
                    <a:stretch>
                      <a:fillRect/>
                    </a:stretch>
                  </pic:blipFill>
                  <pic:spPr>
                    <a:xfrm>
                      <a:off x="0" y="0"/>
                      <a:ext cx="149860" cy="209550"/>
                    </a:xfrm>
                    <a:prstGeom prst="rect">
                      <a:avLst/>
                    </a:prstGeom>
                    <a:noFill/>
                    <a:ln>
                      <a:noFill/>
                    </a:ln>
                  </pic:spPr>
                </pic:pic>
              </a:graphicData>
            </a:graphic>
          </wp:inline>
        </w:drawing>
      </w:r>
      <w:r>
        <w:rPr>
          <w:rFonts w:hint="default" w:ascii="Times New Roman" w:hAnsi="Times New Roman" w:cs="Times New Roman"/>
          <w:bCs/>
          <w:color w:val="000000"/>
          <w:sz w:val="24"/>
          <w:highlight w:val="none"/>
        </w:rPr>
        <w:t>—初始断面的入流流量，m</w:t>
      </w:r>
      <w:r>
        <w:rPr>
          <w:rFonts w:hint="default" w:ascii="Times New Roman" w:hAnsi="Times New Roman" w:cs="Times New Roman"/>
          <w:bCs/>
          <w:color w:val="000000"/>
          <w:sz w:val="24"/>
          <w:highlight w:val="none"/>
          <w:vertAlign w:val="superscript"/>
        </w:rPr>
        <w:t>3</w:t>
      </w:r>
      <w:r>
        <w:rPr>
          <w:rFonts w:hint="default" w:ascii="Times New Roman" w:hAnsi="Times New Roman" w:cs="Times New Roman"/>
          <w:bCs/>
          <w:color w:val="000000"/>
          <w:sz w:val="24"/>
          <w:highlight w:val="none"/>
        </w:rPr>
        <w:t>/s；</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  </w:t>
      </w:r>
      <w:r>
        <w:rPr>
          <w:rFonts w:hint="default" w:ascii="Times New Roman" w:hAnsi="Times New Roman" w:cs="Times New Roman"/>
          <w:bCs/>
          <w:color w:val="000000"/>
          <w:sz w:val="24"/>
          <w:highlight w:val="none"/>
        </w:rPr>
        <w:drawing>
          <wp:inline distT="0" distB="0" distL="114300" distR="114300">
            <wp:extent cx="217170" cy="217170"/>
            <wp:effectExtent l="0" t="0" r="11430" b="12065"/>
            <wp:docPr id="12" name="图片 15" descr="C:\Users\ADMINI~1\AppData\Local\Temp\ksohtml6060\wp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5" descr="C:\Users\ADMINI~1\AppData\Local\Temp\ksohtml6060\wps6.png"/>
                    <pic:cNvPicPr>
                      <a:picLocks noChangeAspect="1"/>
                    </pic:cNvPicPr>
                  </pic:nvPicPr>
                  <pic:blipFill>
                    <a:blip r:embed="rId16"/>
                    <a:stretch>
                      <a:fillRect/>
                    </a:stretch>
                  </pic:blipFill>
                  <pic:spPr>
                    <a:xfrm>
                      <a:off x="0" y="0"/>
                      <a:ext cx="217170" cy="217170"/>
                    </a:xfrm>
                    <a:prstGeom prst="rect">
                      <a:avLst/>
                    </a:prstGeom>
                    <a:noFill/>
                    <a:ln>
                      <a:noFill/>
                    </a:ln>
                  </pic:spPr>
                </pic:pic>
              </a:graphicData>
            </a:graphic>
          </wp:inline>
        </w:drawing>
      </w:r>
      <w:r>
        <w:rPr>
          <w:rFonts w:hint="default" w:ascii="Times New Roman" w:hAnsi="Times New Roman" w:cs="Times New Roman"/>
          <w:bCs/>
          <w:color w:val="000000"/>
          <w:sz w:val="24"/>
          <w:highlight w:val="none"/>
        </w:rPr>
        <w:t>—废污水排放流量，m</w:t>
      </w:r>
      <w:r>
        <w:rPr>
          <w:rFonts w:hint="default" w:ascii="Times New Roman" w:hAnsi="Times New Roman" w:cs="Times New Roman"/>
          <w:bCs/>
          <w:color w:val="000000"/>
          <w:sz w:val="24"/>
          <w:highlight w:val="none"/>
          <w:vertAlign w:val="superscript"/>
        </w:rPr>
        <w:t>3</w:t>
      </w:r>
      <w:r>
        <w:rPr>
          <w:rFonts w:hint="default" w:ascii="Times New Roman" w:hAnsi="Times New Roman" w:cs="Times New Roman"/>
          <w:bCs/>
          <w:color w:val="000000"/>
          <w:sz w:val="24"/>
          <w:highlight w:val="none"/>
        </w:rPr>
        <w:t>/s 。</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水质控制指标采用能反映水体污染特征的COD、氨氮及TP作为必控指标。初始断面污染物浓度以W</w:t>
      </w:r>
      <w:r>
        <w:rPr>
          <w:rFonts w:hint="default" w:ascii="Times New Roman" w:hAnsi="Times New Roman" w:cs="Times New Roman"/>
          <w:bCs/>
          <w:color w:val="000000"/>
          <w:sz w:val="24"/>
          <w:highlight w:val="none"/>
          <w:vertAlign w:val="subscript"/>
        </w:rPr>
        <w:t>1</w:t>
      </w:r>
      <w:r>
        <w:rPr>
          <w:rFonts w:hint="default" w:ascii="Times New Roman" w:hAnsi="Times New Roman" w:cs="Times New Roman"/>
          <w:bCs/>
          <w:color w:val="000000"/>
          <w:sz w:val="24"/>
          <w:highlight w:val="none"/>
        </w:rPr>
        <w:t>断面实测现状值确定，水质目标浓度为《地表水环境质量标准》（GB3838-2002）Ⅱ类水质标准。</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（2）水文数据</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其详细水文数据如下所示：</w:t>
      </w:r>
    </w:p>
    <w:p>
      <w:pPr>
        <w:spacing w:line="360" w:lineRule="auto"/>
        <w:ind w:firstLine="482" w:firstLineChars="200"/>
        <w:jc w:val="center"/>
        <w:rPr>
          <w:rFonts w:hint="default" w:ascii="Times New Roman" w:hAnsi="Times New Roman" w:cs="Times New Roman"/>
          <w:b/>
          <w:bCs/>
          <w:color w:val="000000"/>
          <w:sz w:val="24"/>
          <w:szCs w:val="24"/>
          <w:highlight w:val="none"/>
          <w:u w:val="single"/>
        </w:rPr>
        <w:sectPr>
          <w:pgSz w:w="11906" w:h="16838"/>
          <w:pgMar w:top="1644" w:right="1800" w:bottom="1814" w:left="1800" w:header="851" w:footer="992" w:gutter="0"/>
          <w:cols w:space="720" w:num="1"/>
          <w:docGrid w:type="lines" w:linePitch="312" w:charSpace="0"/>
        </w:sectPr>
      </w:pPr>
    </w:p>
    <w:p>
      <w:pPr>
        <w:spacing w:line="360" w:lineRule="auto"/>
        <w:ind w:firstLine="482" w:firstLineChars="200"/>
        <w:jc w:val="center"/>
        <w:rPr>
          <w:rFonts w:hint="default" w:ascii="Times New Roman" w:hAnsi="Times New Roman" w:cs="Times New Roman"/>
          <w:b/>
          <w:bCs/>
          <w:color w:val="000000"/>
          <w:sz w:val="24"/>
          <w:szCs w:val="24"/>
          <w:highlight w:val="none"/>
          <w:u w:val="single"/>
        </w:rPr>
      </w:pPr>
      <w:r>
        <w:rPr>
          <w:rFonts w:hint="default" w:ascii="Times New Roman" w:hAnsi="Times New Roman" w:cs="Times New Roman"/>
          <w:b/>
          <w:bCs/>
          <w:color w:val="000000"/>
          <w:sz w:val="24"/>
          <w:szCs w:val="24"/>
          <w:highlight w:val="none"/>
          <w:u w:val="single"/>
        </w:rPr>
        <w:t>表5-2  排污口断面洢水水文数据</w:t>
      </w:r>
    </w:p>
    <w:tbl>
      <w:tblPr>
        <w:tblStyle w:val="23"/>
        <w:tblW w:w="4998"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926"/>
        <w:gridCol w:w="1957"/>
        <w:gridCol w:w="1802"/>
        <w:gridCol w:w="1802"/>
        <w:gridCol w:w="2032"/>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44" w:type="pct"/>
            <w:vMerge w:val="restart"/>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时期</w:t>
            </w:r>
          </w:p>
        </w:tc>
        <w:tc>
          <w:tcPr>
            <w:tcW w:w="1148" w:type="pct"/>
            <w:vMerge w:val="restart"/>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平均流速</w:t>
            </w:r>
            <w:r>
              <w:rPr>
                <w:rFonts w:hint="default" w:ascii="Times New Roman" w:hAnsi="Times New Roman" w:cs="Times New Roman"/>
                <w:color w:val="000000"/>
                <w:highlight w:val="none"/>
                <w:u w:val="single"/>
              </w:rPr>
              <w:t>（m/s）</w:t>
            </w:r>
          </w:p>
        </w:tc>
        <w:tc>
          <w:tcPr>
            <w:tcW w:w="1057" w:type="pct"/>
            <w:vMerge w:val="restart"/>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平均水深</w:t>
            </w:r>
            <w:r>
              <w:rPr>
                <w:rFonts w:hint="default" w:ascii="Times New Roman" w:hAnsi="Times New Roman" w:cs="Times New Roman"/>
                <w:color w:val="000000"/>
                <w:highlight w:val="none"/>
                <w:u w:val="single"/>
              </w:rPr>
              <w:t>（m）</w:t>
            </w:r>
          </w:p>
        </w:tc>
        <w:tc>
          <w:tcPr>
            <w:tcW w:w="1057" w:type="pct"/>
            <w:vMerge w:val="restart"/>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平均河宽</w:t>
            </w:r>
            <w:r>
              <w:rPr>
                <w:rFonts w:hint="default" w:ascii="Times New Roman" w:hAnsi="Times New Roman" w:cs="Times New Roman"/>
                <w:color w:val="000000"/>
                <w:highlight w:val="none"/>
                <w:u w:val="single"/>
              </w:rPr>
              <w:t>（m）</w:t>
            </w:r>
          </w:p>
        </w:tc>
        <w:tc>
          <w:tcPr>
            <w:tcW w:w="1192" w:type="pct"/>
            <w:vMerge w:val="restart"/>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平均流量</w:t>
            </w:r>
            <w:r>
              <w:rPr>
                <w:rFonts w:hint="default" w:ascii="Times New Roman" w:hAnsi="Times New Roman" w:cs="Times New Roman"/>
                <w:color w:val="000000"/>
                <w:highlight w:val="none"/>
                <w:u w:val="single"/>
              </w:rPr>
              <w:t>（m</w:t>
            </w:r>
            <w:r>
              <w:rPr>
                <w:rFonts w:hint="default" w:ascii="Times New Roman" w:hAnsi="Times New Roman" w:cs="Times New Roman"/>
                <w:color w:val="000000"/>
                <w:highlight w:val="none"/>
                <w:u w:val="single"/>
                <w:vertAlign w:val="superscript"/>
              </w:rPr>
              <w:t>3</w:t>
            </w:r>
            <w:r>
              <w:rPr>
                <w:rFonts w:hint="default" w:ascii="Times New Roman" w:hAnsi="Times New Roman" w:cs="Times New Roman"/>
                <w:color w:val="000000"/>
                <w:highlight w:val="none"/>
                <w:u w:val="single"/>
              </w:rPr>
              <w:t>/s）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44" w:type="pct"/>
            <w:vMerge w:val="continue"/>
            <w:tcBorders>
              <w:top w:val="single" w:color="auto" w:sz="8" w:space="0"/>
              <w:left w:val="single" w:color="auto" w:sz="8" w:space="0"/>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c>
          <w:tcPr>
            <w:tcW w:w="1148" w:type="pct"/>
            <w:vMerge w:val="continue"/>
            <w:tcBorders>
              <w:top w:val="single" w:color="auto" w:sz="8" w:space="0"/>
              <w:left w:val="nil"/>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c>
          <w:tcPr>
            <w:tcW w:w="1057" w:type="pct"/>
            <w:vMerge w:val="continue"/>
            <w:tcBorders>
              <w:top w:val="single" w:color="auto" w:sz="8" w:space="0"/>
              <w:left w:val="nil"/>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c>
          <w:tcPr>
            <w:tcW w:w="1057" w:type="pct"/>
            <w:vMerge w:val="continue"/>
            <w:tcBorders>
              <w:top w:val="single" w:color="auto" w:sz="8" w:space="0"/>
              <w:left w:val="nil"/>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c>
          <w:tcPr>
            <w:tcW w:w="1192" w:type="pct"/>
            <w:vMerge w:val="continue"/>
            <w:tcBorders>
              <w:top w:val="single" w:color="auto" w:sz="8" w:space="0"/>
              <w:left w:val="nil"/>
              <w:bottom w:val="single" w:color="auto" w:sz="8" w:space="0"/>
              <w:right w:val="single" w:color="auto" w:sz="8" w:space="0"/>
            </w:tcBorders>
            <w:vAlign w:val="center"/>
          </w:tcPr>
          <w:p>
            <w:pPr>
              <w:widowControl/>
              <w:adjustRightInd w:val="0"/>
              <w:snapToGrid w:val="0"/>
              <w:jc w:val="left"/>
              <w:rPr>
                <w:rFonts w:hint="default" w:ascii="Times New Roman" w:hAnsi="Times New Roman" w:cs="Times New Roman"/>
                <w:color w:val="000000"/>
                <w:highlight w:val="none"/>
                <w:u w:val="singl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26"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枯水期</w:t>
            </w:r>
          </w:p>
        </w:tc>
        <w:tc>
          <w:tcPr>
            <w:tcW w:w="1957"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0.2</w:t>
            </w:r>
          </w:p>
        </w:tc>
        <w:tc>
          <w:tcPr>
            <w:tcW w:w="180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0.4</w:t>
            </w:r>
          </w:p>
        </w:tc>
        <w:tc>
          <w:tcPr>
            <w:tcW w:w="180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10</w:t>
            </w:r>
          </w:p>
        </w:tc>
        <w:tc>
          <w:tcPr>
            <w:tcW w:w="203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0.8</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26" w:type="dxa"/>
            <w:tcBorders>
              <w:top w:val="single" w:color="auto" w:sz="8" w:space="0"/>
              <w:left w:val="single" w:color="auto" w:sz="8" w:space="0"/>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平水期</w:t>
            </w:r>
          </w:p>
        </w:tc>
        <w:tc>
          <w:tcPr>
            <w:tcW w:w="1957"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0.4</w:t>
            </w:r>
          </w:p>
        </w:tc>
        <w:tc>
          <w:tcPr>
            <w:tcW w:w="180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0.6</w:t>
            </w:r>
          </w:p>
        </w:tc>
        <w:tc>
          <w:tcPr>
            <w:tcW w:w="180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15</w:t>
            </w:r>
          </w:p>
        </w:tc>
        <w:tc>
          <w:tcPr>
            <w:tcW w:w="2032" w:type="dxa"/>
            <w:tcBorders>
              <w:top w:val="single" w:color="auto" w:sz="8" w:space="0"/>
              <w:left w:val="nil"/>
              <w:bottom w:val="single" w:color="auto" w:sz="8" w:space="0"/>
              <w:right w:val="single" w:color="auto" w:sz="8" w:space="0"/>
            </w:tcBorders>
            <w:vAlign w:val="center"/>
          </w:tcPr>
          <w:p>
            <w:pPr>
              <w:adjustRightInd w:val="0"/>
              <w:snapToGrid w:val="0"/>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3.6</w:t>
            </w:r>
          </w:p>
        </w:tc>
      </w:tr>
    </w:tbl>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（3）计算结果</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洢水纳污能力计算结果见下表。</w:t>
      </w:r>
    </w:p>
    <w:p>
      <w:pPr>
        <w:spacing w:line="360" w:lineRule="auto"/>
        <w:ind w:firstLine="482" w:firstLineChars="200"/>
        <w:jc w:val="center"/>
        <w:rPr>
          <w:rFonts w:hint="default" w:ascii="Times New Roman" w:hAnsi="Times New Roman" w:cs="Times New Roman"/>
          <w:b/>
          <w:bCs/>
          <w:color w:val="7030A0"/>
          <w:sz w:val="24"/>
          <w:szCs w:val="24"/>
          <w:highlight w:val="none"/>
          <w:u w:val="single"/>
        </w:rPr>
      </w:pPr>
      <w:r>
        <w:rPr>
          <w:rFonts w:hint="default" w:ascii="Times New Roman" w:hAnsi="Times New Roman" w:cs="Times New Roman"/>
          <w:b/>
          <w:bCs/>
          <w:color w:val="7030A0"/>
          <w:sz w:val="24"/>
          <w:szCs w:val="24"/>
          <w:highlight w:val="none"/>
          <w:u w:val="single"/>
        </w:rPr>
        <w:t>表5-3  枯水期洢水纳污能力计算一览表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1202"/>
        <w:gridCol w:w="1681"/>
        <w:gridCol w:w="1461"/>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项目</w:t>
            </w:r>
          </w:p>
        </w:tc>
        <w:tc>
          <w:tcPr>
            <w:tcW w:w="705"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单位</w:t>
            </w:r>
          </w:p>
        </w:tc>
        <w:tc>
          <w:tcPr>
            <w:tcW w:w="986"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COD</w:t>
            </w:r>
          </w:p>
        </w:tc>
        <w:tc>
          <w:tcPr>
            <w:tcW w:w="857"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氨氮</w:t>
            </w:r>
          </w:p>
        </w:tc>
        <w:tc>
          <w:tcPr>
            <w:tcW w:w="829"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初始断面的污染物浓度C</w:t>
            </w:r>
            <w:r>
              <w:rPr>
                <w:rFonts w:hint="default" w:ascii="Times New Roman" w:hAnsi="Times New Roman" w:cs="Times New Roman"/>
                <w:color w:val="000000"/>
                <w:kern w:val="0"/>
                <w:highlight w:val="none"/>
                <w:u w:val="single"/>
                <w:vertAlign w:val="subscript"/>
              </w:rPr>
              <w:t>0</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7.3</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0.121</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水质目标浓度Cs</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15</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0.5</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初始断面的入流流量Q</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w:t>
            </w:r>
            <w:r>
              <w:rPr>
                <w:rFonts w:hint="default" w:ascii="Times New Roman" w:hAnsi="Times New Roman" w:cs="Times New Roman"/>
                <w:color w:val="000000"/>
                <w:kern w:val="0"/>
                <w:highlight w:val="none"/>
                <w:u w:val="single"/>
                <w:vertAlign w:val="superscript"/>
              </w:rPr>
              <w:t>3</w:t>
            </w:r>
            <w:r>
              <w:rPr>
                <w:rFonts w:hint="default" w:ascii="Times New Roman" w:hAnsi="Times New Roman" w:cs="Times New Roman"/>
                <w:color w:val="000000"/>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本项目排放流量Qp</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w:t>
            </w:r>
            <w:r>
              <w:rPr>
                <w:rFonts w:hint="default" w:ascii="Times New Roman" w:hAnsi="Times New Roman" w:cs="Times New Roman"/>
                <w:color w:val="000000"/>
                <w:kern w:val="0"/>
                <w:highlight w:val="none"/>
                <w:u w:val="single"/>
                <w:vertAlign w:val="superscript"/>
              </w:rPr>
              <w:t>3</w:t>
            </w:r>
            <w:r>
              <w:rPr>
                <w:rFonts w:hint="default" w:ascii="Times New Roman" w:hAnsi="Times New Roman" w:cs="Times New Roman"/>
                <w:color w:val="000000"/>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0.00174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restar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水域纳污能力M</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g/s</w:t>
            </w:r>
          </w:p>
        </w:tc>
        <w:tc>
          <w:tcPr>
            <w:tcW w:w="1681"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6.173</w:t>
            </w:r>
          </w:p>
        </w:tc>
        <w:tc>
          <w:tcPr>
            <w:tcW w:w="1462"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0.304</w:t>
            </w:r>
          </w:p>
        </w:tc>
        <w:tc>
          <w:tcPr>
            <w:tcW w:w="1413"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continue"/>
            <w:vAlign w:val="center"/>
          </w:tcPr>
          <w:p>
            <w:pPr>
              <w:widowControl/>
              <w:spacing w:line="320" w:lineRule="exact"/>
              <w:jc w:val="left"/>
              <w:rPr>
                <w:rFonts w:hint="default" w:ascii="Times New Roman" w:hAnsi="Times New Roman" w:cs="Times New Roman"/>
                <w:color w:val="000000"/>
                <w:kern w:val="0"/>
                <w:highlight w:val="none"/>
                <w:u w:val="single"/>
              </w:rPr>
            </w:pP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t/a</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194.684</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9.587</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1.955</w:t>
            </w:r>
          </w:p>
        </w:tc>
      </w:tr>
    </w:tbl>
    <w:p>
      <w:pPr>
        <w:spacing w:line="360" w:lineRule="auto"/>
        <w:ind w:firstLine="482" w:firstLineChars="200"/>
        <w:jc w:val="center"/>
        <w:rPr>
          <w:rFonts w:hint="default" w:ascii="Times New Roman" w:hAnsi="Times New Roman" w:cs="Times New Roman"/>
          <w:b/>
          <w:bCs/>
          <w:color w:val="7030A0"/>
          <w:sz w:val="24"/>
          <w:szCs w:val="24"/>
          <w:highlight w:val="none"/>
          <w:u w:val="single"/>
        </w:rPr>
      </w:pPr>
      <w:r>
        <w:rPr>
          <w:rFonts w:hint="default" w:ascii="Times New Roman" w:hAnsi="Times New Roman" w:cs="Times New Roman"/>
          <w:b/>
          <w:bCs/>
          <w:color w:val="7030A0"/>
          <w:sz w:val="24"/>
          <w:szCs w:val="24"/>
          <w:highlight w:val="none"/>
          <w:u w:val="single"/>
        </w:rPr>
        <w:t>表5-4  平水期洢水纳污能力计算一览表</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63"/>
        <w:gridCol w:w="1202"/>
        <w:gridCol w:w="1681"/>
        <w:gridCol w:w="1461"/>
        <w:gridCol w:w="141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项目</w:t>
            </w:r>
          </w:p>
        </w:tc>
        <w:tc>
          <w:tcPr>
            <w:tcW w:w="705"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单位</w:t>
            </w:r>
          </w:p>
        </w:tc>
        <w:tc>
          <w:tcPr>
            <w:tcW w:w="986"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COD</w:t>
            </w:r>
          </w:p>
        </w:tc>
        <w:tc>
          <w:tcPr>
            <w:tcW w:w="857"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氨氮</w:t>
            </w:r>
          </w:p>
        </w:tc>
        <w:tc>
          <w:tcPr>
            <w:tcW w:w="829" w:type="pct"/>
            <w:vAlign w:val="center"/>
          </w:tcPr>
          <w:p>
            <w:pPr>
              <w:widowControl/>
              <w:spacing w:line="320" w:lineRule="exact"/>
              <w:jc w:val="center"/>
              <w:rPr>
                <w:rFonts w:hint="default" w:ascii="Times New Roman" w:hAnsi="Times New Roman" w:cs="Times New Roman"/>
                <w:b/>
                <w:bCs/>
                <w:color w:val="000000"/>
                <w:kern w:val="0"/>
                <w:highlight w:val="none"/>
                <w:u w:val="single"/>
              </w:rPr>
            </w:pPr>
            <w:r>
              <w:rPr>
                <w:rFonts w:hint="default" w:ascii="Times New Roman" w:hAnsi="Times New Roman" w:cs="Times New Roman"/>
                <w:b/>
                <w:bCs/>
                <w:color w:val="000000"/>
                <w:kern w:val="0"/>
                <w:highlight w:val="none"/>
                <w:u w:val="single"/>
              </w:rPr>
              <w:t>TP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初始断面的污染物浓度C</w:t>
            </w:r>
            <w:r>
              <w:rPr>
                <w:rFonts w:hint="default" w:ascii="Times New Roman" w:hAnsi="Times New Roman" w:cs="Times New Roman"/>
                <w:color w:val="000000"/>
                <w:kern w:val="0"/>
                <w:highlight w:val="none"/>
                <w:u w:val="single"/>
                <w:vertAlign w:val="subscript"/>
              </w:rPr>
              <w:t>0</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mg/L</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7.3</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0.121</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水质目标浓度Cs</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mg/L</w:t>
            </w:r>
          </w:p>
        </w:tc>
        <w:tc>
          <w:tcPr>
            <w:tcW w:w="1681" w:type="dxa"/>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15</w:t>
            </w:r>
          </w:p>
        </w:tc>
        <w:tc>
          <w:tcPr>
            <w:tcW w:w="1462" w:type="dxa"/>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0.5</w:t>
            </w:r>
          </w:p>
        </w:tc>
        <w:tc>
          <w:tcPr>
            <w:tcW w:w="1413" w:type="dxa"/>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初始断面的入流流量Q</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w:t>
            </w:r>
            <w:r>
              <w:rPr>
                <w:rFonts w:hint="default" w:ascii="Times New Roman" w:hAnsi="Times New Roman" w:cs="Times New Roman"/>
                <w:color w:val="000000"/>
                <w:kern w:val="0"/>
                <w:highlight w:val="none"/>
                <w:u w:val="single"/>
                <w:vertAlign w:val="superscript"/>
              </w:rPr>
              <w:t>3</w:t>
            </w:r>
            <w:r>
              <w:rPr>
                <w:rFonts w:hint="default" w:ascii="Times New Roman" w:hAnsi="Times New Roman" w:cs="Times New Roman"/>
                <w:color w:val="000000"/>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本项目排放流量Qp</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m</w:t>
            </w:r>
            <w:r>
              <w:rPr>
                <w:rFonts w:hint="default" w:ascii="Times New Roman" w:hAnsi="Times New Roman" w:cs="Times New Roman"/>
                <w:color w:val="000000"/>
                <w:kern w:val="0"/>
                <w:highlight w:val="none"/>
                <w:u w:val="single"/>
                <w:vertAlign w:val="superscript"/>
              </w:rPr>
              <w:t>3</w:t>
            </w:r>
            <w:r>
              <w:rPr>
                <w:rFonts w:hint="default" w:ascii="Times New Roman" w:hAnsi="Times New Roman" w:cs="Times New Roman"/>
                <w:color w:val="000000"/>
                <w:kern w:val="0"/>
                <w:highlight w:val="none"/>
                <w:u w:val="single"/>
              </w:rPr>
              <w:t>/s</w:t>
            </w:r>
          </w:p>
        </w:tc>
        <w:tc>
          <w:tcPr>
            <w:tcW w:w="2673" w:type="pct"/>
            <w:gridSpan w:val="3"/>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0.00174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restar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水域纳污能力M</w:t>
            </w: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g/s</w:t>
            </w:r>
          </w:p>
        </w:tc>
        <w:tc>
          <w:tcPr>
            <w:tcW w:w="1681"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27.733</w:t>
            </w:r>
          </w:p>
        </w:tc>
        <w:tc>
          <w:tcPr>
            <w:tcW w:w="1462"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1.365</w:t>
            </w:r>
          </w:p>
        </w:tc>
        <w:tc>
          <w:tcPr>
            <w:tcW w:w="1413" w:type="dxa"/>
            <w:vAlign w:val="center"/>
          </w:tcPr>
          <w:p>
            <w:pPr>
              <w:widowControl/>
              <w:jc w:val="center"/>
              <w:textAlignment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0.277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621" w:type="pct"/>
            <w:vMerge w:val="continue"/>
            <w:vAlign w:val="center"/>
          </w:tcPr>
          <w:p>
            <w:pPr>
              <w:widowControl/>
              <w:spacing w:line="320" w:lineRule="exact"/>
              <w:jc w:val="left"/>
              <w:rPr>
                <w:rFonts w:hint="default" w:ascii="Times New Roman" w:hAnsi="Times New Roman" w:cs="Times New Roman"/>
                <w:color w:val="000000"/>
                <w:kern w:val="0"/>
                <w:highlight w:val="none"/>
                <w:u w:val="single"/>
              </w:rPr>
            </w:pPr>
          </w:p>
        </w:tc>
        <w:tc>
          <w:tcPr>
            <w:tcW w:w="705" w:type="pct"/>
            <w:vAlign w:val="center"/>
          </w:tcPr>
          <w:p>
            <w:pPr>
              <w:widowControl/>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t/a</w:t>
            </w:r>
          </w:p>
        </w:tc>
        <w:tc>
          <w:tcPr>
            <w:tcW w:w="986"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874.588</w:t>
            </w:r>
          </w:p>
        </w:tc>
        <w:tc>
          <w:tcPr>
            <w:tcW w:w="857"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43.047</w:t>
            </w:r>
          </w:p>
        </w:tc>
        <w:tc>
          <w:tcPr>
            <w:tcW w:w="829" w:type="pct"/>
            <w:vAlign w:val="center"/>
          </w:tcPr>
          <w:p>
            <w:pPr>
              <w:spacing w:line="320" w:lineRule="exact"/>
              <w:jc w:val="center"/>
              <w:rPr>
                <w:rFonts w:hint="default" w:ascii="Times New Roman" w:hAnsi="Times New Roman" w:cs="Times New Roman"/>
                <w:color w:val="000000"/>
                <w:kern w:val="0"/>
                <w:highlight w:val="none"/>
                <w:u w:val="single"/>
              </w:rPr>
            </w:pPr>
            <w:r>
              <w:rPr>
                <w:rFonts w:hint="default" w:ascii="Times New Roman" w:hAnsi="Times New Roman" w:cs="Times New Roman"/>
                <w:color w:val="000000"/>
                <w:kern w:val="0"/>
                <w:highlight w:val="none"/>
                <w:u w:val="single"/>
              </w:rPr>
              <w:t>8.735</w:t>
            </w:r>
          </w:p>
        </w:tc>
      </w:tr>
    </w:tbl>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表中所计算的数据为90%频率枯水期来水情况下，以设计规模流量排放污水的纳污能力。由上表可知，该污水处理厂CODcr、TP以及NH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-N三项指标均未超过纳污能力，本项目的建设已经削减排污量，洢水水质在污水处理厂的后续运行将得到进一步改善。</w:t>
      </w:r>
    </w:p>
    <w:p>
      <w:pPr>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77" w:name="_Toc29291"/>
      <w:r>
        <w:rPr>
          <w:rFonts w:hint="default" w:ascii="Times New Roman" w:hAnsi="Times New Roman" w:cs="Times New Roman"/>
          <w:b/>
          <w:color w:val="000000"/>
          <w:sz w:val="24"/>
          <w:highlight w:val="none"/>
          <w:u w:val="single"/>
        </w:rPr>
        <w:t>5.2.2.区域水功能区（水域）纳污情况</w:t>
      </w:r>
      <w:bookmarkEnd w:id="77"/>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根据水域水质现状调查情况，本项目入河排污口上、下游共设置3个监测断面，下游监测断面其监测值可反映洢水的环境质量现状。由监测数据可知，下游监测断面能达到水质管理目标，洢水现状环境质量良好，现状污染物排放量未超过该水域纳污能力。</w:t>
      </w:r>
    </w:p>
    <w:p>
      <w:pPr>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78" w:name="_Toc15366"/>
      <w:r>
        <w:rPr>
          <w:rFonts w:hint="default" w:ascii="Times New Roman" w:hAnsi="Times New Roman" w:cs="Times New Roman"/>
          <w:b/>
          <w:color w:val="000000"/>
          <w:sz w:val="24"/>
          <w:highlight w:val="none"/>
          <w:u w:val="single"/>
        </w:rPr>
        <w:t>5.2.3.入河排污口的设置可行性分析</w:t>
      </w:r>
      <w:bookmarkEnd w:id="78"/>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根据《关于进一步做好全省水资源管理“三条红线”控制指标分解确定工作的通知》（湘水资源〔2016〕5号）精神，对照湖南省2020年水资源管理“三条红线”控制指标，本排污口相关符合性分析如下：</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(1)符合国家产业政策及国家水污染防治规划。</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(2)符合地方国家经济与城镇发展规划。</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(3)符合水资源管理和环保要求。</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(4)符合水功能区管理要求。</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(5)入河排污量远小于纳污能力。</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(6)纳污河段只有此项目排污口，影响能力有限。</w:t>
      </w:r>
    </w:p>
    <w:p>
      <w:pPr>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综上所述，安化县乐安镇乐高污水处理厂排污口满足产业政策以及水污染防治规范，满足城镇发展规划，符合水资源管理要求以及水功能区管理要求，符合生态敏感区的要求，因此排污口设计是可行的。</w:t>
      </w:r>
    </w:p>
    <w:p>
      <w:pPr>
        <w:spacing w:line="360" w:lineRule="auto"/>
        <w:ind w:firstLine="480" w:firstLineChars="200"/>
        <w:jc w:val="left"/>
        <w:rPr>
          <w:rFonts w:hint="default" w:ascii="Times New Roman" w:hAnsi="Times New Roman" w:cs="Times New Roman"/>
          <w:bCs/>
          <w:color w:val="000000"/>
          <w:sz w:val="24"/>
          <w:highlight w:val="none"/>
          <w:u w:val="single"/>
        </w:rPr>
      </w:pPr>
    </w:p>
    <w:p>
      <w:pPr>
        <w:pStyle w:val="9"/>
        <w:rPr>
          <w:rFonts w:hint="default" w:ascii="Times New Roman" w:hAnsi="Times New Roman" w:cs="Times New Roman"/>
          <w:highlight w:val="none"/>
          <w:u w:val="single"/>
        </w:rPr>
        <w:sectPr>
          <w:pgSz w:w="11906" w:h="16838"/>
          <w:pgMar w:top="1644" w:right="1800" w:bottom="1814" w:left="1800" w:header="851" w:footer="992" w:gutter="0"/>
          <w:cols w:space="720" w:num="1"/>
          <w:docGrid w:type="lines" w:linePitch="312" w:charSpace="0"/>
        </w:sectPr>
      </w:pPr>
      <w:bookmarkStart w:id="268" w:name="_GoBack"/>
      <w:bookmarkEnd w:id="268"/>
    </w:p>
    <w:p>
      <w:pPr>
        <w:pStyle w:val="9"/>
        <w:jc w:val="center"/>
        <w:outlineLvl w:val="0"/>
        <w:rPr>
          <w:rFonts w:hint="default" w:ascii="Times New Roman" w:hAnsi="Times New Roman" w:cs="Times New Roman"/>
          <w:b/>
          <w:bCs/>
          <w:kern w:val="0"/>
          <w:sz w:val="32"/>
          <w:szCs w:val="32"/>
          <w:highlight w:val="none"/>
        </w:rPr>
      </w:pPr>
      <w:bookmarkStart w:id="79" w:name="_Toc5924"/>
      <w:r>
        <w:rPr>
          <w:rFonts w:hint="default" w:ascii="Times New Roman" w:hAnsi="Times New Roman" w:cs="Times New Roman"/>
          <w:b/>
          <w:bCs/>
          <w:kern w:val="0"/>
          <w:sz w:val="32"/>
          <w:szCs w:val="32"/>
          <w:highlight w:val="none"/>
        </w:rPr>
        <w:t>6  入河排污口设置合理性分析</w:t>
      </w:r>
      <w:bookmarkEnd w:id="79"/>
    </w:p>
    <w:p>
      <w:pPr>
        <w:spacing w:line="360" w:lineRule="auto"/>
        <w:jc w:val="left"/>
        <w:outlineLvl w:val="1"/>
        <w:rPr>
          <w:rFonts w:hint="default" w:ascii="Times New Roman" w:hAnsi="Times New Roman" w:cs="Times New Roman"/>
          <w:b/>
          <w:color w:val="000000"/>
          <w:sz w:val="24"/>
          <w:highlight w:val="none"/>
          <w:u w:val="single"/>
        </w:rPr>
      </w:pPr>
      <w:bookmarkStart w:id="80" w:name="_Toc12332"/>
      <w:r>
        <w:rPr>
          <w:rFonts w:hint="default" w:ascii="Times New Roman" w:hAnsi="Times New Roman" w:cs="Times New Roman"/>
          <w:b/>
          <w:color w:val="000000"/>
          <w:sz w:val="24"/>
          <w:highlight w:val="none"/>
          <w:u w:val="single"/>
        </w:rPr>
        <w:t>6.1.入河排污口设置影响范围</w:t>
      </w:r>
      <w:bookmarkEnd w:id="80"/>
    </w:p>
    <w:p>
      <w:pPr>
        <w:wordWrap w:val="0"/>
        <w:adjustRightInd w:val="0"/>
        <w:snapToGrid w:val="0"/>
        <w:spacing w:line="460" w:lineRule="exact"/>
        <w:ind w:firstLine="480" w:firstLineChars="200"/>
        <w:jc w:val="left"/>
        <w:rPr>
          <w:rFonts w:hint="default" w:ascii="Times New Roman" w:hAnsi="Times New Roman" w:cs="Times New Roman"/>
          <w:bCs/>
          <w:color w:val="000000"/>
          <w:sz w:val="24"/>
          <w:szCs w:val="24"/>
          <w:highlight w:val="none"/>
          <w:u w:val="single"/>
        </w:rPr>
      </w:pPr>
      <w:r>
        <w:rPr>
          <w:rFonts w:hint="default" w:ascii="Times New Roman" w:hAnsi="Times New Roman" w:cs="Times New Roman"/>
          <w:bCs/>
          <w:color w:val="000000"/>
          <w:sz w:val="24"/>
          <w:szCs w:val="24"/>
          <w:highlight w:val="none"/>
          <w:u w:val="single"/>
        </w:rPr>
        <w:t>为分析安化县乐安镇乐高污水处理厂排污对洢水的影响，根据洢水工程断面河段的河道地形及水力特性，采用《水域能纳污能力计算规范》(GB/T25173-2010)规定的河流二维模型计算预测入河废污水的影响范围及对所在河段水功能区和水生态的影响。</w:t>
      </w:r>
    </w:p>
    <w:p>
      <w:pPr>
        <w:wordWrap w:val="0"/>
        <w:adjustRightInd w:val="0"/>
        <w:snapToGrid w:val="0"/>
        <w:spacing w:line="460" w:lineRule="exact"/>
        <w:ind w:firstLine="480" w:firstLineChars="200"/>
        <w:jc w:val="left"/>
        <w:rPr>
          <w:rFonts w:hint="default" w:ascii="Times New Roman" w:hAnsi="Times New Roman" w:cs="Times New Roman"/>
          <w:bCs/>
          <w:color w:val="000000"/>
          <w:sz w:val="24"/>
          <w:szCs w:val="24"/>
          <w:highlight w:val="none"/>
          <w:u w:val="single"/>
        </w:rPr>
      </w:pPr>
      <w:r>
        <w:rPr>
          <w:rFonts w:hint="default" w:ascii="Times New Roman" w:hAnsi="Times New Roman" w:cs="Times New Roman"/>
          <w:bCs/>
          <w:color w:val="000000"/>
          <w:sz w:val="24"/>
          <w:szCs w:val="24"/>
          <w:highlight w:val="none"/>
          <w:u w:val="single"/>
        </w:rPr>
        <w:t>为全面分析安化县乐安镇乐高污水处理厂退水对水功能区的影响，分以下两种情况分别论证：</w:t>
      </w:r>
    </w:p>
    <w:p>
      <w:pPr>
        <w:wordWrap w:val="0"/>
        <w:adjustRightInd w:val="0"/>
        <w:snapToGrid w:val="0"/>
        <w:spacing w:line="460" w:lineRule="exact"/>
        <w:ind w:firstLine="480" w:firstLineChars="200"/>
        <w:jc w:val="left"/>
        <w:rPr>
          <w:rFonts w:hint="default" w:ascii="Times New Roman" w:hAnsi="Times New Roman" w:cs="Times New Roman"/>
          <w:bCs/>
          <w:color w:val="000000"/>
          <w:sz w:val="24"/>
          <w:szCs w:val="24"/>
          <w:highlight w:val="none"/>
          <w:u w:val="single"/>
        </w:rPr>
      </w:pPr>
      <w:r>
        <w:rPr>
          <w:rFonts w:hint="default" w:ascii="Times New Roman" w:hAnsi="Times New Roman" w:cs="Times New Roman"/>
          <w:bCs/>
          <w:color w:val="000000"/>
          <w:sz w:val="24"/>
          <w:szCs w:val="24"/>
          <w:highlight w:val="none"/>
          <w:u w:val="single"/>
        </w:rPr>
        <w:t>（1）安化县乐安镇乐高污水处理厂正常运行情况下退水对洢水的影响;</w:t>
      </w:r>
    </w:p>
    <w:p>
      <w:pPr>
        <w:wordWrap w:val="0"/>
        <w:adjustRightInd w:val="0"/>
        <w:snapToGrid w:val="0"/>
        <w:spacing w:line="460" w:lineRule="exact"/>
        <w:ind w:firstLine="480" w:firstLineChars="200"/>
        <w:jc w:val="left"/>
        <w:rPr>
          <w:rFonts w:hint="default" w:ascii="Times New Roman" w:hAnsi="Times New Roman" w:cs="Times New Roman"/>
          <w:bCs/>
          <w:color w:val="000000"/>
          <w:sz w:val="24"/>
          <w:szCs w:val="24"/>
          <w:highlight w:val="none"/>
          <w:u w:val="single"/>
        </w:rPr>
      </w:pPr>
      <w:r>
        <w:rPr>
          <w:rFonts w:hint="default" w:ascii="Times New Roman" w:hAnsi="Times New Roman" w:cs="Times New Roman"/>
          <w:bCs/>
          <w:color w:val="000000"/>
          <w:sz w:val="24"/>
          <w:szCs w:val="24"/>
          <w:highlight w:val="none"/>
          <w:u w:val="single"/>
        </w:rPr>
        <w:t>（2）安化县乐安镇乐高污水处理厂事故排放情况下退水对洢水的影响。</w:t>
      </w:r>
    </w:p>
    <w:p>
      <w:pPr>
        <w:spacing w:line="360" w:lineRule="auto"/>
        <w:jc w:val="left"/>
        <w:outlineLvl w:val="1"/>
        <w:rPr>
          <w:rFonts w:hint="default" w:ascii="Times New Roman" w:hAnsi="Times New Roman" w:cs="Times New Roman"/>
          <w:bCs/>
          <w:color w:val="000000"/>
          <w:sz w:val="24"/>
          <w:highlight w:val="none"/>
          <w:u w:val="single"/>
        </w:rPr>
      </w:pPr>
      <w:bookmarkStart w:id="81" w:name="_Toc12122"/>
      <w:r>
        <w:rPr>
          <w:rFonts w:hint="default" w:ascii="Times New Roman" w:hAnsi="Times New Roman" w:cs="Times New Roman"/>
          <w:b/>
          <w:color w:val="000000"/>
          <w:sz w:val="24"/>
          <w:highlight w:val="none"/>
          <w:u w:val="single"/>
        </w:rPr>
        <w:t>6.</w:t>
      </w:r>
      <w:r>
        <w:rPr>
          <w:rFonts w:hint="default" w:ascii="Times New Roman" w:hAnsi="Times New Roman" w:cs="Times New Roman"/>
          <w:b/>
          <w:color w:val="000000"/>
          <w:sz w:val="24"/>
          <w:highlight w:val="none"/>
          <w:u w:val="single"/>
          <w:lang w:val="en-US" w:eastAsia="zh-CN"/>
        </w:rPr>
        <w:t>2</w:t>
      </w:r>
      <w:r>
        <w:rPr>
          <w:rFonts w:hint="default" w:ascii="Times New Roman" w:hAnsi="Times New Roman" w:cs="Times New Roman"/>
          <w:b/>
          <w:color w:val="000000"/>
          <w:sz w:val="24"/>
          <w:highlight w:val="none"/>
          <w:u w:val="single"/>
        </w:rPr>
        <w:t>.</w:t>
      </w:r>
      <w:r>
        <w:rPr>
          <w:rFonts w:hint="default" w:ascii="Times New Roman" w:hAnsi="Times New Roman" w:cs="Times New Roman"/>
          <w:b/>
          <w:color w:val="000000"/>
          <w:sz w:val="24"/>
          <w:highlight w:val="none"/>
          <w:u w:val="single"/>
          <w:lang w:val="en-US" w:eastAsia="zh-CN"/>
        </w:rPr>
        <w:t>水环境</w:t>
      </w:r>
      <w:r>
        <w:rPr>
          <w:rFonts w:hint="default" w:ascii="Times New Roman" w:hAnsi="Times New Roman" w:cs="Times New Roman"/>
          <w:b/>
          <w:color w:val="000000"/>
          <w:sz w:val="24"/>
          <w:highlight w:val="none"/>
          <w:u w:val="single"/>
        </w:rPr>
        <w:t>预测影响分析</w:t>
      </w:r>
      <w:bookmarkEnd w:id="81"/>
    </w:p>
    <w:p>
      <w:pPr>
        <w:adjustRightInd w:val="0"/>
        <w:snapToGrid w:val="0"/>
        <w:spacing w:line="460" w:lineRule="exact"/>
        <w:ind w:firstLine="480" w:firstLineChars="200"/>
        <w:outlineLvl w:val="2"/>
        <w:rPr>
          <w:rFonts w:hint="default" w:ascii="Times New Roman" w:hAnsi="Times New Roman" w:cs="Times New Roman"/>
          <w:color w:val="000000"/>
          <w:sz w:val="24"/>
          <w:szCs w:val="24"/>
          <w:highlight w:val="none"/>
          <w:u w:val="single"/>
        </w:rPr>
      </w:pPr>
      <w:bookmarkStart w:id="82" w:name="_Toc13563"/>
      <w:bookmarkStart w:id="83" w:name="_Toc14000"/>
      <w:r>
        <w:rPr>
          <w:rFonts w:hint="default" w:ascii="Times New Roman" w:hAnsi="Times New Roman" w:cs="Times New Roman"/>
          <w:color w:val="000000"/>
          <w:sz w:val="24"/>
          <w:szCs w:val="24"/>
          <w:highlight w:val="none"/>
          <w:u w:val="single"/>
        </w:rPr>
        <w:t>（1）废水排放量</w:t>
      </w:r>
      <w:bookmarkEnd w:id="82"/>
      <w:bookmarkEnd w:id="83"/>
    </w:p>
    <w:p>
      <w:pPr>
        <w:pStyle w:val="20"/>
        <w:widowControl w:val="0"/>
        <w:adjustRightInd w:val="0"/>
        <w:snapToGrid w:val="0"/>
        <w:spacing w:before="0" w:beforeAutospacing="0" w:after="0" w:afterAutospacing="0" w:line="460" w:lineRule="exact"/>
        <w:ind w:firstLine="480" w:firstLineChars="200"/>
        <w:jc w:val="both"/>
        <w:rPr>
          <w:rFonts w:hint="default" w:ascii="Times New Roman" w:hAnsi="Times New Roman" w:cs="Times New Roman"/>
          <w:color w:val="000000"/>
          <w:kern w:val="11"/>
          <w:szCs w:val="24"/>
          <w:highlight w:val="none"/>
          <w:u w:val="single"/>
        </w:rPr>
      </w:pPr>
      <w:r>
        <w:rPr>
          <w:rFonts w:hint="default" w:ascii="Times New Roman" w:hAnsi="Times New Roman" w:cs="Times New Roman"/>
          <w:color w:val="000000"/>
          <w:kern w:val="11"/>
          <w:szCs w:val="24"/>
          <w:highlight w:val="none"/>
          <w:u w:val="single"/>
        </w:rPr>
        <w:t>本项目废水排放量为150m</w:t>
      </w:r>
      <w:r>
        <w:rPr>
          <w:rFonts w:hint="default" w:ascii="Times New Roman" w:hAnsi="Times New Roman" w:cs="Times New Roman"/>
          <w:color w:val="000000"/>
          <w:kern w:val="11"/>
          <w:szCs w:val="24"/>
          <w:highlight w:val="none"/>
          <w:u w:val="single"/>
          <w:vertAlign w:val="superscript"/>
        </w:rPr>
        <w:t>3</w:t>
      </w:r>
      <w:r>
        <w:rPr>
          <w:rFonts w:hint="default" w:ascii="Times New Roman" w:hAnsi="Times New Roman" w:cs="Times New Roman"/>
          <w:color w:val="000000"/>
          <w:kern w:val="11"/>
          <w:szCs w:val="24"/>
          <w:highlight w:val="none"/>
          <w:u w:val="single"/>
        </w:rPr>
        <w:t>/d，尾水自排污口排出，直接进入洢水。出水执行《城镇污水处理厂污染物排放标准》（GB18918-2002）一级B标准。</w:t>
      </w:r>
    </w:p>
    <w:p>
      <w:pPr>
        <w:adjustRightInd w:val="0"/>
        <w:snapToGrid w:val="0"/>
        <w:spacing w:line="460" w:lineRule="exact"/>
        <w:ind w:firstLine="480" w:firstLineChars="200"/>
        <w:outlineLvl w:val="2"/>
        <w:rPr>
          <w:rFonts w:hint="default" w:ascii="Times New Roman" w:hAnsi="Times New Roman" w:cs="Times New Roman"/>
          <w:color w:val="000000"/>
          <w:sz w:val="24"/>
          <w:szCs w:val="24"/>
          <w:highlight w:val="none"/>
          <w:u w:val="single"/>
        </w:rPr>
      </w:pPr>
      <w:bookmarkStart w:id="84" w:name="_Toc9982"/>
      <w:bookmarkStart w:id="85" w:name="_Toc14217"/>
      <w:r>
        <w:rPr>
          <w:rFonts w:hint="default" w:ascii="Times New Roman" w:hAnsi="Times New Roman" w:cs="Times New Roman"/>
          <w:color w:val="000000"/>
          <w:sz w:val="24"/>
          <w:szCs w:val="24"/>
          <w:highlight w:val="none"/>
          <w:u w:val="single"/>
        </w:rPr>
        <w:t>（2）预测因子</w:t>
      </w:r>
      <w:bookmarkEnd w:id="84"/>
      <w:bookmarkEnd w:id="85"/>
    </w:p>
    <w:p>
      <w:pPr>
        <w:adjustRightInd w:val="0"/>
        <w:snapToGrid w:val="0"/>
        <w:spacing w:line="460" w:lineRule="exact"/>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sz w:val="24"/>
          <w:szCs w:val="24"/>
          <w:highlight w:val="none"/>
          <w:u w:val="single"/>
        </w:rPr>
        <w:t>根据项目排污特征，选取污染因子COD、NH</w:t>
      </w:r>
      <w:r>
        <w:rPr>
          <w:rFonts w:hint="default" w:ascii="Times New Roman" w:hAnsi="Times New Roman" w:cs="Times New Roman"/>
          <w:color w:val="000000"/>
          <w:sz w:val="24"/>
          <w:szCs w:val="24"/>
          <w:highlight w:val="none"/>
          <w:u w:val="single"/>
          <w:vertAlign w:val="subscript"/>
        </w:rPr>
        <w:t>3</w:t>
      </w:r>
      <w:r>
        <w:rPr>
          <w:rFonts w:hint="default" w:ascii="Times New Roman" w:hAnsi="Times New Roman" w:cs="Times New Roman"/>
          <w:color w:val="000000"/>
          <w:sz w:val="24"/>
          <w:szCs w:val="24"/>
          <w:highlight w:val="none"/>
          <w:u w:val="single"/>
        </w:rPr>
        <w:t>-N、TP作为预测因子。</w:t>
      </w:r>
    </w:p>
    <w:p>
      <w:pPr>
        <w:adjustRightInd w:val="0"/>
        <w:snapToGrid w:val="0"/>
        <w:spacing w:line="460" w:lineRule="exact"/>
        <w:ind w:firstLine="480" w:firstLineChars="200"/>
        <w:outlineLvl w:val="2"/>
        <w:rPr>
          <w:rFonts w:hint="default" w:ascii="Times New Roman" w:hAnsi="Times New Roman" w:cs="Times New Roman"/>
          <w:color w:val="000000"/>
          <w:sz w:val="24"/>
          <w:szCs w:val="24"/>
          <w:highlight w:val="none"/>
          <w:u w:val="single"/>
        </w:rPr>
      </w:pPr>
      <w:bookmarkStart w:id="86" w:name="_Toc17495"/>
      <w:bookmarkStart w:id="87" w:name="_Toc14364"/>
      <w:r>
        <w:rPr>
          <w:rFonts w:hint="default" w:ascii="Times New Roman" w:hAnsi="Times New Roman" w:cs="Times New Roman"/>
          <w:color w:val="000000"/>
          <w:sz w:val="24"/>
          <w:szCs w:val="24"/>
          <w:highlight w:val="none"/>
          <w:u w:val="single"/>
        </w:rPr>
        <w:t>（3）预测范围</w:t>
      </w:r>
      <w:bookmarkEnd w:id="86"/>
      <w:bookmarkEnd w:id="87"/>
    </w:p>
    <w:p>
      <w:pPr>
        <w:adjustRightInd w:val="0"/>
        <w:snapToGrid w:val="0"/>
        <w:spacing w:line="460" w:lineRule="exact"/>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sz w:val="24"/>
          <w:szCs w:val="24"/>
          <w:highlight w:val="none"/>
          <w:u w:val="single"/>
        </w:rPr>
        <w:t>排污口至洢水安化源头水保护区结束处。</w:t>
      </w:r>
    </w:p>
    <w:p>
      <w:pPr>
        <w:adjustRightInd w:val="0"/>
        <w:snapToGrid w:val="0"/>
        <w:spacing w:line="460" w:lineRule="exact"/>
        <w:ind w:firstLine="480" w:firstLineChars="200"/>
        <w:outlineLvl w:val="2"/>
        <w:rPr>
          <w:rFonts w:hint="default" w:ascii="Times New Roman" w:hAnsi="Times New Roman" w:cs="Times New Roman"/>
          <w:color w:val="000000"/>
          <w:sz w:val="24"/>
          <w:szCs w:val="24"/>
          <w:highlight w:val="none"/>
          <w:u w:val="single"/>
        </w:rPr>
      </w:pPr>
      <w:bookmarkStart w:id="88" w:name="_Toc31584"/>
      <w:bookmarkStart w:id="89" w:name="_Toc24048"/>
      <w:r>
        <w:rPr>
          <w:rFonts w:hint="default" w:ascii="Times New Roman" w:hAnsi="Times New Roman" w:cs="Times New Roman"/>
          <w:color w:val="000000"/>
          <w:sz w:val="24"/>
          <w:szCs w:val="24"/>
          <w:highlight w:val="none"/>
          <w:u w:val="single"/>
        </w:rPr>
        <w:t>（4）预测时段</w:t>
      </w:r>
      <w:bookmarkEnd w:id="88"/>
      <w:bookmarkEnd w:id="89"/>
    </w:p>
    <w:p>
      <w:pPr>
        <w:adjustRightInd w:val="0"/>
        <w:snapToGrid w:val="0"/>
        <w:spacing w:line="460" w:lineRule="exact"/>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kern w:val="11"/>
          <w:sz w:val="24"/>
          <w:szCs w:val="24"/>
          <w:highlight w:val="none"/>
          <w:u w:val="single"/>
        </w:rPr>
        <w:t>洢水枯水期、平水期</w:t>
      </w:r>
      <w:r>
        <w:rPr>
          <w:rFonts w:hint="default" w:ascii="Times New Roman" w:hAnsi="Times New Roman" w:cs="Times New Roman"/>
          <w:color w:val="000000"/>
          <w:sz w:val="24"/>
          <w:szCs w:val="24"/>
          <w:highlight w:val="none"/>
          <w:u w:val="single"/>
        </w:rPr>
        <w:t>。</w:t>
      </w:r>
    </w:p>
    <w:p>
      <w:pPr>
        <w:adjustRightInd w:val="0"/>
        <w:snapToGrid w:val="0"/>
        <w:spacing w:line="460" w:lineRule="exact"/>
        <w:ind w:firstLine="480" w:firstLineChars="200"/>
        <w:outlineLvl w:val="2"/>
        <w:rPr>
          <w:rFonts w:hint="default" w:ascii="Times New Roman" w:hAnsi="Times New Roman" w:cs="Times New Roman"/>
          <w:color w:val="000000"/>
          <w:sz w:val="24"/>
          <w:szCs w:val="24"/>
          <w:highlight w:val="none"/>
          <w:u w:val="single"/>
        </w:rPr>
      </w:pPr>
      <w:bookmarkStart w:id="90" w:name="_Toc18154"/>
      <w:bookmarkStart w:id="91" w:name="_Toc2443"/>
      <w:r>
        <w:rPr>
          <w:rFonts w:hint="default" w:ascii="Times New Roman" w:hAnsi="Times New Roman" w:cs="Times New Roman"/>
          <w:color w:val="000000"/>
          <w:sz w:val="24"/>
          <w:szCs w:val="24"/>
          <w:highlight w:val="none"/>
          <w:u w:val="single"/>
        </w:rPr>
        <w:t>（5）预测情景</w:t>
      </w:r>
      <w:bookmarkEnd w:id="90"/>
      <w:bookmarkEnd w:id="91"/>
    </w:p>
    <w:p>
      <w:pPr>
        <w:adjustRightInd w:val="0"/>
        <w:snapToGrid w:val="0"/>
        <w:spacing w:line="460" w:lineRule="exact"/>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sz w:val="24"/>
          <w:szCs w:val="24"/>
          <w:highlight w:val="none"/>
          <w:u w:val="single"/>
        </w:rPr>
        <w:t>预测废水在正常排放及非正常（事故）排放情况下对</w:t>
      </w:r>
      <w:r>
        <w:rPr>
          <w:rFonts w:hint="default" w:ascii="Times New Roman" w:hAnsi="Times New Roman" w:cs="Times New Roman"/>
          <w:color w:val="000000"/>
          <w:kern w:val="11"/>
          <w:sz w:val="24"/>
          <w:szCs w:val="24"/>
          <w:highlight w:val="none"/>
          <w:u w:val="single"/>
        </w:rPr>
        <w:t>洢水</w:t>
      </w:r>
      <w:r>
        <w:rPr>
          <w:rFonts w:hint="default" w:ascii="Times New Roman" w:hAnsi="Times New Roman" w:cs="Times New Roman"/>
          <w:color w:val="000000"/>
          <w:sz w:val="24"/>
          <w:szCs w:val="24"/>
          <w:highlight w:val="none"/>
          <w:u w:val="single"/>
        </w:rPr>
        <w:t>水质的影响。</w:t>
      </w:r>
    </w:p>
    <w:p>
      <w:pPr>
        <w:adjustRightInd w:val="0"/>
        <w:snapToGrid w:val="0"/>
        <w:spacing w:line="460" w:lineRule="exact"/>
        <w:ind w:firstLine="480" w:firstLineChars="200"/>
        <w:outlineLvl w:val="2"/>
        <w:rPr>
          <w:rFonts w:hint="default" w:ascii="Times New Roman" w:hAnsi="Times New Roman" w:cs="Times New Roman"/>
          <w:color w:val="000000"/>
          <w:sz w:val="24"/>
          <w:szCs w:val="24"/>
          <w:highlight w:val="none"/>
          <w:u w:val="single"/>
        </w:rPr>
      </w:pPr>
      <w:bookmarkStart w:id="92" w:name="_Toc8783"/>
      <w:bookmarkStart w:id="93" w:name="_Toc2712"/>
      <w:r>
        <w:rPr>
          <w:rFonts w:hint="default" w:ascii="Times New Roman" w:hAnsi="Times New Roman" w:cs="Times New Roman"/>
          <w:color w:val="000000"/>
          <w:sz w:val="24"/>
          <w:szCs w:val="24"/>
          <w:highlight w:val="none"/>
          <w:u w:val="single"/>
        </w:rPr>
        <w:t>（6）预测参数</w:t>
      </w:r>
      <w:bookmarkEnd w:id="92"/>
      <w:bookmarkEnd w:id="93"/>
    </w:p>
    <w:p>
      <w:pPr>
        <w:adjustRightInd w:val="0"/>
        <w:snapToGrid w:val="0"/>
        <w:spacing w:line="460" w:lineRule="exact"/>
        <w:ind w:firstLine="480" w:firstLineChars="200"/>
        <w:rPr>
          <w:rFonts w:hint="default" w:ascii="Times New Roman" w:hAnsi="Times New Roman" w:cs="Times New Roman"/>
          <w:color w:val="000000"/>
          <w:sz w:val="24"/>
          <w:szCs w:val="24"/>
          <w:highlight w:val="none"/>
          <w:u w:val="single"/>
        </w:rPr>
      </w:pPr>
      <w:r>
        <w:rPr>
          <w:rFonts w:hint="default" w:ascii="Times New Roman" w:hAnsi="Times New Roman" w:cs="Times New Roman"/>
          <w:color w:val="000000"/>
          <w:sz w:val="24"/>
          <w:szCs w:val="24"/>
          <w:highlight w:val="none"/>
          <w:u w:val="single"/>
        </w:rPr>
        <w:t>以总排放量为预测源强，污染源参数表如下：</w:t>
      </w:r>
    </w:p>
    <w:p>
      <w:pPr>
        <w:pStyle w:val="28"/>
        <w:spacing w:line="360" w:lineRule="exact"/>
        <w:ind w:firstLine="0"/>
        <w:jc w:val="center"/>
        <w:rPr>
          <w:rFonts w:hint="default" w:ascii="Times New Roman" w:hAnsi="Times New Roman" w:cs="Times New Roman"/>
          <w:b/>
          <w:color w:val="000000"/>
          <w:sz w:val="24"/>
          <w:szCs w:val="24"/>
          <w:highlight w:val="none"/>
          <w:u w:val="single"/>
        </w:rPr>
      </w:pPr>
      <w:r>
        <w:rPr>
          <w:rFonts w:hint="default" w:ascii="Times New Roman" w:hAnsi="Times New Roman" w:cs="Times New Roman"/>
          <w:b/>
          <w:color w:val="000000"/>
          <w:sz w:val="24"/>
          <w:szCs w:val="24"/>
          <w:highlight w:val="none"/>
          <w:u w:val="single"/>
        </w:rPr>
        <w:t>表</w:t>
      </w:r>
      <w:r>
        <w:rPr>
          <w:rFonts w:hint="default" w:ascii="Times New Roman" w:hAnsi="Times New Roman" w:cs="Times New Roman"/>
          <w:b/>
          <w:color w:val="000000"/>
          <w:sz w:val="24"/>
          <w:szCs w:val="24"/>
          <w:highlight w:val="none"/>
          <w:u w:val="single"/>
          <w:lang w:val="en-US"/>
        </w:rPr>
        <w:t>6</w:t>
      </w:r>
      <w:r>
        <w:rPr>
          <w:rFonts w:hint="default" w:ascii="Times New Roman" w:hAnsi="Times New Roman" w:cs="Times New Roman"/>
          <w:b/>
          <w:color w:val="000000"/>
          <w:sz w:val="24"/>
          <w:szCs w:val="24"/>
          <w:highlight w:val="none"/>
          <w:u w:val="single"/>
        </w:rPr>
        <w:t>-</w:t>
      </w:r>
      <w:r>
        <w:rPr>
          <w:rFonts w:hint="default" w:ascii="Times New Roman" w:hAnsi="Times New Roman" w:cs="Times New Roman"/>
          <w:b/>
          <w:color w:val="000000"/>
          <w:sz w:val="24"/>
          <w:szCs w:val="24"/>
          <w:highlight w:val="none"/>
          <w:u w:val="single"/>
          <w:lang w:val="en-US"/>
        </w:rPr>
        <w:t xml:space="preserve">1 </w:t>
      </w:r>
      <w:r>
        <w:rPr>
          <w:rFonts w:hint="default" w:ascii="Times New Roman" w:hAnsi="Times New Roman" w:cs="Times New Roman"/>
          <w:b/>
          <w:color w:val="000000"/>
          <w:sz w:val="24"/>
          <w:szCs w:val="24"/>
          <w:highlight w:val="none"/>
          <w:u w:val="single"/>
        </w:rPr>
        <w:t xml:space="preserve"> 污染源参数</w:t>
      </w:r>
    </w:p>
    <w:tbl>
      <w:tblPr>
        <w:tblStyle w:val="23"/>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81"/>
        <w:gridCol w:w="1737"/>
        <w:gridCol w:w="2737"/>
        <w:gridCol w:w="26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9" w:type="pct"/>
            <w:gridSpan w:val="2"/>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类型</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正常排污</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事故排污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29" w:type="pct"/>
            <w:gridSpan w:val="2"/>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流量（m</w:t>
            </w:r>
            <w:r>
              <w:rPr>
                <w:rFonts w:hint="default" w:ascii="Times New Roman" w:hAnsi="Times New Roman" w:cs="Times New Roman"/>
                <w:color w:val="000000"/>
                <w:highlight w:val="none"/>
                <w:u w:val="single"/>
                <w:vertAlign w:val="superscript"/>
              </w:rPr>
              <w:t>3</w:t>
            </w:r>
            <w:r>
              <w:rPr>
                <w:rFonts w:hint="default" w:ascii="Times New Roman" w:hAnsi="Times New Roman" w:cs="Times New Roman"/>
                <w:color w:val="000000"/>
                <w:highlight w:val="none"/>
                <w:u w:val="single"/>
              </w:rPr>
              <w:t>/d）</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150</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10" w:type="pct"/>
            <w:vMerge w:val="restar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污染因子</w:t>
            </w:r>
          </w:p>
        </w:tc>
        <w:tc>
          <w:tcPr>
            <w:tcW w:w="1019" w:type="pct"/>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COD（mg/L）</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60</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220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default" w:ascii="Times New Roman" w:hAnsi="Times New Roman" w:cs="Times New Roman"/>
                <w:color w:val="000000"/>
                <w:highlight w:val="none"/>
                <w:u w:val="single"/>
              </w:rPr>
            </w:pPr>
          </w:p>
        </w:tc>
        <w:tc>
          <w:tcPr>
            <w:tcW w:w="101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NH</w:t>
            </w:r>
            <w:r>
              <w:rPr>
                <w:rFonts w:hint="default" w:ascii="Times New Roman" w:hAnsi="Times New Roman" w:cs="Times New Roman"/>
                <w:color w:val="000000"/>
                <w:highlight w:val="none"/>
                <w:u w:val="single"/>
                <w:vertAlign w:val="subscript"/>
              </w:rPr>
              <w:t>3</w:t>
            </w:r>
            <w:r>
              <w:rPr>
                <w:rFonts w:hint="default" w:ascii="Times New Roman" w:hAnsi="Times New Roman" w:cs="Times New Roman"/>
                <w:color w:val="000000"/>
                <w:highlight w:val="none"/>
                <w:u w:val="single"/>
              </w:rPr>
              <w:t>-N（mg/L）</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8（15）*</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hint="default" w:ascii="Times New Roman" w:hAnsi="Times New Roman" w:cs="Times New Roman"/>
                <w:color w:val="000000"/>
                <w:highlight w:val="none"/>
                <w:u w:val="single"/>
              </w:rPr>
            </w:pPr>
          </w:p>
        </w:tc>
        <w:tc>
          <w:tcPr>
            <w:tcW w:w="1019"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TP（mg/L）</w:t>
            </w:r>
          </w:p>
        </w:tc>
        <w:tc>
          <w:tcPr>
            <w:tcW w:w="1606"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w:t>
            </w:r>
          </w:p>
        </w:tc>
        <w:tc>
          <w:tcPr>
            <w:tcW w:w="1565" w:type="pct"/>
            <w:tcBorders>
              <w:top w:val="single" w:color="auto" w:sz="4" w:space="0"/>
              <w:left w:val="single" w:color="auto" w:sz="4" w:space="0"/>
              <w:bottom w:val="single" w:color="auto" w:sz="4" w:space="0"/>
              <w:right w:val="single" w:color="auto" w:sz="4"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3.0</w:t>
            </w:r>
          </w:p>
        </w:tc>
      </w:tr>
    </w:tbl>
    <w:p>
      <w:pPr>
        <w:spacing w:line="320" w:lineRule="exact"/>
        <w:ind w:firstLine="420" w:firstLineChars="200"/>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注：*根据《城镇污水处理厂污染物排放标准》（GB18918-2002）一级B标准，氨氮因子的最高允许排放浓度为8（15）mg/L，其中括号外数值为＞12℃时的控制指标，括号内数值为水温≤12℃时的控制指标，本次选取最不利情况进行预测。</w:t>
      </w:r>
    </w:p>
    <w:p>
      <w:pPr>
        <w:adjustRightInd w:val="0"/>
        <w:snapToGrid w:val="0"/>
        <w:spacing w:line="360" w:lineRule="auto"/>
        <w:ind w:firstLine="482"/>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根据洢水流速、水深、河宽、流量等水文水质的相关基础资料；污染物降解系数根据《全国地表水水环境容量核定技术复核要点》中一般河道水质降解系数参考值表进行选取；污染物横向扩散系数采用泰勒法计算（公式①）；污染物纵向扩散系数采用爱尔德法计算（公式②）：</w:t>
      </w:r>
    </w:p>
    <w:p>
      <w:pPr>
        <w:adjustRightInd w:val="0"/>
        <w:snapToGrid w:val="0"/>
        <w:spacing w:line="360" w:lineRule="auto"/>
        <w:ind w:firstLine="482"/>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drawing>
          <wp:inline distT="0" distB="0" distL="114300" distR="114300">
            <wp:extent cx="3133090" cy="245745"/>
            <wp:effectExtent l="0" t="0" r="6350" b="13335"/>
            <wp:docPr id="24" name="图片 21" descr="C:\Users\ADMINI~1\AppData\Local\Temp\ksohtml7736\wp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1" descr="C:\Users\ADMINI~1\AppData\Local\Temp\ksohtml7736\wps3.jpg"/>
                    <pic:cNvPicPr>
                      <a:picLocks noChangeAspect="1"/>
                    </pic:cNvPicPr>
                  </pic:nvPicPr>
                  <pic:blipFill>
                    <a:blip r:embed="rId17"/>
                    <a:stretch>
                      <a:fillRect/>
                    </a:stretch>
                  </pic:blipFill>
                  <pic:spPr>
                    <a:xfrm>
                      <a:off x="0" y="0"/>
                      <a:ext cx="3133090" cy="245745"/>
                    </a:xfrm>
                    <a:prstGeom prst="rect">
                      <a:avLst/>
                    </a:prstGeom>
                    <a:noFill/>
                    <a:ln>
                      <a:noFill/>
                    </a:ln>
                  </pic:spPr>
                </pic:pic>
              </a:graphicData>
            </a:graphic>
          </wp:inline>
        </w:drawing>
      </w:r>
      <w:r>
        <w:rPr>
          <w:rFonts w:hint="default" w:ascii="Times New Roman" w:hAnsi="Times New Roman" w:cs="Times New Roman"/>
          <w:color w:val="000000"/>
          <w:sz w:val="24"/>
          <w:highlight w:val="none"/>
          <w:u w:val="single"/>
        </w:rPr>
        <w:t>①</w:t>
      </w:r>
    </w:p>
    <w:p>
      <w:pPr>
        <w:adjustRightInd w:val="0"/>
        <w:snapToGrid w:val="0"/>
        <w:spacing w:line="360" w:lineRule="auto"/>
        <w:ind w:firstLine="482"/>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drawing>
          <wp:inline distT="0" distB="0" distL="114300" distR="114300">
            <wp:extent cx="1551305" cy="234315"/>
            <wp:effectExtent l="0" t="0" r="3175" b="9525"/>
            <wp:docPr id="25" name="图片 22" descr="1632646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2" descr="1632646106(1)"/>
                    <pic:cNvPicPr>
                      <a:picLocks noChangeAspect="1"/>
                    </pic:cNvPicPr>
                  </pic:nvPicPr>
                  <pic:blipFill>
                    <a:blip r:embed="rId18"/>
                    <a:stretch>
                      <a:fillRect/>
                    </a:stretch>
                  </pic:blipFill>
                  <pic:spPr>
                    <a:xfrm>
                      <a:off x="0" y="0"/>
                      <a:ext cx="1551305" cy="234315"/>
                    </a:xfrm>
                    <a:prstGeom prst="rect">
                      <a:avLst/>
                    </a:prstGeom>
                    <a:noFill/>
                    <a:ln>
                      <a:noFill/>
                    </a:ln>
                  </pic:spPr>
                </pic:pic>
              </a:graphicData>
            </a:graphic>
          </wp:inline>
        </w:drawing>
      </w:r>
      <w:r>
        <w:rPr>
          <w:rFonts w:hint="default" w:ascii="Times New Roman" w:hAnsi="Times New Roman" w:cs="Times New Roman"/>
          <w:color w:val="000000"/>
          <w:sz w:val="24"/>
          <w:highlight w:val="none"/>
          <w:u w:val="single"/>
        </w:rPr>
        <w:t>②</w:t>
      </w:r>
    </w:p>
    <w:p>
      <w:pPr>
        <w:adjustRightInd w:val="0"/>
        <w:snapToGrid w:val="0"/>
        <w:spacing w:line="360" w:lineRule="auto"/>
        <w:ind w:firstLine="482"/>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式中：My——横向扩散系数m</w:t>
      </w:r>
      <w:r>
        <w:rPr>
          <w:rFonts w:hint="default" w:ascii="Times New Roman" w:hAnsi="Times New Roman" w:cs="Times New Roman"/>
          <w:color w:val="000000"/>
          <w:sz w:val="24"/>
          <w:highlight w:val="none"/>
          <w:u w:val="single"/>
          <w:vertAlign w:val="superscript"/>
        </w:rPr>
        <w:t>2</w:t>
      </w:r>
      <w:r>
        <w:rPr>
          <w:rFonts w:hint="default" w:ascii="Times New Roman" w:hAnsi="Times New Roman" w:cs="Times New Roman"/>
          <w:color w:val="000000"/>
          <w:sz w:val="24"/>
          <w:highlight w:val="none"/>
          <w:u w:val="single"/>
        </w:rPr>
        <w:t>/s；</w:t>
      </w:r>
    </w:p>
    <w:p>
      <w:pPr>
        <w:adjustRightInd w:val="0"/>
        <w:snapToGrid w:val="0"/>
        <w:spacing w:line="360" w:lineRule="auto"/>
        <w:ind w:firstLine="482"/>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Mx——纵向扩散系数m</w:t>
      </w:r>
      <w:r>
        <w:rPr>
          <w:rFonts w:hint="default" w:ascii="Times New Roman" w:hAnsi="Times New Roman" w:cs="Times New Roman"/>
          <w:color w:val="000000"/>
          <w:sz w:val="24"/>
          <w:highlight w:val="none"/>
          <w:u w:val="single"/>
          <w:vertAlign w:val="superscript"/>
        </w:rPr>
        <w:t>2</w:t>
      </w:r>
      <w:r>
        <w:rPr>
          <w:rFonts w:hint="default" w:ascii="Times New Roman" w:hAnsi="Times New Roman" w:cs="Times New Roman"/>
          <w:color w:val="000000"/>
          <w:sz w:val="24"/>
          <w:highlight w:val="none"/>
          <w:u w:val="single"/>
        </w:rPr>
        <w:t>/s；</w:t>
      </w:r>
    </w:p>
    <w:p>
      <w:pPr>
        <w:adjustRightInd w:val="0"/>
        <w:snapToGrid w:val="0"/>
        <w:spacing w:line="360" w:lineRule="auto"/>
        <w:ind w:firstLine="482"/>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H——河流水深，m；</w:t>
      </w:r>
    </w:p>
    <w:p>
      <w:pPr>
        <w:adjustRightInd w:val="0"/>
        <w:snapToGrid w:val="0"/>
        <w:spacing w:line="360" w:lineRule="auto"/>
        <w:ind w:firstLine="482"/>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B——水面宽度，m；</w:t>
      </w:r>
    </w:p>
    <w:p>
      <w:pPr>
        <w:adjustRightInd w:val="0"/>
        <w:snapToGrid w:val="0"/>
        <w:spacing w:line="360" w:lineRule="auto"/>
        <w:ind w:firstLine="482"/>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g——重力加速度，m</w:t>
      </w:r>
      <w:r>
        <w:rPr>
          <w:rFonts w:hint="default" w:ascii="Times New Roman" w:hAnsi="Times New Roman" w:cs="Times New Roman"/>
          <w:color w:val="000000"/>
          <w:sz w:val="24"/>
          <w:highlight w:val="none"/>
          <w:u w:val="single"/>
          <w:vertAlign w:val="superscript"/>
        </w:rPr>
        <w:t>2</w:t>
      </w:r>
      <w:r>
        <w:rPr>
          <w:rFonts w:hint="default" w:ascii="Times New Roman" w:hAnsi="Times New Roman" w:cs="Times New Roman"/>
          <w:color w:val="000000"/>
          <w:sz w:val="24"/>
          <w:highlight w:val="none"/>
          <w:u w:val="single"/>
        </w:rPr>
        <w:t>/s；</w:t>
      </w:r>
    </w:p>
    <w:p>
      <w:pPr>
        <w:adjustRightInd w:val="0"/>
        <w:snapToGrid w:val="0"/>
        <w:spacing w:line="360" w:lineRule="auto"/>
        <w:ind w:firstLine="482"/>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Hi——河流坡度，取0.0214。</w:t>
      </w:r>
    </w:p>
    <w:p>
      <w:pPr>
        <w:adjustRightInd w:val="0"/>
        <w:snapToGrid w:val="0"/>
        <w:spacing w:line="360" w:lineRule="auto"/>
        <w:ind w:firstLine="482"/>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根据洢水水文数据，本项目地表水预测参数如下：</w:t>
      </w:r>
    </w:p>
    <w:p>
      <w:pPr>
        <w:pStyle w:val="28"/>
        <w:spacing w:line="360" w:lineRule="exact"/>
        <w:ind w:firstLine="0"/>
        <w:jc w:val="center"/>
        <w:rPr>
          <w:rFonts w:hint="default" w:ascii="Times New Roman" w:hAnsi="Times New Roman" w:cs="Times New Roman"/>
          <w:b/>
          <w:color w:val="000000"/>
          <w:sz w:val="24"/>
          <w:szCs w:val="24"/>
          <w:highlight w:val="none"/>
          <w:u w:val="single"/>
        </w:rPr>
      </w:pPr>
      <w:r>
        <w:rPr>
          <w:rFonts w:hint="default" w:ascii="Times New Roman" w:hAnsi="Times New Roman" w:cs="Times New Roman"/>
          <w:b/>
          <w:color w:val="000000"/>
          <w:sz w:val="24"/>
          <w:szCs w:val="24"/>
          <w:highlight w:val="none"/>
          <w:u w:val="single"/>
        </w:rPr>
        <w:t>表</w:t>
      </w:r>
      <w:r>
        <w:rPr>
          <w:rFonts w:hint="default" w:ascii="Times New Roman" w:hAnsi="Times New Roman" w:cs="Times New Roman"/>
          <w:b/>
          <w:color w:val="000000"/>
          <w:sz w:val="24"/>
          <w:szCs w:val="24"/>
          <w:highlight w:val="none"/>
          <w:u w:val="single"/>
          <w:lang w:val="en-US"/>
        </w:rPr>
        <w:t xml:space="preserve">6-2 </w:t>
      </w:r>
      <w:r>
        <w:rPr>
          <w:rFonts w:hint="default" w:ascii="Times New Roman" w:hAnsi="Times New Roman" w:cs="Times New Roman"/>
          <w:b/>
          <w:color w:val="000000"/>
          <w:sz w:val="24"/>
          <w:szCs w:val="24"/>
          <w:highlight w:val="none"/>
          <w:u w:val="single"/>
        </w:rPr>
        <w:t xml:space="preserve"> 地表水预测参数</w:t>
      </w:r>
    </w:p>
    <w:tbl>
      <w:tblPr>
        <w:tblStyle w:val="23"/>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929"/>
        <w:gridCol w:w="945"/>
        <w:gridCol w:w="728"/>
        <w:gridCol w:w="815"/>
        <w:gridCol w:w="943"/>
        <w:gridCol w:w="595"/>
        <w:gridCol w:w="808"/>
        <w:gridCol w:w="739"/>
        <w:gridCol w:w="1007"/>
        <w:gridCol w:w="100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45" w:type="pct"/>
            <w:vMerge w:val="restar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时期</w:t>
            </w:r>
          </w:p>
        </w:tc>
        <w:tc>
          <w:tcPr>
            <w:tcW w:w="554"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w:t>
            </w:r>
          </w:p>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流速</w:t>
            </w:r>
            <w:r>
              <w:rPr>
                <w:rFonts w:hint="default" w:ascii="Times New Roman" w:hAnsi="Times New Roman" w:cs="Times New Roman"/>
                <w:color w:val="000000"/>
                <w:highlight w:val="none"/>
                <w:u w:val="single"/>
              </w:rPr>
              <w:t>（m/s）</w:t>
            </w:r>
          </w:p>
        </w:tc>
        <w:tc>
          <w:tcPr>
            <w:tcW w:w="427"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w:t>
            </w:r>
          </w:p>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水深</w:t>
            </w:r>
            <w:r>
              <w:rPr>
                <w:rFonts w:hint="default" w:ascii="Times New Roman" w:hAnsi="Times New Roman" w:cs="Times New Roman"/>
                <w:color w:val="000000"/>
                <w:highlight w:val="none"/>
                <w:u w:val="single"/>
              </w:rPr>
              <w:t>（m）</w:t>
            </w:r>
          </w:p>
        </w:tc>
        <w:tc>
          <w:tcPr>
            <w:tcW w:w="478"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w:t>
            </w:r>
          </w:p>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河宽</w:t>
            </w:r>
            <w:r>
              <w:rPr>
                <w:rFonts w:hint="default" w:ascii="Times New Roman" w:hAnsi="Times New Roman" w:cs="Times New Roman"/>
                <w:color w:val="000000"/>
                <w:highlight w:val="none"/>
                <w:u w:val="single"/>
              </w:rPr>
              <w:t>（m）</w:t>
            </w:r>
          </w:p>
        </w:tc>
        <w:tc>
          <w:tcPr>
            <w:tcW w:w="553"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平均流量</w:t>
            </w:r>
            <w:r>
              <w:rPr>
                <w:rFonts w:hint="default" w:ascii="Times New Roman" w:hAnsi="Times New Roman" w:cs="Times New Roman"/>
                <w:color w:val="000000"/>
                <w:highlight w:val="none"/>
                <w:u w:val="single"/>
              </w:rPr>
              <w:t>（m</w:t>
            </w:r>
            <w:r>
              <w:rPr>
                <w:rFonts w:hint="default" w:ascii="Times New Roman" w:hAnsi="Times New Roman" w:cs="Times New Roman"/>
                <w:color w:val="000000"/>
                <w:highlight w:val="none"/>
                <w:u w:val="single"/>
                <w:vertAlign w:val="superscript"/>
              </w:rPr>
              <w:t>3</w:t>
            </w:r>
            <w:r>
              <w:rPr>
                <w:rFonts w:hint="default" w:ascii="Times New Roman" w:hAnsi="Times New Roman" w:cs="Times New Roman"/>
                <w:color w:val="000000"/>
                <w:highlight w:val="none"/>
                <w:u w:val="single"/>
              </w:rPr>
              <w:t>/s）</w:t>
            </w:r>
          </w:p>
        </w:tc>
        <w:tc>
          <w:tcPr>
            <w:tcW w:w="1256" w:type="pct"/>
            <w:gridSpan w:val="3"/>
            <w:tcBorders>
              <w:top w:val="single" w:color="auto" w:sz="8" w:space="0"/>
              <w:left w:val="nil"/>
              <w:bottom w:val="single" w:color="auto" w:sz="8" w:space="0"/>
              <w:right w:val="single" w:color="auto" w:sz="8" w:space="0"/>
            </w:tcBorders>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污染物降解系数</w:t>
            </w:r>
            <w:r>
              <w:rPr>
                <w:rFonts w:hint="default" w:ascii="Times New Roman" w:hAnsi="Times New Roman" w:cs="Times New Roman"/>
                <w:color w:val="000000"/>
                <w:highlight w:val="none"/>
                <w:u w:val="single"/>
              </w:rPr>
              <w:t>（d</w:t>
            </w:r>
            <w:r>
              <w:rPr>
                <w:rFonts w:hint="default" w:ascii="Times New Roman" w:hAnsi="Times New Roman" w:cs="Times New Roman"/>
                <w:color w:val="000000"/>
                <w:highlight w:val="none"/>
                <w:u w:val="single"/>
                <w:vertAlign w:val="superscript"/>
              </w:rPr>
              <w:t>-1</w:t>
            </w:r>
            <w:r>
              <w:rPr>
                <w:rFonts w:hint="default" w:ascii="Times New Roman" w:hAnsi="Times New Roman" w:cs="Times New Roman"/>
                <w:color w:val="000000"/>
                <w:highlight w:val="none"/>
                <w:u w:val="single"/>
              </w:rPr>
              <w:t>）</w:t>
            </w:r>
          </w:p>
        </w:tc>
        <w:tc>
          <w:tcPr>
            <w:tcW w:w="591" w:type="pct"/>
            <w:vMerge w:val="restar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污染物横向扩散系数</w:t>
            </w:r>
            <w:r>
              <w:rPr>
                <w:rFonts w:hint="default" w:ascii="Times New Roman" w:hAnsi="Times New Roman" w:cs="Times New Roman"/>
                <w:color w:val="000000"/>
                <w:highlight w:val="none"/>
                <w:u w:val="single"/>
              </w:rPr>
              <w:t>（m</w:t>
            </w:r>
            <w:r>
              <w:rPr>
                <w:rFonts w:hint="default" w:ascii="Times New Roman" w:hAnsi="Times New Roman" w:cs="Times New Roman"/>
                <w:color w:val="000000"/>
                <w:highlight w:val="none"/>
                <w:u w:val="single"/>
                <w:vertAlign w:val="superscript"/>
              </w:rPr>
              <w:t>2</w:t>
            </w:r>
            <w:r>
              <w:rPr>
                <w:rFonts w:hint="default" w:ascii="Times New Roman" w:hAnsi="Times New Roman" w:cs="Times New Roman"/>
                <w:color w:val="000000"/>
                <w:highlight w:val="none"/>
                <w:u w:val="single"/>
              </w:rPr>
              <w:t>/s）</w:t>
            </w:r>
          </w:p>
        </w:tc>
        <w:tc>
          <w:tcPr>
            <w:tcW w:w="592" w:type="pct"/>
            <w:vMerge w:val="restart"/>
            <w:tcBorders>
              <w:top w:val="single" w:color="auto" w:sz="8" w:space="0"/>
              <w:left w:val="nil"/>
              <w:right w:val="single" w:color="auto" w:sz="8" w:space="0"/>
            </w:tcBorders>
            <w:vAlign w:val="center"/>
          </w:tcPr>
          <w:p>
            <w:pPr>
              <w:jc w:val="center"/>
              <w:rPr>
                <w:rFonts w:hint="default" w:ascii="Times New Roman" w:hAnsi="Times New Roman" w:cs="Times New Roman"/>
                <w:b/>
                <w:bCs/>
                <w:color w:val="000000"/>
                <w:highlight w:val="none"/>
                <w:u w:val="single"/>
              </w:rPr>
            </w:pPr>
            <w:r>
              <w:rPr>
                <w:rFonts w:hint="default" w:ascii="Times New Roman" w:hAnsi="Times New Roman" w:cs="Times New Roman"/>
                <w:b/>
                <w:bCs/>
                <w:color w:val="000000"/>
                <w:highlight w:val="none"/>
                <w:u w:val="single"/>
              </w:rPr>
              <w:t>污染物纵向扩散系数</w:t>
            </w:r>
            <w:r>
              <w:rPr>
                <w:rFonts w:hint="default" w:ascii="Times New Roman" w:hAnsi="Times New Roman" w:cs="Times New Roman"/>
                <w:color w:val="000000"/>
                <w:highlight w:val="none"/>
                <w:u w:val="single"/>
              </w:rPr>
              <w:t>（m</w:t>
            </w:r>
            <w:r>
              <w:rPr>
                <w:rFonts w:hint="default" w:ascii="Times New Roman" w:hAnsi="Times New Roman" w:cs="Times New Roman"/>
                <w:color w:val="000000"/>
                <w:highlight w:val="none"/>
                <w:u w:val="single"/>
                <w:vertAlign w:val="superscript"/>
              </w:rPr>
              <w:t>2</w:t>
            </w:r>
            <w:r>
              <w:rPr>
                <w:rFonts w:hint="default" w:ascii="Times New Roman" w:hAnsi="Times New Roman" w:cs="Times New Roman"/>
                <w:color w:val="000000"/>
                <w:highlight w:val="none"/>
                <w:u w:val="single"/>
              </w:rPr>
              <w:t>/s）</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45" w:type="pct"/>
            <w:vMerge w:val="continue"/>
            <w:tcBorders>
              <w:top w:val="single" w:color="auto" w:sz="8" w:space="0"/>
              <w:left w:val="single" w:color="auto" w:sz="8" w:space="0"/>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554"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427"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478"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553"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349"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COD</w:t>
            </w:r>
          </w:p>
        </w:tc>
        <w:tc>
          <w:tcPr>
            <w:tcW w:w="47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NH</w:t>
            </w:r>
            <w:r>
              <w:rPr>
                <w:rFonts w:hint="default" w:ascii="Times New Roman" w:hAnsi="Times New Roman" w:cs="Times New Roman"/>
                <w:color w:val="000000"/>
                <w:highlight w:val="none"/>
                <w:u w:val="single"/>
                <w:vertAlign w:val="subscript"/>
              </w:rPr>
              <w:t>3</w:t>
            </w:r>
            <w:r>
              <w:rPr>
                <w:rFonts w:hint="default" w:ascii="Times New Roman" w:hAnsi="Times New Roman" w:cs="Times New Roman"/>
                <w:color w:val="000000"/>
                <w:highlight w:val="none"/>
                <w:u w:val="single"/>
              </w:rPr>
              <w:t>-N</w:t>
            </w:r>
          </w:p>
        </w:tc>
        <w:tc>
          <w:tcPr>
            <w:tcW w:w="43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TP</w:t>
            </w:r>
          </w:p>
        </w:tc>
        <w:tc>
          <w:tcPr>
            <w:tcW w:w="591" w:type="pct"/>
            <w:vMerge w:val="continue"/>
            <w:tcBorders>
              <w:top w:val="single" w:color="auto" w:sz="8" w:space="0"/>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c>
          <w:tcPr>
            <w:tcW w:w="592" w:type="pct"/>
            <w:vMerge w:val="continue"/>
            <w:tcBorders>
              <w:left w:val="nil"/>
              <w:bottom w:val="single" w:color="auto" w:sz="8" w:space="0"/>
              <w:right w:val="single" w:color="auto" w:sz="8" w:space="0"/>
            </w:tcBorders>
            <w:vAlign w:val="center"/>
          </w:tcPr>
          <w:p>
            <w:pPr>
              <w:widowControl/>
              <w:jc w:val="left"/>
              <w:rPr>
                <w:rFonts w:hint="default" w:ascii="Times New Roman" w:hAnsi="Times New Roman" w:cs="Times New Roman"/>
                <w:color w:val="000000"/>
                <w:highlight w:val="none"/>
                <w:u w:val="singl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45" w:type="pc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枯水期</w:t>
            </w:r>
          </w:p>
        </w:tc>
        <w:tc>
          <w:tcPr>
            <w:tcW w:w="55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0.2</w:t>
            </w:r>
          </w:p>
        </w:tc>
        <w:tc>
          <w:tcPr>
            <w:tcW w:w="427"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0.4</w:t>
            </w:r>
          </w:p>
        </w:tc>
        <w:tc>
          <w:tcPr>
            <w:tcW w:w="478"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10</w:t>
            </w:r>
          </w:p>
        </w:tc>
        <w:tc>
          <w:tcPr>
            <w:tcW w:w="553"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0.8</w:t>
            </w:r>
          </w:p>
        </w:tc>
        <w:tc>
          <w:tcPr>
            <w:tcW w:w="349"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0.18</w:t>
            </w:r>
          </w:p>
        </w:tc>
        <w:tc>
          <w:tcPr>
            <w:tcW w:w="47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0.15</w:t>
            </w:r>
          </w:p>
        </w:tc>
        <w:tc>
          <w:tcPr>
            <w:tcW w:w="43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0.05</w:t>
            </w:r>
          </w:p>
        </w:tc>
        <w:tc>
          <w:tcPr>
            <w:tcW w:w="59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0.004348</w:t>
            </w:r>
          </w:p>
        </w:tc>
        <w:tc>
          <w:tcPr>
            <w:tcW w:w="5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0.116937</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545" w:type="pct"/>
            <w:tcBorders>
              <w:top w:val="single" w:color="auto" w:sz="8" w:space="0"/>
              <w:left w:val="single" w:color="auto" w:sz="8" w:space="0"/>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平水期</w:t>
            </w:r>
          </w:p>
        </w:tc>
        <w:tc>
          <w:tcPr>
            <w:tcW w:w="55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0.4</w:t>
            </w:r>
          </w:p>
        </w:tc>
        <w:tc>
          <w:tcPr>
            <w:tcW w:w="427"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0.6</w:t>
            </w:r>
          </w:p>
        </w:tc>
        <w:tc>
          <w:tcPr>
            <w:tcW w:w="478"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15</w:t>
            </w:r>
          </w:p>
        </w:tc>
        <w:tc>
          <w:tcPr>
            <w:tcW w:w="553"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3.6</w:t>
            </w:r>
          </w:p>
        </w:tc>
        <w:tc>
          <w:tcPr>
            <w:tcW w:w="349"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0.18</w:t>
            </w:r>
          </w:p>
        </w:tc>
        <w:tc>
          <w:tcPr>
            <w:tcW w:w="474"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0.15</w:t>
            </w:r>
          </w:p>
        </w:tc>
        <w:tc>
          <w:tcPr>
            <w:tcW w:w="43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0.05</w:t>
            </w:r>
          </w:p>
        </w:tc>
        <w:tc>
          <w:tcPr>
            <w:tcW w:w="591"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 xml:space="preserve">0.007988 </w:t>
            </w:r>
          </w:p>
        </w:tc>
        <w:tc>
          <w:tcPr>
            <w:tcW w:w="592" w:type="pct"/>
            <w:tcBorders>
              <w:top w:val="single" w:color="auto" w:sz="8" w:space="0"/>
              <w:left w:val="nil"/>
              <w:bottom w:val="single" w:color="auto" w:sz="8" w:space="0"/>
              <w:right w:val="single" w:color="auto" w:sz="8" w:space="0"/>
            </w:tcBorders>
            <w:vAlign w:val="center"/>
          </w:tcPr>
          <w:p>
            <w:pPr>
              <w:jc w:val="center"/>
              <w:rPr>
                <w:rFonts w:hint="default" w:ascii="Times New Roman" w:hAnsi="Times New Roman" w:cs="Times New Roman"/>
                <w:color w:val="000000"/>
                <w:highlight w:val="none"/>
                <w:u w:val="single"/>
              </w:rPr>
            </w:pPr>
            <w:r>
              <w:rPr>
                <w:rFonts w:hint="default" w:ascii="Times New Roman" w:hAnsi="Times New Roman" w:cs="Times New Roman"/>
                <w:color w:val="000000"/>
                <w:highlight w:val="none"/>
                <w:u w:val="single"/>
              </w:rPr>
              <w:t xml:space="preserve">0.214828 </w:t>
            </w:r>
          </w:p>
        </w:tc>
      </w:tr>
    </w:tbl>
    <w:p>
      <w:pPr>
        <w:spacing w:line="360" w:lineRule="auto"/>
        <w:ind w:firstLine="480" w:firstLineChars="200"/>
        <w:outlineLvl w:val="2"/>
        <w:rPr>
          <w:rFonts w:hint="default" w:ascii="Times New Roman" w:hAnsi="Times New Roman" w:cs="Times New Roman"/>
          <w:color w:val="000000"/>
          <w:sz w:val="24"/>
          <w:highlight w:val="none"/>
          <w:u w:val="single"/>
        </w:rPr>
      </w:pPr>
      <w:bookmarkStart w:id="94" w:name="_Toc9199"/>
      <w:bookmarkStart w:id="95" w:name="_Toc27813"/>
      <w:r>
        <w:rPr>
          <w:rFonts w:hint="default" w:ascii="Times New Roman" w:hAnsi="Times New Roman" w:cs="Times New Roman"/>
          <w:color w:val="000000"/>
          <w:sz w:val="24"/>
          <w:highlight w:val="none"/>
          <w:u w:val="single"/>
        </w:rPr>
        <w:t>（7）混合过程段估算</w:t>
      </w:r>
      <w:bookmarkEnd w:id="94"/>
      <w:bookmarkEnd w:id="95"/>
    </w:p>
    <w:p>
      <w:pPr>
        <w:spacing w:line="360" w:lineRule="auto"/>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根据HJ2.3-2018，混合过程段长度估算公式如下：</w:t>
      </w:r>
    </w:p>
    <w:p>
      <w:pPr>
        <w:spacing w:line="360" w:lineRule="auto"/>
        <w:ind w:firstLine="465"/>
        <w:jc w:val="center"/>
        <w:rPr>
          <w:rFonts w:hint="default" w:ascii="Times New Roman" w:hAnsi="Times New Roman" w:cs="Times New Roman"/>
          <w:bCs/>
          <w:color w:val="000000"/>
          <w:highlight w:val="none"/>
          <w:u w:val="single"/>
        </w:rPr>
      </w:pPr>
      <w:r>
        <w:rPr>
          <w:rFonts w:hint="default" w:ascii="Times New Roman" w:hAnsi="Times New Roman" w:cs="Times New Roman"/>
          <w:color w:val="000000"/>
          <w:highlight w:val="none"/>
          <w:u w:val="single"/>
        </w:rPr>
        <w:drawing>
          <wp:inline distT="0" distB="0" distL="114300" distR="114300">
            <wp:extent cx="2786380" cy="628650"/>
            <wp:effectExtent l="0" t="0" r="13970" b="0"/>
            <wp:docPr id="26" name="图片 23" descr="C:\Users\ADMINI~1\AppData\Local\Temp\ksohtml7736\wps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3" descr="C:\Users\ADMINI~1\AppData\Local\Temp\ksohtml7736\wps4.png"/>
                    <pic:cNvPicPr>
                      <a:picLocks noChangeAspect="1"/>
                    </pic:cNvPicPr>
                  </pic:nvPicPr>
                  <pic:blipFill>
                    <a:blip r:embed="rId19"/>
                    <a:stretch>
                      <a:fillRect/>
                    </a:stretch>
                  </pic:blipFill>
                  <pic:spPr>
                    <a:xfrm>
                      <a:off x="0" y="0"/>
                      <a:ext cx="2786380" cy="628650"/>
                    </a:xfrm>
                    <a:prstGeom prst="rect">
                      <a:avLst/>
                    </a:prstGeom>
                    <a:noFill/>
                    <a:ln>
                      <a:noFill/>
                    </a:ln>
                  </pic:spPr>
                </pic:pic>
              </a:graphicData>
            </a:graphic>
          </wp:inline>
        </w:drawing>
      </w:r>
    </w:p>
    <w:p>
      <w:pPr>
        <w:spacing w:line="360" w:lineRule="auto"/>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式中：</w:t>
      </w:r>
    </w:p>
    <w:p>
      <w:pPr>
        <w:spacing w:line="360" w:lineRule="auto"/>
        <w:ind w:firstLine="480" w:firstLineChars="200"/>
        <w:jc w:val="left"/>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Lm——混合段长度，m；</w:t>
      </w:r>
    </w:p>
    <w:p>
      <w:pPr>
        <w:spacing w:line="360" w:lineRule="auto"/>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B——水面宽度，m；</w:t>
      </w:r>
    </w:p>
    <w:p>
      <w:pPr>
        <w:adjustRightInd w:val="0"/>
        <w:snapToGrid w:val="0"/>
        <w:spacing w:line="460" w:lineRule="exact"/>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a——排放口到岸边的距离，m；</w:t>
      </w:r>
    </w:p>
    <w:p>
      <w:pPr>
        <w:adjustRightInd w:val="0"/>
        <w:snapToGrid w:val="0"/>
        <w:spacing w:line="460" w:lineRule="exact"/>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u——断面流速，m/s；</w:t>
      </w:r>
    </w:p>
    <w:p>
      <w:pPr>
        <w:adjustRightInd w:val="0"/>
        <w:snapToGrid w:val="0"/>
        <w:spacing w:line="460" w:lineRule="exact"/>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Ey——污染物横向扩散系数，m</w:t>
      </w:r>
      <w:r>
        <w:rPr>
          <w:rFonts w:hint="default" w:ascii="Times New Roman" w:hAnsi="Times New Roman" w:cs="Times New Roman"/>
          <w:color w:val="000000"/>
          <w:sz w:val="24"/>
          <w:highlight w:val="none"/>
          <w:u w:val="single"/>
          <w:vertAlign w:val="superscript"/>
        </w:rPr>
        <w:t>2</w:t>
      </w:r>
      <w:r>
        <w:rPr>
          <w:rFonts w:hint="default" w:ascii="Times New Roman" w:hAnsi="Times New Roman" w:cs="Times New Roman"/>
          <w:color w:val="000000"/>
          <w:sz w:val="24"/>
          <w:highlight w:val="none"/>
          <w:u w:val="single"/>
        </w:rPr>
        <w:t>/s。</w:t>
      </w:r>
    </w:p>
    <w:p>
      <w:pPr>
        <w:adjustRightInd w:val="0"/>
        <w:snapToGrid w:val="0"/>
        <w:spacing w:line="460" w:lineRule="exact"/>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枯水期排放口到岸边的距离为1m，因此根据上述公式计算可得，在洢水河枯水期流量下混合过程段长度为2030m，因此污水排入洢水后，可以迅速混合均匀，由于不存在较长距离的混合过程段，因此本次枯水期预测河段仅涉及混合均匀河段。</w:t>
      </w:r>
    </w:p>
    <w:p>
      <w:pPr>
        <w:adjustRightInd w:val="0"/>
        <w:snapToGrid w:val="0"/>
        <w:spacing w:line="460" w:lineRule="exact"/>
        <w:ind w:firstLine="480" w:firstLineChars="200"/>
        <w:rPr>
          <w:rFonts w:hint="default" w:ascii="Times New Roman" w:hAnsi="Times New Roman" w:cs="Times New Roman"/>
          <w:color w:val="000000"/>
          <w:sz w:val="24"/>
          <w:highlight w:val="none"/>
          <w:u w:val="single"/>
        </w:rPr>
      </w:pPr>
      <w:r>
        <w:rPr>
          <w:rFonts w:hint="default" w:ascii="Times New Roman" w:hAnsi="Times New Roman" w:cs="Times New Roman"/>
          <w:color w:val="000000"/>
          <w:sz w:val="24"/>
          <w:highlight w:val="none"/>
          <w:u w:val="single"/>
        </w:rPr>
        <w:t>平水期排放口到岸边的距离为0m，因此根据上述公式计算可得，在洢水河枯水期流量下混合过程段长度为4980m，因此污水排入洢水后，可以迅速混合均匀，由于不存在较长距离的混合过程段，因此本次枯水期预测河段仅涉及混合均匀河段。</w:t>
      </w:r>
    </w:p>
    <w:p>
      <w:pPr>
        <w:adjustRightInd w:val="0"/>
        <w:snapToGrid w:val="0"/>
        <w:spacing w:line="460" w:lineRule="exact"/>
        <w:ind w:firstLine="480" w:firstLineChars="200"/>
        <w:jc w:val="left"/>
        <w:outlineLvl w:val="2"/>
        <w:rPr>
          <w:rFonts w:hint="default" w:ascii="Times New Roman" w:hAnsi="Times New Roman" w:cs="Times New Roman"/>
          <w:bCs/>
          <w:sz w:val="24"/>
          <w:highlight w:val="none"/>
          <w:u w:val="single"/>
        </w:rPr>
      </w:pPr>
      <w:bookmarkStart w:id="96" w:name="_Toc29808"/>
      <w:bookmarkStart w:id="97" w:name="_Toc18999"/>
      <w:r>
        <w:rPr>
          <w:rFonts w:hint="default" w:ascii="Times New Roman" w:hAnsi="Times New Roman" w:cs="Times New Roman"/>
          <w:bCs/>
          <w:sz w:val="24"/>
          <w:highlight w:val="none"/>
          <w:u w:val="single"/>
        </w:rPr>
        <w:t>（8）预测模型</w:t>
      </w:r>
      <w:bookmarkEnd w:id="96"/>
      <w:bookmarkEnd w:id="97"/>
    </w:p>
    <w:p>
      <w:pPr>
        <w:widowControl/>
        <w:adjustRightInd w:val="0"/>
        <w:snapToGrid w:val="0"/>
        <w:spacing w:line="460" w:lineRule="exact"/>
        <w:ind w:firstLine="480" w:firstLineChars="200"/>
        <w:jc w:val="left"/>
        <w:rPr>
          <w:rFonts w:hint="default" w:ascii="Times New Roman" w:hAnsi="Times New Roman" w:cs="Times New Roman"/>
          <w:sz w:val="24"/>
          <w:highlight w:val="none"/>
          <w:u w:val="single"/>
        </w:rPr>
      </w:pPr>
      <w:r>
        <w:rPr>
          <w:rFonts w:hint="default" w:ascii="Times New Roman" w:hAnsi="Times New Roman" w:cs="Times New Roman"/>
          <w:bCs/>
          <w:sz w:val="24"/>
          <w:highlight w:val="none"/>
          <w:u w:val="single"/>
        </w:rPr>
        <w:t>混合过程段</w:t>
      </w:r>
      <w:r>
        <w:rPr>
          <w:rFonts w:hint="default" w:ascii="Times New Roman" w:hAnsi="Times New Roman" w:cs="Times New Roman"/>
          <w:kern w:val="0"/>
          <w:sz w:val="24"/>
          <w:highlight w:val="none"/>
          <w:u w:val="single"/>
        </w:rPr>
        <w:t>预测模式采用HJ2.3-2018中平面二维数学模型，根据导则中的公式（E.35），不考虑岸边反射影响的宽浅型平直恒定均匀河流，岸边点源稳定排放，浓度公式为：</w:t>
      </w:r>
    </w:p>
    <w:p>
      <w:pPr>
        <w:widowControl/>
        <w:spacing w:line="360" w:lineRule="auto"/>
        <w:jc w:val="center"/>
        <w:rPr>
          <w:rFonts w:hint="default" w:ascii="Times New Roman" w:hAnsi="Times New Roman" w:cs="Times New Roman"/>
          <w:kern w:val="0"/>
          <w:highlight w:val="none"/>
          <w:u w:val="single"/>
        </w:rPr>
      </w:pPr>
      <w:r>
        <w:rPr>
          <w:rFonts w:hint="default" w:ascii="Times New Roman" w:hAnsi="Times New Roman" w:cs="Times New Roman"/>
          <w:highlight w:val="none"/>
          <w:u w:val="single"/>
        </w:rPr>
        <w:drawing>
          <wp:inline distT="0" distB="0" distL="0" distR="0">
            <wp:extent cx="4152900" cy="476250"/>
            <wp:effectExtent l="0" t="0" r="7620" b="11430"/>
            <wp:docPr id="38" name="图片 38" descr="C:\Users\ADMINI~1\AppData\Local\Temp\ksohtml7736\wp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1\AppData\Local\Temp\ksohtml7736\wps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a:xfrm>
                      <a:off x="0" y="0"/>
                      <a:ext cx="4152900" cy="476250"/>
                    </a:xfrm>
                    <a:prstGeom prst="rect">
                      <a:avLst/>
                    </a:prstGeom>
                    <a:noFill/>
                    <a:ln>
                      <a:noFill/>
                    </a:ln>
                  </pic:spPr>
                </pic:pic>
              </a:graphicData>
            </a:graphic>
          </wp:inline>
        </w:drawing>
      </w:r>
    </w:p>
    <w:p>
      <w:pPr>
        <w:widowControl/>
        <w:adjustRightInd w:val="0"/>
        <w:snapToGrid w:val="0"/>
        <w:spacing w:line="360" w:lineRule="auto"/>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式中：C（x,y）－污染带内任意一点（x,y）的预测浓度，mg/L；</w:t>
      </w:r>
    </w:p>
    <w:p>
      <w:pPr>
        <w:widowControl/>
        <w:adjustRightInd w:val="0"/>
        <w:snapToGrid w:val="0"/>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m－污染物排放速率，g/s；</w:t>
      </w:r>
    </w:p>
    <w:p>
      <w:pPr>
        <w:widowControl/>
        <w:adjustRightInd w:val="0"/>
        <w:snapToGrid w:val="0"/>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C</w:t>
      </w:r>
      <w:r>
        <w:rPr>
          <w:rFonts w:hint="default" w:ascii="Times New Roman" w:hAnsi="Times New Roman" w:cs="Times New Roman"/>
          <w:kern w:val="0"/>
          <w:sz w:val="24"/>
          <w:highlight w:val="none"/>
          <w:u w:val="single"/>
          <w:vertAlign w:val="subscript"/>
        </w:rPr>
        <w:t>h</w:t>
      </w:r>
      <w:r>
        <w:rPr>
          <w:rFonts w:hint="default" w:ascii="Times New Roman" w:hAnsi="Times New Roman" w:cs="Times New Roman"/>
          <w:kern w:val="0"/>
          <w:sz w:val="24"/>
          <w:highlight w:val="none"/>
          <w:u w:val="single"/>
        </w:rPr>
        <w:t>－河流上游污染物浓度，mg/L，取项目排污口上游500m监测结果平均值：COD7.3mg/L，氨氮0.121mg/L，总磷0.023mg/L；</w:t>
      </w:r>
    </w:p>
    <w:p>
      <w:pPr>
        <w:widowControl/>
        <w:adjustRightInd w:val="0"/>
        <w:snapToGrid w:val="0"/>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k－污染物综合衰减系数，s</w:t>
      </w:r>
      <w:r>
        <w:rPr>
          <w:rFonts w:hint="default" w:ascii="Times New Roman" w:hAnsi="Times New Roman" w:cs="Times New Roman"/>
          <w:kern w:val="0"/>
          <w:sz w:val="24"/>
          <w:highlight w:val="none"/>
          <w:u w:val="single"/>
          <w:vertAlign w:val="superscript"/>
        </w:rPr>
        <w:t>-1</w:t>
      </w:r>
      <w:r>
        <w:rPr>
          <w:rFonts w:hint="default" w:ascii="Times New Roman" w:hAnsi="Times New Roman" w:cs="Times New Roman"/>
          <w:kern w:val="0"/>
          <w:sz w:val="24"/>
          <w:highlight w:val="none"/>
          <w:u w:val="single"/>
        </w:rPr>
        <w:t>；</w:t>
      </w:r>
    </w:p>
    <w:p>
      <w:pPr>
        <w:widowControl/>
        <w:adjustRightInd w:val="0"/>
        <w:snapToGrid w:val="0"/>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E</w:t>
      </w:r>
      <w:r>
        <w:rPr>
          <w:rFonts w:hint="default" w:ascii="Times New Roman" w:hAnsi="Times New Roman" w:cs="Times New Roman"/>
          <w:kern w:val="0"/>
          <w:sz w:val="24"/>
          <w:highlight w:val="none"/>
          <w:u w:val="single"/>
          <w:vertAlign w:val="subscript"/>
        </w:rPr>
        <w:t>y</w:t>
      </w:r>
      <w:r>
        <w:rPr>
          <w:rFonts w:hint="default" w:ascii="Times New Roman" w:hAnsi="Times New Roman" w:cs="Times New Roman"/>
          <w:kern w:val="0"/>
          <w:sz w:val="24"/>
          <w:highlight w:val="none"/>
          <w:u w:val="single"/>
        </w:rPr>
        <w:t>－污染物横向扩散系数，m</w:t>
      </w:r>
      <w:r>
        <w:rPr>
          <w:rFonts w:hint="default" w:ascii="Times New Roman" w:hAnsi="Times New Roman" w:cs="Times New Roman"/>
          <w:kern w:val="0"/>
          <w:sz w:val="24"/>
          <w:highlight w:val="none"/>
          <w:u w:val="single"/>
          <w:vertAlign w:val="superscript"/>
        </w:rPr>
        <w:t>2</w:t>
      </w:r>
      <w:r>
        <w:rPr>
          <w:rFonts w:hint="default" w:ascii="Times New Roman" w:hAnsi="Times New Roman" w:cs="Times New Roman"/>
          <w:kern w:val="0"/>
          <w:sz w:val="24"/>
          <w:highlight w:val="none"/>
          <w:u w:val="single"/>
        </w:rPr>
        <w:t>/s；</w:t>
      </w:r>
    </w:p>
    <w:p>
      <w:pPr>
        <w:widowControl/>
        <w:adjustRightInd w:val="0"/>
        <w:snapToGrid w:val="0"/>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u－河段平均流速，m/s；</w:t>
      </w:r>
    </w:p>
    <w:p>
      <w:pPr>
        <w:widowControl/>
        <w:adjustRightInd w:val="0"/>
        <w:snapToGrid w:val="0"/>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h－河段平均水深，m；</w:t>
      </w:r>
    </w:p>
    <w:p>
      <w:pPr>
        <w:widowControl/>
        <w:adjustRightInd w:val="0"/>
        <w:snapToGrid w:val="0"/>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x－预测点至排污口的距离，m；</w:t>
      </w:r>
    </w:p>
    <w:p>
      <w:pPr>
        <w:widowControl/>
        <w:adjustRightInd w:val="0"/>
        <w:snapToGrid w:val="0"/>
        <w:spacing w:line="360" w:lineRule="auto"/>
        <w:ind w:firstLine="720" w:firstLineChars="300"/>
        <w:jc w:val="left"/>
        <w:rPr>
          <w:rFonts w:hint="default" w:ascii="Times New Roman" w:hAnsi="Times New Roman" w:cs="Times New Roman"/>
          <w:sz w:val="24"/>
          <w:highlight w:val="none"/>
          <w:u w:val="single"/>
        </w:rPr>
      </w:pPr>
      <w:r>
        <w:rPr>
          <w:rFonts w:hint="default" w:ascii="Times New Roman" w:hAnsi="Times New Roman" w:cs="Times New Roman"/>
          <w:kern w:val="0"/>
          <w:sz w:val="24"/>
          <w:highlight w:val="none"/>
          <w:u w:val="single"/>
        </w:rPr>
        <w:t>y－预测点至岸边的距离，m。</w:t>
      </w:r>
    </w:p>
    <w:p>
      <w:pPr>
        <w:widowControl/>
        <w:adjustRightInd w:val="0"/>
        <w:snapToGrid w:val="0"/>
        <w:spacing w:line="360" w:lineRule="auto"/>
        <w:ind w:firstLine="480" w:firstLineChars="200"/>
        <w:jc w:val="left"/>
        <w:outlineLvl w:val="2"/>
        <w:rPr>
          <w:rFonts w:hint="default" w:ascii="Times New Roman" w:hAnsi="Times New Roman" w:cs="Times New Roman"/>
          <w:kern w:val="0"/>
          <w:sz w:val="24"/>
          <w:highlight w:val="none"/>
          <w:u w:val="single"/>
        </w:rPr>
      </w:pPr>
      <w:bookmarkStart w:id="98" w:name="_Toc25129"/>
      <w:bookmarkStart w:id="99" w:name="_Toc31387"/>
      <w:r>
        <w:rPr>
          <w:rFonts w:hint="default" w:ascii="Times New Roman" w:hAnsi="Times New Roman" w:cs="Times New Roman"/>
          <w:kern w:val="0"/>
          <w:sz w:val="24"/>
          <w:highlight w:val="none"/>
          <w:u w:val="single"/>
        </w:rPr>
        <w:t>（9）枯水期正常排放结果预测</w:t>
      </w:r>
      <w:bookmarkEnd w:id="98"/>
      <w:bookmarkEnd w:id="99"/>
    </w:p>
    <w:p>
      <w:pPr>
        <w:widowControl/>
        <w:spacing w:line="360" w:lineRule="auto"/>
        <w:ind w:firstLine="480" w:firstLineChars="200"/>
        <w:jc w:val="left"/>
        <w:rPr>
          <w:rFonts w:hint="default" w:ascii="Times New Roman" w:hAnsi="Times New Roman" w:cs="Times New Roman"/>
          <w:bCs/>
          <w:sz w:val="24"/>
          <w:szCs w:val="24"/>
          <w:highlight w:val="none"/>
          <w:u w:val="single"/>
        </w:rPr>
        <w:sectPr>
          <w:pgSz w:w="11906" w:h="16838"/>
          <w:pgMar w:top="1644" w:right="1800" w:bottom="1814" w:left="1800" w:header="851" w:footer="992" w:gutter="0"/>
          <w:cols w:space="720" w:num="1"/>
          <w:docGrid w:type="lines" w:linePitch="312" w:charSpace="0"/>
        </w:sectPr>
      </w:pPr>
      <w:bookmarkStart w:id="100" w:name="_Ref64794166"/>
      <w:bookmarkEnd w:id="100"/>
    </w:p>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6-3 </w:t>
      </w:r>
      <w:r>
        <w:rPr>
          <w:rFonts w:hint="default" w:ascii="Times New Roman" w:hAnsi="Times New Roman" w:cs="Times New Roman"/>
          <w:b/>
          <w:sz w:val="24"/>
          <w:szCs w:val="24"/>
          <w:highlight w:val="none"/>
          <w:u w:val="single"/>
        </w:rPr>
        <w:t xml:space="preserve"> 枯水期正常排放COD对下游水质贡献值预测结果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53"/>
        <w:gridCol w:w="3881"/>
        <w:gridCol w:w="3881"/>
        <w:gridCol w:w="3881"/>
      </w:tblGrid>
      <w:tr>
        <w:tblPrEx>
          <w:tblCellMar>
            <w:top w:w="0" w:type="dxa"/>
            <w:left w:w="108" w:type="dxa"/>
            <w:bottom w:w="0" w:type="dxa"/>
            <w:right w:w="108" w:type="dxa"/>
          </w:tblCellMar>
        </w:tblPrEx>
        <w:trPr>
          <w:trHeight w:val="165" w:hRule="atLeast"/>
        </w:trPr>
        <w:tc>
          <w:tcPr>
            <w:tcW w:w="718"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 xml:space="preserve">  y</w:t>
            </w:r>
          </w:p>
          <w:p>
            <w:pP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x</w:t>
            </w:r>
          </w:p>
        </w:tc>
        <w:tc>
          <w:tcPr>
            <w:tcW w:w="4281" w:type="pct"/>
            <w:gridSpan w:val="3"/>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COD（mg/L）</w:t>
            </w:r>
          </w:p>
        </w:tc>
      </w:tr>
      <w:tr>
        <w:tblPrEx>
          <w:tblCellMar>
            <w:top w:w="0" w:type="dxa"/>
            <w:left w:w="108" w:type="dxa"/>
            <w:bottom w:w="0" w:type="dxa"/>
            <w:right w:w="108" w:type="dxa"/>
          </w:tblCellMar>
        </w:tblPrEx>
        <w:trPr>
          <w:trHeight w:val="157" w:hRule="atLeast"/>
        </w:trPr>
        <w:tc>
          <w:tcPr>
            <w:tcW w:w="71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42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sz w:val="22"/>
                <w:szCs w:val="22"/>
                <w:highlight w:val="none"/>
                <w:u w:val="single"/>
                <w:lang w:bidi="ar"/>
                <w14:textFill>
                  <w14:solidFill>
                    <w14:schemeClr w14:val="tx1"/>
                  </w14:solidFill>
                </w14:textFill>
              </w:rPr>
              <w:t>2</w:t>
            </w:r>
          </w:p>
        </w:tc>
        <w:tc>
          <w:tcPr>
            <w:tcW w:w="142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sz w:val="22"/>
                <w:szCs w:val="22"/>
                <w:highlight w:val="none"/>
                <w:u w:val="single"/>
                <w:lang w:bidi="ar"/>
                <w14:textFill>
                  <w14:solidFill>
                    <w14:schemeClr w14:val="tx1"/>
                  </w14:solidFill>
                </w14:textFill>
              </w:rPr>
              <w:t>6</w:t>
            </w:r>
          </w:p>
        </w:tc>
        <w:tc>
          <w:tcPr>
            <w:tcW w:w="142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sz w:val="22"/>
                <w:szCs w:val="22"/>
                <w:highlight w:val="none"/>
                <w:u w:val="single"/>
                <w:lang w:bidi="ar"/>
                <w14:textFill>
                  <w14:solidFill>
                    <w14:schemeClr w14:val="tx1"/>
                  </w14:solidFill>
                </w14:textFill>
              </w:rPr>
              <w:t>10</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7.31587620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7.41193595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7.49669710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7.30000093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r>
      <w:tr>
        <w:tblPrEx>
          <w:tblCellMar>
            <w:top w:w="0" w:type="dxa"/>
            <w:left w:w="108" w:type="dxa"/>
            <w:bottom w:w="0" w:type="dxa"/>
            <w:right w:w="108" w:type="dxa"/>
          </w:tblCellMar>
        </w:tblPrEx>
        <w:trPr>
          <w:trHeight w:val="90" w:hRule="atLeast"/>
        </w:trPr>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7.58125685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7.30017904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7.61481618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7.30794298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7.30000506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7.50232854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7.39692647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7.32224400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7.44880422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7.40299304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7.34933931 </w:t>
            </w:r>
          </w:p>
        </w:tc>
      </w:tr>
      <w:tr>
        <w:tblPrEx>
          <w:tblCellMar>
            <w:top w:w="0" w:type="dxa"/>
            <w:left w:w="108" w:type="dxa"/>
            <w:bottom w:w="0" w:type="dxa"/>
            <w:right w:w="108" w:type="dxa"/>
          </w:tblCellMar>
        </w:tblPrEx>
        <w:trPr>
          <w:trHeight w:val="90" w:hRule="atLeast"/>
        </w:trPr>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7.38625029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7.37629418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7.35969709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7.37949422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7.37156098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7.35799063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7.37398611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7.36748361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7.35614287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7.36937867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7.36393125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7.35428598 </w:t>
            </w:r>
          </w:p>
        </w:tc>
      </w:tr>
    </w:tbl>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6-4 </w:t>
      </w:r>
      <w:r>
        <w:rPr>
          <w:rFonts w:hint="default" w:ascii="Times New Roman" w:hAnsi="Times New Roman" w:cs="Times New Roman"/>
          <w:b/>
          <w:sz w:val="24"/>
          <w:szCs w:val="24"/>
          <w:highlight w:val="none"/>
          <w:u w:val="single"/>
        </w:rPr>
        <w:t xml:space="preserve"> 枯水期正常排放NH</w:t>
      </w:r>
      <w:r>
        <w:rPr>
          <w:rFonts w:hint="default" w:ascii="Times New Roman" w:hAnsi="Times New Roman" w:cs="Times New Roman"/>
          <w:b/>
          <w:sz w:val="24"/>
          <w:szCs w:val="24"/>
          <w:highlight w:val="none"/>
          <w:u w:val="single"/>
          <w:vertAlign w:val="subscript"/>
        </w:rPr>
        <w:t>3</w:t>
      </w:r>
      <w:r>
        <w:rPr>
          <w:rFonts w:hint="default" w:ascii="Times New Roman" w:hAnsi="Times New Roman" w:cs="Times New Roman"/>
          <w:b/>
          <w:sz w:val="24"/>
          <w:szCs w:val="24"/>
          <w:highlight w:val="none"/>
          <w:u w:val="single"/>
        </w:rPr>
        <w:t>-N对下游水质贡献值预测结果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53"/>
        <w:gridCol w:w="3881"/>
        <w:gridCol w:w="3881"/>
        <w:gridCol w:w="3881"/>
      </w:tblGrid>
      <w:tr>
        <w:tblPrEx>
          <w:tblCellMar>
            <w:top w:w="0" w:type="dxa"/>
            <w:left w:w="108" w:type="dxa"/>
            <w:bottom w:w="0" w:type="dxa"/>
            <w:right w:w="108" w:type="dxa"/>
          </w:tblCellMar>
        </w:tblPrEx>
        <w:trPr>
          <w:trHeight w:val="165" w:hRule="atLeast"/>
        </w:trPr>
        <w:tc>
          <w:tcPr>
            <w:tcW w:w="1953" w:type="dxa"/>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bookmarkStart w:id="101" w:name="_Ref64794175"/>
            <w:bookmarkEnd w:id="101"/>
            <w:r>
              <w:rPr>
                <w:rFonts w:hint="default" w:ascii="Times New Roman" w:hAnsi="Times New Roman" w:cs="Times New Roman"/>
                <w:color w:val="000000" w:themeColor="text1"/>
                <w:highlight w:val="none"/>
                <w:u w:val="single"/>
                <w14:textFill>
                  <w14:solidFill>
                    <w14:schemeClr w14:val="tx1"/>
                  </w14:solidFill>
                </w14:textFill>
              </w:rPr>
              <w:t xml:space="preserve">  y</w:t>
            </w:r>
          </w:p>
          <w:p>
            <w:pPr>
              <w:rPr>
                <w:rFonts w:hint="default" w:ascii="Times New Roman" w:hAnsi="Times New Roman" w:cs="Times New Roman"/>
                <w:highlight w:val="none"/>
                <w:u w:val="single"/>
              </w:rPr>
            </w:pPr>
            <w:r>
              <w:rPr>
                <w:rFonts w:hint="default" w:ascii="Times New Roman" w:hAnsi="Times New Roman" w:cs="Times New Roman"/>
                <w:color w:val="000000" w:themeColor="text1"/>
                <w:highlight w:val="none"/>
                <w:u w:val="single"/>
                <w14:textFill>
                  <w14:solidFill>
                    <w14:schemeClr w14:val="tx1"/>
                  </w14:solidFill>
                </w14:textFill>
              </w:rPr>
              <w:t>x</w:t>
            </w:r>
          </w:p>
        </w:tc>
        <w:tc>
          <w:tcPr>
            <w:tcW w:w="11643" w:type="dxa"/>
            <w:gridSpan w:val="3"/>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NH</w:t>
            </w:r>
            <w:r>
              <w:rPr>
                <w:rFonts w:hint="default" w:ascii="Times New Roman" w:hAnsi="Times New Roman" w:cs="Times New Roman"/>
                <w:color w:val="000000" w:themeColor="text1"/>
                <w:highlight w:val="none"/>
                <w:u w:val="single"/>
                <w:vertAlign w:val="subscript"/>
                <w14:textFill>
                  <w14:solidFill>
                    <w14:schemeClr w14:val="tx1"/>
                  </w14:solidFill>
                </w14:textFill>
              </w:rPr>
              <w:t>3</w:t>
            </w:r>
            <w:r>
              <w:rPr>
                <w:rFonts w:hint="default" w:ascii="Times New Roman" w:hAnsi="Times New Roman" w:cs="Times New Roman"/>
                <w:color w:val="000000" w:themeColor="text1"/>
                <w:highlight w:val="none"/>
                <w:u w:val="single"/>
                <w14:textFill>
                  <w14:solidFill>
                    <w14:schemeClr w14:val="tx1"/>
                  </w14:solidFill>
                </w14:textFill>
              </w:rPr>
              <w:t>-N（mg/L）</w:t>
            </w:r>
          </w:p>
        </w:tc>
      </w:tr>
      <w:tr>
        <w:tblPrEx>
          <w:tblCellMar>
            <w:top w:w="0" w:type="dxa"/>
            <w:left w:w="108" w:type="dxa"/>
            <w:bottom w:w="0" w:type="dxa"/>
            <w:right w:w="108" w:type="dxa"/>
          </w:tblCellMar>
        </w:tblPrEx>
        <w:trPr>
          <w:trHeight w:val="157" w:hRule="atLeast"/>
        </w:trPr>
        <w:tc>
          <w:tcPr>
            <w:tcW w:w="1953"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highlight w:val="none"/>
                <w:u w:val="single"/>
              </w:rPr>
            </w:pP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rPr>
          <w:trHeight w:val="249" w:hRule="atLeast"/>
        </w:trPr>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0.12311683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0.12100000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0.12100000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0.13592479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0.12100000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0.12100000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0.14722628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0.12100012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0.12100000 </w:t>
            </w:r>
          </w:p>
        </w:tc>
      </w:tr>
      <w:tr>
        <w:tblPrEx>
          <w:tblCellMar>
            <w:top w:w="0" w:type="dxa"/>
            <w:left w:w="108" w:type="dxa"/>
            <w:bottom w:w="0" w:type="dxa"/>
            <w:right w:w="108" w:type="dxa"/>
          </w:tblCellMar>
        </w:tblPrEx>
        <w:trPr>
          <w:trHeight w:val="90" w:hRule="atLeast"/>
        </w:trPr>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0.15850091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0.12102387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0.12100000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0.16297549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0.12205906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0.12100067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0.14797714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0.13392353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0.12396587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0.14084056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0.13473240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0.12757858 </w:t>
            </w:r>
          </w:p>
        </w:tc>
      </w:tr>
      <w:tr>
        <w:tblPrEx>
          <w:tblCellMar>
            <w:top w:w="0" w:type="dxa"/>
            <w:left w:w="108" w:type="dxa"/>
            <w:bottom w:w="0" w:type="dxa"/>
            <w:right w:w="108" w:type="dxa"/>
          </w:tblCellMar>
        </w:tblPrEx>
        <w:trPr>
          <w:trHeight w:val="90" w:hRule="atLeast"/>
        </w:trPr>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0.13250004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0.13117256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0.12895961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0.13159923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0.13054146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0.12873208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0.13086481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0.12999782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0.12848572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0.13025049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0.12952417 </w:t>
            </w:r>
          </w:p>
        </w:tc>
        <w:tc>
          <w:tcPr>
            <w:tcW w:w="3881"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0.12823813 </w:t>
            </w:r>
          </w:p>
        </w:tc>
      </w:tr>
    </w:tbl>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6-5 </w:t>
      </w:r>
      <w:r>
        <w:rPr>
          <w:rFonts w:hint="default" w:ascii="Times New Roman" w:hAnsi="Times New Roman" w:cs="Times New Roman"/>
          <w:b/>
          <w:sz w:val="24"/>
          <w:szCs w:val="24"/>
          <w:highlight w:val="none"/>
          <w:u w:val="single"/>
        </w:rPr>
        <w:t xml:space="preserve"> 枯水期正常排放TP对下游水质贡献值预测结果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66"/>
        <w:gridCol w:w="3876"/>
        <w:gridCol w:w="3876"/>
        <w:gridCol w:w="3878"/>
      </w:tblGrid>
      <w:tr>
        <w:tblPrEx>
          <w:tblCellMar>
            <w:top w:w="0" w:type="dxa"/>
            <w:left w:w="108" w:type="dxa"/>
            <w:bottom w:w="0" w:type="dxa"/>
            <w:right w:w="108" w:type="dxa"/>
          </w:tblCellMar>
        </w:tblPrEx>
        <w:trPr>
          <w:trHeight w:val="165" w:hRule="atLeast"/>
        </w:trPr>
        <w:tc>
          <w:tcPr>
            <w:tcW w:w="723"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276" w:type="pct"/>
            <w:gridSpan w:val="3"/>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TP（mg/L）</w:t>
            </w:r>
          </w:p>
        </w:tc>
      </w:tr>
      <w:tr>
        <w:tblPrEx>
          <w:tblCellMar>
            <w:top w:w="0" w:type="dxa"/>
            <w:left w:w="108" w:type="dxa"/>
            <w:bottom w:w="0" w:type="dxa"/>
            <w:right w:w="108" w:type="dxa"/>
          </w:tblCellMar>
        </w:tblPrEx>
        <w:trPr>
          <w:trHeight w:val="157" w:hRule="atLeast"/>
        </w:trPr>
        <w:tc>
          <w:tcPr>
            <w:tcW w:w="723"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rPr>
          <w:trHeight w:val="249"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0.02326460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0.02486560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0.02627829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0.02300002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r>
      <w:tr>
        <w:trPr>
          <w:trHeight w:val="90"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0.02768761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0.02300298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r>
      <w:t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0.02824694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0.02313238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0.02300008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0.02637214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0.02461544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0.02337073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0.02548007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0.02471655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0.02382232 </w:t>
            </w:r>
          </w:p>
        </w:tc>
      </w:tr>
      <w:tr>
        <w:tblPrEx>
          <w:tblCellMar>
            <w:top w:w="0" w:type="dxa"/>
            <w:left w:w="108" w:type="dxa"/>
            <w:bottom w:w="0" w:type="dxa"/>
            <w:right w:w="108" w:type="dxa"/>
          </w:tblCellMar>
        </w:tblPrEx>
        <w:trPr>
          <w:trHeight w:val="90"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0.02443750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0.02427157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0.02399495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0.02432490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0.02419268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0.02396651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0.02423310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0.02412473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0.02393571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0.02415631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0.02406552 </w:t>
            </w:r>
          </w:p>
        </w:tc>
        <w:tc>
          <w:tcPr>
            <w:tcW w:w="387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0.02390477 </w:t>
            </w:r>
          </w:p>
        </w:tc>
      </w:tr>
    </w:tbl>
    <w:p>
      <w:pPr>
        <w:spacing w:line="360" w:lineRule="auto"/>
        <w:ind w:firstLine="480" w:firstLineChars="200"/>
        <w:jc w:val="left"/>
        <w:rPr>
          <w:rFonts w:hint="default" w:ascii="Times New Roman" w:hAnsi="Times New Roman" w:cs="Times New Roman"/>
          <w:bCs/>
          <w:sz w:val="24"/>
          <w:highlight w:val="none"/>
          <w:u w:val="single"/>
        </w:rPr>
      </w:pPr>
      <w:r>
        <w:rPr>
          <w:rFonts w:hint="default" w:ascii="Times New Roman" w:hAnsi="Times New Roman" w:cs="Times New Roman"/>
          <w:bCs/>
          <w:sz w:val="24"/>
          <w:highlight w:val="none"/>
          <w:u w:val="single"/>
        </w:rPr>
        <w:t>由</w:t>
      </w:r>
      <w:r>
        <w:rPr>
          <w:rFonts w:hint="default" w:ascii="Times New Roman" w:hAnsi="Times New Roman" w:cs="Times New Roman"/>
          <w:sz w:val="24"/>
          <w:highlight w:val="none"/>
          <w:u w:val="single"/>
        </w:rPr>
        <w:t>上述预测结果</w:t>
      </w:r>
      <w:r>
        <w:rPr>
          <w:rFonts w:hint="default" w:ascii="Times New Roman" w:hAnsi="Times New Roman" w:cs="Times New Roman"/>
          <w:bCs/>
          <w:sz w:val="24"/>
          <w:highlight w:val="none"/>
          <w:u w:val="single"/>
        </w:rPr>
        <w:t>可知，项目尾水正常排放下COD、NH</w:t>
      </w:r>
      <w:r>
        <w:rPr>
          <w:rFonts w:hint="default" w:ascii="Times New Roman" w:hAnsi="Times New Roman" w:cs="Times New Roman"/>
          <w:bCs/>
          <w:sz w:val="24"/>
          <w:highlight w:val="none"/>
          <w:u w:val="single"/>
          <w:vertAlign w:val="subscript"/>
        </w:rPr>
        <w:t>3</w:t>
      </w:r>
      <w:r>
        <w:rPr>
          <w:rFonts w:hint="default" w:ascii="Times New Roman" w:hAnsi="Times New Roman" w:cs="Times New Roman"/>
          <w:bCs/>
          <w:sz w:val="24"/>
          <w:highlight w:val="none"/>
          <w:u w:val="single"/>
        </w:rPr>
        <w:t>-N、TP在洢水河枯水水期沿程污染物浓度均符合《地表水环境质量标准》（GB3838-2002）Ⅱ类水质标准，对洢水河水质影响较小。</w:t>
      </w: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outlineLvl w:val="2"/>
        <w:rPr>
          <w:rFonts w:hint="default" w:ascii="Times New Roman" w:hAnsi="Times New Roman" w:cs="Times New Roman"/>
          <w:bCs/>
          <w:sz w:val="24"/>
          <w:highlight w:val="none"/>
          <w:u w:val="single"/>
        </w:rPr>
      </w:pPr>
      <w:bookmarkStart w:id="102" w:name="_Toc5348"/>
      <w:bookmarkStart w:id="103" w:name="_Toc22949"/>
      <w:r>
        <w:rPr>
          <w:rFonts w:hint="default" w:ascii="Times New Roman" w:hAnsi="Times New Roman" w:cs="Times New Roman"/>
          <w:bCs/>
          <w:sz w:val="24"/>
          <w:highlight w:val="none"/>
          <w:u w:val="single"/>
        </w:rPr>
        <w:t>（10）枯水期事故排放预测结果</w:t>
      </w:r>
      <w:bookmarkEnd w:id="102"/>
      <w:bookmarkEnd w:id="103"/>
    </w:p>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6-6  </w:t>
      </w:r>
      <w:r>
        <w:rPr>
          <w:rFonts w:hint="default" w:ascii="Times New Roman" w:hAnsi="Times New Roman" w:cs="Times New Roman"/>
          <w:b/>
          <w:sz w:val="24"/>
          <w:szCs w:val="24"/>
          <w:highlight w:val="none"/>
          <w:u w:val="single"/>
        </w:rPr>
        <w:t>枯水期事故排放COD对下游水质贡献值预测结果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66"/>
        <w:gridCol w:w="3876"/>
        <w:gridCol w:w="3876"/>
        <w:gridCol w:w="3878"/>
      </w:tblGrid>
      <w:tr>
        <w:tblPrEx>
          <w:tblCellMar>
            <w:top w:w="0" w:type="dxa"/>
            <w:left w:w="108" w:type="dxa"/>
            <w:bottom w:w="0" w:type="dxa"/>
            <w:right w:w="108" w:type="dxa"/>
          </w:tblCellMar>
        </w:tblPrEx>
        <w:trPr>
          <w:trHeight w:val="165" w:hRule="atLeast"/>
        </w:trPr>
        <w:tc>
          <w:tcPr>
            <w:tcW w:w="723"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 xml:space="preserve">  y</w:t>
            </w:r>
          </w:p>
          <w:p>
            <w:pPr>
              <w:rPr>
                <w:rFonts w:hint="default" w:ascii="Times New Roman" w:hAnsi="Times New Roman" w:cs="Times New Roman"/>
                <w:highlight w:val="none"/>
                <w:u w:val="single"/>
              </w:rPr>
            </w:pPr>
            <w:r>
              <w:rPr>
                <w:rFonts w:hint="default" w:ascii="Times New Roman" w:hAnsi="Times New Roman" w:cs="Times New Roman"/>
                <w:highlight w:val="none"/>
                <w:u w:val="single"/>
              </w:rPr>
              <w:t>x</w:t>
            </w:r>
          </w:p>
        </w:tc>
        <w:tc>
          <w:tcPr>
            <w:tcW w:w="4276" w:type="pct"/>
            <w:gridSpan w:val="3"/>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COD（mg/L）</w:t>
            </w:r>
          </w:p>
        </w:tc>
      </w:tr>
      <w:tr>
        <w:tblPrEx>
          <w:tblCellMar>
            <w:top w:w="0" w:type="dxa"/>
            <w:left w:w="108" w:type="dxa"/>
            <w:bottom w:w="0" w:type="dxa"/>
            <w:right w:w="108" w:type="dxa"/>
          </w:tblCellMar>
        </w:tblPrEx>
        <w:trPr>
          <w:trHeight w:val="157" w:hRule="atLeast"/>
        </w:trPr>
        <w:tc>
          <w:tcPr>
            <w:tcW w:w="723"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highlight w:val="none"/>
                <w:u w:val="single"/>
              </w:rPr>
            </w:pP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7.35821273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7.71043183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8.02122271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7.30000340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r>
      <w:tr>
        <w:tblPrEx>
          <w:tblCellMar>
            <w:top w:w="0" w:type="dxa"/>
            <w:left w:w="108" w:type="dxa"/>
            <w:bottom w:w="0" w:type="dxa"/>
            <w:right w:w="108" w:type="dxa"/>
          </w:tblCellMar>
        </w:tblPrEx>
        <w:trPr>
          <w:trHeight w:val="90"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8.33127511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7.30065649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8.45432601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7.32912425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7.30001854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8.04187133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7.65539706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7.38156133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7.84561547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7.67764114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7.48091082 </w:t>
            </w:r>
          </w:p>
        </w:tc>
      </w:tr>
      <w:tr>
        <w:tblPrEx>
          <w:tblCellMar>
            <w:top w:w="0" w:type="dxa"/>
            <w:left w:w="108" w:type="dxa"/>
            <w:bottom w:w="0" w:type="dxa"/>
            <w:right w:w="108" w:type="dxa"/>
          </w:tblCellMar>
        </w:tblPrEx>
        <w:trPr>
          <w:trHeight w:val="90"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7.61625106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7.57974534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7.51888934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7.59147881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7.56239028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7.51263230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7.57128239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7.54743992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7.50585720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7.55438845 </w:t>
            </w:r>
          </w:p>
        </w:tc>
        <w:tc>
          <w:tcPr>
            <w:tcW w:w="1425"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7.53441459 </w:t>
            </w:r>
          </w:p>
        </w:tc>
        <w:tc>
          <w:tcPr>
            <w:tcW w:w="142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7.49904861 </w:t>
            </w:r>
          </w:p>
        </w:tc>
      </w:tr>
    </w:tbl>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6-7 </w:t>
      </w:r>
      <w:r>
        <w:rPr>
          <w:rFonts w:hint="default" w:ascii="Times New Roman" w:hAnsi="Times New Roman" w:cs="Times New Roman"/>
          <w:b/>
          <w:sz w:val="24"/>
          <w:szCs w:val="24"/>
          <w:highlight w:val="none"/>
          <w:u w:val="single"/>
        </w:rPr>
        <w:t xml:space="preserve"> 枯水期事故排放NH</w:t>
      </w:r>
      <w:r>
        <w:rPr>
          <w:rFonts w:hint="default" w:ascii="Times New Roman" w:hAnsi="Times New Roman" w:cs="Times New Roman"/>
          <w:b/>
          <w:sz w:val="24"/>
          <w:szCs w:val="24"/>
          <w:highlight w:val="none"/>
          <w:u w:val="single"/>
          <w:vertAlign w:val="subscript"/>
        </w:rPr>
        <w:t>3</w:t>
      </w:r>
      <w:r>
        <w:rPr>
          <w:rFonts w:hint="default" w:ascii="Times New Roman" w:hAnsi="Times New Roman" w:cs="Times New Roman"/>
          <w:b/>
          <w:sz w:val="24"/>
          <w:szCs w:val="24"/>
          <w:highlight w:val="none"/>
          <w:u w:val="single"/>
        </w:rPr>
        <w:t>-N对下游水质贡献值预测结果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80"/>
        <w:gridCol w:w="3870"/>
        <w:gridCol w:w="3870"/>
        <w:gridCol w:w="3876"/>
      </w:tblGrid>
      <w:tr>
        <w:tblPrEx>
          <w:tblCellMar>
            <w:top w:w="0" w:type="dxa"/>
            <w:left w:w="108" w:type="dxa"/>
            <w:bottom w:w="0" w:type="dxa"/>
            <w:right w:w="108" w:type="dxa"/>
          </w:tblCellMar>
        </w:tblPrEx>
        <w:trPr>
          <w:trHeight w:val="165" w:hRule="atLeast"/>
        </w:trPr>
        <w:tc>
          <w:tcPr>
            <w:tcW w:w="728"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bookmarkStart w:id="104" w:name="_Ref65761902"/>
            <w:bookmarkEnd w:id="104"/>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271" w:type="pct"/>
            <w:gridSpan w:val="3"/>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NH</w:t>
            </w:r>
            <w:r>
              <w:rPr>
                <w:rFonts w:hint="default" w:ascii="Times New Roman" w:hAnsi="Times New Roman" w:cs="Times New Roman"/>
                <w:color w:val="000000" w:themeColor="text1"/>
                <w:highlight w:val="none"/>
                <w:u w:val="single"/>
                <w:vertAlign w:val="subscript"/>
                <w14:textFill>
                  <w14:solidFill>
                    <w14:schemeClr w14:val="tx1"/>
                  </w14:solidFill>
                </w14:textFill>
              </w:rPr>
              <w:t>3</w:t>
            </w:r>
            <w:r>
              <w:rPr>
                <w:rFonts w:hint="default" w:ascii="Times New Roman" w:hAnsi="Times New Roman" w:cs="Times New Roman"/>
                <w:color w:val="000000" w:themeColor="text1"/>
                <w:highlight w:val="none"/>
                <w:u w:val="single"/>
                <w14:textFill>
                  <w14:solidFill>
                    <w14:schemeClr w14:val="tx1"/>
                  </w14:solidFill>
                </w14:textFill>
              </w:rPr>
              <w:t>-N</w:t>
            </w:r>
            <w:r>
              <w:rPr>
                <w:rFonts w:hint="default" w:ascii="Times New Roman" w:hAnsi="Times New Roman" w:cs="Times New Roman"/>
                <w:color w:val="000000"/>
                <w:kern w:val="0"/>
                <w:highlight w:val="none"/>
                <w:u w:val="single"/>
                <w:lang w:bidi="ar"/>
              </w:rPr>
              <w:t>（mg/L）</w:t>
            </w:r>
          </w:p>
        </w:tc>
      </w:tr>
      <w:tr>
        <w:tblPrEx>
          <w:tblCellMar>
            <w:top w:w="0" w:type="dxa"/>
            <w:left w:w="108" w:type="dxa"/>
            <w:bottom w:w="0" w:type="dxa"/>
            <w:right w:w="108" w:type="dxa"/>
          </w:tblCellMar>
        </w:tblPrEx>
        <w:trPr>
          <w:trHeight w:val="157" w:hRule="atLeast"/>
        </w:trPr>
        <w:tc>
          <w:tcPr>
            <w:tcW w:w="72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42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42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423"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12</w:t>
            </w:r>
          </w:p>
        </w:tc>
      </w:tr>
      <w:tr>
        <w:tblPrEx>
          <w:tblCellMar>
            <w:top w:w="0" w:type="dxa"/>
            <w:left w:w="108" w:type="dxa"/>
            <w:bottom w:w="0" w:type="dxa"/>
            <w:right w:w="108" w:type="dxa"/>
          </w:tblCellMar>
        </w:tblPrEx>
        <w:trPr>
          <w:trHeight w:val="249" w:hRule="atLeast"/>
        </w:trPr>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0.12311683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0.13592479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0.14722628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0.12100012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rPr>
          <w:trHeight w:val="90" w:hRule="atLeast"/>
        </w:trPr>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0.15850091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0.12102387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0.16297549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0.12205906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0.12100067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0.14797714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0.13392353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0.12396587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0.14084056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0.13473240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0.12757858 </w:t>
            </w:r>
          </w:p>
        </w:tc>
      </w:tr>
      <w:tr>
        <w:tblPrEx>
          <w:tblCellMar>
            <w:top w:w="0" w:type="dxa"/>
            <w:left w:w="108" w:type="dxa"/>
            <w:bottom w:w="0" w:type="dxa"/>
            <w:right w:w="108" w:type="dxa"/>
          </w:tblCellMar>
        </w:tblPrEx>
        <w:trPr>
          <w:trHeight w:val="90" w:hRule="atLeast"/>
        </w:trPr>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0.13250004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0.13117256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0.12895961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0.13159923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0.13054146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0.12873208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0.13086481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0.12999782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0.12848572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0.13025049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0.12952417 </w:t>
            </w:r>
          </w:p>
        </w:tc>
        <w:tc>
          <w:tcPr>
            <w:tcW w:w="3876"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0.12823813 </w:t>
            </w:r>
          </w:p>
        </w:tc>
      </w:tr>
    </w:tbl>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6-8  </w:t>
      </w:r>
      <w:r>
        <w:rPr>
          <w:rFonts w:hint="default" w:ascii="Times New Roman" w:hAnsi="Times New Roman" w:cs="Times New Roman"/>
          <w:b/>
          <w:sz w:val="24"/>
          <w:szCs w:val="24"/>
          <w:highlight w:val="none"/>
          <w:u w:val="single"/>
        </w:rPr>
        <w:t>枯水期事故排放TP对下游水质贡献值预测结果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96"/>
        <w:gridCol w:w="3865"/>
        <w:gridCol w:w="3865"/>
        <w:gridCol w:w="3870"/>
      </w:tblGrid>
      <w:tr>
        <w:tblPrEx>
          <w:tblCellMar>
            <w:top w:w="0" w:type="dxa"/>
            <w:left w:w="108" w:type="dxa"/>
            <w:bottom w:w="0" w:type="dxa"/>
            <w:right w:w="108" w:type="dxa"/>
          </w:tblCellMar>
        </w:tblPrEx>
        <w:trPr>
          <w:trHeight w:val="165" w:hRule="atLeast"/>
        </w:trPr>
        <w:tc>
          <w:tcPr>
            <w:tcW w:w="734"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265" w:type="pct"/>
            <w:gridSpan w:val="3"/>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TP（mg/L）</w:t>
            </w:r>
          </w:p>
        </w:tc>
      </w:tr>
      <w:tr>
        <w:tblPrEx>
          <w:tblCellMar>
            <w:top w:w="0" w:type="dxa"/>
            <w:left w:w="108" w:type="dxa"/>
            <w:bottom w:w="0" w:type="dxa"/>
            <w:right w:w="108" w:type="dxa"/>
          </w:tblCellMar>
        </w:tblPrEx>
        <w:trPr>
          <w:trHeight w:val="157" w:hRule="atLeast"/>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42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42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422"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r>
      <w:tr>
        <w:tblPrEx>
          <w:tblCellMar>
            <w:top w:w="0" w:type="dxa"/>
            <w:left w:w="108" w:type="dxa"/>
            <w:bottom w:w="0" w:type="dxa"/>
            <w:right w:w="108" w:type="dxa"/>
          </w:tblCellMar>
        </w:tblPrEx>
        <w:trPr>
          <w:trHeight w:val="249" w:hRule="atLeast"/>
        </w:trPr>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0.02326460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0.02486560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0.02627829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0.02300002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r>
      <w:tr>
        <w:tblPrEx>
          <w:tblCellMar>
            <w:top w:w="0" w:type="dxa"/>
            <w:left w:w="108" w:type="dxa"/>
            <w:bottom w:w="0" w:type="dxa"/>
            <w:right w:w="108" w:type="dxa"/>
          </w:tblCellMar>
        </w:tblPrEx>
        <w:trPr>
          <w:trHeight w:val="90" w:hRule="atLeast"/>
        </w:trPr>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0.02768761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0.02300298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0.02300000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0.02824694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0.02313238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0.02300008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0.02637214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0.02461544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0.02337073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0.02548007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0.02471655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0.02382232 </w:t>
            </w:r>
          </w:p>
        </w:tc>
      </w:tr>
      <w:tr>
        <w:tblPrEx>
          <w:tblCellMar>
            <w:top w:w="0" w:type="dxa"/>
            <w:left w:w="108" w:type="dxa"/>
            <w:bottom w:w="0" w:type="dxa"/>
            <w:right w:w="108" w:type="dxa"/>
          </w:tblCellMar>
        </w:tblPrEx>
        <w:trPr>
          <w:trHeight w:val="90" w:hRule="atLeast"/>
        </w:trPr>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0.02443750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0.02427157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0.02399495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0.02432490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0.02419268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0.02396651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0.02423310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0.02412473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0.02393571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0.02415631 </w:t>
            </w:r>
          </w:p>
        </w:tc>
        <w:tc>
          <w:tcPr>
            <w:tcW w:w="3865"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0.02406552 </w:t>
            </w:r>
          </w:p>
        </w:tc>
        <w:tc>
          <w:tcPr>
            <w:tcW w:w="387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0.02390477 </w:t>
            </w:r>
          </w:p>
        </w:tc>
      </w:tr>
    </w:tbl>
    <w:p>
      <w:pPr>
        <w:spacing w:line="360" w:lineRule="auto"/>
        <w:ind w:firstLine="480" w:firstLineChars="200"/>
        <w:jc w:val="left"/>
        <w:rPr>
          <w:rFonts w:hint="default" w:ascii="Times New Roman" w:hAnsi="Times New Roman" w:cs="Times New Roman"/>
          <w:bCs/>
          <w:sz w:val="24"/>
          <w:highlight w:val="none"/>
          <w:u w:val="single"/>
        </w:rPr>
        <w:sectPr>
          <w:pgSz w:w="16838" w:h="11906" w:orient="landscape"/>
          <w:pgMar w:top="1800" w:right="1644" w:bottom="1800" w:left="1814" w:header="851" w:footer="992" w:gutter="0"/>
          <w:cols w:space="720" w:num="1"/>
          <w:docGrid w:type="lines" w:linePitch="312" w:charSpace="0"/>
        </w:sectPr>
      </w:pPr>
      <w:r>
        <w:rPr>
          <w:rFonts w:hint="default" w:ascii="Times New Roman" w:hAnsi="Times New Roman" w:cs="Times New Roman"/>
          <w:bCs/>
          <w:sz w:val="24"/>
          <w:highlight w:val="none"/>
          <w:u w:val="single"/>
        </w:rPr>
        <w:t>根据</w:t>
      </w:r>
      <w:r>
        <w:rPr>
          <w:rFonts w:hint="default" w:ascii="Times New Roman" w:hAnsi="Times New Roman" w:cs="Times New Roman"/>
          <w:sz w:val="24"/>
          <w:highlight w:val="none"/>
          <w:u w:val="single"/>
        </w:rPr>
        <w:t>上述</w:t>
      </w:r>
      <w:r>
        <w:rPr>
          <w:rFonts w:hint="default" w:ascii="Times New Roman" w:hAnsi="Times New Roman" w:cs="Times New Roman"/>
          <w:bCs/>
          <w:sz w:val="24"/>
          <w:highlight w:val="none"/>
          <w:u w:val="single"/>
        </w:rPr>
        <w:t>预测结果可知，事故排放情况下，COD、NH</w:t>
      </w:r>
      <w:r>
        <w:rPr>
          <w:rFonts w:hint="default" w:ascii="Times New Roman" w:hAnsi="Times New Roman" w:cs="Times New Roman"/>
          <w:bCs/>
          <w:sz w:val="24"/>
          <w:highlight w:val="none"/>
          <w:u w:val="single"/>
          <w:vertAlign w:val="subscript"/>
        </w:rPr>
        <w:t>3</w:t>
      </w:r>
      <w:r>
        <w:rPr>
          <w:rFonts w:hint="default" w:ascii="Times New Roman" w:hAnsi="Times New Roman" w:cs="Times New Roman"/>
          <w:bCs/>
          <w:sz w:val="24"/>
          <w:highlight w:val="none"/>
          <w:u w:val="single"/>
        </w:rPr>
        <w:t>-N、TP在洢水河枯水期沿程污染物浓度均符合《地表水环境质量标准》（GB3838-2002）Ⅱ类水质标准，但各污染物浓度贡献值显著增加，因此，污水厂运营单位应加强管理，杜绝污水的事故排放，同时制定污水事故排放应急预案，事故排放及时发现，及时控制。</w:t>
      </w:r>
    </w:p>
    <w:p>
      <w:pPr>
        <w:widowControl/>
        <w:adjustRightInd w:val="0"/>
        <w:snapToGrid w:val="0"/>
        <w:spacing w:line="360" w:lineRule="auto"/>
        <w:ind w:firstLine="480" w:firstLineChars="200"/>
        <w:jc w:val="left"/>
        <w:outlineLvl w:val="2"/>
        <w:rPr>
          <w:rFonts w:hint="default" w:ascii="Times New Roman" w:hAnsi="Times New Roman" w:cs="Times New Roman"/>
          <w:kern w:val="0"/>
          <w:sz w:val="24"/>
          <w:highlight w:val="none"/>
          <w:u w:val="single"/>
        </w:rPr>
      </w:pPr>
      <w:bookmarkStart w:id="105" w:name="_Toc18776"/>
      <w:bookmarkStart w:id="106" w:name="_Toc31790"/>
      <w:r>
        <w:rPr>
          <w:rFonts w:hint="default" w:ascii="Times New Roman" w:hAnsi="Times New Roman" w:cs="Times New Roman"/>
          <w:kern w:val="0"/>
          <w:sz w:val="24"/>
          <w:highlight w:val="none"/>
          <w:u w:val="single"/>
        </w:rPr>
        <w:t>（11）平水期正常排放结果预测</w:t>
      </w:r>
      <w:bookmarkEnd w:id="105"/>
      <w:bookmarkEnd w:id="106"/>
    </w:p>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6-9 </w:t>
      </w:r>
      <w:r>
        <w:rPr>
          <w:rFonts w:hint="default" w:ascii="Times New Roman" w:hAnsi="Times New Roman" w:cs="Times New Roman"/>
          <w:b/>
          <w:sz w:val="24"/>
          <w:szCs w:val="24"/>
          <w:highlight w:val="none"/>
          <w:u w:val="single"/>
        </w:rPr>
        <w:t xml:space="preserve"> </w:t>
      </w:r>
      <w:r>
        <w:rPr>
          <w:rFonts w:hint="default" w:ascii="Times New Roman" w:hAnsi="Times New Roman" w:cs="Times New Roman"/>
          <w:b/>
          <w:sz w:val="24"/>
          <w:szCs w:val="24"/>
          <w:highlight w:val="none"/>
          <w:u w:val="single"/>
          <w:lang w:val="en-US"/>
        </w:rPr>
        <w:t>平水期</w:t>
      </w:r>
      <w:r>
        <w:rPr>
          <w:rFonts w:hint="default" w:ascii="Times New Roman" w:hAnsi="Times New Roman" w:cs="Times New Roman"/>
          <w:b/>
          <w:sz w:val="24"/>
          <w:szCs w:val="24"/>
          <w:highlight w:val="none"/>
          <w:u w:val="single"/>
        </w:rPr>
        <w:t>正常排放COD对下游水质贡献值预测结果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53"/>
        <w:gridCol w:w="2910"/>
        <w:gridCol w:w="2910"/>
        <w:gridCol w:w="2910"/>
        <w:gridCol w:w="2913"/>
      </w:tblGrid>
      <w:tr>
        <w:tblPrEx>
          <w:tblCellMar>
            <w:top w:w="0" w:type="dxa"/>
            <w:left w:w="108" w:type="dxa"/>
            <w:bottom w:w="0" w:type="dxa"/>
            <w:right w:w="108" w:type="dxa"/>
          </w:tblCellMar>
        </w:tblPrEx>
        <w:trPr>
          <w:trHeight w:val="165" w:hRule="atLeast"/>
        </w:trPr>
        <w:tc>
          <w:tcPr>
            <w:tcW w:w="718"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 xml:space="preserve">  y</w:t>
            </w:r>
          </w:p>
          <w:p>
            <w:pP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x</w:t>
            </w:r>
          </w:p>
        </w:tc>
        <w:tc>
          <w:tcPr>
            <w:tcW w:w="4281" w:type="pct"/>
            <w:gridSpan w:val="4"/>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COD（mg/L）</w:t>
            </w:r>
          </w:p>
        </w:tc>
      </w:tr>
      <w:tr>
        <w:tblPrEx>
          <w:tblCellMar>
            <w:top w:w="0" w:type="dxa"/>
            <w:left w:w="108" w:type="dxa"/>
            <w:bottom w:w="0" w:type="dxa"/>
            <w:right w:w="108" w:type="dxa"/>
          </w:tblCellMar>
        </w:tblPrEx>
        <w:trPr>
          <w:trHeight w:val="157" w:hRule="atLeast"/>
        </w:trPr>
        <w:tc>
          <w:tcPr>
            <w:tcW w:w="71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color w:val="000000" w:themeColor="text1"/>
                <w:highlight w:val="none"/>
                <w:u w:val="single"/>
                <w14:textFill>
                  <w14:solidFill>
                    <w14:schemeClr w14:val="tx1"/>
                  </w14:solidFill>
                </w14:textFill>
              </w:rPr>
            </w:pPr>
          </w:p>
        </w:tc>
        <w:tc>
          <w:tcPr>
            <w:tcW w:w="107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sz w:val="22"/>
                <w:szCs w:val="22"/>
                <w:highlight w:val="none"/>
                <w:u w:val="single"/>
                <w:lang w:bidi="ar"/>
                <w14:textFill>
                  <w14:solidFill>
                    <w14:schemeClr w14:val="tx1"/>
                  </w14:solidFill>
                </w14:textFill>
              </w:rPr>
              <w:t>2</w:t>
            </w:r>
          </w:p>
        </w:tc>
        <w:tc>
          <w:tcPr>
            <w:tcW w:w="107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sz w:val="22"/>
                <w:szCs w:val="22"/>
                <w:highlight w:val="none"/>
                <w:u w:val="single"/>
                <w:lang w:bidi="ar"/>
                <w14:textFill>
                  <w14:solidFill>
                    <w14:schemeClr w14:val="tx1"/>
                  </w14:solidFill>
                </w14:textFill>
              </w:rPr>
              <w:t>6</w:t>
            </w:r>
          </w:p>
        </w:tc>
        <w:tc>
          <w:tcPr>
            <w:tcW w:w="1070"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sz w:val="22"/>
                <w:szCs w:val="22"/>
                <w:highlight w:val="none"/>
                <w:u w:val="single"/>
                <w:lang w:bidi="ar"/>
                <w14:textFill>
                  <w14:solidFill>
                    <w14:schemeClr w14:val="tx1"/>
                  </w14:solidFill>
                </w14:textFill>
              </w:rPr>
              <w:t>10</w:t>
            </w:r>
          </w:p>
        </w:tc>
        <w:tc>
          <w:tcPr>
            <w:tcW w:w="1071"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000000" w:themeColor="text1"/>
                <w:kern w:val="0"/>
                <w:sz w:val="22"/>
                <w:szCs w:val="22"/>
                <w:highlight w:val="none"/>
                <w:u w:val="single"/>
                <w:lang w:bidi="ar"/>
                <w14:textFill>
                  <w14:solidFill>
                    <w14:schemeClr w14:val="tx1"/>
                  </w14:solidFill>
                </w14:textFill>
              </w:rPr>
            </w:pPr>
            <w:r>
              <w:rPr>
                <w:rFonts w:hint="default" w:ascii="Times New Roman" w:hAnsi="Times New Roman" w:cs="Times New Roman"/>
                <w:b/>
                <w:color w:val="000000" w:themeColor="text1"/>
                <w:kern w:val="0"/>
                <w:sz w:val="22"/>
                <w:szCs w:val="22"/>
                <w:highlight w:val="none"/>
                <w:u w:val="single"/>
                <w:lang w:bidi="ar"/>
                <w14:textFill>
                  <w14:solidFill>
                    <w14:schemeClr w14:val="tx1"/>
                  </w14:solidFill>
                </w14:textFill>
              </w:rPr>
              <w:t>15</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7.30367274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7.30000000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7.33175394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7.30000000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7.35972738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7.30000009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7.30000000 </w:t>
            </w:r>
          </w:p>
        </w:tc>
      </w:tr>
      <w:tr>
        <w:tblPrEx>
          <w:tblCellMar>
            <w:top w:w="0" w:type="dxa"/>
            <w:left w:w="108" w:type="dxa"/>
            <w:bottom w:w="0" w:type="dxa"/>
            <w:right w:w="108" w:type="dxa"/>
          </w:tblCellMar>
        </w:tblPrEx>
        <w:trPr>
          <w:trHeight w:val="90" w:hRule="atLeast"/>
        </w:trPr>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7.39018855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7.30002990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7.30000000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7.30000000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7.40518688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7.30191513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7.30000063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7.30000000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7.37003121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7.33142962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7.30633044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7.30027685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7.35188864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7.33476130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7.31560068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7.30326249 </w:t>
            </w:r>
          </w:p>
        </w:tc>
      </w:tr>
      <w:tr>
        <w:tblPrEx>
          <w:tblCellMar>
            <w:top w:w="0" w:type="dxa"/>
            <w:left w:w="108" w:type="dxa"/>
            <w:bottom w:w="0" w:type="dxa"/>
            <w:right w:w="108" w:type="dxa"/>
          </w:tblCellMar>
        </w:tblPrEx>
        <w:trPr>
          <w:trHeight w:val="90" w:hRule="atLeast"/>
        </w:trPr>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7.33056356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7.32674311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7.32047518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7.31215336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7.32826928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7.32521200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7.32005360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7.31282397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7.32640244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7.32388636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7.31955068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7.31322097 </w:t>
            </w:r>
          </w:p>
        </w:tc>
      </w:tr>
      <w:tr>
        <w:tblPrEx>
          <w:tblCellMar>
            <w:top w:w="0" w:type="dxa"/>
            <w:left w:w="108" w:type="dxa"/>
            <w:bottom w:w="0" w:type="dxa"/>
            <w:right w:w="108" w:type="dxa"/>
          </w:tblCellMar>
        </w:tblPrEx>
        <w:tc>
          <w:tcPr>
            <w:tcW w:w="71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7.32484394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7.32272789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7.31902113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7.31343431 </w:t>
            </w:r>
          </w:p>
        </w:tc>
      </w:tr>
    </w:tbl>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6-10 </w:t>
      </w:r>
      <w:r>
        <w:rPr>
          <w:rFonts w:hint="default" w:ascii="Times New Roman" w:hAnsi="Times New Roman" w:cs="Times New Roman"/>
          <w:b/>
          <w:sz w:val="24"/>
          <w:szCs w:val="24"/>
          <w:highlight w:val="none"/>
          <w:u w:val="single"/>
        </w:rPr>
        <w:t xml:space="preserve"> </w:t>
      </w:r>
      <w:r>
        <w:rPr>
          <w:rFonts w:hint="default" w:ascii="Times New Roman" w:hAnsi="Times New Roman" w:cs="Times New Roman"/>
          <w:b/>
          <w:sz w:val="24"/>
          <w:szCs w:val="24"/>
          <w:highlight w:val="none"/>
          <w:u w:val="single"/>
          <w:lang w:val="en-US"/>
        </w:rPr>
        <w:t>平水</w:t>
      </w:r>
      <w:r>
        <w:rPr>
          <w:rFonts w:hint="default" w:ascii="Times New Roman" w:hAnsi="Times New Roman" w:cs="Times New Roman"/>
          <w:b/>
          <w:sz w:val="24"/>
          <w:szCs w:val="24"/>
          <w:highlight w:val="none"/>
          <w:u w:val="single"/>
        </w:rPr>
        <w:t>期正常排放NH</w:t>
      </w:r>
      <w:r>
        <w:rPr>
          <w:rFonts w:hint="default" w:ascii="Times New Roman" w:hAnsi="Times New Roman" w:cs="Times New Roman"/>
          <w:b/>
          <w:sz w:val="24"/>
          <w:szCs w:val="24"/>
          <w:highlight w:val="none"/>
          <w:u w:val="single"/>
          <w:vertAlign w:val="subscript"/>
        </w:rPr>
        <w:t>3</w:t>
      </w:r>
      <w:r>
        <w:rPr>
          <w:rFonts w:hint="default" w:ascii="Times New Roman" w:hAnsi="Times New Roman" w:cs="Times New Roman"/>
          <w:b/>
          <w:sz w:val="24"/>
          <w:szCs w:val="24"/>
          <w:highlight w:val="none"/>
          <w:u w:val="single"/>
        </w:rPr>
        <w:t>-N对下游水质贡献值预测结果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53"/>
        <w:gridCol w:w="2910"/>
        <w:gridCol w:w="2910"/>
        <w:gridCol w:w="2910"/>
        <w:gridCol w:w="2913"/>
      </w:tblGrid>
      <w:tr>
        <w:tblPrEx>
          <w:tblCellMar>
            <w:top w:w="0" w:type="dxa"/>
            <w:left w:w="108" w:type="dxa"/>
            <w:bottom w:w="0" w:type="dxa"/>
            <w:right w:w="108" w:type="dxa"/>
          </w:tblCellMar>
        </w:tblPrEx>
        <w:trPr>
          <w:trHeight w:val="165" w:hRule="atLeast"/>
        </w:trPr>
        <w:tc>
          <w:tcPr>
            <w:tcW w:w="1953" w:type="dxa"/>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 xml:space="preserve">  y</w:t>
            </w:r>
          </w:p>
          <w:p>
            <w:pPr>
              <w:rPr>
                <w:rFonts w:hint="default" w:ascii="Times New Roman" w:hAnsi="Times New Roman" w:cs="Times New Roman"/>
                <w:highlight w:val="none"/>
                <w:u w:val="single"/>
              </w:rPr>
            </w:pPr>
            <w:r>
              <w:rPr>
                <w:rFonts w:hint="default" w:ascii="Times New Roman" w:hAnsi="Times New Roman" w:cs="Times New Roman"/>
                <w:color w:val="000000" w:themeColor="text1"/>
                <w:highlight w:val="none"/>
                <w:u w:val="single"/>
                <w14:textFill>
                  <w14:solidFill>
                    <w14:schemeClr w14:val="tx1"/>
                  </w14:solidFill>
                </w14:textFill>
              </w:rPr>
              <w:t>x</w:t>
            </w:r>
          </w:p>
        </w:tc>
        <w:tc>
          <w:tcPr>
            <w:tcW w:w="11643" w:type="dxa"/>
            <w:gridSpan w:val="4"/>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NH</w:t>
            </w:r>
            <w:r>
              <w:rPr>
                <w:rFonts w:hint="default" w:ascii="Times New Roman" w:hAnsi="Times New Roman" w:cs="Times New Roman"/>
                <w:color w:val="000000" w:themeColor="text1"/>
                <w:highlight w:val="none"/>
                <w:u w:val="single"/>
                <w:vertAlign w:val="subscript"/>
                <w14:textFill>
                  <w14:solidFill>
                    <w14:schemeClr w14:val="tx1"/>
                  </w14:solidFill>
                </w14:textFill>
              </w:rPr>
              <w:t>3</w:t>
            </w:r>
            <w:r>
              <w:rPr>
                <w:rFonts w:hint="default" w:ascii="Times New Roman" w:hAnsi="Times New Roman" w:cs="Times New Roman"/>
                <w:color w:val="000000" w:themeColor="text1"/>
                <w:highlight w:val="none"/>
                <w:u w:val="single"/>
                <w14:textFill>
                  <w14:solidFill>
                    <w14:schemeClr w14:val="tx1"/>
                  </w14:solidFill>
                </w14:textFill>
              </w:rPr>
              <w:t>-N（mg/L）</w:t>
            </w:r>
          </w:p>
        </w:tc>
      </w:tr>
      <w:tr>
        <w:tblPrEx>
          <w:tblCellMar>
            <w:top w:w="0" w:type="dxa"/>
            <w:left w:w="108" w:type="dxa"/>
            <w:bottom w:w="0" w:type="dxa"/>
            <w:right w:w="108" w:type="dxa"/>
          </w:tblCellMar>
        </w:tblPrEx>
        <w:trPr>
          <w:trHeight w:val="157" w:hRule="atLeast"/>
        </w:trPr>
        <w:tc>
          <w:tcPr>
            <w:tcW w:w="1953" w:type="dxa"/>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highlight w:val="none"/>
                <w:u w:val="single"/>
              </w:rPr>
            </w:pP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15</w:t>
            </w:r>
          </w:p>
        </w:tc>
      </w:tr>
      <w:tr>
        <w:tblPrEx>
          <w:tblCellMar>
            <w:top w:w="0" w:type="dxa"/>
            <w:left w:w="108" w:type="dxa"/>
            <w:bottom w:w="0" w:type="dxa"/>
            <w:right w:w="108" w:type="dxa"/>
          </w:tblCellMar>
        </w:tblPrEx>
        <w:trPr>
          <w:trHeight w:val="249" w:hRule="atLeast"/>
        </w:trPr>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0.12148970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0.12523386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0.12896365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0.12100001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rPr>
          <w:trHeight w:val="90" w:hRule="atLeast"/>
        </w:trPr>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0.13302514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0.12100399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0.13502492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0.12125535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0.12100008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0.13033750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0.12519062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0.12184406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0.12103691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0.12791849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0.12563484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0.12308009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0.12143500 </w:t>
            </w:r>
          </w:p>
        </w:tc>
      </w:tr>
      <w:tr>
        <w:tblPrEx>
          <w:tblCellMar>
            <w:top w:w="0" w:type="dxa"/>
            <w:left w:w="108" w:type="dxa"/>
            <w:bottom w:w="0" w:type="dxa"/>
            <w:right w:w="108" w:type="dxa"/>
          </w:tblCellMar>
        </w:tblPrEx>
        <w:trPr>
          <w:trHeight w:val="90" w:hRule="atLeast"/>
        </w:trPr>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0.12507514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0.12456575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0.12373002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0.12262045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0.12476924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0.12436160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0.12367381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0.12270986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0.12452033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0.12418485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0.12360676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0.12276280 </w:t>
            </w:r>
          </w:p>
        </w:tc>
      </w:tr>
      <w:tr>
        <w:tblPrEx>
          <w:tblCellMar>
            <w:top w:w="0" w:type="dxa"/>
            <w:left w:w="108" w:type="dxa"/>
            <w:bottom w:w="0" w:type="dxa"/>
            <w:right w:w="108" w:type="dxa"/>
          </w:tblCellMar>
        </w:tblPrEx>
        <w:tc>
          <w:tcPr>
            <w:tcW w:w="1953" w:type="dxa"/>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highlight w:val="none"/>
                <w:u w:val="single"/>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0.12431253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0.12403038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0.12353615 </w:t>
            </w:r>
          </w:p>
        </w:tc>
        <w:tc>
          <w:tcPr>
            <w:tcW w:w="291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0.12279124 </w:t>
            </w:r>
          </w:p>
        </w:tc>
      </w:tr>
    </w:tbl>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6-11 </w:t>
      </w:r>
      <w:r>
        <w:rPr>
          <w:rFonts w:hint="default" w:ascii="Times New Roman" w:hAnsi="Times New Roman" w:cs="Times New Roman"/>
          <w:b/>
          <w:sz w:val="24"/>
          <w:szCs w:val="24"/>
          <w:highlight w:val="none"/>
          <w:u w:val="single"/>
        </w:rPr>
        <w:t xml:space="preserve"> </w:t>
      </w:r>
      <w:r>
        <w:rPr>
          <w:rFonts w:hint="default" w:ascii="Times New Roman" w:hAnsi="Times New Roman" w:cs="Times New Roman"/>
          <w:b/>
          <w:sz w:val="24"/>
          <w:szCs w:val="24"/>
          <w:highlight w:val="none"/>
          <w:u w:val="single"/>
          <w:lang w:val="en-US"/>
        </w:rPr>
        <w:t>平水</w:t>
      </w:r>
      <w:r>
        <w:rPr>
          <w:rFonts w:hint="default" w:ascii="Times New Roman" w:hAnsi="Times New Roman" w:cs="Times New Roman"/>
          <w:b/>
          <w:sz w:val="24"/>
          <w:szCs w:val="24"/>
          <w:highlight w:val="none"/>
          <w:u w:val="single"/>
        </w:rPr>
        <w:t>期正常排放TP对下游水质贡献值预测结果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66"/>
        <w:gridCol w:w="2907"/>
        <w:gridCol w:w="2907"/>
        <w:gridCol w:w="2908"/>
        <w:gridCol w:w="2908"/>
      </w:tblGrid>
      <w:tr>
        <w:tblPrEx>
          <w:tblCellMar>
            <w:top w:w="0" w:type="dxa"/>
            <w:left w:w="108" w:type="dxa"/>
            <w:bottom w:w="0" w:type="dxa"/>
            <w:right w:w="108" w:type="dxa"/>
          </w:tblCellMar>
        </w:tblPrEx>
        <w:trPr>
          <w:trHeight w:val="165" w:hRule="atLeast"/>
        </w:trPr>
        <w:tc>
          <w:tcPr>
            <w:tcW w:w="723"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276" w:type="pct"/>
            <w:gridSpan w:val="4"/>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TP（mg/L）</w:t>
            </w:r>
          </w:p>
        </w:tc>
      </w:tr>
      <w:tr>
        <w:tblPrEx>
          <w:tblCellMar>
            <w:top w:w="0" w:type="dxa"/>
            <w:left w:w="108" w:type="dxa"/>
            <w:bottom w:w="0" w:type="dxa"/>
            <w:right w:w="108" w:type="dxa"/>
          </w:tblCellMar>
        </w:tblPrEx>
        <w:trPr>
          <w:trHeight w:val="157" w:hRule="atLeast"/>
        </w:trPr>
        <w:tc>
          <w:tcPr>
            <w:tcW w:w="723"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069"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69"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69"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69"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15</w:t>
            </w:r>
          </w:p>
        </w:tc>
      </w:tr>
      <w:tr>
        <w:tblPrEx>
          <w:tblCellMar>
            <w:top w:w="0" w:type="dxa"/>
            <w:left w:w="108" w:type="dxa"/>
            <w:bottom w:w="0" w:type="dxa"/>
            <w:right w:w="108" w:type="dxa"/>
          </w:tblCellMar>
        </w:tblPrEx>
        <w:trPr>
          <w:trHeight w:val="249"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0.02306121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0.02352923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0.02399546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rPr>
          <w:trHeight w:val="90"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0.02450314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0.02300050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0.02475311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0.02303192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0.02300001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0.02416719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0.02352383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0.02310551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0.02300461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0.02386481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0.02357936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0.02326001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0.02305437 </w:t>
            </w:r>
          </w:p>
        </w:tc>
      </w:tr>
      <w:tr>
        <w:tblPrEx>
          <w:tblCellMar>
            <w:top w:w="0" w:type="dxa"/>
            <w:left w:w="108" w:type="dxa"/>
            <w:bottom w:w="0" w:type="dxa"/>
            <w:right w:w="108" w:type="dxa"/>
          </w:tblCellMar>
        </w:tblPrEx>
        <w:trPr>
          <w:trHeight w:val="90"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0.02350939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0.02344572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0.02334125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0.02320256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0.02347115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0.02342020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0.02333423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0.02321373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0.02344004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0.02339811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0.02332584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0.02322035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0.02341407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0.02337880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0.02331702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0.02322391 </w:t>
            </w:r>
          </w:p>
        </w:tc>
      </w:tr>
    </w:tbl>
    <w:p>
      <w:pPr>
        <w:spacing w:line="360" w:lineRule="auto"/>
        <w:ind w:firstLine="480" w:firstLineChars="200"/>
        <w:jc w:val="left"/>
        <w:rPr>
          <w:rFonts w:hint="default" w:ascii="Times New Roman" w:hAnsi="Times New Roman" w:cs="Times New Roman"/>
          <w:bCs/>
          <w:sz w:val="24"/>
          <w:highlight w:val="none"/>
          <w:u w:val="single"/>
        </w:rPr>
      </w:pPr>
      <w:r>
        <w:rPr>
          <w:rFonts w:hint="default" w:ascii="Times New Roman" w:hAnsi="Times New Roman" w:cs="Times New Roman"/>
          <w:bCs/>
          <w:sz w:val="24"/>
          <w:highlight w:val="none"/>
          <w:u w:val="single"/>
        </w:rPr>
        <w:t>由</w:t>
      </w:r>
      <w:r>
        <w:rPr>
          <w:rFonts w:hint="default" w:ascii="Times New Roman" w:hAnsi="Times New Roman" w:cs="Times New Roman"/>
          <w:sz w:val="24"/>
          <w:highlight w:val="none"/>
          <w:u w:val="single"/>
        </w:rPr>
        <w:t>上述预测结果</w:t>
      </w:r>
      <w:r>
        <w:rPr>
          <w:rFonts w:hint="default" w:ascii="Times New Roman" w:hAnsi="Times New Roman" w:cs="Times New Roman"/>
          <w:bCs/>
          <w:sz w:val="24"/>
          <w:highlight w:val="none"/>
          <w:u w:val="single"/>
        </w:rPr>
        <w:t>可知，项目尾水正常排放下COD、NH</w:t>
      </w:r>
      <w:r>
        <w:rPr>
          <w:rFonts w:hint="default" w:ascii="Times New Roman" w:hAnsi="Times New Roman" w:cs="Times New Roman"/>
          <w:bCs/>
          <w:sz w:val="24"/>
          <w:highlight w:val="none"/>
          <w:u w:val="single"/>
          <w:vertAlign w:val="subscript"/>
        </w:rPr>
        <w:t>3</w:t>
      </w:r>
      <w:r>
        <w:rPr>
          <w:rFonts w:hint="default" w:ascii="Times New Roman" w:hAnsi="Times New Roman" w:cs="Times New Roman"/>
          <w:bCs/>
          <w:sz w:val="24"/>
          <w:highlight w:val="none"/>
          <w:u w:val="single"/>
        </w:rPr>
        <w:t>-N、TP在洢水河平水期沿程污染物浓度均符合《地表水环境质量标准》（GB3838-2002）Ⅱ类水质标准，对洢水河水质影响较小。</w:t>
      </w: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rPr>
          <w:rFonts w:hint="default" w:ascii="Times New Roman" w:hAnsi="Times New Roman" w:cs="Times New Roman"/>
          <w:bCs/>
          <w:sz w:val="24"/>
          <w:highlight w:val="none"/>
          <w:u w:val="single"/>
        </w:rPr>
      </w:pPr>
    </w:p>
    <w:p>
      <w:pPr>
        <w:spacing w:line="360" w:lineRule="auto"/>
        <w:ind w:firstLine="480" w:firstLineChars="200"/>
        <w:jc w:val="left"/>
        <w:outlineLvl w:val="2"/>
        <w:rPr>
          <w:rFonts w:hint="default" w:ascii="Times New Roman" w:hAnsi="Times New Roman" w:cs="Times New Roman"/>
          <w:bCs/>
          <w:sz w:val="24"/>
          <w:highlight w:val="none"/>
          <w:u w:val="single"/>
        </w:rPr>
      </w:pPr>
      <w:bookmarkStart w:id="107" w:name="_Toc28535"/>
      <w:bookmarkStart w:id="108" w:name="_Toc14929"/>
      <w:r>
        <w:rPr>
          <w:rFonts w:hint="default" w:ascii="Times New Roman" w:hAnsi="Times New Roman" w:cs="Times New Roman"/>
          <w:bCs/>
          <w:sz w:val="24"/>
          <w:highlight w:val="none"/>
          <w:u w:val="single"/>
        </w:rPr>
        <w:t>（12）平水期事故排放预测结果</w:t>
      </w:r>
      <w:bookmarkEnd w:id="107"/>
      <w:bookmarkEnd w:id="108"/>
    </w:p>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6-12  平水</w:t>
      </w:r>
      <w:r>
        <w:rPr>
          <w:rFonts w:hint="default" w:ascii="Times New Roman" w:hAnsi="Times New Roman" w:cs="Times New Roman"/>
          <w:b/>
          <w:sz w:val="24"/>
          <w:szCs w:val="24"/>
          <w:highlight w:val="none"/>
          <w:u w:val="single"/>
        </w:rPr>
        <w:t>期事故排放COD对下游水质贡献值预测结果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66"/>
        <w:gridCol w:w="2907"/>
        <w:gridCol w:w="2907"/>
        <w:gridCol w:w="2908"/>
        <w:gridCol w:w="2908"/>
      </w:tblGrid>
      <w:tr>
        <w:tblPrEx>
          <w:tblCellMar>
            <w:top w:w="0" w:type="dxa"/>
            <w:left w:w="108" w:type="dxa"/>
            <w:bottom w:w="0" w:type="dxa"/>
            <w:right w:w="108" w:type="dxa"/>
          </w:tblCellMar>
        </w:tblPrEx>
        <w:trPr>
          <w:trHeight w:val="165" w:hRule="atLeast"/>
        </w:trPr>
        <w:tc>
          <w:tcPr>
            <w:tcW w:w="723"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 xml:space="preserve">  y</w:t>
            </w:r>
          </w:p>
          <w:p>
            <w:pPr>
              <w:rPr>
                <w:rFonts w:hint="default" w:ascii="Times New Roman" w:hAnsi="Times New Roman" w:cs="Times New Roman"/>
                <w:highlight w:val="none"/>
                <w:u w:val="single"/>
              </w:rPr>
            </w:pPr>
            <w:r>
              <w:rPr>
                <w:rFonts w:hint="default" w:ascii="Times New Roman" w:hAnsi="Times New Roman" w:cs="Times New Roman"/>
                <w:highlight w:val="none"/>
                <w:u w:val="single"/>
              </w:rPr>
              <w:t>x</w:t>
            </w:r>
          </w:p>
        </w:tc>
        <w:tc>
          <w:tcPr>
            <w:tcW w:w="4276" w:type="pct"/>
            <w:gridSpan w:val="4"/>
            <w:tcBorders>
              <w:top w:val="single" w:color="auto" w:sz="4" w:space="0"/>
              <w:left w:val="nil"/>
              <w:bottom w:val="single" w:color="auto" w:sz="4" w:space="0"/>
              <w:right w:val="single" w:color="auto" w:sz="4" w:space="0"/>
            </w:tcBorders>
            <w:vAlign w:val="center"/>
          </w:tcPr>
          <w:p>
            <w:pPr>
              <w:jc w:val="center"/>
              <w:rPr>
                <w:rFonts w:hint="default" w:ascii="Times New Roman" w:hAnsi="Times New Roman" w:cs="Times New Roman"/>
                <w:highlight w:val="none"/>
                <w:u w:val="single"/>
              </w:rPr>
            </w:pPr>
            <w:r>
              <w:rPr>
                <w:rFonts w:hint="default" w:ascii="Times New Roman" w:hAnsi="Times New Roman" w:cs="Times New Roman"/>
                <w:highlight w:val="none"/>
                <w:u w:val="single"/>
              </w:rPr>
              <w:t>COD（mg/L）</w:t>
            </w:r>
          </w:p>
        </w:tc>
      </w:tr>
      <w:tr>
        <w:tblPrEx>
          <w:tblCellMar>
            <w:top w:w="0" w:type="dxa"/>
            <w:left w:w="108" w:type="dxa"/>
            <w:bottom w:w="0" w:type="dxa"/>
            <w:right w:w="108" w:type="dxa"/>
          </w:tblCellMar>
        </w:tblPrEx>
        <w:trPr>
          <w:trHeight w:val="157" w:hRule="atLeast"/>
        </w:trPr>
        <w:tc>
          <w:tcPr>
            <w:tcW w:w="723"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rPr>
                <w:rFonts w:hint="default" w:ascii="Times New Roman" w:hAnsi="Times New Roman" w:cs="Times New Roman"/>
                <w:highlight w:val="none"/>
                <w:u w:val="single"/>
              </w:rPr>
            </w:pPr>
          </w:p>
        </w:tc>
        <w:tc>
          <w:tcPr>
            <w:tcW w:w="1069"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69"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69"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69"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15</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7.31346671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7.30000000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7.41643111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7.30000000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7.51900038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7.30000035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7.30000000 </w:t>
            </w:r>
          </w:p>
        </w:tc>
      </w:tr>
      <w:tr>
        <w:tblPrEx>
          <w:tblCellMar>
            <w:top w:w="0" w:type="dxa"/>
            <w:left w:w="108" w:type="dxa"/>
            <w:bottom w:w="0" w:type="dxa"/>
            <w:right w:w="108" w:type="dxa"/>
          </w:tblCellMar>
        </w:tblPrEx>
        <w:trPr>
          <w:trHeight w:val="90"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7.63069135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7.30010962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7.30000000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7.30000000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7.68568521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7.30702216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7.30000233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7.30000000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7.55678112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7.41524195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7.32321163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7.30101512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7.49025834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7.42745811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7.35720250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7.31196245 </w:t>
            </w:r>
          </w:p>
        </w:tc>
      </w:tr>
      <w:tr>
        <w:tblPrEx>
          <w:tblCellMar>
            <w:top w:w="0" w:type="dxa"/>
            <w:left w:w="108" w:type="dxa"/>
            <w:bottom w:w="0" w:type="dxa"/>
            <w:right w:w="108" w:type="dxa"/>
          </w:tblCellMar>
        </w:tblPrEx>
        <w:trPr>
          <w:trHeight w:val="90" w:hRule="atLeast"/>
        </w:trPr>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7.41206640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7.39805807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7.37507566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7.34456230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7.40365403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7.39244399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7.37352985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7.34702121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7.39680894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7.38758332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7.37168583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7.34847688 </w:t>
            </w:r>
          </w:p>
        </w:tc>
      </w:tr>
      <w:tr>
        <w:tblPrEx>
          <w:tblCellMar>
            <w:top w:w="0" w:type="dxa"/>
            <w:left w:w="108" w:type="dxa"/>
            <w:bottom w:w="0" w:type="dxa"/>
            <w:right w:w="108" w:type="dxa"/>
          </w:tblCellMar>
        </w:tblPrEx>
        <w:tc>
          <w:tcPr>
            <w:tcW w:w="723"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7.39109444 </w:t>
            </w:r>
          </w:p>
        </w:tc>
        <w:tc>
          <w:tcPr>
            <w:tcW w:w="2907"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7.38333559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highlight w:val="none"/>
                <w:u w:val="single"/>
                <w:lang w:bidi="ar"/>
              </w:rPr>
              <w:t xml:space="preserve">7.36974414 </w:t>
            </w:r>
          </w:p>
        </w:tc>
        <w:tc>
          <w:tcPr>
            <w:tcW w:w="2908"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7.34925912 </w:t>
            </w:r>
          </w:p>
        </w:tc>
      </w:tr>
    </w:tbl>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 xml:space="preserve">6-13 </w:t>
      </w:r>
      <w:r>
        <w:rPr>
          <w:rFonts w:hint="default" w:ascii="Times New Roman" w:hAnsi="Times New Roman" w:cs="Times New Roman"/>
          <w:b/>
          <w:sz w:val="24"/>
          <w:szCs w:val="24"/>
          <w:highlight w:val="none"/>
          <w:u w:val="single"/>
        </w:rPr>
        <w:t xml:space="preserve"> </w:t>
      </w:r>
      <w:r>
        <w:rPr>
          <w:rFonts w:hint="default" w:ascii="Times New Roman" w:hAnsi="Times New Roman" w:cs="Times New Roman"/>
          <w:b/>
          <w:sz w:val="24"/>
          <w:szCs w:val="24"/>
          <w:highlight w:val="none"/>
          <w:u w:val="single"/>
          <w:lang w:val="en-US"/>
        </w:rPr>
        <w:t>平水</w:t>
      </w:r>
      <w:r>
        <w:rPr>
          <w:rFonts w:hint="default" w:ascii="Times New Roman" w:hAnsi="Times New Roman" w:cs="Times New Roman"/>
          <w:b/>
          <w:sz w:val="24"/>
          <w:szCs w:val="24"/>
          <w:highlight w:val="none"/>
          <w:u w:val="single"/>
        </w:rPr>
        <w:t>期事故排放NH</w:t>
      </w:r>
      <w:r>
        <w:rPr>
          <w:rFonts w:hint="default" w:ascii="Times New Roman" w:hAnsi="Times New Roman" w:cs="Times New Roman"/>
          <w:b/>
          <w:sz w:val="24"/>
          <w:szCs w:val="24"/>
          <w:highlight w:val="none"/>
          <w:u w:val="single"/>
          <w:vertAlign w:val="subscript"/>
        </w:rPr>
        <w:t>3</w:t>
      </w:r>
      <w:r>
        <w:rPr>
          <w:rFonts w:hint="default" w:ascii="Times New Roman" w:hAnsi="Times New Roman" w:cs="Times New Roman"/>
          <w:b/>
          <w:sz w:val="24"/>
          <w:szCs w:val="24"/>
          <w:highlight w:val="none"/>
          <w:u w:val="single"/>
        </w:rPr>
        <w:t>-N对下游水质贡献值预测结果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80"/>
        <w:gridCol w:w="2902"/>
        <w:gridCol w:w="2902"/>
        <w:gridCol w:w="2902"/>
        <w:gridCol w:w="2910"/>
      </w:tblGrid>
      <w:tr>
        <w:tblPrEx>
          <w:tblCellMar>
            <w:top w:w="0" w:type="dxa"/>
            <w:left w:w="108" w:type="dxa"/>
            <w:bottom w:w="0" w:type="dxa"/>
            <w:right w:w="108" w:type="dxa"/>
          </w:tblCellMar>
        </w:tblPrEx>
        <w:trPr>
          <w:trHeight w:val="165" w:hRule="atLeast"/>
        </w:trPr>
        <w:tc>
          <w:tcPr>
            <w:tcW w:w="728"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271" w:type="pct"/>
            <w:gridSpan w:val="4"/>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highlight w:val="none"/>
                <w:u w:val="single"/>
                <w14:textFill>
                  <w14:solidFill>
                    <w14:schemeClr w14:val="tx1"/>
                  </w14:solidFill>
                </w14:textFill>
              </w:rPr>
            </w:pPr>
            <w:r>
              <w:rPr>
                <w:rFonts w:hint="default" w:ascii="Times New Roman" w:hAnsi="Times New Roman" w:cs="Times New Roman"/>
                <w:color w:val="000000" w:themeColor="text1"/>
                <w:highlight w:val="none"/>
                <w:u w:val="single"/>
                <w14:textFill>
                  <w14:solidFill>
                    <w14:schemeClr w14:val="tx1"/>
                  </w14:solidFill>
                </w14:textFill>
              </w:rPr>
              <w:t>NH</w:t>
            </w:r>
            <w:r>
              <w:rPr>
                <w:rFonts w:hint="default" w:ascii="Times New Roman" w:hAnsi="Times New Roman" w:cs="Times New Roman"/>
                <w:color w:val="000000" w:themeColor="text1"/>
                <w:highlight w:val="none"/>
                <w:u w:val="single"/>
                <w:vertAlign w:val="subscript"/>
                <w14:textFill>
                  <w14:solidFill>
                    <w14:schemeClr w14:val="tx1"/>
                  </w14:solidFill>
                </w14:textFill>
              </w:rPr>
              <w:t>3</w:t>
            </w:r>
            <w:r>
              <w:rPr>
                <w:rFonts w:hint="default" w:ascii="Times New Roman" w:hAnsi="Times New Roman" w:cs="Times New Roman"/>
                <w:color w:val="000000" w:themeColor="text1"/>
                <w:highlight w:val="none"/>
                <w:u w:val="single"/>
                <w14:textFill>
                  <w14:solidFill>
                    <w14:schemeClr w14:val="tx1"/>
                  </w14:solidFill>
                </w14:textFill>
              </w:rPr>
              <w:t>-N</w:t>
            </w:r>
            <w:r>
              <w:rPr>
                <w:rFonts w:hint="default" w:ascii="Times New Roman" w:hAnsi="Times New Roman" w:cs="Times New Roman"/>
                <w:color w:val="000000"/>
                <w:kern w:val="0"/>
                <w:highlight w:val="none"/>
                <w:u w:val="single"/>
                <w:lang w:bidi="ar"/>
              </w:rPr>
              <w:t>（mg/L）</w:t>
            </w:r>
          </w:p>
        </w:tc>
      </w:tr>
      <w:tr>
        <w:tblPrEx>
          <w:tblCellMar>
            <w:top w:w="0" w:type="dxa"/>
            <w:left w:w="108" w:type="dxa"/>
            <w:bottom w:w="0" w:type="dxa"/>
            <w:right w:w="108" w:type="dxa"/>
          </w:tblCellMar>
        </w:tblPrEx>
        <w:trPr>
          <w:trHeight w:val="157" w:hRule="atLeast"/>
        </w:trPr>
        <w:tc>
          <w:tcPr>
            <w:tcW w:w="728"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06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6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6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12</w:t>
            </w:r>
          </w:p>
        </w:tc>
        <w:tc>
          <w:tcPr>
            <w:tcW w:w="1067"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15</w:t>
            </w:r>
          </w:p>
        </w:tc>
      </w:tr>
      <w:tr>
        <w:tblPrEx>
          <w:tblCellMar>
            <w:top w:w="0" w:type="dxa"/>
            <w:left w:w="108" w:type="dxa"/>
            <w:bottom w:w="0" w:type="dxa"/>
            <w:right w:w="108" w:type="dxa"/>
          </w:tblCellMar>
        </w:tblPrEx>
        <w:trPr>
          <w:trHeight w:val="249" w:hRule="atLeast"/>
        </w:trPr>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0.12283637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0.13687697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0.15086369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0.12100005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rPr>
          <w:trHeight w:val="90" w:hRule="atLeast"/>
        </w:trPr>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0.16609427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0.12101495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0.12100000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0.17359344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0.12195757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0.12100032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0.12100000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0.15601561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0.13671481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0.12416522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0.12113843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0.14694432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0.13838065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0.12880034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0.12263124 </w:t>
            </w:r>
          </w:p>
        </w:tc>
      </w:tr>
      <w:tr>
        <w:tblPrEx>
          <w:tblCellMar>
            <w:top w:w="0" w:type="dxa"/>
            <w:left w:w="108" w:type="dxa"/>
            <w:bottom w:w="0" w:type="dxa"/>
            <w:right w:w="108" w:type="dxa"/>
          </w:tblCellMar>
        </w:tblPrEx>
        <w:trPr>
          <w:trHeight w:val="90" w:hRule="atLeast"/>
        </w:trPr>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0.13628178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0.13437156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0.13123759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0.12707668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0.13513464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0.13360600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0.13102680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0.12741198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0.13420122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0.13294318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0.13077534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0.12761048 </w:t>
            </w:r>
          </w:p>
        </w:tc>
      </w:tr>
      <w:tr>
        <w:tblPrEx>
          <w:tblCellMar>
            <w:top w:w="0" w:type="dxa"/>
            <w:left w:w="108" w:type="dxa"/>
            <w:bottom w:w="0" w:type="dxa"/>
            <w:right w:w="108" w:type="dxa"/>
          </w:tblCellMar>
        </w:tblPrEx>
        <w:tc>
          <w:tcPr>
            <w:tcW w:w="728"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0.13342197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0.13236394 </w:t>
            </w:r>
          </w:p>
        </w:tc>
        <w:tc>
          <w:tcPr>
            <w:tcW w:w="2902"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themeColor="text1"/>
                <w:kern w:val="0"/>
                <w:highlight w:val="none"/>
                <w:u w:val="single"/>
                <w:lang w:bidi="ar"/>
                <w14:textFill>
                  <w14:solidFill>
                    <w14:schemeClr w14:val="tx1"/>
                  </w14:solidFill>
                </w14:textFill>
              </w:rPr>
            </w:pPr>
            <w:r>
              <w:rPr>
                <w:rFonts w:hint="default" w:ascii="Times New Roman" w:hAnsi="Times New Roman" w:cs="Times New Roman"/>
                <w:color w:val="000000"/>
                <w:kern w:val="0"/>
                <w:sz w:val="22"/>
                <w:szCs w:val="22"/>
                <w:highlight w:val="none"/>
                <w:u w:val="single"/>
                <w:lang w:bidi="ar"/>
              </w:rPr>
              <w:t xml:space="preserve">0.13051056 </w:t>
            </w:r>
          </w:p>
        </w:tc>
        <w:tc>
          <w:tcPr>
            <w:tcW w:w="2910"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sz w:val="22"/>
                <w:szCs w:val="22"/>
                <w:highlight w:val="none"/>
                <w:u w:val="single"/>
                <w:lang w:bidi="ar"/>
              </w:rPr>
            </w:pPr>
            <w:r>
              <w:rPr>
                <w:rFonts w:hint="default" w:ascii="Times New Roman" w:hAnsi="Times New Roman" w:cs="Times New Roman"/>
                <w:color w:val="000000"/>
                <w:kern w:val="0"/>
                <w:sz w:val="22"/>
                <w:szCs w:val="22"/>
                <w:highlight w:val="none"/>
                <w:u w:val="single"/>
                <w:lang w:bidi="ar"/>
              </w:rPr>
              <w:t xml:space="preserve">0.12771715 </w:t>
            </w:r>
          </w:p>
        </w:tc>
      </w:tr>
    </w:tbl>
    <w:p>
      <w:pPr>
        <w:pStyle w:val="28"/>
        <w:spacing w:line="360" w:lineRule="exact"/>
        <w:ind w:firstLine="0"/>
        <w:jc w:val="center"/>
        <w:rPr>
          <w:rFonts w:hint="default" w:ascii="Times New Roman" w:hAnsi="Times New Roman" w:cs="Times New Roman"/>
          <w:b/>
          <w:sz w:val="24"/>
          <w:szCs w:val="24"/>
          <w:highlight w:val="none"/>
          <w:u w:val="single"/>
        </w:rPr>
      </w:pPr>
      <w:r>
        <w:rPr>
          <w:rFonts w:hint="default" w:ascii="Times New Roman" w:hAnsi="Times New Roman" w:cs="Times New Roman"/>
          <w:b/>
          <w:sz w:val="24"/>
          <w:szCs w:val="24"/>
          <w:highlight w:val="none"/>
          <w:u w:val="single"/>
        </w:rPr>
        <w:t>表</w:t>
      </w:r>
      <w:r>
        <w:rPr>
          <w:rFonts w:hint="default" w:ascii="Times New Roman" w:hAnsi="Times New Roman" w:cs="Times New Roman"/>
          <w:b/>
          <w:sz w:val="24"/>
          <w:szCs w:val="24"/>
          <w:highlight w:val="none"/>
          <w:u w:val="single"/>
          <w:lang w:val="en-US"/>
        </w:rPr>
        <w:t>6-14  平水</w:t>
      </w:r>
      <w:r>
        <w:rPr>
          <w:rFonts w:hint="default" w:ascii="Times New Roman" w:hAnsi="Times New Roman" w:cs="Times New Roman"/>
          <w:b/>
          <w:sz w:val="24"/>
          <w:szCs w:val="24"/>
          <w:highlight w:val="none"/>
          <w:u w:val="single"/>
        </w:rPr>
        <w:t>期事故排放TP对下游水质贡献值预测结果  单位：mg/L</w:t>
      </w:r>
    </w:p>
    <w:tbl>
      <w:tblPr>
        <w:tblStyle w:val="23"/>
        <w:tblW w:w="5000" w:type="pct"/>
        <w:tblInd w:w="0" w:type="dxa"/>
        <w:tblLayout w:type="autofit"/>
        <w:tblCellMar>
          <w:top w:w="0" w:type="dxa"/>
          <w:left w:w="108" w:type="dxa"/>
          <w:bottom w:w="0" w:type="dxa"/>
          <w:right w:w="108" w:type="dxa"/>
        </w:tblCellMar>
      </w:tblPr>
      <w:tblGrid>
        <w:gridCol w:w="1996"/>
        <w:gridCol w:w="2899"/>
        <w:gridCol w:w="2899"/>
        <w:gridCol w:w="2899"/>
        <w:gridCol w:w="2903"/>
      </w:tblGrid>
      <w:tr>
        <w:tblPrEx>
          <w:tblCellMar>
            <w:top w:w="0" w:type="dxa"/>
            <w:left w:w="108" w:type="dxa"/>
            <w:bottom w:w="0" w:type="dxa"/>
            <w:right w:w="108" w:type="dxa"/>
          </w:tblCellMar>
        </w:tblPrEx>
        <w:trPr>
          <w:trHeight w:val="165" w:hRule="atLeast"/>
        </w:trPr>
        <w:tc>
          <w:tcPr>
            <w:tcW w:w="734" w:type="pct"/>
            <w:vMerge w:val="restart"/>
            <w:tcBorders>
              <w:top w:val="single" w:color="auto" w:sz="4" w:space="0"/>
              <w:left w:val="single" w:color="auto" w:sz="4" w:space="0"/>
              <w:bottom w:val="single" w:color="auto" w:sz="4" w:space="0"/>
              <w:right w:val="single" w:color="auto" w:sz="4" w:space="0"/>
              <w:tl2br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 xml:space="preserve">  y</w:t>
            </w:r>
          </w:p>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x</w:t>
            </w:r>
          </w:p>
        </w:tc>
        <w:tc>
          <w:tcPr>
            <w:tcW w:w="4265" w:type="pct"/>
            <w:gridSpan w:val="4"/>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highlight w:val="none"/>
                <w:u w:val="single"/>
                <w:lang w:bidi="ar"/>
              </w:rPr>
              <w:t>TP（mg/L）</w:t>
            </w:r>
          </w:p>
        </w:tc>
      </w:tr>
      <w:tr>
        <w:tblPrEx>
          <w:tblCellMar>
            <w:top w:w="0" w:type="dxa"/>
            <w:left w:w="108" w:type="dxa"/>
            <w:bottom w:w="0" w:type="dxa"/>
            <w:right w:w="108" w:type="dxa"/>
          </w:tblCellMar>
        </w:tblPrEx>
        <w:trPr>
          <w:trHeight w:val="157" w:hRule="atLeast"/>
        </w:trPr>
        <w:tc>
          <w:tcPr>
            <w:tcW w:w="734" w:type="pct"/>
            <w:vMerge w:val="continue"/>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p>
        </w:tc>
        <w:tc>
          <w:tcPr>
            <w:tcW w:w="106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w:t>
            </w:r>
          </w:p>
        </w:tc>
        <w:tc>
          <w:tcPr>
            <w:tcW w:w="106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6</w:t>
            </w:r>
          </w:p>
        </w:tc>
        <w:tc>
          <w:tcPr>
            <w:tcW w:w="106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1066" w:type="pct"/>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b/>
                <w:color w:val="000000" w:themeColor="text1"/>
                <w:kern w:val="0"/>
                <w:highlight w:val="none"/>
                <w:u w:val="single"/>
                <w:lang w:bidi="ar"/>
                <w14:textFill>
                  <w14:solidFill>
                    <w14:schemeClr w14:val="tx1"/>
                  </w14:solidFill>
                </w14:textFill>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15</w:t>
            </w:r>
          </w:p>
        </w:tc>
      </w:tr>
      <w:tr>
        <w:tblPrEx>
          <w:tblCellMar>
            <w:top w:w="0" w:type="dxa"/>
            <w:left w:w="108" w:type="dxa"/>
            <w:bottom w:w="0" w:type="dxa"/>
            <w:right w:w="108" w:type="dxa"/>
          </w:tblCellMar>
        </w:tblPrEx>
        <w:trPr>
          <w:trHeight w:val="249" w:hRule="atLeast"/>
        </w:trPr>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0.02318364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20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0.02458770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0.02598637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rPr>
          <w:trHeight w:val="90" w:hRule="atLeast"/>
        </w:trPr>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0.02750943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0.02300149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0.02825934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0.02309576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0.02300003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0.02300000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500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0.02650156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0.02457148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0.02331652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0.02301384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1000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0.02559443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0.02473807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0.02378003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0.02316312 </w:t>
            </w:r>
          </w:p>
        </w:tc>
      </w:tr>
      <w:tr>
        <w:tblPrEx>
          <w:tblCellMar>
            <w:top w:w="0" w:type="dxa"/>
            <w:left w:w="108" w:type="dxa"/>
            <w:bottom w:w="0" w:type="dxa"/>
            <w:right w:w="108" w:type="dxa"/>
          </w:tblCellMar>
        </w:tblPrEx>
        <w:trPr>
          <w:trHeight w:val="90" w:hRule="atLeast"/>
        </w:trPr>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3000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0.02452818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0.02433716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0.02402376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0.02360767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3500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0.02441346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0.02426060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0.02400268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0.02364120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4000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0.02432012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0.02419432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0.02397753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0.02366105 </w:t>
            </w:r>
          </w:p>
        </w:tc>
      </w:tr>
      <w:tr>
        <w:tblPrEx>
          <w:tblCellMar>
            <w:top w:w="0" w:type="dxa"/>
            <w:left w:w="108" w:type="dxa"/>
            <w:bottom w:w="0" w:type="dxa"/>
            <w:right w:w="108" w:type="dxa"/>
          </w:tblCellMar>
        </w:tblPrEx>
        <w:tc>
          <w:tcPr>
            <w:tcW w:w="734" w:type="pct"/>
            <w:tcBorders>
              <w:top w:val="single" w:color="auto" w:sz="4" w:space="0"/>
              <w:left w:val="single" w:color="auto" w:sz="4" w:space="0"/>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b/>
                <w:color w:val="000000" w:themeColor="text1"/>
                <w:kern w:val="0"/>
                <w:highlight w:val="none"/>
                <w:u w:val="single"/>
                <w:lang w:bidi="ar"/>
                <w14:textFill>
                  <w14:solidFill>
                    <w14:schemeClr w14:val="tx1"/>
                  </w14:solidFill>
                </w14:textFill>
              </w:rPr>
              <w:t>4500</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0.02424220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0.02413639 </w:t>
            </w:r>
          </w:p>
        </w:tc>
        <w:tc>
          <w:tcPr>
            <w:tcW w:w="2899"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0.02395106 </w:t>
            </w:r>
          </w:p>
        </w:tc>
        <w:tc>
          <w:tcPr>
            <w:tcW w:w="2903" w:type="dxa"/>
            <w:tcBorders>
              <w:top w:val="single" w:color="auto" w:sz="4" w:space="0"/>
              <w:left w:val="nil"/>
              <w:bottom w:val="single" w:color="auto" w:sz="4" w:space="0"/>
              <w:right w:val="single" w:color="auto" w:sz="4" w:space="0"/>
            </w:tcBorders>
            <w:vAlign w:val="center"/>
          </w:tcPr>
          <w:p>
            <w:pPr>
              <w:widowControl/>
              <w:jc w:val="center"/>
              <w:textAlignment w:val="center"/>
              <w:rPr>
                <w:rFonts w:hint="default" w:ascii="Times New Roman" w:hAnsi="Times New Roman" w:cs="Times New Roman"/>
                <w:color w:val="000000"/>
                <w:kern w:val="0"/>
                <w:highlight w:val="none"/>
                <w:u w:val="single"/>
                <w:lang w:bidi="ar"/>
              </w:rPr>
            </w:pPr>
            <w:r>
              <w:rPr>
                <w:rFonts w:hint="default" w:ascii="Times New Roman" w:hAnsi="Times New Roman" w:cs="Times New Roman"/>
                <w:color w:val="000000"/>
                <w:kern w:val="0"/>
                <w:sz w:val="22"/>
                <w:szCs w:val="22"/>
                <w:highlight w:val="none"/>
                <w:u w:val="single"/>
                <w:lang w:bidi="ar"/>
              </w:rPr>
              <w:t xml:space="preserve">0.02367172 </w:t>
            </w:r>
          </w:p>
        </w:tc>
      </w:tr>
    </w:tbl>
    <w:p>
      <w:pPr>
        <w:widowControl/>
        <w:spacing w:line="360" w:lineRule="auto"/>
        <w:ind w:firstLine="480" w:firstLineChars="200"/>
        <w:jc w:val="left"/>
        <w:rPr>
          <w:rFonts w:hint="default" w:ascii="Times New Roman" w:hAnsi="Times New Roman" w:cs="Times New Roman"/>
          <w:color w:val="000000"/>
          <w:kern w:val="0"/>
          <w:sz w:val="24"/>
          <w:highlight w:val="none"/>
          <w:u w:val="single"/>
        </w:rPr>
        <w:sectPr>
          <w:pgSz w:w="16838" w:h="11906" w:orient="landscape"/>
          <w:pgMar w:top="1800" w:right="1644" w:bottom="1800" w:left="1814" w:header="851" w:footer="992" w:gutter="0"/>
          <w:cols w:space="720" w:num="1"/>
          <w:docGrid w:type="lines" w:linePitch="312" w:charSpace="0"/>
        </w:sectPr>
      </w:pPr>
      <w:r>
        <w:rPr>
          <w:rFonts w:hint="default" w:ascii="Times New Roman" w:hAnsi="Times New Roman" w:cs="Times New Roman"/>
          <w:bCs/>
          <w:sz w:val="24"/>
          <w:highlight w:val="none"/>
          <w:u w:val="single"/>
        </w:rPr>
        <w:t>根据</w:t>
      </w:r>
      <w:r>
        <w:rPr>
          <w:rFonts w:hint="default" w:ascii="Times New Roman" w:hAnsi="Times New Roman" w:cs="Times New Roman"/>
          <w:sz w:val="24"/>
          <w:highlight w:val="none"/>
          <w:u w:val="single"/>
        </w:rPr>
        <w:t>上述</w:t>
      </w:r>
      <w:r>
        <w:rPr>
          <w:rFonts w:hint="default" w:ascii="Times New Roman" w:hAnsi="Times New Roman" w:cs="Times New Roman"/>
          <w:bCs/>
          <w:sz w:val="24"/>
          <w:highlight w:val="none"/>
          <w:u w:val="single"/>
        </w:rPr>
        <w:t>预测结果可知，事故排放情况下，COD、NH</w:t>
      </w:r>
      <w:r>
        <w:rPr>
          <w:rFonts w:hint="default" w:ascii="Times New Roman" w:hAnsi="Times New Roman" w:cs="Times New Roman"/>
          <w:bCs/>
          <w:sz w:val="24"/>
          <w:highlight w:val="none"/>
          <w:u w:val="single"/>
          <w:vertAlign w:val="subscript"/>
        </w:rPr>
        <w:t>3</w:t>
      </w:r>
      <w:r>
        <w:rPr>
          <w:rFonts w:hint="default" w:ascii="Times New Roman" w:hAnsi="Times New Roman" w:cs="Times New Roman"/>
          <w:bCs/>
          <w:sz w:val="24"/>
          <w:highlight w:val="none"/>
          <w:u w:val="single"/>
        </w:rPr>
        <w:t>-N、TP在洢水河平水期沿程污染物浓度均符合《地表水环境质量标准》（GB3838-2002）Ⅱ类水质标准，但各污染物浓度贡献值显著增加，因此，污水厂运营单位应加强管理，杜绝污水的事故排放，同时制定污水事故排放应急预案，事故排放及时发现，及时控制。</w:t>
      </w:r>
    </w:p>
    <w:p>
      <w:pPr>
        <w:pStyle w:val="9"/>
        <w:outlineLvl w:val="1"/>
        <w:rPr>
          <w:rFonts w:hint="default" w:ascii="Times New Roman" w:hAnsi="Times New Roman" w:cs="Times New Roman"/>
          <w:b/>
          <w:color w:val="000000"/>
          <w:sz w:val="24"/>
          <w:highlight w:val="none"/>
          <w:u w:val="single"/>
        </w:rPr>
      </w:pPr>
      <w:bookmarkStart w:id="109" w:name="_Toc3216"/>
      <w:r>
        <w:rPr>
          <w:rFonts w:hint="default" w:ascii="Times New Roman" w:hAnsi="Times New Roman" w:cs="Times New Roman"/>
          <w:b/>
          <w:color w:val="000000"/>
          <w:sz w:val="24"/>
          <w:highlight w:val="none"/>
          <w:u w:val="single"/>
        </w:rPr>
        <w:t>6.</w:t>
      </w:r>
      <w:r>
        <w:rPr>
          <w:rFonts w:hint="default" w:ascii="Times New Roman" w:hAnsi="Times New Roman" w:cs="Times New Roman"/>
          <w:b/>
          <w:color w:val="000000"/>
          <w:sz w:val="24"/>
          <w:highlight w:val="none"/>
          <w:u w:val="single"/>
          <w:lang w:val="en-US" w:eastAsia="zh-CN"/>
        </w:rPr>
        <w:t>3</w:t>
      </w:r>
      <w:r>
        <w:rPr>
          <w:rFonts w:hint="default" w:ascii="Times New Roman" w:hAnsi="Times New Roman" w:cs="Times New Roman"/>
          <w:b/>
          <w:color w:val="000000"/>
          <w:sz w:val="24"/>
          <w:highlight w:val="none"/>
          <w:u w:val="single"/>
        </w:rPr>
        <w:t>.对水功能区水质影响分析</w:t>
      </w:r>
      <w:bookmarkEnd w:id="109"/>
    </w:p>
    <w:p>
      <w:pPr>
        <w:wordWrap w:val="0"/>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110" w:name="_Toc30153"/>
      <w:r>
        <w:rPr>
          <w:rFonts w:hint="default" w:ascii="Times New Roman" w:hAnsi="Times New Roman" w:cs="Times New Roman"/>
          <w:b/>
          <w:color w:val="000000"/>
          <w:sz w:val="24"/>
          <w:highlight w:val="none"/>
          <w:u w:val="single"/>
        </w:rPr>
        <w:t>6.</w:t>
      </w:r>
      <w:r>
        <w:rPr>
          <w:rFonts w:hint="default" w:ascii="Times New Roman" w:hAnsi="Times New Roman" w:cs="Times New Roman"/>
          <w:b/>
          <w:color w:val="000000"/>
          <w:sz w:val="24"/>
          <w:highlight w:val="none"/>
          <w:u w:val="single"/>
          <w:lang w:val="en-US" w:eastAsia="zh-CN"/>
        </w:rPr>
        <w:t>3</w:t>
      </w:r>
      <w:r>
        <w:rPr>
          <w:rFonts w:hint="default" w:ascii="Times New Roman" w:hAnsi="Times New Roman" w:cs="Times New Roman"/>
          <w:b/>
          <w:color w:val="000000"/>
          <w:sz w:val="24"/>
          <w:highlight w:val="none"/>
          <w:u w:val="single"/>
        </w:rPr>
        <w:t>.1.对水质影响分析</w:t>
      </w:r>
      <w:bookmarkEnd w:id="110"/>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（1）正常排放情况下：</w:t>
      </w:r>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在90%频率枯水期，CODcr、TP和NH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-N与河水混合后2030m就可以达到《地表水环境质量标准》(GB3838-2002）</w:t>
      </w:r>
      <w:r>
        <w:rPr>
          <w:rFonts w:hint="default" w:ascii="Times New Roman" w:hAnsi="Times New Roman" w:cs="Times New Roman"/>
          <w:sz w:val="24"/>
          <w:szCs w:val="24"/>
          <w:highlight w:val="none"/>
          <w:u w:val="single"/>
        </w:rPr>
        <w:t>Ⅱ</w:t>
      </w:r>
      <w:r>
        <w:rPr>
          <w:rFonts w:hint="default" w:ascii="Times New Roman" w:hAnsi="Times New Roman" w:cs="Times New Roman"/>
          <w:bCs/>
          <w:color w:val="000000"/>
          <w:sz w:val="24"/>
          <w:highlight w:val="none"/>
          <w:u w:val="single"/>
        </w:rPr>
        <w:t>类标准。污水处理厂正常运转的情况下，以污水处理厂规模污水处理量，排污口排放的污水不会对附近水域造成污染。</w:t>
      </w:r>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在90%频率平水期，CODcr、TP和NH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-N与河水混合后4980m就可以达到《地表水环境质量标准》(GB3838-2002）</w:t>
      </w:r>
      <w:r>
        <w:rPr>
          <w:rFonts w:hint="default" w:ascii="Times New Roman" w:hAnsi="Times New Roman" w:cs="Times New Roman"/>
          <w:sz w:val="24"/>
          <w:szCs w:val="24"/>
          <w:highlight w:val="none"/>
          <w:u w:val="single"/>
        </w:rPr>
        <w:t>Ⅱ</w:t>
      </w:r>
      <w:r>
        <w:rPr>
          <w:rFonts w:hint="default" w:ascii="Times New Roman" w:hAnsi="Times New Roman" w:cs="Times New Roman"/>
          <w:bCs/>
          <w:color w:val="000000"/>
          <w:sz w:val="24"/>
          <w:highlight w:val="none"/>
          <w:u w:val="single"/>
        </w:rPr>
        <w:t>类标准。污水处理厂正常运转的情况下，以污水处理厂规模污水处理量，排污口排放的污水不会对附近水域造成污染。</w:t>
      </w:r>
    </w:p>
    <w:p>
      <w:pPr>
        <w:numPr>
          <w:ilvl w:val="0"/>
          <w:numId w:val="8"/>
        </w:num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非正常排放情况下</w:t>
      </w:r>
      <w:r>
        <w:rPr>
          <w:rFonts w:hint="default" w:ascii="Times New Roman" w:hAnsi="Times New Roman" w:cs="Times New Roman"/>
          <w:bCs/>
          <w:color w:val="000000"/>
          <w:sz w:val="24"/>
          <w:highlight w:val="none"/>
          <w:u w:val="single"/>
          <w:lang w:eastAsia="zh-CN"/>
        </w:rPr>
        <w:t>：</w:t>
      </w:r>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仅计算最不利情况即90%频率枯水期，安化县乐安镇乐高污水处理厂事故排放时由于处理设施事故运行时，污水直接排放入洢水中，采用河流二维模型计算，枯水期、平水期废水分别在2030m、4980m与河水完全混合，COD</w:t>
      </w:r>
      <w:r>
        <w:rPr>
          <w:rFonts w:hint="default" w:ascii="Times New Roman" w:hAnsi="Times New Roman" w:cs="Times New Roman"/>
          <w:bCs/>
          <w:color w:val="000000"/>
          <w:sz w:val="24"/>
          <w:highlight w:val="none"/>
          <w:u w:val="single"/>
          <w:vertAlign w:val="subscript"/>
        </w:rPr>
        <w:t>cr</w:t>
      </w:r>
      <w:r>
        <w:rPr>
          <w:rFonts w:hint="default" w:ascii="Times New Roman" w:hAnsi="Times New Roman" w:cs="Times New Roman"/>
          <w:bCs/>
          <w:color w:val="000000"/>
          <w:sz w:val="24"/>
          <w:highlight w:val="none"/>
          <w:u w:val="single"/>
        </w:rPr>
        <w:t>、NH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-N和TP的平均值均达到地表水环境质量Ⅱ类标准。</w:t>
      </w:r>
    </w:p>
    <w:p>
      <w:pPr>
        <w:wordWrap w:val="0"/>
        <w:spacing w:line="360" w:lineRule="auto"/>
        <w:ind w:firstLine="482" w:firstLineChars="200"/>
        <w:jc w:val="left"/>
        <w:outlineLvl w:val="2"/>
        <w:rPr>
          <w:rFonts w:hint="default" w:ascii="Times New Roman" w:hAnsi="Times New Roman" w:cs="Times New Roman"/>
          <w:b/>
          <w:color w:val="000000"/>
          <w:sz w:val="24"/>
          <w:highlight w:val="none"/>
          <w:u w:val="single"/>
        </w:rPr>
      </w:pPr>
      <w:bookmarkStart w:id="111" w:name="_Toc18542"/>
      <w:r>
        <w:rPr>
          <w:rFonts w:hint="default" w:ascii="Times New Roman" w:hAnsi="Times New Roman" w:cs="Times New Roman"/>
          <w:b/>
          <w:color w:val="000000"/>
          <w:sz w:val="24"/>
          <w:highlight w:val="none"/>
          <w:u w:val="single"/>
        </w:rPr>
        <w:t>6.</w:t>
      </w:r>
      <w:r>
        <w:rPr>
          <w:rFonts w:hint="default" w:ascii="Times New Roman" w:hAnsi="Times New Roman" w:cs="Times New Roman"/>
          <w:b/>
          <w:color w:val="000000"/>
          <w:sz w:val="24"/>
          <w:highlight w:val="none"/>
          <w:u w:val="single"/>
          <w:lang w:val="en-US" w:eastAsia="zh-CN"/>
        </w:rPr>
        <w:t>3</w:t>
      </w:r>
      <w:r>
        <w:rPr>
          <w:rFonts w:hint="default" w:ascii="Times New Roman" w:hAnsi="Times New Roman" w:cs="Times New Roman"/>
          <w:b/>
          <w:color w:val="000000"/>
          <w:sz w:val="24"/>
          <w:highlight w:val="none"/>
          <w:u w:val="single"/>
        </w:rPr>
        <w:t>.2.对水域纳污能力影响分析</w:t>
      </w:r>
      <w:bookmarkEnd w:id="111"/>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安化县乐安镇乐高污水处理厂接纳</w:t>
      </w:r>
      <w:r>
        <w:rPr>
          <w:rFonts w:hint="eastAsia" w:cs="Times New Roman"/>
          <w:bCs/>
          <w:color w:val="000000"/>
          <w:sz w:val="24"/>
          <w:highlight w:val="none"/>
          <w:u w:val="single"/>
          <w:lang w:eastAsia="zh-CN"/>
        </w:rPr>
        <w:t>范围内</w:t>
      </w:r>
      <w:r>
        <w:rPr>
          <w:rFonts w:hint="default" w:ascii="Times New Roman" w:hAnsi="Times New Roman" w:cs="Times New Roman"/>
          <w:bCs/>
          <w:color w:val="000000"/>
          <w:sz w:val="24"/>
          <w:highlight w:val="none"/>
          <w:u w:val="single"/>
        </w:rPr>
        <w:t>目前直排入洢水的大部分污水水量约为150m</w:t>
      </w:r>
      <w:r>
        <w:rPr>
          <w:rFonts w:hint="default" w:ascii="Times New Roman" w:hAnsi="Times New Roman" w:cs="Times New Roman"/>
          <w:bCs/>
          <w:color w:val="000000"/>
          <w:sz w:val="24"/>
          <w:highlight w:val="none"/>
          <w:u w:val="single"/>
          <w:vertAlign w:val="superscript"/>
        </w:rPr>
        <w:t>3</w:t>
      </w:r>
      <w:r>
        <w:rPr>
          <w:rFonts w:hint="default" w:ascii="Times New Roman" w:hAnsi="Times New Roman" w:cs="Times New Roman"/>
          <w:bCs/>
          <w:color w:val="000000"/>
          <w:sz w:val="24"/>
          <w:highlight w:val="none"/>
          <w:u w:val="single"/>
        </w:rPr>
        <w:t>/d，处理后的水质达到《城镇污水处理厂污染物排放标准》(GB181918-2002）一级B标准。达标处理后的尾水由污水管排入洢水</w:t>
      </w:r>
      <w:r>
        <w:rPr>
          <w:rFonts w:hint="default" w:ascii="Times New Roman" w:hAnsi="Times New Roman" w:cs="Times New Roman"/>
          <w:bCs/>
          <w:color w:val="7030A0"/>
          <w:sz w:val="24"/>
          <w:highlight w:val="none"/>
          <w:u w:val="single"/>
        </w:rPr>
        <w:t>。</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根据表5-3、5-4计算，污水处理厂污水排入的水功能区在枯水期、平水期的纳污能力分别为枯水期（CODcr：194.684t/a，NH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-N：9.587t/a，TP：1.955t/a）、平水期（CODcr：874.588t/a，NH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-N：43.047t/a，TP：8.735t/a，枯水期、平水期可纳污量远远高于污水处理厂排放量，CODcr：2.285t/a、NH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-N：0.438t/a，TP：0.09548t/a。因此，洢水纳污能力可满足乐安镇乐高污水处理厂</w:t>
      </w:r>
      <w:r>
        <w:rPr>
          <w:rFonts w:hint="default" w:ascii="Times New Roman" w:hAnsi="Times New Roman" w:cs="Times New Roman"/>
          <w:bCs/>
          <w:color w:val="000000"/>
          <w:sz w:val="24"/>
          <w:highlight w:val="none"/>
          <w:u w:val="single"/>
          <w:lang w:eastAsia="zh-CN"/>
        </w:rPr>
        <w:t>（</w:t>
      </w:r>
      <w:r>
        <w:rPr>
          <w:rFonts w:hint="default" w:ascii="Times New Roman" w:hAnsi="Times New Roman" w:cs="Times New Roman"/>
          <w:bCs/>
          <w:color w:val="000000"/>
          <w:sz w:val="24"/>
          <w:highlight w:val="none"/>
          <w:u w:val="single"/>
          <w:lang w:val="en-US" w:eastAsia="zh-CN"/>
        </w:rPr>
        <w:t>叠加</w:t>
      </w:r>
      <w:r>
        <w:rPr>
          <w:rFonts w:hint="default" w:ascii="Times New Roman" w:hAnsi="Times New Roman" w:cs="Times New Roman"/>
          <w:bCs/>
          <w:color w:val="000000"/>
          <w:sz w:val="24"/>
          <w:highlight w:val="none"/>
          <w:u w:val="single"/>
        </w:rPr>
        <w:t>乐</w:t>
      </w:r>
      <w:r>
        <w:rPr>
          <w:rFonts w:hint="default" w:ascii="Times New Roman" w:hAnsi="Times New Roman" w:cs="Times New Roman"/>
          <w:bCs/>
          <w:color w:val="000000"/>
          <w:sz w:val="24"/>
          <w:highlight w:val="none"/>
          <w:u w:val="single"/>
          <w:lang w:val="en-US" w:eastAsia="zh-CN"/>
        </w:rPr>
        <w:t>桥</w:t>
      </w:r>
      <w:r>
        <w:rPr>
          <w:rFonts w:hint="default" w:ascii="Times New Roman" w:hAnsi="Times New Roman" w:cs="Times New Roman"/>
          <w:bCs/>
          <w:color w:val="000000"/>
          <w:sz w:val="24"/>
          <w:highlight w:val="none"/>
          <w:u w:val="single"/>
        </w:rPr>
        <w:t>污水处理厂</w:t>
      </w:r>
      <w:r>
        <w:rPr>
          <w:rFonts w:hint="default" w:ascii="Times New Roman" w:hAnsi="Times New Roman" w:cs="Times New Roman"/>
          <w:bCs/>
          <w:color w:val="000000"/>
          <w:sz w:val="24"/>
          <w:highlight w:val="none"/>
          <w:u w:val="single"/>
          <w:lang w:eastAsia="zh-CN"/>
        </w:rPr>
        <w:t>）</w:t>
      </w:r>
      <w:r>
        <w:rPr>
          <w:rFonts w:hint="default" w:ascii="Times New Roman" w:hAnsi="Times New Roman" w:cs="Times New Roman"/>
          <w:bCs/>
          <w:color w:val="000000"/>
          <w:sz w:val="24"/>
          <w:highlight w:val="none"/>
          <w:u w:val="single"/>
        </w:rPr>
        <w:t>污染物的排放。</w:t>
      </w:r>
    </w:p>
    <w:p>
      <w:pPr>
        <w:wordWrap w:val="0"/>
        <w:spacing w:line="360" w:lineRule="auto"/>
        <w:ind w:firstLine="480" w:firstLineChars="200"/>
        <w:jc w:val="left"/>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u w:val="single"/>
        </w:rPr>
        <w:t>综上分析，安化县乐安镇乐高污水处理厂建设后可削减服务区域污水中污染物排放，相较于污水处理厂建设之前本片区直排，污水处理厂建设后对污染物有较大程度的削减，更利于水质保护。</w:t>
      </w:r>
    </w:p>
    <w:p>
      <w:pPr>
        <w:wordWrap w:val="0"/>
        <w:spacing w:line="360" w:lineRule="auto"/>
        <w:ind w:firstLine="482" w:firstLineChars="200"/>
        <w:jc w:val="left"/>
        <w:outlineLvl w:val="1"/>
        <w:rPr>
          <w:rFonts w:hint="default" w:ascii="Times New Roman" w:hAnsi="Times New Roman" w:cs="Times New Roman"/>
          <w:b/>
          <w:color w:val="000000"/>
          <w:sz w:val="24"/>
          <w:highlight w:val="none"/>
        </w:rPr>
      </w:pPr>
      <w:bookmarkStart w:id="112" w:name="_Toc23300"/>
      <w:r>
        <w:rPr>
          <w:rFonts w:hint="default" w:ascii="Times New Roman" w:hAnsi="Times New Roman" w:cs="Times New Roman"/>
          <w:b/>
          <w:color w:val="000000"/>
          <w:sz w:val="24"/>
          <w:highlight w:val="none"/>
        </w:rPr>
        <w:t>6.</w:t>
      </w:r>
      <w:r>
        <w:rPr>
          <w:rFonts w:hint="default" w:ascii="Times New Roman" w:hAnsi="Times New Roman" w:cs="Times New Roman"/>
          <w:b/>
          <w:color w:val="000000"/>
          <w:sz w:val="24"/>
          <w:highlight w:val="none"/>
          <w:lang w:val="en-US" w:eastAsia="zh-CN"/>
        </w:rPr>
        <w:t>4</w:t>
      </w:r>
      <w:r>
        <w:rPr>
          <w:rFonts w:hint="default" w:ascii="Times New Roman" w:hAnsi="Times New Roman" w:cs="Times New Roman"/>
          <w:b/>
          <w:color w:val="000000"/>
          <w:sz w:val="24"/>
          <w:highlight w:val="none"/>
        </w:rPr>
        <w:t>.对水生态及相关敏感区的影响分析</w:t>
      </w:r>
      <w:bookmarkEnd w:id="112"/>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安化县乐安镇乐高污水处理厂的建设削减了入河污染物量；当污水处理工程正常运行时，仅对出水口局部水域范围造成影响，整个河段水质类别将不会发生明显变化；项目的建设对改善洢水的水质、水环境及生态环境的保护将起到积极的作用，总体而言，对水资源的保护是有利的。</w:t>
      </w:r>
    </w:p>
    <w:p>
      <w:pPr>
        <w:wordWrap w:val="0"/>
        <w:spacing w:line="360" w:lineRule="auto"/>
        <w:ind w:firstLine="482" w:firstLineChars="200"/>
        <w:jc w:val="left"/>
        <w:outlineLvl w:val="1"/>
        <w:rPr>
          <w:rFonts w:hint="default" w:ascii="Times New Roman" w:hAnsi="Times New Roman" w:cs="Times New Roman"/>
          <w:bCs/>
          <w:color w:val="000000"/>
          <w:sz w:val="24"/>
          <w:highlight w:val="none"/>
        </w:rPr>
      </w:pPr>
      <w:bookmarkStart w:id="113" w:name="_Toc9060"/>
      <w:r>
        <w:rPr>
          <w:rFonts w:hint="default" w:ascii="Times New Roman" w:hAnsi="Times New Roman" w:cs="Times New Roman"/>
          <w:b/>
          <w:color w:val="000000"/>
          <w:sz w:val="24"/>
          <w:highlight w:val="none"/>
        </w:rPr>
        <w:t>6.</w:t>
      </w:r>
      <w:r>
        <w:rPr>
          <w:rFonts w:hint="default" w:ascii="Times New Roman" w:hAnsi="Times New Roman" w:cs="Times New Roman"/>
          <w:b/>
          <w:color w:val="000000"/>
          <w:sz w:val="24"/>
          <w:highlight w:val="none"/>
          <w:lang w:val="en-US" w:eastAsia="zh-CN"/>
        </w:rPr>
        <w:t>5</w:t>
      </w:r>
      <w:r>
        <w:rPr>
          <w:rFonts w:hint="default" w:ascii="Times New Roman" w:hAnsi="Times New Roman" w:cs="Times New Roman"/>
          <w:b/>
          <w:color w:val="000000"/>
          <w:sz w:val="24"/>
          <w:highlight w:val="none"/>
        </w:rPr>
        <w:t>.对地下水的影响分析</w:t>
      </w:r>
      <w:bookmarkEnd w:id="113"/>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排污口河段不属于饮用水源保护区及其他需要保护的地热水、矿泉等区域,排污口附近有没有地下水出露点，其对区域的地下水水位的影响较小，不会造成地面沉降、地裂缝、土地盐渍化、沼泽化等本排污口河段不属于饮用水源保护区及其他需要保护的地热水、矿泉等区域，排污口附近有没有地下水出露点，其对区域的地下水水位的影响较小，不会造成地面沉降、地裂缝、土地盐渍化、沼泽化等环境水文地质问题,地下水的污染主要体现在运行期间污水管网破裂或渗漏造成的地下水质污染，同时根据区域水文地质调查，周边岩性主要为沉积岩，变质岩不多，第四系松散堆积物不甚发育;地下水为碳酸盐裂隙溶岩水。</w:t>
      </w:r>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污水处理厂在运行期间，需加强管网运行维护与巡查监管，一方面按照管网设计运行参数严格控制运行，防止超负荷运行而引发爆管，从而导致污水外泄造成对地下水的影响；另一方面管网进水段做好悬浮物滤网保护，防止固体废物进入管网，引发管道堵塞、破裂，导致污水外泄造成对地下水产生不利影响。</w:t>
      </w:r>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运行阶段，需严格按照相关规范、规程执行，健全安全监督、管理制度，制定应急工况下处置预案，防止因管网维护、管理不善而导致对地下水产生不利影响。</w:t>
      </w:r>
    </w:p>
    <w:p>
      <w:pPr>
        <w:wordWrap w:val="0"/>
        <w:spacing w:line="360" w:lineRule="auto"/>
        <w:ind w:firstLine="482" w:firstLineChars="200"/>
        <w:jc w:val="left"/>
        <w:outlineLvl w:val="1"/>
        <w:rPr>
          <w:rFonts w:hint="default" w:ascii="Times New Roman" w:hAnsi="Times New Roman" w:cs="Times New Roman"/>
          <w:b/>
          <w:color w:val="000000"/>
          <w:sz w:val="24"/>
          <w:highlight w:val="none"/>
        </w:rPr>
      </w:pPr>
      <w:bookmarkStart w:id="114" w:name="_Toc10953"/>
      <w:r>
        <w:rPr>
          <w:rFonts w:hint="default" w:ascii="Times New Roman" w:hAnsi="Times New Roman" w:cs="Times New Roman"/>
          <w:b/>
          <w:color w:val="000000"/>
          <w:sz w:val="24"/>
          <w:highlight w:val="none"/>
        </w:rPr>
        <w:t>6.</w:t>
      </w:r>
      <w:r>
        <w:rPr>
          <w:rFonts w:hint="default" w:ascii="Times New Roman" w:hAnsi="Times New Roman" w:cs="Times New Roman"/>
          <w:b/>
          <w:color w:val="000000"/>
          <w:sz w:val="24"/>
          <w:highlight w:val="none"/>
          <w:lang w:val="en-US" w:eastAsia="zh-CN"/>
        </w:rPr>
        <w:t>6</w:t>
      </w:r>
      <w:r>
        <w:rPr>
          <w:rFonts w:hint="default" w:ascii="Times New Roman" w:hAnsi="Times New Roman" w:cs="Times New Roman"/>
          <w:b/>
          <w:color w:val="000000"/>
          <w:sz w:val="24"/>
          <w:highlight w:val="none"/>
        </w:rPr>
        <w:t>.对第三者影响分析</w:t>
      </w:r>
      <w:bookmarkEnd w:id="114"/>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根据水质模型预测分析，废水在正常排放时对下游河段水质影响不大。</w:t>
      </w:r>
    </w:p>
    <w:p>
      <w:pPr>
        <w:wordWrap w:val="0"/>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现状调查，本项目入河排污口下游论证范围内的洢水的主要功能为饮用水及农业灌溉，入河排污口下游论证范围内无饮用水水源保护区，无取水口。因此，本项目入河排污口的设置不会对附近取水单位用水安全产生不良影响。</w:t>
      </w:r>
    </w:p>
    <w:p>
      <w:pPr>
        <w:wordWrap w:val="0"/>
        <w:spacing w:line="360" w:lineRule="auto"/>
        <w:ind w:firstLine="480" w:firstLineChars="200"/>
        <w:jc w:val="left"/>
        <w:rPr>
          <w:rFonts w:hint="default" w:ascii="Times New Roman" w:hAnsi="Times New Roman" w:cs="Times New Roman"/>
          <w:bCs/>
          <w:color w:val="000000"/>
          <w:sz w:val="24"/>
          <w:highlight w:val="none"/>
        </w:rPr>
      </w:pPr>
    </w:p>
    <w:p>
      <w:pPr>
        <w:wordWrap w:val="0"/>
        <w:spacing w:line="360" w:lineRule="auto"/>
        <w:ind w:firstLine="482" w:firstLineChars="200"/>
        <w:jc w:val="left"/>
        <w:rPr>
          <w:rFonts w:hint="default" w:ascii="Times New Roman" w:hAnsi="Times New Roman" w:cs="Times New Roman"/>
          <w:b/>
          <w:color w:val="000000"/>
          <w:sz w:val="24"/>
          <w:highlight w:val="none"/>
        </w:rPr>
        <w:sectPr>
          <w:pgSz w:w="11906" w:h="16838"/>
          <w:pgMar w:top="1644" w:right="1800" w:bottom="1814" w:left="1800" w:header="851" w:footer="992" w:gutter="0"/>
          <w:cols w:space="720" w:num="1"/>
          <w:docGrid w:type="lines" w:linePitch="312" w:charSpace="0"/>
        </w:sectPr>
      </w:pPr>
    </w:p>
    <w:p>
      <w:pPr>
        <w:pStyle w:val="3"/>
        <w:numPr>
          <w:ilvl w:val="0"/>
          <w:numId w:val="0"/>
        </w:numPr>
        <w:spacing w:before="156" w:after="156"/>
        <w:rPr>
          <w:rFonts w:hint="default" w:ascii="Times New Roman" w:hAnsi="Times New Roman" w:cs="Times New Roman"/>
          <w:highlight w:val="none"/>
        </w:rPr>
      </w:pPr>
      <w:bookmarkStart w:id="115" w:name="_Toc14662"/>
      <w:bookmarkStart w:id="116" w:name="_Toc4155"/>
      <w:r>
        <w:rPr>
          <w:rFonts w:hint="default" w:ascii="Times New Roman" w:hAnsi="Times New Roman" w:cs="Times New Roman"/>
          <w:highlight w:val="none"/>
        </w:rPr>
        <w:t>7  水环境保护措施</w:t>
      </w:r>
      <w:bookmarkEnd w:id="115"/>
      <w:bookmarkEnd w:id="116"/>
    </w:p>
    <w:p>
      <w:pPr>
        <w:spacing w:line="360" w:lineRule="auto"/>
        <w:jc w:val="left"/>
        <w:outlineLvl w:val="1"/>
        <w:rPr>
          <w:rFonts w:hint="default" w:ascii="Times New Roman" w:hAnsi="Times New Roman" w:cs="Times New Roman"/>
          <w:b/>
          <w:color w:val="000000"/>
          <w:sz w:val="24"/>
          <w:highlight w:val="none"/>
        </w:rPr>
      </w:pPr>
      <w:bookmarkStart w:id="117" w:name="_Toc21878"/>
      <w:r>
        <w:rPr>
          <w:rFonts w:hint="default" w:ascii="Times New Roman" w:hAnsi="Times New Roman" w:cs="Times New Roman"/>
          <w:b/>
          <w:color w:val="000000"/>
          <w:sz w:val="24"/>
          <w:highlight w:val="none"/>
        </w:rPr>
        <w:t>7.1.工程保护措施</w:t>
      </w:r>
      <w:bookmarkEnd w:id="117"/>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根据建设单位提供资料，结合现场踏勘结果，项目已建设完成，运营单位目前已采取各类措施，保证各类污染物达标排放，相关情况详见下表所示：</w:t>
      </w:r>
    </w:p>
    <w:p>
      <w:pPr>
        <w:spacing w:line="360" w:lineRule="auto"/>
        <w:jc w:val="center"/>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表7-1  项目已采取各类工程保护措施一览表</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4"/>
        <w:gridCol w:w="1528"/>
        <w:gridCol w:w="6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
                <w:color w:val="000000"/>
                <w:highlight w:val="none"/>
              </w:rPr>
            </w:pPr>
            <w:bookmarkStart w:id="118" w:name="_Toc27247"/>
            <w:bookmarkStart w:id="119" w:name="_Toc3603"/>
            <w:bookmarkStart w:id="120" w:name="_Toc11201"/>
            <w:bookmarkStart w:id="121" w:name="_Toc6286"/>
            <w:bookmarkStart w:id="122" w:name="_Toc4864"/>
            <w:r>
              <w:rPr>
                <w:rFonts w:hint="default" w:ascii="Times New Roman" w:hAnsi="Times New Roman" w:cs="Times New Roman"/>
                <w:b/>
                <w:color w:val="000000"/>
                <w:highlight w:val="none"/>
              </w:rPr>
              <w:t>编号</w:t>
            </w:r>
            <w:bookmarkEnd w:id="118"/>
            <w:bookmarkEnd w:id="119"/>
            <w:bookmarkEnd w:id="120"/>
            <w:bookmarkEnd w:id="121"/>
            <w:bookmarkEnd w:id="122"/>
          </w:p>
        </w:tc>
        <w:tc>
          <w:tcPr>
            <w:tcW w:w="1528" w:type="dxa"/>
          </w:tcPr>
          <w:p>
            <w:pPr>
              <w:jc w:val="center"/>
              <w:outlineLvl w:val="1"/>
              <w:rPr>
                <w:rFonts w:hint="default" w:ascii="Times New Roman" w:hAnsi="Times New Roman" w:cs="Times New Roman"/>
                <w:b/>
                <w:color w:val="000000"/>
                <w:highlight w:val="none"/>
              </w:rPr>
            </w:pPr>
            <w:bookmarkStart w:id="123" w:name="_Toc15198"/>
            <w:bookmarkStart w:id="124" w:name="_Toc31926"/>
            <w:bookmarkStart w:id="125" w:name="_Toc27913"/>
            <w:bookmarkStart w:id="126" w:name="_Toc23608"/>
            <w:bookmarkStart w:id="127" w:name="_Toc25313"/>
            <w:r>
              <w:rPr>
                <w:rFonts w:hint="default" w:ascii="Times New Roman" w:hAnsi="Times New Roman" w:cs="Times New Roman"/>
                <w:b/>
                <w:color w:val="000000"/>
                <w:highlight w:val="none"/>
              </w:rPr>
              <w:t>环境要素</w:t>
            </w:r>
            <w:bookmarkEnd w:id="123"/>
            <w:bookmarkEnd w:id="124"/>
            <w:bookmarkEnd w:id="125"/>
            <w:bookmarkEnd w:id="126"/>
            <w:bookmarkEnd w:id="127"/>
          </w:p>
        </w:tc>
        <w:tc>
          <w:tcPr>
            <w:tcW w:w="6017" w:type="dxa"/>
          </w:tcPr>
          <w:p>
            <w:pPr>
              <w:jc w:val="center"/>
              <w:outlineLvl w:val="1"/>
              <w:rPr>
                <w:rFonts w:hint="default" w:ascii="Times New Roman" w:hAnsi="Times New Roman" w:cs="Times New Roman"/>
                <w:b/>
                <w:color w:val="000000"/>
                <w:highlight w:val="none"/>
              </w:rPr>
            </w:pPr>
            <w:bookmarkStart w:id="128" w:name="_Toc26237"/>
            <w:bookmarkStart w:id="129" w:name="_Toc25462"/>
            <w:bookmarkStart w:id="130" w:name="_Toc3356"/>
            <w:bookmarkStart w:id="131" w:name="_Toc28333"/>
            <w:bookmarkStart w:id="132" w:name="_Toc19373"/>
            <w:r>
              <w:rPr>
                <w:rFonts w:hint="default" w:ascii="Times New Roman" w:hAnsi="Times New Roman" w:cs="Times New Roman"/>
                <w:b/>
                <w:color w:val="000000"/>
                <w:highlight w:val="none"/>
              </w:rPr>
              <w:t>已采取的措施</w:t>
            </w:r>
            <w:bookmarkEnd w:id="128"/>
            <w:bookmarkEnd w:id="129"/>
            <w:bookmarkEnd w:id="130"/>
            <w:bookmarkEnd w:id="131"/>
            <w:bookmarkEnd w:id="132"/>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19" w:type="dxa"/>
            <w:gridSpan w:val="3"/>
            <w:vAlign w:val="center"/>
          </w:tcPr>
          <w:p>
            <w:pPr>
              <w:jc w:val="center"/>
              <w:outlineLvl w:val="1"/>
              <w:rPr>
                <w:rFonts w:hint="default" w:ascii="Times New Roman" w:hAnsi="Times New Roman" w:cs="Times New Roman"/>
                <w:b/>
                <w:color w:val="000000"/>
                <w:highlight w:val="none"/>
              </w:rPr>
            </w:pPr>
            <w:bookmarkStart w:id="133" w:name="_Toc24226"/>
            <w:bookmarkStart w:id="134" w:name="_Toc13231"/>
            <w:bookmarkStart w:id="135" w:name="_Toc24224"/>
            <w:bookmarkStart w:id="136" w:name="_Toc10437"/>
            <w:bookmarkStart w:id="137" w:name="_Toc29236"/>
            <w:r>
              <w:rPr>
                <w:rFonts w:hint="default" w:ascii="Times New Roman" w:hAnsi="Times New Roman" w:cs="Times New Roman"/>
                <w:b/>
                <w:color w:val="000000"/>
                <w:highlight w:val="none"/>
              </w:rPr>
              <w:t>运营期</w:t>
            </w:r>
            <w:bookmarkEnd w:id="133"/>
            <w:bookmarkEnd w:id="134"/>
            <w:bookmarkEnd w:id="135"/>
            <w:bookmarkEnd w:id="136"/>
            <w:bookmarkEnd w:id="137"/>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138" w:name="_Toc16641"/>
            <w:bookmarkStart w:id="139" w:name="_Toc12035"/>
            <w:bookmarkStart w:id="140" w:name="_Toc28737"/>
            <w:bookmarkStart w:id="141" w:name="_Toc31115"/>
            <w:bookmarkStart w:id="142" w:name="_Toc27300"/>
            <w:r>
              <w:rPr>
                <w:rFonts w:hint="default" w:ascii="Times New Roman" w:hAnsi="Times New Roman" w:cs="Times New Roman"/>
                <w:bCs/>
                <w:color w:val="000000"/>
                <w:highlight w:val="none"/>
              </w:rPr>
              <w:t>1</w:t>
            </w:r>
            <w:bookmarkEnd w:id="138"/>
            <w:bookmarkEnd w:id="139"/>
            <w:bookmarkEnd w:id="140"/>
            <w:bookmarkEnd w:id="141"/>
            <w:bookmarkEnd w:id="142"/>
          </w:p>
        </w:tc>
        <w:tc>
          <w:tcPr>
            <w:tcW w:w="1528" w:type="dxa"/>
            <w:vAlign w:val="center"/>
          </w:tcPr>
          <w:p>
            <w:pPr>
              <w:jc w:val="center"/>
              <w:outlineLvl w:val="1"/>
              <w:rPr>
                <w:rFonts w:hint="default" w:ascii="Times New Roman" w:hAnsi="Times New Roman" w:cs="Times New Roman"/>
                <w:bCs/>
                <w:color w:val="000000"/>
                <w:highlight w:val="none"/>
              </w:rPr>
            </w:pPr>
            <w:bookmarkStart w:id="143" w:name="_Toc24225"/>
            <w:bookmarkStart w:id="144" w:name="_Toc22960"/>
            <w:bookmarkStart w:id="145" w:name="_Toc31990"/>
            <w:bookmarkStart w:id="146" w:name="_Toc14091"/>
            <w:bookmarkStart w:id="147" w:name="_Toc324"/>
            <w:r>
              <w:rPr>
                <w:rFonts w:hint="default" w:ascii="Times New Roman" w:hAnsi="Times New Roman" w:cs="Times New Roman"/>
                <w:bCs/>
                <w:color w:val="000000"/>
                <w:highlight w:val="none"/>
              </w:rPr>
              <w:t>尾水排放</w:t>
            </w:r>
            <w:bookmarkEnd w:id="143"/>
            <w:bookmarkEnd w:id="144"/>
            <w:bookmarkEnd w:id="145"/>
            <w:bookmarkEnd w:id="146"/>
            <w:bookmarkEnd w:id="147"/>
          </w:p>
        </w:tc>
        <w:tc>
          <w:tcPr>
            <w:tcW w:w="6017" w:type="dxa"/>
          </w:tcPr>
          <w:p>
            <w:pPr>
              <w:outlineLvl w:val="1"/>
              <w:rPr>
                <w:rFonts w:hint="default" w:ascii="Times New Roman" w:hAnsi="Times New Roman" w:cs="Times New Roman"/>
                <w:bCs/>
                <w:color w:val="000000"/>
                <w:highlight w:val="none"/>
              </w:rPr>
            </w:pPr>
            <w:bookmarkStart w:id="148" w:name="_Toc4476"/>
            <w:bookmarkStart w:id="149" w:name="_Toc31868"/>
            <w:bookmarkStart w:id="150" w:name="_Toc25076"/>
            <w:bookmarkStart w:id="151" w:name="_Toc18541"/>
            <w:bookmarkStart w:id="152" w:name="_Toc29452"/>
            <w:r>
              <w:rPr>
                <w:rFonts w:hint="default" w:ascii="Times New Roman" w:hAnsi="Times New Roman" w:cs="Times New Roman"/>
                <w:bCs/>
                <w:color w:val="000000"/>
                <w:highlight w:val="none"/>
              </w:rPr>
              <w:t>设置消毒设备，</w:t>
            </w:r>
            <w:bookmarkEnd w:id="148"/>
            <w:bookmarkEnd w:id="149"/>
            <w:bookmarkStart w:id="153" w:name="_Toc30826"/>
            <w:bookmarkStart w:id="154" w:name="_Toc26045"/>
            <w:r>
              <w:rPr>
                <w:rFonts w:hint="default" w:ascii="Times New Roman" w:hAnsi="Times New Roman" w:cs="Times New Roman"/>
                <w:bCs/>
                <w:color w:val="000000"/>
                <w:highlight w:val="none"/>
              </w:rPr>
              <w:t>安装流量计等</w:t>
            </w:r>
            <w:bookmarkEnd w:id="150"/>
            <w:bookmarkEnd w:id="151"/>
            <w:bookmarkEnd w:id="152"/>
            <w:bookmarkEnd w:id="153"/>
            <w:bookmarkEnd w:id="154"/>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155" w:name="_Toc31566"/>
            <w:bookmarkStart w:id="156" w:name="_Toc23981"/>
            <w:bookmarkStart w:id="157" w:name="_Toc18612"/>
            <w:bookmarkStart w:id="158" w:name="_Toc19628"/>
            <w:bookmarkStart w:id="159" w:name="_Toc28025"/>
            <w:r>
              <w:rPr>
                <w:rFonts w:hint="default" w:ascii="Times New Roman" w:hAnsi="Times New Roman" w:cs="Times New Roman"/>
                <w:bCs/>
                <w:color w:val="000000"/>
                <w:highlight w:val="none"/>
              </w:rPr>
              <w:t>2</w:t>
            </w:r>
            <w:bookmarkEnd w:id="155"/>
            <w:bookmarkEnd w:id="156"/>
            <w:bookmarkEnd w:id="157"/>
            <w:bookmarkEnd w:id="158"/>
            <w:bookmarkEnd w:id="159"/>
          </w:p>
        </w:tc>
        <w:tc>
          <w:tcPr>
            <w:tcW w:w="1528" w:type="dxa"/>
            <w:vAlign w:val="center"/>
          </w:tcPr>
          <w:p>
            <w:pPr>
              <w:jc w:val="center"/>
              <w:outlineLvl w:val="1"/>
              <w:rPr>
                <w:rFonts w:hint="default" w:ascii="Times New Roman" w:hAnsi="Times New Roman" w:cs="Times New Roman"/>
                <w:bCs/>
                <w:color w:val="000000"/>
                <w:highlight w:val="none"/>
              </w:rPr>
            </w:pPr>
            <w:bookmarkStart w:id="160" w:name="_Toc24889"/>
            <w:bookmarkStart w:id="161" w:name="_Toc5839"/>
            <w:bookmarkStart w:id="162" w:name="_Toc15428"/>
            <w:bookmarkStart w:id="163" w:name="_Toc14732"/>
            <w:bookmarkStart w:id="164" w:name="_Toc17062"/>
            <w:r>
              <w:rPr>
                <w:rFonts w:hint="default" w:ascii="Times New Roman" w:hAnsi="Times New Roman" w:cs="Times New Roman"/>
                <w:bCs/>
                <w:color w:val="000000"/>
                <w:highlight w:val="none"/>
              </w:rPr>
              <w:t>废气</w:t>
            </w:r>
            <w:bookmarkEnd w:id="160"/>
            <w:bookmarkEnd w:id="161"/>
            <w:bookmarkEnd w:id="162"/>
            <w:bookmarkEnd w:id="163"/>
            <w:bookmarkEnd w:id="164"/>
          </w:p>
        </w:tc>
        <w:tc>
          <w:tcPr>
            <w:tcW w:w="6017" w:type="dxa"/>
          </w:tcPr>
          <w:p>
            <w:pPr>
              <w:outlineLvl w:val="1"/>
              <w:rPr>
                <w:rFonts w:hint="default" w:ascii="Times New Roman" w:hAnsi="Times New Roman" w:cs="Times New Roman"/>
                <w:bCs/>
                <w:color w:val="000000"/>
                <w:highlight w:val="none"/>
              </w:rPr>
            </w:pPr>
            <w:bookmarkStart w:id="165" w:name="_Toc21359"/>
            <w:bookmarkStart w:id="166" w:name="_Toc10808"/>
            <w:bookmarkStart w:id="167" w:name="_Toc5518"/>
            <w:bookmarkStart w:id="168" w:name="_Toc20967"/>
            <w:bookmarkStart w:id="169" w:name="_Toc28124"/>
            <w:r>
              <w:rPr>
                <w:rFonts w:hint="default" w:ascii="Times New Roman" w:hAnsi="Times New Roman" w:cs="Times New Roman"/>
                <w:bCs/>
                <w:color w:val="000000"/>
                <w:highlight w:val="none"/>
              </w:rPr>
              <w:t>定期进行恶臭气体的环境监测，喷洒除臭剂</w:t>
            </w:r>
            <w:bookmarkEnd w:id="165"/>
            <w:bookmarkEnd w:id="166"/>
            <w:bookmarkStart w:id="170" w:name="_Toc6904"/>
            <w:bookmarkStart w:id="171" w:name="_Toc21306"/>
            <w:r>
              <w:rPr>
                <w:rFonts w:hint="default" w:ascii="Times New Roman" w:hAnsi="Times New Roman" w:cs="Times New Roman"/>
                <w:bCs/>
                <w:color w:val="000000"/>
                <w:highlight w:val="none"/>
              </w:rPr>
              <w:t>，使用全封闭的环保车辆进行清运，及时清运隔栅所截留的固废，设置绿化隔离带</w:t>
            </w:r>
            <w:bookmarkEnd w:id="167"/>
            <w:bookmarkEnd w:id="168"/>
            <w:bookmarkEnd w:id="169"/>
            <w:bookmarkEnd w:id="170"/>
            <w:bookmarkEnd w:id="171"/>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172" w:name="_Toc17508"/>
            <w:bookmarkStart w:id="173" w:name="_Toc6993"/>
            <w:bookmarkStart w:id="174" w:name="_Toc2994"/>
            <w:bookmarkStart w:id="175" w:name="_Toc18528"/>
            <w:bookmarkStart w:id="176" w:name="_Toc30261"/>
            <w:r>
              <w:rPr>
                <w:rFonts w:hint="default" w:ascii="Times New Roman" w:hAnsi="Times New Roman" w:cs="Times New Roman"/>
                <w:bCs/>
                <w:color w:val="000000"/>
                <w:highlight w:val="none"/>
              </w:rPr>
              <w:t>3</w:t>
            </w:r>
            <w:bookmarkEnd w:id="172"/>
            <w:bookmarkEnd w:id="173"/>
            <w:bookmarkEnd w:id="174"/>
            <w:bookmarkEnd w:id="175"/>
            <w:bookmarkEnd w:id="176"/>
          </w:p>
        </w:tc>
        <w:tc>
          <w:tcPr>
            <w:tcW w:w="1528" w:type="dxa"/>
            <w:vAlign w:val="center"/>
          </w:tcPr>
          <w:p>
            <w:pPr>
              <w:jc w:val="center"/>
              <w:outlineLvl w:val="1"/>
              <w:rPr>
                <w:rFonts w:hint="default" w:ascii="Times New Roman" w:hAnsi="Times New Roman" w:cs="Times New Roman"/>
                <w:bCs/>
                <w:color w:val="000000"/>
                <w:highlight w:val="none"/>
              </w:rPr>
            </w:pPr>
            <w:bookmarkStart w:id="177" w:name="_Toc17079"/>
            <w:bookmarkStart w:id="178" w:name="_Toc22580"/>
            <w:bookmarkStart w:id="179" w:name="_Toc968"/>
            <w:bookmarkStart w:id="180" w:name="_Toc26058"/>
            <w:bookmarkStart w:id="181" w:name="_Toc24750"/>
            <w:r>
              <w:rPr>
                <w:rFonts w:hint="default" w:ascii="Times New Roman" w:hAnsi="Times New Roman" w:cs="Times New Roman"/>
                <w:bCs/>
                <w:color w:val="000000"/>
                <w:highlight w:val="none"/>
              </w:rPr>
              <w:t>噪声</w:t>
            </w:r>
            <w:bookmarkEnd w:id="177"/>
            <w:bookmarkEnd w:id="178"/>
            <w:bookmarkEnd w:id="179"/>
            <w:bookmarkEnd w:id="180"/>
            <w:bookmarkEnd w:id="181"/>
          </w:p>
        </w:tc>
        <w:tc>
          <w:tcPr>
            <w:tcW w:w="6017" w:type="dxa"/>
          </w:tcPr>
          <w:p>
            <w:pPr>
              <w:outlineLvl w:val="1"/>
              <w:rPr>
                <w:rFonts w:hint="default" w:ascii="Times New Roman" w:hAnsi="Times New Roman" w:cs="Times New Roman"/>
                <w:bCs/>
                <w:color w:val="000000"/>
                <w:highlight w:val="none"/>
              </w:rPr>
            </w:pPr>
            <w:bookmarkStart w:id="182" w:name="_Toc9829"/>
            <w:bookmarkStart w:id="183" w:name="_Toc29290"/>
            <w:bookmarkStart w:id="184" w:name="_Toc18083"/>
            <w:bookmarkStart w:id="185" w:name="_Toc3262"/>
            <w:bookmarkStart w:id="186" w:name="_Toc30864"/>
            <w:r>
              <w:rPr>
                <w:rFonts w:hint="default" w:ascii="Times New Roman" w:hAnsi="Times New Roman" w:cs="Times New Roman"/>
                <w:bCs/>
                <w:color w:val="000000"/>
                <w:highlight w:val="none"/>
              </w:rPr>
              <w:t>选用低噪声、动静设备；厂房隔声、吸声及绿化</w:t>
            </w:r>
            <w:bookmarkEnd w:id="182"/>
            <w:bookmarkEnd w:id="183"/>
            <w:bookmarkEnd w:id="184"/>
            <w:bookmarkEnd w:id="185"/>
            <w:bookmarkEnd w:id="186"/>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187" w:name="_Toc8201"/>
            <w:bookmarkStart w:id="188" w:name="_Toc21819"/>
            <w:bookmarkStart w:id="189" w:name="_Toc3562"/>
            <w:bookmarkStart w:id="190" w:name="_Toc8683"/>
            <w:bookmarkStart w:id="191" w:name="_Toc30386"/>
            <w:r>
              <w:rPr>
                <w:rFonts w:hint="default" w:ascii="Times New Roman" w:hAnsi="Times New Roman" w:cs="Times New Roman"/>
                <w:bCs/>
                <w:color w:val="000000"/>
                <w:highlight w:val="none"/>
              </w:rPr>
              <w:t>4</w:t>
            </w:r>
            <w:bookmarkEnd w:id="187"/>
            <w:bookmarkEnd w:id="188"/>
            <w:bookmarkEnd w:id="189"/>
            <w:bookmarkEnd w:id="190"/>
            <w:bookmarkEnd w:id="191"/>
          </w:p>
        </w:tc>
        <w:tc>
          <w:tcPr>
            <w:tcW w:w="1528" w:type="dxa"/>
            <w:vAlign w:val="center"/>
          </w:tcPr>
          <w:p>
            <w:pPr>
              <w:jc w:val="center"/>
              <w:outlineLvl w:val="1"/>
              <w:rPr>
                <w:rFonts w:hint="default" w:ascii="Times New Roman" w:hAnsi="Times New Roman" w:cs="Times New Roman"/>
                <w:bCs/>
                <w:color w:val="000000"/>
                <w:highlight w:val="none"/>
              </w:rPr>
            </w:pPr>
            <w:bookmarkStart w:id="192" w:name="_Toc4030"/>
            <w:bookmarkStart w:id="193" w:name="_Toc30357"/>
            <w:bookmarkStart w:id="194" w:name="_Toc24340"/>
            <w:bookmarkStart w:id="195" w:name="_Toc21224"/>
            <w:bookmarkStart w:id="196" w:name="_Toc357"/>
            <w:r>
              <w:rPr>
                <w:rFonts w:hint="default" w:ascii="Times New Roman" w:hAnsi="Times New Roman" w:cs="Times New Roman"/>
                <w:bCs/>
                <w:color w:val="000000"/>
                <w:highlight w:val="none"/>
              </w:rPr>
              <w:t>固废</w:t>
            </w:r>
            <w:bookmarkEnd w:id="192"/>
            <w:bookmarkEnd w:id="193"/>
            <w:bookmarkEnd w:id="194"/>
            <w:bookmarkEnd w:id="195"/>
            <w:bookmarkEnd w:id="196"/>
          </w:p>
        </w:tc>
        <w:tc>
          <w:tcPr>
            <w:tcW w:w="6017" w:type="dxa"/>
          </w:tcPr>
          <w:p>
            <w:pPr>
              <w:outlineLvl w:val="1"/>
              <w:rPr>
                <w:rFonts w:hint="default" w:ascii="Times New Roman" w:hAnsi="Times New Roman" w:cs="Times New Roman"/>
                <w:b/>
                <w:color w:val="000000"/>
                <w:highlight w:val="none"/>
              </w:rPr>
            </w:pPr>
            <w:bookmarkStart w:id="197" w:name="_Toc16811"/>
            <w:bookmarkStart w:id="198" w:name="_Toc11707"/>
            <w:bookmarkStart w:id="199" w:name="_Toc25901"/>
            <w:bookmarkStart w:id="200" w:name="_Toc26347"/>
            <w:bookmarkStart w:id="201" w:name="_Toc28187"/>
            <w:r>
              <w:rPr>
                <w:rFonts w:hint="default" w:ascii="Times New Roman" w:hAnsi="Times New Roman" w:cs="Times New Roman"/>
                <w:bCs/>
                <w:color w:val="000000"/>
                <w:highlight w:val="none"/>
              </w:rPr>
              <w:t>栅渣、沉砂和生活垃圾运由环卫部门统一清运；</w:t>
            </w:r>
            <w:bookmarkEnd w:id="197"/>
            <w:bookmarkEnd w:id="198"/>
            <w:bookmarkStart w:id="202" w:name="_Toc10762"/>
            <w:bookmarkStart w:id="203" w:name="_Toc20664"/>
            <w:r>
              <w:rPr>
                <w:rFonts w:hint="default" w:ascii="Times New Roman" w:hAnsi="Times New Roman" w:cs="Times New Roman"/>
                <w:bCs/>
                <w:color w:val="000000"/>
                <w:highlight w:val="none"/>
              </w:rPr>
              <w:t>废紫外灯管作为危废委托有资质的单位外运处置</w:t>
            </w:r>
            <w:bookmarkEnd w:id="202"/>
            <w:bookmarkEnd w:id="203"/>
            <w:bookmarkStart w:id="204" w:name="_Toc12343"/>
            <w:bookmarkStart w:id="205" w:name="_Toc32032"/>
            <w:r>
              <w:rPr>
                <w:rFonts w:hint="default" w:ascii="Times New Roman" w:hAnsi="Times New Roman" w:cs="Times New Roman"/>
                <w:bCs/>
                <w:color w:val="000000"/>
                <w:highlight w:val="none"/>
              </w:rPr>
              <w:t>。</w:t>
            </w:r>
            <w:bookmarkEnd w:id="199"/>
            <w:bookmarkEnd w:id="200"/>
            <w:bookmarkEnd w:id="201"/>
            <w:bookmarkEnd w:id="204"/>
            <w:bookmarkEnd w:id="205"/>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206" w:name="_Toc20817"/>
            <w:bookmarkStart w:id="207" w:name="_Toc29325"/>
            <w:bookmarkStart w:id="208" w:name="_Toc3186"/>
            <w:bookmarkStart w:id="209" w:name="_Toc11374"/>
            <w:bookmarkStart w:id="210" w:name="_Toc20398"/>
            <w:r>
              <w:rPr>
                <w:rFonts w:hint="default" w:ascii="Times New Roman" w:hAnsi="Times New Roman" w:cs="Times New Roman"/>
                <w:bCs/>
                <w:color w:val="000000"/>
                <w:highlight w:val="none"/>
              </w:rPr>
              <w:t>5</w:t>
            </w:r>
            <w:bookmarkEnd w:id="206"/>
            <w:bookmarkEnd w:id="207"/>
            <w:bookmarkEnd w:id="208"/>
            <w:bookmarkEnd w:id="209"/>
            <w:bookmarkEnd w:id="210"/>
          </w:p>
        </w:tc>
        <w:tc>
          <w:tcPr>
            <w:tcW w:w="1528" w:type="dxa"/>
            <w:vAlign w:val="center"/>
          </w:tcPr>
          <w:p>
            <w:pPr>
              <w:jc w:val="center"/>
              <w:outlineLvl w:val="1"/>
              <w:rPr>
                <w:rFonts w:hint="default" w:ascii="Times New Roman" w:hAnsi="Times New Roman" w:cs="Times New Roman"/>
                <w:bCs/>
                <w:color w:val="000000"/>
                <w:highlight w:val="none"/>
              </w:rPr>
            </w:pPr>
            <w:bookmarkStart w:id="211" w:name="_Toc25444"/>
            <w:bookmarkStart w:id="212" w:name="_Toc12912"/>
            <w:bookmarkStart w:id="213" w:name="_Toc7451"/>
            <w:bookmarkStart w:id="214" w:name="_Toc6758"/>
            <w:bookmarkStart w:id="215" w:name="_Toc7436"/>
            <w:r>
              <w:rPr>
                <w:rFonts w:hint="default" w:ascii="Times New Roman" w:hAnsi="Times New Roman" w:cs="Times New Roman"/>
                <w:bCs/>
                <w:color w:val="000000"/>
                <w:highlight w:val="none"/>
              </w:rPr>
              <w:t>生态环境</w:t>
            </w:r>
            <w:bookmarkEnd w:id="211"/>
            <w:bookmarkEnd w:id="212"/>
            <w:bookmarkEnd w:id="213"/>
            <w:bookmarkEnd w:id="214"/>
            <w:bookmarkEnd w:id="215"/>
          </w:p>
        </w:tc>
        <w:tc>
          <w:tcPr>
            <w:tcW w:w="6017" w:type="dxa"/>
          </w:tcPr>
          <w:p>
            <w:pPr>
              <w:outlineLvl w:val="1"/>
              <w:rPr>
                <w:rFonts w:hint="default" w:ascii="Times New Roman" w:hAnsi="Times New Roman" w:cs="Times New Roman"/>
                <w:bCs/>
                <w:color w:val="000000"/>
                <w:highlight w:val="none"/>
              </w:rPr>
            </w:pPr>
            <w:bookmarkStart w:id="216" w:name="_Toc3599"/>
            <w:bookmarkStart w:id="217" w:name="_Toc5097"/>
            <w:bookmarkStart w:id="218" w:name="_Toc8595"/>
            <w:bookmarkStart w:id="219" w:name="_Toc13717"/>
            <w:bookmarkStart w:id="220" w:name="_Toc19965"/>
            <w:r>
              <w:rPr>
                <w:rFonts w:hint="default" w:ascii="Times New Roman" w:hAnsi="Times New Roman" w:cs="Times New Roman"/>
                <w:bCs/>
                <w:color w:val="000000"/>
                <w:highlight w:val="none"/>
              </w:rPr>
              <w:t>厂区绿化</w:t>
            </w:r>
            <w:bookmarkEnd w:id="216"/>
            <w:bookmarkEnd w:id="217"/>
            <w:bookmarkEnd w:id="218"/>
            <w:bookmarkEnd w:id="219"/>
            <w:bookmarkEnd w:id="220"/>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74" w:type="dxa"/>
          </w:tcPr>
          <w:p>
            <w:pPr>
              <w:jc w:val="center"/>
              <w:outlineLvl w:val="1"/>
              <w:rPr>
                <w:rFonts w:hint="default" w:ascii="Times New Roman" w:hAnsi="Times New Roman" w:cs="Times New Roman"/>
                <w:bCs/>
                <w:color w:val="000000"/>
                <w:highlight w:val="none"/>
              </w:rPr>
            </w:pPr>
            <w:bookmarkStart w:id="221" w:name="_Toc762"/>
            <w:bookmarkStart w:id="222" w:name="_Toc25140"/>
            <w:bookmarkStart w:id="223" w:name="_Toc12720"/>
            <w:bookmarkStart w:id="224" w:name="_Toc21578"/>
            <w:bookmarkStart w:id="225" w:name="_Toc1240"/>
            <w:r>
              <w:rPr>
                <w:rFonts w:hint="default" w:ascii="Times New Roman" w:hAnsi="Times New Roman" w:cs="Times New Roman"/>
                <w:bCs/>
                <w:color w:val="000000"/>
                <w:highlight w:val="none"/>
              </w:rPr>
              <w:t>6</w:t>
            </w:r>
            <w:bookmarkEnd w:id="221"/>
            <w:bookmarkEnd w:id="222"/>
            <w:bookmarkEnd w:id="223"/>
            <w:bookmarkEnd w:id="224"/>
            <w:bookmarkEnd w:id="225"/>
          </w:p>
        </w:tc>
        <w:tc>
          <w:tcPr>
            <w:tcW w:w="1528" w:type="dxa"/>
            <w:vAlign w:val="center"/>
          </w:tcPr>
          <w:p>
            <w:pPr>
              <w:jc w:val="center"/>
              <w:outlineLvl w:val="1"/>
              <w:rPr>
                <w:rFonts w:hint="default" w:ascii="Times New Roman" w:hAnsi="Times New Roman" w:cs="Times New Roman"/>
                <w:bCs/>
                <w:color w:val="000000"/>
                <w:highlight w:val="none"/>
              </w:rPr>
            </w:pPr>
            <w:bookmarkStart w:id="226" w:name="_Toc910"/>
            <w:bookmarkStart w:id="227" w:name="_Toc21747"/>
            <w:bookmarkStart w:id="228" w:name="_Toc12067"/>
            <w:bookmarkStart w:id="229" w:name="_Toc31671"/>
            <w:bookmarkStart w:id="230" w:name="_Toc14819"/>
            <w:r>
              <w:rPr>
                <w:rFonts w:hint="default" w:ascii="Times New Roman" w:hAnsi="Times New Roman" w:cs="Times New Roman"/>
                <w:bCs/>
                <w:color w:val="000000"/>
                <w:highlight w:val="none"/>
              </w:rPr>
              <w:t>地下水</w:t>
            </w:r>
            <w:bookmarkEnd w:id="226"/>
            <w:bookmarkEnd w:id="227"/>
            <w:bookmarkEnd w:id="228"/>
            <w:bookmarkEnd w:id="229"/>
            <w:bookmarkEnd w:id="230"/>
          </w:p>
        </w:tc>
        <w:tc>
          <w:tcPr>
            <w:tcW w:w="6017" w:type="dxa"/>
          </w:tcPr>
          <w:p>
            <w:pPr>
              <w:outlineLvl w:val="1"/>
              <w:rPr>
                <w:rFonts w:hint="default" w:ascii="Times New Roman" w:hAnsi="Times New Roman" w:cs="Times New Roman"/>
                <w:bCs/>
                <w:color w:val="000000"/>
                <w:highlight w:val="none"/>
              </w:rPr>
            </w:pPr>
            <w:bookmarkStart w:id="231" w:name="_Toc6946"/>
            <w:bookmarkStart w:id="232" w:name="_Toc13762"/>
            <w:bookmarkStart w:id="233" w:name="_Toc15224"/>
            <w:bookmarkStart w:id="234" w:name="_Toc18416"/>
            <w:bookmarkStart w:id="235" w:name="_Toc19199"/>
            <w:r>
              <w:rPr>
                <w:rFonts w:hint="default" w:ascii="Times New Roman" w:hAnsi="Times New Roman" w:cs="Times New Roman"/>
                <w:bCs/>
                <w:color w:val="000000"/>
                <w:highlight w:val="none"/>
              </w:rPr>
              <w:t>厂区、构筑物防渗</w:t>
            </w:r>
            <w:bookmarkEnd w:id="231"/>
            <w:bookmarkEnd w:id="232"/>
            <w:bookmarkEnd w:id="233"/>
            <w:bookmarkEnd w:id="234"/>
            <w:bookmarkEnd w:id="235"/>
          </w:p>
        </w:tc>
      </w:tr>
    </w:tbl>
    <w:p>
      <w:pPr>
        <w:spacing w:line="360" w:lineRule="auto"/>
        <w:jc w:val="left"/>
        <w:outlineLvl w:val="1"/>
        <w:rPr>
          <w:rFonts w:hint="default" w:ascii="Times New Roman" w:hAnsi="Times New Roman" w:cs="Times New Roman"/>
          <w:b/>
          <w:color w:val="000000"/>
          <w:sz w:val="24"/>
          <w:highlight w:val="none"/>
        </w:rPr>
      </w:pPr>
      <w:bookmarkStart w:id="236" w:name="_Toc30106"/>
      <w:r>
        <w:rPr>
          <w:rFonts w:hint="default" w:ascii="Times New Roman" w:hAnsi="Times New Roman" w:cs="Times New Roman"/>
          <w:b/>
          <w:color w:val="000000"/>
          <w:sz w:val="24"/>
          <w:highlight w:val="none"/>
        </w:rPr>
        <w:t>7.2.管理措施</w:t>
      </w:r>
      <w:bookmarkEnd w:id="236"/>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237" w:name="_Toc18580"/>
      <w:r>
        <w:rPr>
          <w:rFonts w:hint="default" w:ascii="Times New Roman" w:hAnsi="Times New Roman" w:cs="Times New Roman"/>
          <w:b/>
          <w:color w:val="000000"/>
          <w:sz w:val="24"/>
          <w:highlight w:val="none"/>
        </w:rPr>
        <w:t>7.2.1.水生态保护措施</w:t>
      </w:r>
      <w:bookmarkEnd w:id="237"/>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项目应加强对废水处理设施的日常管理，对各污水处理设备定期进行检修和维护，确保废水处理设施正常运营，确保排污水质稳定达标；同时制定非正常排放的预防和应急措施，杜绝和预防污水非正常排放的发生。</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238" w:name="_Toc11317"/>
      <w:r>
        <w:rPr>
          <w:rFonts w:hint="default" w:ascii="Times New Roman" w:hAnsi="Times New Roman" w:cs="Times New Roman"/>
          <w:b/>
          <w:color w:val="000000"/>
          <w:sz w:val="24"/>
          <w:highlight w:val="none"/>
        </w:rPr>
        <w:t>7.2.2.事故排污时应急处理措施</w:t>
      </w:r>
      <w:bookmarkEnd w:id="238"/>
    </w:p>
    <w:p>
      <w:pPr>
        <w:spacing w:line="360" w:lineRule="auto"/>
        <w:ind w:firstLine="482" w:firstLineChars="200"/>
        <w:jc w:val="left"/>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7.2.2.1.预防措施</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1）成立应急领导小组，制定水污染事件应急预案，落实各工作人员的责任，平时加强对员工的技术培训和演练，建立技术考核档案，管理人员要求有较高的业务水平和管理水平，主要操作人员上岗前严格进行理论和实际操作培训，做到持证上岗。</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（2）提高事故缓冲能力，主要水工构筑物配备相应的处理设备（如回流泵、回流管道、仪表及阀门等）。</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（3）选用优质设备，对各种机械电器、仪表等设备，选择质量优良、故障率低、便于维修的产品。</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（4）加强事故源头监控，定期巡检、调节、保养、维修，及时发现有可能引起事故的异常运行苗头、事故隐患。</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（5）严格控制各处理单元的水量、水质、停留时间、负荷强度等工艺参数，确保处理效果的稳定性。加强进出水的监测工作。</w:t>
      </w:r>
    </w:p>
    <w:p>
      <w:pPr>
        <w:spacing w:line="360" w:lineRule="auto"/>
        <w:ind w:firstLine="482" w:firstLineChars="200"/>
        <w:jc w:val="left"/>
        <w:rPr>
          <w:rFonts w:hint="default" w:ascii="Times New Roman" w:hAnsi="Times New Roman" w:cs="Times New Roman"/>
          <w:b/>
          <w:color w:val="000000"/>
          <w:sz w:val="24"/>
          <w:highlight w:val="none"/>
        </w:rPr>
      </w:pPr>
      <w:r>
        <w:rPr>
          <w:rFonts w:hint="default" w:ascii="Times New Roman" w:hAnsi="Times New Roman" w:cs="Times New Roman"/>
          <w:b/>
          <w:color w:val="000000"/>
          <w:sz w:val="24"/>
          <w:highlight w:val="none"/>
        </w:rPr>
        <w:t>7.2.2.2.应急处理措施</w:t>
      </w:r>
    </w:p>
    <w:p>
      <w:pPr>
        <w:pStyle w:val="37"/>
        <w:ind w:firstLine="480"/>
        <w:rPr>
          <w:rFonts w:hint="default" w:ascii="Times New Roman" w:hAnsi="Times New Roman" w:eastAsia="宋体" w:cs="Times New Roman"/>
          <w:bCs/>
          <w:color w:val="000000"/>
          <w:sz w:val="24"/>
          <w:highlight w:val="none"/>
          <w:u w:val="single"/>
          <w:lang w:val="en-US" w:eastAsia="zh-CN"/>
        </w:rPr>
      </w:pPr>
      <w:bookmarkStart w:id="239" w:name="_Toc2454"/>
      <w:r>
        <w:rPr>
          <w:rFonts w:hint="eastAsia" w:ascii="Times New Roman" w:hAnsi="Times New Roman" w:cs="Times New Roman"/>
          <w:u w:val="single"/>
          <w:lang w:eastAsia="zh-CN"/>
        </w:rPr>
        <w:t>污水处理厂</w:t>
      </w:r>
      <w:r>
        <w:rPr>
          <w:rFonts w:hint="eastAsia" w:cs="Times New Roman"/>
          <w:u w:val="single"/>
          <w:lang w:val="en-US" w:eastAsia="zh-CN"/>
        </w:rPr>
        <w:t>运营单位应</w:t>
      </w:r>
      <w:r>
        <w:rPr>
          <w:rFonts w:hint="default" w:ascii="Times New Roman" w:hAnsi="Times New Roman" w:cs="Times New Roman"/>
          <w:kern w:val="0"/>
          <w:u w:val="single"/>
        </w:rPr>
        <w:t>建立健全突发环境污染事件应急救援体系，</w:t>
      </w:r>
      <w:r>
        <w:rPr>
          <w:rFonts w:hint="eastAsia" w:cs="Times New Roman"/>
          <w:kern w:val="0"/>
          <w:u w:val="single"/>
          <w:lang w:val="en-US" w:eastAsia="zh-CN"/>
        </w:rPr>
        <w:t>并配齐相应应急物质，</w:t>
      </w:r>
      <w:r>
        <w:rPr>
          <w:rFonts w:hint="default" w:ascii="Times New Roman" w:hAnsi="Times New Roman" w:cs="Times New Roman"/>
          <w:kern w:val="0"/>
          <w:u w:val="single"/>
        </w:rPr>
        <w:t>确保</w:t>
      </w:r>
      <w:r>
        <w:rPr>
          <w:rFonts w:hint="eastAsia" w:ascii="Times New Roman" w:hAnsi="Times New Roman" w:cs="Times New Roman"/>
          <w:u w:val="single"/>
          <w:lang w:eastAsia="zh-CN"/>
        </w:rPr>
        <w:t>污水处理厂</w:t>
      </w:r>
      <w:r>
        <w:rPr>
          <w:rFonts w:hint="default" w:ascii="Times New Roman" w:hAnsi="Times New Roman" w:cs="Times New Roman"/>
          <w:kern w:val="0"/>
          <w:u w:val="single"/>
        </w:rPr>
        <w:t>在发生环境污染事件时，各项应急工作能够快速、高效、有序地启动和运行，最大限度减轻污染事故对环境造成的损失，保障公众生命健康和财产安全，保护环境。</w:t>
      </w:r>
      <w:r>
        <w:rPr>
          <w:rFonts w:hint="eastAsia" w:ascii="Times New Roman" w:hAnsi="Times New Roman" w:cs="Times New Roman"/>
          <w:bCs/>
          <w:color w:val="000000"/>
          <w:sz w:val="24"/>
          <w:highlight w:val="none"/>
          <w:u w:val="single"/>
          <w:lang w:val="en-US" w:eastAsia="zh-CN"/>
        </w:rPr>
        <w:t>根据污水处理厂运营的特点，重点防控</w:t>
      </w:r>
      <w:r>
        <w:rPr>
          <w:rFonts w:hint="eastAsia" w:cs="Times New Roman"/>
          <w:bCs/>
          <w:color w:val="000000"/>
          <w:sz w:val="24"/>
          <w:highlight w:val="none"/>
          <w:u w:val="single"/>
          <w:lang w:val="en-US" w:eastAsia="zh-CN"/>
        </w:rPr>
        <w:t>如下风险事件</w:t>
      </w:r>
      <w:r>
        <w:rPr>
          <w:rFonts w:hint="eastAsia" w:ascii="Times New Roman" w:hAnsi="Times New Roman" w:cs="Times New Roman"/>
          <w:bCs/>
          <w:color w:val="000000"/>
          <w:sz w:val="24"/>
          <w:highlight w:val="none"/>
          <w:u w:val="single"/>
          <w:lang w:eastAsia="zh-CN"/>
        </w:rPr>
        <w:t>，</w:t>
      </w:r>
      <w:r>
        <w:rPr>
          <w:rFonts w:hint="eastAsia" w:cs="Times New Roman"/>
          <w:bCs/>
          <w:color w:val="000000"/>
          <w:sz w:val="24"/>
          <w:highlight w:val="none"/>
          <w:u w:val="single"/>
          <w:lang w:val="en-US" w:eastAsia="zh-CN"/>
        </w:rPr>
        <w:t>并及时采取有效</w:t>
      </w:r>
      <w:r>
        <w:rPr>
          <w:rFonts w:hint="eastAsia" w:ascii="Times New Roman" w:hAnsi="Times New Roman" w:cs="Times New Roman"/>
          <w:bCs/>
          <w:color w:val="000000"/>
          <w:sz w:val="24"/>
          <w:highlight w:val="none"/>
          <w:u w:val="single"/>
          <w:lang w:val="en-US" w:eastAsia="zh-CN"/>
        </w:rPr>
        <w:t>应急处理措施</w:t>
      </w:r>
      <w:r>
        <w:rPr>
          <w:rFonts w:hint="eastAsia" w:cs="Times New Roman"/>
          <w:bCs/>
          <w:color w:val="000000"/>
          <w:sz w:val="24"/>
          <w:highlight w:val="none"/>
          <w:u w:val="single"/>
          <w:lang w:val="en-US" w:eastAsia="zh-CN"/>
        </w:rPr>
        <w:t>。</w:t>
      </w:r>
    </w:p>
    <w:p>
      <w:pPr>
        <w:spacing w:line="360" w:lineRule="auto"/>
        <w:ind w:firstLine="480" w:firstLineChars="200"/>
        <w:jc w:val="left"/>
        <w:rPr>
          <w:rFonts w:hint="eastAsia" w:ascii="Times New Roman" w:hAnsi="Times New Roman" w:cs="Times New Roman"/>
          <w:bCs/>
          <w:color w:val="000000"/>
          <w:sz w:val="24"/>
          <w:highlight w:val="none"/>
          <w:u w:val="single"/>
          <w:lang w:val="en-US" w:eastAsia="zh-CN"/>
        </w:rPr>
      </w:pPr>
      <w:r>
        <w:rPr>
          <w:rFonts w:hint="default" w:ascii="Times New Roman" w:hAnsi="Times New Roman" w:cs="Times New Roman"/>
          <w:bCs/>
          <w:color w:val="000000"/>
          <w:sz w:val="24"/>
          <w:highlight w:val="none"/>
          <w:u w:val="single"/>
          <w:lang w:val="en-US" w:eastAsia="zh-CN"/>
        </w:rPr>
        <w:t>（1）类型</w:t>
      </w:r>
      <w:r>
        <w:rPr>
          <w:rFonts w:hint="eastAsia" w:ascii="Times New Roman" w:hAnsi="Times New Roman" w:cs="Times New Roman"/>
          <w:bCs/>
          <w:color w:val="000000"/>
          <w:sz w:val="24"/>
          <w:highlight w:val="none"/>
          <w:u w:val="single"/>
          <w:lang w:val="en-US" w:eastAsia="zh-CN"/>
        </w:rPr>
        <w:t>一</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default" w:ascii="Times New Roman" w:hAnsi="Times New Roman" w:cs="Times New Roman"/>
          <w:bCs/>
          <w:color w:val="000000"/>
          <w:sz w:val="24"/>
          <w:highlight w:val="none"/>
          <w:u w:val="single"/>
          <w:lang w:val="en-US" w:eastAsia="zh-CN"/>
        </w:rPr>
        <w:t>事故类型：因停电、污水处理单元处理设施故障或损坏等原因导致污水未经处理或处理不达标便排入</w:t>
      </w:r>
      <w:r>
        <w:rPr>
          <w:rFonts w:hint="eastAsia" w:ascii="Times New Roman" w:hAnsi="Times New Roman" w:cs="Times New Roman"/>
          <w:bCs/>
          <w:color w:val="000000"/>
          <w:sz w:val="24"/>
          <w:highlight w:val="none"/>
          <w:u w:val="single"/>
          <w:lang w:val="en-US" w:eastAsia="zh-CN"/>
        </w:rPr>
        <w:t>湄江河</w:t>
      </w:r>
      <w:r>
        <w:rPr>
          <w:rFonts w:hint="default" w:ascii="Times New Roman" w:hAnsi="Times New Roman" w:cs="Times New Roman"/>
          <w:bCs/>
          <w:color w:val="000000"/>
          <w:sz w:val="24"/>
          <w:highlight w:val="none"/>
          <w:u w:val="single"/>
          <w:lang w:val="en-US" w:eastAsia="zh-CN"/>
        </w:rPr>
        <w:t>。</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应急处理措施：①</w:t>
      </w:r>
      <w:r>
        <w:rPr>
          <w:rFonts w:hint="default" w:ascii="Times New Roman" w:hAnsi="Times New Roman" w:cs="Times New Roman"/>
          <w:bCs/>
          <w:color w:val="000000"/>
          <w:sz w:val="24"/>
          <w:highlight w:val="none"/>
          <w:u w:val="single"/>
          <w:lang w:val="en-US" w:eastAsia="zh-CN"/>
        </w:rPr>
        <w:t>应急处理人员应立即关闭</w:t>
      </w:r>
      <w:r>
        <w:rPr>
          <w:rFonts w:hint="eastAsia" w:ascii="Times New Roman" w:hAnsi="Times New Roman" w:cs="Times New Roman"/>
          <w:bCs/>
          <w:color w:val="000000"/>
          <w:sz w:val="24"/>
          <w:highlight w:val="none"/>
          <w:u w:val="single"/>
          <w:lang w:val="en-US" w:eastAsia="zh-CN"/>
        </w:rPr>
        <w:t>计量渠</w:t>
      </w:r>
      <w:r>
        <w:rPr>
          <w:rFonts w:hint="default" w:ascii="Times New Roman" w:hAnsi="Times New Roman" w:cs="Times New Roman"/>
          <w:bCs/>
          <w:color w:val="000000"/>
          <w:sz w:val="24"/>
          <w:highlight w:val="none"/>
          <w:u w:val="single"/>
          <w:lang w:val="en-US" w:eastAsia="zh-CN"/>
        </w:rPr>
        <w:t>出水阀门，同时立即启动回流泵，将</w:t>
      </w:r>
      <w:r>
        <w:rPr>
          <w:rFonts w:hint="eastAsia" w:ascii="Times New Roman" w:hAnsi="Times New Roman" w:cs="Times New Roman"/>
          <w:bCs/>
          <w:color w:val="000000"/>
          <w:sz w:val="24"/>
          <w:highlight w:val="none"/>
          <w:u w:val="single"/>
          <w:lang w:val="en-US" w:eastAsia="zh-CN"/>
        </w:rPr>
        <w:t>计量渠污</w:t>
      </w:r>
      <w:r>
        <w:rPr>
          <w:rFonts w:hint="default" w:ascii="Times New Roman" w:hAnsi="Times New Roman" w:cs="Times New Roman"/>
          <w:bCs/>
          <w:color w:val="000000"/>
          <w:sz w:val="24"/>
          <w:highlight w:val="none"/>
          <w:u w:val="single"/>
          <w:lang w:val="en-US" w:eastAsia="zh-CN"/>
        </w:rPr>
        <w:t>水泵入</w:t>
      </w:r>
      <w:r>
        <w:rPr>
          <w:rFonts w:hint="eastAsia" w:ascii="Times New Roman" w:hAnsi="Times New Roman" w:cs="Times New Roman"/>
          <w:bCs/>
          <w:color w:val="000000"/>
          <w:sz w:val="24"/>
          <w:highlight w:val="none"/>
          <w:u w:val="single"/>
          <w:lang w:val="en-US" w:eastAsia="zh-CN"/>
        </w:rPr>
        <w:t>一体化污水处理设备</w:t>
      </w:r>
      <w:r>
        <w:rPr>
          <w:rFonts w:hint="default" w:ascii="Times New Roman" w:hAnsi="Times New Roman" w:cs="Times New Roman"/>
          <w:bCs/>
          <w:color w:val="000000"/>
          <w:sz w:val="24"/>
          <w:highlight w:val="none"/>
          <w:u w:val="single"/>
          <w:lang w:val="en-US" w:eastAsia="zh-CN"/>
        </w:rPr>
        <w:t>，防止</w:t>
      </w:r>
      <w:r>
        <w:rPr>
          <w:rFonts w:hint="eastAsia" w:ascii="Times New Roman" w:hAnsi="Times New Roman" w:cs="Times New Roman"/>
          <w:bCs/>
          <w:color w:val="000000"/>
          <w:sz w:val="24"/>
          <w:highlight w:val="none"/>
          <w:u w:val="single"/>
          <w:lang w:val="en-US" w:eastAsia="zh-CN"/>
        </w:rPr>
        <w:t>计量渠</w:t>
      </w:r>
      <w:r>
        <w:rPr>
          <w:rFonts w:hint="default" w:ascii="Times New Roman" w:hAnsi="Times New Roman" w:cs="Times New Roman"/>
          <w:bCs/>
          <w:color w:val="000000"/>
          <w:sz w:val="24"/>
          <w:highlight w:val="none"/>
          <w:u w:val="single"/>
          <w:lang w:val="en-US" w:eastAsia="zh-CN"/>
        </w:rPr>
        <w:t>排水</w:t>
      </w:r>
      <w:r>
        <w:rPr>
          <w:rFonts w:hint="eastAsia" w:ascii="Times New Roman" w:hAnsi="Times New Roman" w:cs="Times New Roman"/>
          <w:bCs/>
          <w:color w:val="000000"/>
          <w:sz w:val="24"/>
          <w:highlight w:val="none"/>
          <w:u w:val="single"/>
          <w:lang w:val="en-US" w:eastAsia="zh-CN"/>
        </w:rPr>
        <w:t>；②</w:t>
      </w:r>
      <w:r>
        <w:rPr>
          <w:rFonts w:hint="default" w:ascii="Times New Roman" w:hAnsi="Times New Roman" w:cs="Times New Roman"/>
          <w:bCs/>
          <w:color w:val="000000"/>
          <w:sz w:val="24"/>
          <w:highlight w:val="none"/>
          <w:u w:val="single"/>
          <w:lang w:val="en-US" w:eastAsia="zh-CN"/>
        </w:rPr>
        <w:t>开启联通</w:t>
      </w:r>
      <w:r>
        <w:rPr>
          <w:rFonts w:hint="eastAsia" w:ascii="Times New Roman" w:hAnsi="Times New Roman" w:cs="Times New Roman"/>
          <w:bCs/>
          <w:color w:val="000000"/>
          <w:sz w:val="24"/>
          <w:highlight w:val="none"/>
          <w:u w:val="single"/>
          <w:lang w:val="en-US" w:eastAsia="zh-CN"/>
        </w:rPr>
        <w:t>调节</w:t>
      </w:r>
      <w:r>
        <w:rPr>
          <w:rFonts w:hint="default" w:ascii="Times New Roman" w:hAnsi="Times New Roman" w:cs="Times New Roman"/>
          <w:bCs/>
          <w:color w:val="000000"/>
          <w:sz w:val="24"/>
          <w:highlight w:val="none"/>
          <w:u w:val="single"/>
          <w:lang w:val="en-US" w:eastAsia="zh-CN"/>
        </w:rPr>
        <w:t>池阀门，将进水切入</w:t>
      </w:r>
      <w:r>
        <w:rPr>
          <w:rFonts w:hint="eastAsia" w:ascii="Times New Roman" w:hAnsi="Times New Roman" w:cs="Times New Roman"/>
          <w:bCs/>
          <w:color w:val="000000"/>
          <w:sz w:val="24"/>
          <w:highlight w:val="none"/>
          <w:u w:val="single"/>
          <w:lang w:val="en-US" w:eastAsia="zh-CN"/>
        </w:rPr>
        <w:t>调节</w:t>
      </w:r>
      <w:r>
        <w:rPr>
          <w:rFonts w:hint="default" w:ascii="Times New Roman" w:hAnsi="Times New Roman" w:cs="Times New Roman"/>
          <w:bCs/>
          <w:color w:val="000000"/>
          <w:sz w:val="24"/>
          <w:highlight w:val="none"/>
          <w:u w:val="single"/>
          <w:lang w:val="en-US" w:eastAsia="zh-CN"/>
        </w:rPr>
        <w:t>池暂存</w:t>
      </w:r>
      <w:r>
        <w:rPr>
          <w:rFonts w:hint="eastAsia" w:ascii="Times New Roman" w:hAnsi="Times New Roman" w:cs="Times New Roman"/>
          <w:bCs/>
          <w:color w:val="000000"/>
          <w:sz w:val="24"/>
          <w:highlight w:val="none"/>
          <w:u w:val="single"/>
          <w:lang w:val="en-US" w:eastAsia="zh-CN"/>
        </w:rPr>
        <w:t>；③</w:t>
      </w:r>
      <w:r>
        <w:rPr>
          <w:rFonts w:hint="default" w:ascii="Times New Roman" w:hAnsi="Times New Roman" w:cs="Times New Roman"/>
          <w:bCs/>
          <w:color w:val="000000"/>
          <w:sz w:val="24"/>
          <w:highlight w:val="none"/>
          <w:u w:val="single"/>
          <w:lang w:val="en-US" w:eastAsia="zh-CN"/>
        </w:rPr>
        <w:t>立即组织队伍对污水处理系统故障原因进行排查及维修。</w:t>
      </w:r>
    </w:p>
    <w:p>
      <w:pPr>
        <w:spacing w:line="360" w:lineRule="auto"/>
        <w:ind w:firstLine="480" w:firstLineChars="200"/>
        <w:jc w:val="left"/>
        <w:rPr>
          <w:rFonts w:hint="eastAsia"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（2）</w:t>
      </w:r>
      <w:r>
        <w:rPr>
          <w:rFonts w:hint="default" w:ascii="Times New Roman" w:hAnsi="Times New Roman" w:cs="Times New Roman"/>
          <w:bCs/>
          <w:color w:val="000000"/>
          <w:sz w:val="24"/>
          <w:highlight w:val="none"/>
          <w:u w:val="single"/>
          <w:lang w:val="en-US" w:eastAsia="zh-CN"/>
        </w:rPr>
        <w:t>类型</w:t>
      </w:r>
      <w:r>
        <w:rPr>
          <w:rFonts w:hint="eastAsia" w:ascii="Times New Roman" w:hAnsi="Times New Roman" w:cs="Times New Roman"/>
          <w:bCs/>
          <w:color w:val="000000"/>
          <w:sz w:val="24"/>
          <w:highlight w:val="none"/>
          <w:u w:val="single"/>
          <w:lang w:val="en-US" w:eastAsia="zh-CN"/>
        </w:rPr>
        <w:t>二</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default" w:ascii="Times New Roman" w:hAnsi="Times New Roman" w:cs="Times New Roman"/>
          <w:bCs/>
          <w:color w:val="000000"/>
          <w:sz w:val="24"/>
          <w:highlight w:val="none"/>
          <w:u w:val="single"/>
          <w:lang w:val="en-US" w:eastAsia="zh-CN"/>
        </w:rPr>
        <w:t>事故类型：池体、地面输送管道因常年腐蚀导致其发生破裂，使污水发生泄露，若未有效截流，可能导致未处理的废水经雨水管道排入排水沟进而进入地表水</w:t>
      </w:r>
      <w:r>
        <w:rPr>
          <w:rFonts w:hint="eastAsia" w:ascii="Times New Roman" w:hAnsi="Times New Roman" w:cs="Times New Roman"/>
          <w:bCs/>
          <w:color w:val="000000"/>
          <w:sz w:val="24"/>
          <w:highlight w:val="none"/>
          <w:u w:val="single"/>
          <w:lang w:val="en-US" w:eastAsia="zh-CN"/>
        </w:rPr>
        <w:t>体</w:t>
      </w:r>
      <w:r>
        <w:rPr>
          <w:rFonts w:hint="default" w:ascii="Times New Roman" w:hAnsi="Times New Roman" w:cs="Times New Roman"/>
          <w:bCs/>
          <w:color w:val="000000"/>
          <w:sz w:val="24"/>
          <w:highlight w:val="none"/>
          <w:u w:val="single"/>
          <w:lang w:val="en-US" w:eastAsia="zh-CN"/>
        </w:rPr>
        <w:t>。</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应急处理措施：①</w:t>
      </w:r>
      <w:r>
        <w:rPr>
          <w:rFonts w:hint="default" w:ascii="Times New Roman" w:hAnsi="Times New Roman" w:cs="Times New Roman"/>
          <w:bCs/>
          <w:color w:val="000000"/>
          <w:sz w:val="24"/>
          <w:highlight w:val="none"/>
          <w:u w:val="single"/>
          <w:lang w:val="en-US" w:eastAsia="zh-CN"/>
        </w:rPr>
        <w:t>应急处理人员应立即赶往现场关闭</w:t>
      </w:r>
      <w:r>
        <w:rPr>
          <w:rFonts w:hint="eastAsia" w:ascii="Times New Roman" w:hAnsi="Times New Roman" w:cs="Times New Roman"/>
          <w:bCs/>
          <w:color w:val="000000"/>
          <w:sz w:val="24"/>
          <w:highlight w:val="none"/>
          <w:u w:val="single"/>
          <w:lang w:val="en-US" w:eastAsia="zh-CN"/>
        </w:rPr>
        <w:t>雨水</w:t>
      </w:r>
      <w:r>
        <w:rPr>
          <w:rFonts w:hint="default" w:ascii="Times New Roman" w:hAnsi="Times New Roman" w:cs="Times New Roman"/>
          <w:bCs/>
          <w:color w:val="000000"/>
          <w:sz w:val="24"/>
          <w:highlight w:val="none"/>
          <w:u w:val="single"/>
          <w:lang w:val="en-US" w:eastAsia="zh-CN"/>
        </w:rPr>
        <w:t>出水阀门，</w:t>
      </w:r>
      <w:r>
        <w:rPr>
          <w:rFonts w:hint="eastAsia" w:ascii="Times New Roman" w:hAnsi="Times New Roman" w:cs="Times New Roman"/>
          <w:bCs/>
          <w:color w:val="000000"/>
          <w:sz w:val="24"/>
          <w:highlight w:val="none"/>
          <w:u w:val="single"/>
          <w:lang w:val="en-US" w:eastAsia="zh-CN"/>
        </w:rPr>
        <w:t>②根据破裂区域进行有效截留</w:t>
      </w:r>
      <w:r>
        <w:rPr>
          <w:rFonts w:hint="default" w:ascii="Times New Roman" w:hAnsi="Times New Roman" w:cs="Times New Roman"/>
          <w:bCs/>
          <w:color w:val="000000"/>
          <w:sz w:val="24"/>
          <w:highlight w:val="none"/>
          <w:u w:val="single"/>
          <w:lang w:val="en-US" w:eastAsia="zh-CN"/>
        </w:rPr>
        <w:t>，并及时开启事故水泵，将泄漏的污水泵入</w:t>
      </w:r>
      <w:r>
        <w:rPr>
          <w:rFonts w:hint="eastAsia" w:ascii="Times New Roman" w:hAnsi="Times New Roman" w:cs="Times New Roman"/>
          <w:bCs/>
          <w:color w:val="000000"/>
          <w:sz w:val="24"/>
          <w:highlight w:val="none"/>
          <w:u w:val="single"/>
          <w:lang w:val="en-US" w:eastAsia="zh-CN"/>
        </w:rPr>
        <w:t>调节池；</w:t>
      </w:r>
      <w:r>
        <w:rPr>
          <w:rFonts w:hint="default" w:ascii="Times New Roman" w:hAnsi="Times New Roman" w:cs="Times New Roman"/>
          <w:bCs/>
          <w:color w:val="000000"/>
          <w:sz w:val="24"/>
          <w:highlight w:val="none"/>
          <w:u w:val="single"/>
          <w:lang w:val="en-US" w:eastAsia="zh-CN"/>
        </w:rPr>
        <w:t>③立即组织队伍对泄露管道进行维修。</w:t>
      </w:r>
    </w:p>
    <w:p>
      <w:pPr>
        <w:spacing w:line="360" w:lineRule="auto"/>
        <w:ind w:firstLine="480" w:firstLineChars="200"/>
        <w:jc w:val="left"/>
        <w:rPr>
          <w:rFonts w:hint="eastAsia"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（3）</w:t>
      </w:r>
      <w:r>
        <w:rPr>
          <w:rFonts w:hint="default" w:ascii="Times New Roman" w:hAnsi="Times New Roman" w:cs="Times New Roman"/>
          <w:bCs/>
          <w:color w:val="000000"/>
          <w:sz w:val="24"/>
          <w:highlight w:val="none"/>
          <w:u w:val="single"/>
          <w:lang w:val="en-US" w:eastAsia="zh-CN"/>
        </w:rPr>
        <w:t>类型</w:t>
      </w:r>
      <w:r>
        <w:rPr>
          <w:rFonts w:hint="eastAsia" w:ascii="Times New Roman" w:hAnsi="Times New Roman" w:cs="Times New Roman"/>
          <w:bCs/>
          <w:color w:val="000000"/>
          <w:sz w:val="24"/>
          <w:highlight w:val="none"/>
          <w:u w:val="single"/>
          <w:lang w:val="en-US" w:eastAsia="zh-CN"/>
        </w:rPr>
        <w:t>三</w:t>
      </w:r>
    </w:p>
    <w:p>
      <w:pPr>
        <w:spacing w:line="360" w:lineRule="auto"/>
        <w:ind w:firstLine="480" w:firstLineChars="200"/>
        <w:jc w:val="left"/>
        <w:rPr>
          <w:rFonts w:hint="eastAsia"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事故类型：</w:t>
      </w:r>
      <w:r>
        <w:rPr>
          <w:rFonts w:hint="default" w:ascii="Times New Roman" w:hAnsi="Times New Roman" w:cs="Times New Roman"/>
          <w:bCs/>
          <w:color w:val="000000"/>
          <w:sz w:val="24"/>
          <w:highlight w:val="none"/>
          <w:u w:val="single"/>
          <w:lang w:val="en-US" w:eastAsia="zh-CN"/>
        </w:rPr>
        <w:t>外部风险源事故排放导致进水水质严重超标</w:t>
      </w:r>
      <w:r>
        <w:rPr>
          <w:rFonts w:hint="eastAsia" w:ascii="Times New Roman" w:hAnsi="Times New Roman" w:cs="Times New Roman"/>
          <w:bCs/>
          <w:color w:val="000000"/>
          <w:sz w:val="24"/>
          <w:highlight w:val="none"/>
          <w:u w:val="single"/>
          <w:lang w:val="en-US" w:eastAsia="zh-CN"/>
        </w:rPr>
        <w:t>。</w:t>
      </w:r>
    </w:p>
    <w:p>
      <w:pPr>
        <w:spacing w:line="360" w:lineRule="auto"/>
        <w:ind w:firstLine="480" w:firstLineChars="200"/>
        <w:jc w:val="left"/>
        <w:rPr>
          <w:rFonts w:hint="default" w:ascii="Times New Roman" w:hAnsi="Times New Roman" w:cs="Times New Roman"/>
          <w:bCs/>
          <w:color w:val="000000"/>
          <w:sz w:val="24"/>
          <w:highlight w:val="none"/>
          <w:u w:val="single"/>
          <w:lang w:val="en-US" w:eastAsia="zh-CN"/>
        </w:rPr>
      </w:pPr>
      <w:r>
        <w:rPr>
          <w:rFonts w:hint="eastAsia" w:ascii="Times New Roman" w:hAnsi="Times New Roman" w:cs="Times New Roman"/>
          <w:bCs/>
          <w:color w:val="000000"/>
          <w:sz w:val="24"/>
          <w:highlight w:val="none"/>
          <w:u w:val="single"/>
          <w:lang w:val="en-US" w:eastAsia="zh-CN"/>
        </w:rPr>
        <w:t>应急处理措施：</w:t>
      </w:r>
      <w:r>
        <w:rPr>
          <w:rFonts w:hint="default" w:ascii="Times New Roman" w:hAnsi="Times New Roman" w:cs="Times New Roman"/>
          <w:bCs/>
          <w:color w:val="000000"/>
          <w:sz w:val="24"/>
          <w:highlight w:val="none"/>
          <w:u w:val="single"/>
          <w:lang w:val="en-US" w:eastAsia="zh-CN"/>
        </w:rPr>
        <w:t>①</w:t>
      </w:r>
      <w:r>
        <w:rPr>
          <w:rFonts w:hint="eastAsia" w:ascii="Times New Roman" w:hAnsi="Times New Roman" w:cs="Times New Roman"/>
          <w:bCs/>
          <w:color w:val="000000"/>
          <w:sz w:val="24"/>
          <w:highlight w:val="none"/>
          <w:u w:val="single"/>
          <w:lang w:val="en-US" w:eastAsia="zh-CN"/>
        </w:rPr>
        <w:t>开启切换阀门，</w:t>
      </w:r>
      <w:r>
        <w:rPr>
          <w:rFonts w:hint="default" w:ascii="Times New Roman" w:hAnsi="Times New Roman" w:cs="Times New Roman"/>
          <w:bCs/>
          <w:color w:val="000000"/>
          <w:sz w:val="24"/>
          <w:highlight w:val="none"/>
          <w:u w:val="single"/>
          <w:lang w:val="en-US" w:eastAsia="zh-CN"/>
        </w:rPr>
        <w:t>将</w:t>
      </w:r>
      <w:r>
        <w:rPr>
          <w:rFonts w:hint="eastAsia" w:ascii="Times New Roman" w:hAnsi="Times New Roman" w:cs="Times New Roman"/>
          <w:bCs/>
          <w:color w:val="000000"/>
          <w:sz w:val="24"/>
          <w:highlight w:val="none"/>
          <w:u w:val="single"/>
          <w:lang w:val="en-US" w:eastAsia="zh-CN"/>
        </w:rPr>
        <w:t>污水排入备用污水处理设施</w:t>
      </w:r>
      <w:r>
        <w:rPr>
          <w:rFonts w:hint="default" w:ascii="Times New Roman" w:hAnsi="Times New Roman" w:cs="Times New Roman"/>
          <w:bCs/>
          <w:color w:val="000000"/>
          <w:sz w:val="24"/>
          <w:highlight w:val="none"/>
          <w:u w:val="single"/>
          <w:lang w:val="en-US" w:eastAsia="zh-CN"/>
        </w:rPr>
        <w:t>；</w:t>
      </w:r>
      <w:r>
        <w:rPr>
          <w:rFonts w:hint="eastAsia" w:ascii="Times New Roman" w:hAnsi="Times New Roman" w:cs="Times New Roman"/>
          <w:bCs/>
          <w:color w:val="000000"/>
          <w:sz w:val="24"/>
          <w:highlight w:val="none"/>
          <w:u w:val="single"/>
          <w:lang w:val="en-US" w:eastAsia="zh-CN"/>
        </w:rPr>
        <w:t>②</w:t>
      </w:r>
      <w:r>
        <w:rPr>
          <w:rFonts w:hint="default" w:ascii="Times New Roman" w:hAnsi="Times New Roman" w:cs="Times New Roman"/>
          <w:bCs/>
          <w:color w:val="000000"/>
          <w:sz w:val="24"/>
          <w:highlight w:val="none"/>
          <w:u w:val="single"/>
          <w:lang w:val="en-US" w:eastAsia="zh-CN"/>
        </w:rPr>
        <w:t>立即组织人员对</w:t>
      </w:r>
      <w:r>
        <w:rPr>
          <w:rFonts w:hint="eastAsia" w:ascii="Times New Roman" w:hAnsi="Times New Roman" w:cs="Times New Roman"/>
          <w:bCs/>
          <w:color w:val="000000"/>
          <w:sz w:val="24"/>
          <w:highlight w:val="none"/>
          <w:u w:val="single"/>
          <w:lang w:val="en-US" w:eastAsia="zh-CN"/>
        </w:rPr>
        <w:t>排放</w:t>
      </w:r>
      <w:r>
        <w:rPr>
          <w:rFonts w:hint="default" w:ascii="Times New Roman" w:hAnsi="Times New Roman" w:cs="Times New Roman"/>
          <w:bCs/>
          <w:color w:val="000000"/>
          <w:sz w:val="24"/>
          <w:highlight w:val="none"/>
          <w:u w:val="single"/>
          <w:lang w:val="en-US" w:eastAsia="zh-CN"/>
        </w:rPr>
        <w:t>废水水质进行监测分析，然后视监测结果采取分类处理</w:t>
      </w:r>
      <w:r>
        <w:rPr>
          <w:rFonts w:hint="eastAsia" w:ascii="Times New Roman" w:hAnsi="Times New Roman" w:cs="Times New Roman"/>
          <w:bCs/>
          <w:color w:val="000000"/>
          <w:sz w:val="24"/>
          <w:highlight w:val="none"/>
          <w:u w:val="single"/>
          <w:lang w:val="en-US" w:eastAsia="zh-CN"/>
        </w:rPr>
        <w:t>；③</w:t>
      </w:r>
      <w:r>
        <w:rPr>
          <w:rFonts w:hint="default" w:ascii="Times New Roman" w:hAnsi="Times New Roman" w:cs="Times New Roman"/>
          <w:bCs/>
          <w:color w:val="000000"/>
          <w:sz w:val="24"/>
          <w:highlight w:val="none"/>
          <w:u w:val="single"/>
          <w:lang w:val="en-US" w:eastAsia="zh-CN"/>
        </w:rPr>
        <w:t>应针对特殊污染物进行预处理，</w:t>
      </w:r>
      <w:r>
        <w:rPr>
          <w:rFonts w:hint="eastAsia" w:ascii="Times New Roman" w:hAnsi="Times New Roman" w:cs="Times New Roman"/>
          <w:bCs/>
          <w:color w:val="000000"/>
          <w:sz w:val="24"/>
          <w:highlight w:val="none"/>
          <w:u w:val="single"/>
          <w:lang w:val="en-US" w:eastAsia="zh-CN"/>
        </w:rPr>
        <w:t>根据</w:t>
      </w:r>
      <w:r>
        <w:rPr>
          <w:rFonts w:hint="default" w:ascii="Times New Roman" w:hAnsi="Times New Roman" w:cs="Times New Roman"/>
          <w:bCs/>
          <w:color w:val="000000"/>
          <w:sz w:val="24"/>
          <w:highlight w:val="none"/>
          <w:u w:val="single"/>
          <w:lang w:val="en-US" w:eastAsia="zh-CN"/>
        </w:rPr>
        <w:t>污水性质投加碱性物质或酸性物质等方法，</w:t>
      </w:r>
      <w:r>
        <w:rPr>
          <w:rFonts w:hint="eastAsia" w:ascii="Times New Roman" w:hAnsi="Times New Roman" w:cs="Times New Roman"/>
          <w:bCs/>
          <w:color w:val="000000"/>
          <w:sz w:val="24"/>
          <w:highlight w:val="none"/>
          <w:u w:val="single"/>
          <w:lang w:val="en-US" w:eastAsia="zh-CN"/>
        </w:rPr>
        <w:t>进一步</w:t>
      </w:r>
      <w:r>
        <w:rPr>
          <w:rFonts w:hint="default" w:ascii="Times New Roman" w:hAnsi="Times New Roman" w:cs="Times New Roman"/>
          <w:bCs/>
          <w:color w:val="000000"/>
          <w:sz w:val="24"/>
          <w:highlight w:val="none"/>
          <w:u w:val="single"/>
          <w:lang w:val="en-US" w:eastAsia="zh-CN"/>
        </w:rPr>
        <w:t>处理合格后</w:t>
      </w:r>
      <w:r>
        <w:rPr>
          <w:rFonts w:hint="eastAsia" w:ascii="Times New Roman" w:hAnsi="Times New Roman" w:cs="Times New Roman"/>
          <w:bCs/>
          <w:color w:val="000000"/>
          <w:sz w:val="24"/>
          <w:highlight w:val="none"/>
          <w:u w:val="single"/>
          <w:lang w:val="en-US" w:eastAsia="zh-CN"/>
        </w:rPr>
        <w:t>方可排放；对于本污水处理厂处理工艺无法处置的废水应及时转运外委处理。</w:t>
      </w:r>
    </w:p>
    <w:p>
      <w:pPr>
        <w:spacing w:line="360" w:lineRule="auto"/>
        <w:ind w:firstLine="482" w:firstLineChars="200"/>
        <w:outlineLvl w:val="2"/>
        <w:rPr>
          <w:rFonts w:hint="default" w:ascii="Times New Roman" w:hAnsi="Times New Roman" w:cs="Times New Roman"/>
          <w:b/>
          <w:bCs/>
          <w:sz w:val="24"/>
          <w:highlight w:val="none"/>
        </w:rPr>
      </w:pPr>
      <w:r>
        <w:rPr>
          <w:rFonts w:hint="default" w:ascii="Times New Roman" w:hAnsi="Times New Roman" w:cs="Times New Roman"/>
          <w:b/>
          <w:bCs/>
          <w:sz w:val="24"/>
          <w:highlight w:val="none"/>
        </w:rPr>
        <w:t>7.2.3.环境管理</w:t>
      </w:r>
      <w:bookmarkEnd w:id="239"/>
    </w:p>
    <w:p>
      <w:pPr>
        <w:numPr>
          <w:ilvl w:val="0"/>
          <w:numId w:val="9"/>
        </w:num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环境管理机构及职责</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建立由总经理负责的环境管理机构，从上到下建立起环境目标责任制、岗位责任制。环境管理机构的基本职责为：</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①宣传、组织贯彻国家有关环境保护的方针、政策、法令和条例，搞好范围内的环境保护工作；</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②执行上级生态环境主管部门建立的各种环境管理制度；</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③监督项目环保设施和设备的安装、调试和运行，保证“三同时”验收合格；</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④领导并组织项目运行期（包括非正常运行期）的环境监测工作，建立档案。依据核定的污染物排放总量控制指标和污染物排放标准来指导和规范污水处理厂各部门的运行管理；</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⑤调查、处理污染事故与污染纠纷，开展环保教育、技术培训和学术交流活动，提高工作人员素质；</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⑥设置专人负责污水处理站的运行维护。</w:t>
      </w:r>
    </w:p>
    <w:p>
      <w:pPr>
        <w:numPr>
          <w:ilvl w:val="0"/>
          <w:numId w:val="9"/>
        </w:num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排污口规范化建设及管理</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是企业排放污染物进入环境的通道，强化排污口的管理是实施污染物总量控制的基础工作之一，也是区域环境管理逐步实现污染物排放科学化、定量化的重要手段。根据《入河排污口管理技术导则》（SL532-2011）规范化设置入河排污口，主要内容如下：</w:t>
      </w:r>
    </w:p>
    <w:p>
      <w:pPr>
        <w:numPr>
          <w:ilvl w:val="0"/>
          <w:numId w:val="10"/>
        </w:num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排污口技术要求</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①入河排污口设置应便于采集样品、便于计量监测、便于日常现场监督检查。</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②入河排污口应设置在设计洪水淹没线之上，工程设施应符合防洪要求。</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③入河排污口不得设暗管通入河道底部，如特殊情况需要设管道的，必须留出观测窗口，以便于采样和监督。</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④入河排污口处应设置明显的标志牌，标志牌内容包括入河排污口编号、入河排污口名称、入河排污口地理位置和经纬度坐标、排入水功能区名称及水质保护目标、入河排污口设置单位以及入河排污口设置审批单位及监督电话。</w:t>
      </w:r>
    </w:p>
    <w:p>
      <w:pPr>
        <w:numPr>
          <w:ilvl w:val="0"/>
          <w:numId w:val="10"/>
        </w:num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排污口标志</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入河排污口标志的设置应按照《环境保护图形标志排放口》（GB15562.1-1995）、《关于印发排放口标志牌技术规格的通知》中有关规定执行，设置与之相适应的环境保护图形标志牌。</w:t>
      </w:r>
    </w:p>
    <w:p>
      <w:pPr>
        <w:numPr>
          <w:ilvl w:val="0"/>
          <w:numId w:val="10"/>
        </w:num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排污口建档要求</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排污单位应建立排污口基础资料和管理档案，如：排污单位名称、排污口性质及编号、排放主要污染物种类等。</w:t>
      </w:r>
    </w:p>
    <w:p>
      <w:pPr>
        <w:numPr>
          <w:ilvl w:val="0"/>
          <w:numId w:val="10"/>
        </w:num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排污口环境保护设施管理要求</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①规范整治排污口有关环境保护设施（如：标志牌等），加强日常监督管理，排污单位应将环保设施纳入本单位设备管理，制定相应的管理办法和规章制度。</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②排污单位应配备专职人员对排污口进行管理，做到责任明确、奖罚分明。</w:t>
      </w:r>
    </w:p>
    <w:p>
      <w:pPr>
        <w:spacing w:line="360" w:lineRule="auto"/>
        <w:jc w:val="center"/>
        <w:rPr>
          <w:rFonts w:hint="default" w:ascii="Times New Roman" w:hAnsi="Times New Roman" w:cs="Times New Roman"/>
          <w:b/>
          <w:bCs/>
          <w:sz w:val="24"/>
          <w:highlight w:val="none"/>
        </w:rPr>
      </w:pPr>
      <w:r>
        <w:rPr>
          <w:rFonts w:hint="default" w:ascii="Times New Roman" w:hAnsi="Times New Roman" w:cs="Times New Roman"/>
          <w:b/>
          <w:bCs/>
          <w:sz w:val="24"/>
          <w:highlight w:val="none"/>
        </w:rPr>
        <w:t>表7-2  排污口（源）标志牌设置要求</w:t>
      </w:r>
    </w:p>
    <w:tbl>
      <w:tblPr>
        <w:tblStyle w:val="2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0"/>
        <w:gridCol w:w="69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要求</w:t>
            </w:r>
          </w:p>
        </w:tc>
        <w:tc>
          <w:tcPr>
            <w:tcW w:w="7077" w:type="dxa"/>
            <w:vAlign w:val="center"/>
          </w:tcPr>
          <w:p>
            <w:pPr>
              <w:jc w:val="center"/>
              <w:rPr>
                <w:rFonts w:hint="default" w:ascii="Times New Roman" w:hAnsi="Times New Roman" w:cs="Times New Roman"/>
                <w:b/>
                <w:bCs/>
                <w:highlight w:val="none"/>
              </w:rPr>
            </w:pPr>
            <w:r>
              <w:rPr>
                <w:rFonts w:hint="default" w:ascii="Times New Roman" w:hAnsi="Times New Roman" w:cs="Times New Roman"/>
                <w:b/>
                <w:bCs/>
                <w:highlight w:val="none"/>
              </w:rPr>
              <w:t>废水排放口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提示符号</w:t>
            </w:r>
          </w:p>
        </w:tc>
        <w:tc>
          <w:tcPr>
            <w:tcW w:w="707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032250" cy="2512060"/>
                  <wp:effectExtent l="0" t="0" r="6350" b="2540"/>
                  <wp:docPr id="45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图片 2"/>
                          <pic:cNvPicPr>
                            <a:picLocks noChangeAspect="1"/>
                          </pic:cNvPicPr>
                        </pic:nvPicPr>
                        <pic:blipFill>
                          <a:blip r:embed="rId21"/>
                          <a:stretch>
                            <a:fillRect/>
                          </a:stretch>
                        </pic:blipFill>
                        <pic:spPr>
                          <a:xfrm>
                            <a:off x="0" y="0"/>
                            <a:ext cx="4032250" cy="25120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功能</w:t>
            </w:r>
          </w:p>
        </w:tc>
        <w:tc>
          <w:tcPr>
            <w:tcW w:w="707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表示污水向水体排放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背景颜色</w:t>
            </w:r>
          </w:p>
        </w:tc>
        <w:tc>
          <w:tcPr>
            <w:tcW w:w="707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底和立柱为绿色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图形颜色</w:t>
            </w:r>
          </w:p>
        </w:tc>
        <w:tc>
          <w:tcPr>
            <w:tcW w:w="707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图案、边框、支架和文字为白色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辅助标志内容</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（1）排放口标志名称；（2）单位名称；（3）编号；（4）污染物种类；（5）XX 生态环境局监制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辅助标志字形</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黑体字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标志牌尺寸</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平面固定式标志牌外形尺寸：480×300mm</w:t>
            </w:r>
          </w:p>
          <w:p>
            <w:pPr>
              <w:jc w:val="left"/>
              <w:rPr>
                <w:rFonts w:hint="default" w:ascii="Times New Roman" w:hAnsi="Times New Roman" w:cs="Times New Roman"/>
                <w:highlight w:val="none"/>
              </w:rPr>
            </w:pPr>
            <w:r>
              <w:rPr>
                <w:rFonts w:hint="default" w:ascii="Times New Roman" w:hAnsi="Times New Roman" w:cs="Times New Roman"/>
                <w:highlight w:val="none"/>
              </w:rPr>
              <w:t>立式固定式标志牌外形尺寸：420×420mm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高度要求</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标志牌最上端距地面2m，地下0.3m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标志牌材料</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1、标志牌采用 1.5～2mm 冷轧钢板；</w:t>
            </w:r>
          </w:p>
          <w:p>
            <w:pPr>
              <w:jc w:val="left"/>
              <w:rPr>
                <w:rFonts w:hint="default" w:ascii="Times New Roman" w:hAnsi="Times New Roman" w:cs="Times New Roman"/>
                <w:highlight w:val="none"/>
              </w:rPr>
            </w:pPr>
            <w:r>
              <w:rPr>
                <w:rFonts w:hint="default" w:ascii="Times New Roman" w:hAnsi="Times New Roman" w:cs="Times New Roman"/>
                <w:highlight w:val="none"/>
              </w:rPr>
              <w:t>2、立柱采用 38×4 无缝钢管；</w:t>
            </w:r>
          </w:p>
          <w:p>
            <w:pPr>
              <w:jc w:val="left"/>
              <w:rPr>
                <w:rFonts w:hint="default" w:ascii="Times New Roman" w:hAnsi="Times New Roman" w:cs="Times New Roman"/>
                <w:highlight w:val="none"/>
              </w:rPr>
            </w:pPr>
            <w:r>
              <w:rPr>
                <w:rFonts w:hint="default" w:ascii="Times New Roman" w:hAnsi="Times New Roman" w:cs="Times New Roman"/>
                <w:highlight w:val="none"/>
              </w:rPr>
              <w:t>3、表面采用搪瓷或者反光贴膜。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标志牌的表面处理</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1、搪瓷处理或贴膜处理；</w:t>
            </w:r>
          </w:p>
          <w:p>
            <w:pPr>
              <w:jc w:val="left"/>
              <w:rPr>
                <w:rFonts w:hint="default" w:ascii="Times New Roman" w:hAnsi="Times New Roman" w:cs="Times New Roman"/>
                <w:highlight w:val="none"/>
              </w:rPr>
            </w:pPr>
            <w:r>
              <w:rPr>
                <w:rFonts w:hint="default" w:ascii="Times New Roman" w:hAnsi="Times New Roman" w:cs="Times New Roman"/>
                <w:highlight w:val="none"/>
              </w:rPr>
              <w:t>2、标志牌的端面及立柱要经过防腐处理。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57" w:type="dxa"/>
            <w:vAlign w:val="center"/>
          </w:tcPr>
          <w:p>
            <w:pPr>
              <w:jc w:val="center"/>
              <w:rPr>
                <w:rFonts w:hint="default" w:ascii="Times New Roman" w:hAnsi="Times New Roman" w:cs="Times New Roman"/>
                <w:highlight w:val="none"/>
              </w:rPr>
            </w:pPr>
            <w:r>
              <w:rPr>
                <w:rFonts w:hint="default" w:ascii="Times New Roman" w:hAnsi="Times New Roman" w:cs="Times New Roman"/>
                <w:highlight w:val="none"/>
              </w:rPr>
              <w:t>标志牌的外观质量要求</w:t>
            </w:r>
          </w:p>
        </w:tc>
        <w:tc>
          <w:tcPr>
            <w:tcW w:w="7077" w:type="dxa"/>
            <w:vAlign w:val="center"/>
          </w:tcPr>
          <w:p>
            <w:pPr>
              <w:jc w:val="left"/>
              <w:rPr>
                <w:rFonts w:hint="default" w:ascii="Times New Roman" w:hAnsi="Times New Roman" w:cs="Times New Roman"/>
                <w:highlight w:val="none"/>
              </w:rPr>
            </w:pPr>
            <w:r>
              <w:rPr>
                <w:rFonts w:hint="default" w:ascii="Times New Roman" w:hAnsi="Times New Roman" w:cs="Times New Roman"/>
                <w:highlight w:val="none"/>
              </w:rPr>
              <w:t>1、标志牌、立柱无明显变形；</w:t>
            </w:r>
          </w:p>
          <w:p>
            <w:pPr>
              <w:jc w:val="left"/>
              <w:rPr>
                <w:rFonts w:hint="default" w:ascii="Times New Roman" w:hAnsi="Times New Roman" w:cs="Times New Roman"/>
                <w:highlight w:val="none"/>
              </w:rPr>
            </w:pPr>
            <w:r>
              <w:rPr>
                <w:rFonts w:hint="default" w:ascii="Times New Roman" w:hAnsi="Times New Roman" w:cs="Times New Roman"/>
                <w:highlight w:val="none"/>
              </w:rPr>
              <w:t>2、标志牌表面无气泡，膜或搪瓷无脱落；</w:t>
            </w:r>
          </w:p>
          <w:p>
            <w:pPr>
              <w:jc w:val="left"/>
              <w:rPr>
                <w:rFonts w:hint="default" w:ascii="Times New Roman" w:hAnsi="Times New Roman" w:cs="Times New Roman"/>
                <w:highlight w:val="none"/>
              </w:rPr>
            </w:pPr>
            <w:r>
              <w:rPr>
                <w:rFonts w:hint="default" w:ascii="Times New Roman" w:hAnsi="Times New Roman" w:cs="Times New Roman"/>
                <w:highlight w:val="none"/>
              </w:rPr>
              <w:t>3、图案清晰，色泽一致，不得有明显缺损；</w:t>
            </w:r>
          </w:p>
          <w:p>
            <w:pPr>
              <w:jc w:val="left"/>
              <w:rPr>
                <w:rFonts w:hint="default" w:ascii="Times New Roman" w:hAnsi="Times New Roman" w:cs="Times New Roman"/>
                <w:highlight w:val="none"/>
              </w:rPr>
            </w:pPr>
            <w:r>
              <w:rPr>
                <w:rFonts w:hint="default" w:ascii="Times New Roman" w:hAnsi="Times New Roman" w:cs="Times New Roman"/>
                <w:highlight w:val="none"/>
              </w:rPr>
              <w:t>4、标志牌的表面不应有开裂、脱落及其它破损。</w:t>
            </w:r>
          </w:p>
        </w:tc>
      </w:tr>
    </w:tbl>
    <w:p>
      <w:pPr>
        <w:numPr>
          <w:ilvl w:val="0"/>
          <w:numId w:val="9"/>
        </w:num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环境保护措施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①每年组织一次突发环境事件应急演练，按照应急预案管理要求至少每三年修订、更新一次，制定水环境突发环境事件专项应急预案。</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②项目复产后尽快组织完成剩余产品生产环境保护验收工作，并在全国建设项目竣工环境保护验收信息平台上填报相关信息。</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③按照排污许可证要求委托有检测资质的第三方检测公司完成污染物排放自行监测，并建立环境管理台账。</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④若项目复产后项目性质、规模、地点、生产工艺、环境保护措施发生重大变动应先完善环境影响评价手续后方可进行试生产。</w:t>
      </w:r>
    </w:p>
    <w:p>
      <w:pPr>
        <w:numPr>
          <w:ilvl w:val="0"/>
          <w:numId w:val="9"/>
        </w:numPr>
        <w:spacing w:line="360" w:lineRule="auto"/>
        <w:ind w:firstLine="482" w:firstLineChars="200"/>
        <w:rPr>
          <w:rFonts w:hint="default" w:ascii="Times New Roman" w:hAnsi="Times New Roman" w:cs="Times New Roman"/>
          <w:b/>
          <w:bCs/>
          <w:sz w:val="24"/>
          <w:highlight w:val="none"/>
        </w:rPr>
      </w:pPr>
      <w:r>
        <w:rPr>
          <w:rFonts w:hint="default" w:ascii="Times New Roman" w:hAnsi="Times New Roman" w:cs="Times New Roman"/>
          <w:b/>
          <w:bCs/>
          <w:sz w:val="24"/>
          <w:highlight w:val="none"/>
        </w:rPr>
        <w:t>监督管理措施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①宣传、组织、贯彻国家有关水生态环境保护的方针、政策、法令和条例，搞好项目运行期间环境保护工作，执行上级主管部门建立的各种环境管理制度。</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②加强水资源保护的宣传，加强水法规定的宣贯，提高企业全员水资源保护的意识。</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③对项目涉及水域要进行水质监测，并协助当地环保部门做好水污染防治工作。</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④在污水处置设施出现故障时，应立即停产检修，严格禁止未经处理废水排放。</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⑤建立水质保护管理措施，并不断充实和完善各项管理制度。健全水质保护管理机构，实行统一领导，分区负责，保障各项水质保护规章制度有效实施。</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⑥积极开展环保教育、技术培训和学术交流活动，提高员工素质，推广利用先进技术和经验。</w:t>
      </w:r>
    </w:p>
    <w:p>
      <w:pPr>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⑦加强水功能区水质监测工作，及时了解水功能区的水环境状况，依照相关法律由地方水行政主管部门加强监督管理，确保达到水功能区管理目标。</w:t>
      </w:r>
    </w:p>
    <w:p>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sz w:val="24"/>
          <w:highlight w:val="none"/>
        </w:rPr>
        <w:t>⑧对排污口按照“一口一册”要求建立统一档案，实现相关部门对入河排污口数据信息共享。</w:t>
      </w:r>
    </w:p>
    <w:p>
      <w:pPr>
        <w:spacing w:line="360" w:lineRule="auto"/>
        <w:ind w:firstLine="482" w:firstLineChars="200"/>
        <w:jc w:val="left"/>
        <w:outlineLvl w:val="1"/>
        <w:rPr>
          <w:rFonts w:hint="default" w:ascii="Times New Roman" w:hAnsi="Times New Roman" w:cs="Times New Roman"/>
          <w:b/>
          <w:color w:val="000000"/>
          <w:sz w:val="24"/>
          <w:highlight w:val="none"/>
        </w:rPr>
      </w:pPr>
      <w:bookmarkStart w:id="240" w:name="_Toc16086"/>
      <w:r>
        <w:rPr>
          <w:rFonts w:hint="default" w:ascii="Times New Roman" w:hAnsi="Times New Roman" w:cs="Times New Roman"/>
          <w:b/>
          <w:color w:val="000000"/>
          <w:sz w:val="24"/>
          <w:highlight w:val="none"/>
        </w:rPr>
        <w:t>7.3.排污口设置验收要求</w:t>
      </w:r>
      <w:bookmarkEnd w:id="240"/>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入河排污口试运行满3个月，正式投入使用前，入河排污口设置单位应向有管辖权的县级以上人民政府入河排污口主管部门提出入河排污口设置验收申请，验收合格后方可投入运行。验收内容包括：</w:t>
      </w:r>
    </w:p>
    <w:p>
      <w:pPr>
        <w:numPr>
          <w:ilvl w:val="0"/>
          <w:numId w:val="11"/>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污水处理设施验收合格；</w:t>
      </w:r>
    </w:p>
    <w:p>
      <w:pPr>
        <w:numPr>
          <w:ilvl w:val="0"/>
          <w:numId w:val="11"/>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入河排污口设置审批手续完备，技术资料齐全；</w:t>
      </w:r>
    </w:p>
    <w:p>
      <w:pPr>
        <w:numPr>
          <w:ilvl w:val="0"/>
          <w:numId w:val="11"/>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入河排污口已按行政许可决定的要求建成，污水排放符合行政许可决定中提出的标准及总量控制要求；</w:t>
      </w:r>
    </w:p>
    <w:p>
      <w:pPr>
        <w:numPr>
          <w:ilvl w:val="0"/>
          <w:numId w:val="11"/>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污水处理设施水质水量监测设备、报送信息方式符合有关规定的要求；</w:t>
      </w:r>
    </w:p>
    <w:p>
      <w:pPr>
        <w:numPr>
          <w:ilvl w:val="0"/>
          <w:numId w:val="11"/>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有完善的水污染事件应急预案，风险控制措施落实到位；</w:t>
      </w:r>
    </w:p>
    <w:p>
      <w:pPr>
        <w:numPr>
          <w:ilvl w:val="0"/>
          <w:numId w:val="11"/>
        </w:num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有关水资源保护措施全面落实。</w:t>
      </w:r>
    </w:p>
    <w:p>
      <w:pPr>
        <w:spacing w:line="360" w:lineRule="auto"/>
        <w:ind w:firstLine="482" w:firstLineChars="200"/>
        <w:jc w:val="left"/>
        <w:outlineLvl w:val="1"/>
        <w:rPr>
          <w:rFonts w:hint="default" w:ascii="Times New Roman" w:hAnsi="Times New Roman" w:cs="Times New Roman"/>
          <w:bCs/>
          <w:sz w:val="24"/>
          <w:highlight w:val="none"/>
          <w:u w:val="single"/>
        </w:rPr>
      </w:pPr>
      <w:bookmarkStart w:id="241" w:name="_Toc17496"/>
      <w:r>
        <w:rPr>
          <w:rFonts w:hint="default" w:ascii="Times New Roman" w:hAnsi="Times New Roman" w:cs="Times New Roman"/>
          <w:b/>
          <w:color w:val="000000"/>
          <w:sz w:val="24"/>
          <w:highlight w:val="none"/>
          <w:u w:val="single"/>
        </w:rPr>
        <w:t>7.4.环境监测方案</w:t>
      </w:r>
      <w:bookmarkEnd w:id="241"/>
    </w:p>
    <w:p>
      <w:pPr>
        <w:spacing w:line="360" w:lineRule="auto"/>
        <w:ind w:firstLine="480" w:firstLineChars="200"/>
        <w:jc w:val="left"/>
        <w:rPr>
          <w:rFonts w:hint="default" w:ascii="Times New Roman" w:hAnsi="Times New Roman" w:cs="Times New Roman"/>
          <w:b/>
          <w:bCs/>
          <w:sz w:val="24"/>
          <w:highlight w:val="none"/>
          <w:u w:val="single"/>
        </w:rPr>
      </w:pPr>
      <w:r>
        <w:rPr>
          <w:rFonts w:hint="default" w:ascii="Times New Roman" w:hAnsi="Times New Roman" w:cs="Times New Roman"/>
          <w:bCs/>
          <w:sz w:val="24"/>
          <w:highlight w:val="none"/>
          <w:u w:val="single"/>
        </w:rPr>
        <w:t>本项目</w:t>
      </w:r>
      <w:r>
        <w:rPr>
          <w:rFonts w:hint="eastAsia" w:cs="Times New Roman"/>
          <w:bCs/>
          <w:sz w:val="24"/>
          <w:highlight w:val="none"/>
          <w:u w:val="single"/>
          <w:lang w:val="en-US" w:eastAsia="zh-CN"/>
        </w:rPr>
        <w:t>为</w:t>
      </w:r>
      <w:r>
        <w:rPr>
          <w:rFonts w:hint="default" w:ascii="Times New Roman" w:hAnsi="Times New Roman" w:cs="Times New Roman"/>
          <w:bCs/>
          <w:sz w:val="24"/>
          <w:highlight w:val="none"/>
          <w:u w:val="single"/>
        </w:rPr>
        <w:t>城乡污水集中处理场所</w:t>
      </w:r>
      <w:r>
        <w:rPr>
          <w:rFonts w:hint="eastAsia" w:cs="Times New Roman"/>
          <w:bCs/>
          <w:sz w:val="24"/>
          <w:highlight w:val="none"/>
          <w:u w:val="single"/>
          <w:lang w:val="en-US" w:eastAsia="zh-CN"/>
        </w:rPr>
        <w:t>的排放口，但其排水量小于500m³/d，</w:t>
      </w:r>
      <w:r>
        <w:rPr>
          <w:rFonts w:hint="default" w:ascii="Times New Roman" w:hAnsi="Times New Roman" w:cs="Times New Roman"/>
          <w:bCs/>
          <w:sz w:val="24"/>
          <w:highlight w:val="none"/>
          <w:u w:val="single"/>
        </w:rPr>
        <w:t>因此</w:t>
      </w:r>
      <w:r>
        <w:rPr>
          <w:rFonts w:hint="eastAsia" w:cs="Times New Roman"/>
          <w:bCs/>
          <w:sz w:val="24"/>
          <w:highlight w:val="none"/>
          <w:u w:val="single"/>
          <w:lang w:val="en-US" w:eastAsia="zh-CN"/>
        </w:rPr>
        <w:t>可参考</w:t>
      </w:r>
      <w:r>
        <w:rPr>
          <w:rFonts w:hint="default" w:ascii="Times New Roman" w:hAnsi="Times New Roman" w:cs="Times New Roman"/>
          <w:bCs/>
          <w:sz w:val="24"/>
          <w:highlight w:val="none"/>
          <w:u w:val="single"/>
        </w:rPr>
        <w:t>《排污许可证申请与核发技术规范 水处理（试行）》（HJ978-2018）和《排污单位自行监测技术指南 水处理》（HJ1083-2020）中排污单位的要求提出</w:t>
      </w:r>
      <w:r>
        <w:rPr>
          <w:rFonts w:hint="eastAsia" w:cs="Times New Roman"/>
          <w:bCs/>
          <w:sz w:val="24"/>
          <w:highlight w:val="none"/>
          <w:u w:val="single"/>
          <w:lang w:val="en-US" w:eastAsia="zh-CN"/>
        </w:rPr>
        <w:t>的废水及水环境</w:t>
      </w:r>
      <w:r>
        <w:rPr>
          <w:rFonts w:hint="default" w:ascii="Times New Roman" w:hAnsi="Times New Roman" w:cs="Times New Roman"/>
          <w:bCs/>
          <w:sz w:val="24"/>
          <w:highlight w:val="none"/>
          <w:u w:val="single"/>
        </w:rPr>
        <w:t>监测计划，具体见下表。</w:t>
      </w:r>
    </w:p>
    <w:p>
      <w:pPr>
        <w:spacing w:line="320" w:lineRule="exact"/>
        <w:jc w:val="center"/>
        <w:rPr>
          <w:rFonts w:hint="default" w:ascii="Times New Roman" w:hAnsi="Times New Roman" w:cs="Times New Roman"/>
          <w:b/>
          <w:bCs/>
          <w:highlight w:val="none"/>
          <w:u w:val="single"/>
        </w:rPr>
      </w:pPr>
      <w:r>
        <w:rPr>
          <w:rFonts w:hint="default" w:ascii="Times New Roman" w:hAnsi="Times New Roman" w:cs="Times New Roman"/>
          <w:b/>
          <w:bCs/>
          <w:highlight w:val="none"/>
          <w:u w:val="single"/>
        </w:rPr>
        <w:t>表7-1  废水监测工作计划</w:t>
      </w:r>
    </w:p>
    <w:tbl>
      <w:tblPr>
        <w:tblStyle w:val="23"/>
        <w:tblW w:w="857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2"/>
        <w:gridCol w:w="3627"/>
        <w:gridCol w:w="1104"/>
        <w:gridCol w:w="211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pacing w:line="320" w:lineRule="exact"/>
              <w:jc w:val="center"/>
              <w:rPr>
                <w:rFonts w:hint="default" w:ascii="Times New Roman" w:hAnsi="Times New Roman" w:cs="Times New Roman"/>
                <w:b/>
                <w:highlight w:val="none"/>
                <w:u w:val="single"/>
              </w:rPr>
            </w:pPr>
            <w:r>
              <w:rPr>
                <w:rFonts w:hint="default" w:ascii="Times New Roman" w:hAnsi="Times New Roman" w:cs="Times New Roman"/>
                <w:b/>
                <w:highlight w:val="none"/>
                <w:u w:val="single"/>
              </w:rPr>
              <w:t>监测点位</w:t>
            </w:r>
          </w:p>
        </w:tc>
        <w:tc>
          <w:tcPr>
            <w:tcW w:w="3627" w:type="dxa"/>
            <w:vAlign w:val="center"/>
          </w:tcPr>
          <w:p>
            <w:pPr>
              <w:spacing w:line="320" w:lineRule="exact"/>
              <w:jc w:val="center"/>
              <w:rPr>
                <w:rFonts w:hint="default" w:ascii="Times New Roman" w:hAnsi="Times New Roman" w:cs="Times New Roman"/>
                <w:b/>
                <w:highlight w:val="none"/>
                <w:u w:val="single"/>
              </w:rPr>
            </w:pPr>
            <w:r>
              <w:rPr>
                <w:rFonts w:hint="default" w:ascii="Times New Roman" w:hAnsi="Times New Roman" w:cs="Times New Roman"/>
                <w:b/>
                <w:highlight w:val="none"/>
                <w:u w:val="single"/>
              </w:rPr>
              <w:t>监测指标</w:t>
            </w:r>
          </w:p>
        </w:tc>
        <w:tc>
          <w:tcPr>
            <w:tcW w:w="1104" w:type="dxa"/>
            <w:vAlign w:val="center"/>
          </w:tcPr>
          <w:p>
            <w:pPr>
              <w:spacing w:line="320" w:lineRule="exact"/>
              <w:jc w:val="center"/>
              <w:rPr>
                <w:rFonts w:hint="default" w:ascii="Times New Roman" w:hAnsi="Times New Roman" w:cs="Times New Roman"/>
                <w:b/>
                <w:highlight w:val="none"/>
                <w:u w:val="single"/>
              </w:rPr>
            </w:pPr>
            <w:r>
              <w:rPr>
                <w:rFonts w:hint="default" w:ascii="Times New Roman" w:hAnsi="Times New Roman" w:cs="Times New Roman"/>
                <w:b/>
                <w:highlight w:val="none"/>
                <w:u w:val="single"/>
              </w:rPr>
              <w:t>监测频次</w:t>
            </w:r>
          </w:p>
        </w:tc>
        <w:tc>
          <w:tcPr>
            <w:tcW w:w="2114" w:type="dxa"/>
            <w:vAlign w:val="center"/>
          </w:tcPr>
          <w:p>
            <w:pPr>
              <w:spacing w:line="320" w:lineRule="exact"/>
              <w:jc w:val="center"/>
              <w:rPr>
                <w:rFonts w:hint="default" w:ascii="Times New Roman" w:hAnsi="Times New Roman" w:cs="Times New Roman"/>
                <w:b/>
                <w:highlight w:val="none"/>
                <w:u w:val="single"/>
              </w:rPr>
            </w:pPr>
            <w:r>
              <w:rPr>
                <w:rFonts w:hint="default" w:ascii="Times New Roman" w:hAnsi="Times New Roman" w:cs="Times New Roman"/>
                <w:b/>
                <w:highlight w:val="none"/>
                <w:u w:val="single"/>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7" w:type="dxa"/>
            <w:gridSpan w:val="4"/>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进水监测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进水总管</w:t>
            </w:r>
          </w:p>
        </w:tc>
        <w:tc>
          <w:tcPr>
            <w:tcW w:w="3627"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eastAsia="宋体" w:cs="Times New Roman"/>
                <w:b w:val="0"/>
                <w:bCs/>
                <w:i w:val="0"/>
                <w:color w:val="auto"/>
                <w:kern w:val="0"/>
                <w:sz w:val="21"/>
                <w:szCs w:val="21"/>
                <w:highlight w:val="none"/>
                <w:u w:val="single"/>
                <w:lang w:val="en-US" w:eastAsia="zh-CN" w:bidi="ar"/>
              </w:rPr>
              <w:t>PH、悬浮物、五日生化需氧量、化学需氧量、</w:t>
            </w:r>
            <w:r>
              <w:rPr>
                <w:rFonts w:hint="default" w:ascii="Times New Roman" w:hAnsi="Times New Roman" w:cs="Times New Roman"/>
                <w:bCs/>
                <w:highlight w:val="none"/>
                <w:u w:val="single"/>
              </w:rPr>
              <w:t>氨氮</w:t>
            </w:r>
            <w:r>
              <w:rPr>
                <w:rFonts w:hint="eastAsia" w:cs="Times New Roman"/>
                <w:bCs/>
                <w:highlight w:val="none"/>
                <w:u w:val="single"/>
                <w:lang w:eastAsia="zh-CN"/>
              </w:rPr>
              <w:t>、</w:t>
            </w:r>
            <w:r>
              <w:rPr>
                <w:rFonts w:hint="default" w:ascii="Times New Roman" w:hAnsi="Times New Roman" w:cs="Times New Roman"/>
                <w:bCs/>
                <w:highlight w:val="none"/>
                <w:u w:val="single"/>
              </w:rPr>
              <w:t>总磷、总氮</w:t>
            </w:r>
            <w:r>
              <w:rPr>
                <w:rFonts w:hint="eastAsia" w:ascii="Times New Roman" w:hAnsi="Times New Roman" w:eastAsia="宋体" w:cs="Times New Roman"/>
                <w:b w:val="0"/>
                <w:bCs/>
                <w:i w:val="0"/>
                <w:color w:val="auto"/>
                <w:kern w:val="0"/>
                <w:sz w:val="21"/>
                <w:szCs w:val="21"/>
                <w:highlight w:val="none"/>
                <w:u w:val="single"/>
                <w:lang w:val="en-US" w:eastAsia="zh-CN" w:bidi="ar"/>
              </w:rPr>
              <w:t>等</w:t>
            </w:r>
          </w:p>
        </w:tc>
        <w:tc>
          <w:tcPr>
            <w:tcW w:w="1104" w:type="dxa"/>
            <w:vAlign w:val="center"/>
          </w:tcPr>
          <w:p>
            <w:pPr>
              <w:spacing w:line="320" w:lineRule="exact"/>
              <w:jc w:val="center"/>
              <w:rPr>
                <w:rFonts w:hint="default" w:ascii="Times New Roman" w:hAnsi="Times New Roman" w:cs="Times New Roman"/>
                <w:bCs/>
                <w:highlight w:val="none"/>
                <w:u w:val="single"/>
              </w:rPr>
            </w:pPr>
            <w:r>
              <w:rPr>
                <w:rFonts w:hint="eastAsia" w:cs="Times New Roman"/>
                <w:bCs/>
                <w:highlight w:val="none"/>
                <w:u w:val="single"/>
                <w:lang w:val="en-US" w:eastAsia="zh-CN"/>
              </w:rPr>
              <w:t>半年</w:t>
            </w:r>
          </w:p>
        </w:tc>
        <w:tc>
          <w:tcPr>
            <w:tcW w:w="2114" w:type="dxa"/>
            <w:vAlign w:val="center"/>
          </w:tcPr>
          <w:p>
            <w:pPr>
              <w:spacing w:line="320" w:lineRule="exact"/>
              <w:jc w:val="center"/>
              <w:rPr>
                <w:rFonts w:hint="default" w:ascii="Times New Roman" w:hAnsi="Times New Roman" w:eastAsia="宋体" w:cs="Times New Roman"/>
                <w:bCs/>
                <w:highlight w:val="none"/>
                <w:u w:val="single"/>
                <w:lang w:val="en-US" w:eastAsia="zh-CN"/>
              </w:rPr>
            </w:pPr>
            <w:r>
              <w:rPr>
                <w:rFonts w:hint="eastAsia" w:cs="Times New Roman"/>
                <w:bCs/>
                <w:highlight w:val="none"/>
                <w:u w:val="single"/>
                <w:lang w:val="en-US" w:eastAsia="zh-CN"/>
              </w:rPr>
              <w:t>污水处理厂设计标准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77" w:type="dxa"/>
            <w:gridSpan w:val="4"/>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出水监测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废水总排口</w:t>
            </w:r>
          </w:p>
        </w:tc>
        <w:tc>
          <w:tcPr>
            <w:tcW w:w="3627"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eastAsia="宋体" w:cs="Times New Roman"/>
                <w:b w:val="0"/>
                <w:bCs/>
                <w:i w:val="0"/>
                <w:color w:val="auto"/>
                <w:kern w:val="0"/>
                <w:sz w:val="21"/>
                <w:szCs w:val="21"/>
                <w:highlight w:val="none"/>
                <w:u w:val="single"/>
                <w:lang w:val="en-US" w:eastAsia="zh-CN" w:bidi="ar"/>
              </w:rPr>
              <w:t>PH、悬浮物、五日生化需氧量、化学需氧量、阴离子、总氮、氨氮、总磷、石油类、动植物油、粪大肠菌群</w:t>
            </w:r>
            <w:r>
              <w:rPr>
                <w:rFonts w:hint="eastAsia" w:ascii="Times New Roman" w:hAnsi="Times New Roman" w:eastAsia="宋体" w:cs="Times New Roman"/>
                <w:b w:val="0"/>
                <w:bCs/>
                <w:i w:val="0"/>
                <w:color w:val="auto"/>
                <w:kern w:val="0"/>
                <w:sz w:val="21"/>
                <w:szCs w:val="21"/>
                <w:highlight w:val="none"/>
                <w:u w:val="single"/>
                <w:lang w:val="en-US" w:eastAsia="zh-CN" w:bidi="ar"/>
              </w:rPr>
              <w:t>等</w:t>
            </w:r>
          </w:p>
        </w:tc>
        <w:tc>
          <w:tcPr>
            <w:tcW w:w="1104" w:type="dxa"/>
            <w:vAlign w:val="center"/>
          </w:tcPr>
          <w:p>
            <w:pPr>
              <w:spacing w:line="320" w:lineRule="exact"/>
              <w:jc w:val="center"/>
              <w:rPr>
                <w:rFonts w:hint="eastAsia" w:ascii="Times New Roman" w:hAnsi="Times New Roman" w:eastAsia="宋体" w:cs="Times New Roman"/>
                <w:bCs/>
                <w:highlight w:val="none"/>
                <w:u w:val="single"/>
                <w:lang w:eastAsia="zh-CN"/>
              </w:rPr>
            </w:pPr>
            <w:r>
              <w:rPr>
                <w:rFonts w:hint="eastAsia" w:cs="Times New Roman"/>
                <w:bCs/>
                <w:highlight w:val="none"/>
                <w:u w:val="single"/>
                <w:lang w:val="en-US" w:eastAsia="zh-CN"/>
              </w:rPr>
              <w:t>半年</w:t>
            </w:r>
          </w:p>
        </w:tc>
        <w:tc>
          <w:tcPr>
            <w:tcW w:w="2114" w:type="dxa"/>
            <w:vAlign w:val="center"/>
          </w:tcPr>
          <w:p>
            <w:pPr>
              <w:spacing w:line="320" w:lineRule="exact"/>
              <w:jc w:val="center"/>
              <w:rPr>
                <w:rFonts w:hint="default" w:ascii="Times New Roman" w:hAnsi="Times New Roman" w:cs="Times New Roman"/>
                <w:bCs/>
                <w:highlight w:val="none"/>
                <w:u w:val="single"/>
              </w:rPr>
            </w:pPr>
            <w:r>
              <w:rPr>
                <w:rFonts w:hint="default" w:ascii="Times New Roman" w:hAnsi="Times New Roman" w:cs="Times New Roman"/>
                <w:bCs/>
                <w:highlight w:val="none"/>
                <w:u w:val="single"/>
              </w:rPr>
              <w:t>《城镇污水处理厂污染物排放标准》（GB18918-2002）</w:t>
            </w:r>
            <w:r>
              <w:rPr>
                <w:rFonts w:hint="eastAsia" w:cs="Times New Roman"/>
                <w:bCs/>
                <w:highlight w:val="none"/>
                <w:u w:val="single"/>
                <w:lang w:val="en-US" w:eastAsia="zh-CN"/>
              </w:rPr>
              <w:t>中</w:t>
            </w:r>
            <w:r>
              <w:rPr>
                <w:rFonts w:hint="default" w:ascii="Times New Roman" w:hAnsi="Times New Roman" w:cs="Times New Roman"/>
                <w:bCs/>
                <w:highlight w:val="none"/>
                <w:u w:val="single"/>
              </w:rPr>
              <w:t>一级</w:t>
            </w:r>
            <w:r>
              <w:rPr>
                <w:rFonts w:hint="eastAsia" w:cs="Times New Roman"/>
                <w:bCs/>
                <w:highlight w:val="none"/>
                <w:u w:val="single"/>
                <w:lang w:val="en-US" w:eastAsia="zh-CN"/>
              </w:rPr>
              <w:t>B</w:t>
            </w:r>
            <w:r>
              <w:rPr>
                <w:rFonts w:hint="default" w:ascii="Times New Roman" w:hAnsi="Times New Roman" w:cs="Times New Roman"/>
                <w:bCs/>
                <w:highlight w:val="none"/>
                <w:u w:val="single"/>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732" w:type="dxa"/>
            <w:vAlign w:val="center"/>
          </w:tcPr>
          <w:p>
            <w:pPr>
              <w:snapToGrid w:val="0"/>
              <w:jc w:val="center"/>
              <w:rPr>
                <w:rFonts w:hint="default" w:ascii="Times New Roman" w:hAnsi="Times New Roman" w:cs="Times New Roman"/>
                <w:bCs/>
                <w:highlight w:val="none"/>
                <w:u w:val="single"/>
              </w:rPr>
            </w:pPr>
            <w:r>
              <w:rPr>
                <w:rFonts w:hint="eastAsia" w:ascii="Times New Roman" w:hAnsi="Times New Roman" w:cs="Times New Roman"/>
                <w:highlight w:val="none"/>
                <w:u w:val="single"/>
                <w:lang w:val="en-US" w:eastAsia="zh-CN"/>
              </w:rPr>
              <w:t>受纳水体</w:t>
            </w:r>
            <w:r>
              <w:rPr>
                <w:rFonts w:hint="default" w:ascii="Times New Roman" w:hAnsi="Times New Roman" w:cs="Times New Roman"/>
                <w:highlight w:val="none"/>
                <w:u w:val="single"/>
              </w:rPr>
              <w:t>排污口上游500m</w:t>
            </w:r>
          </w:p>
        </w:tc>
        <w:tc>
          <w:tcPr>
            <w:tcW w:w="3627" w:type="dxa"/>
            <w:vMerge w:val="restart"/>
            <w:vAlign w:val="center"/>
          </w:tcPr>
          <w:p>
            <w:pPr>
              <w:spacing w:line="320" w:lineRule="exact"/>
              <w:jc w:val="center"/>
              <w:rPr>
                <w:rFonts w:hint="default" w:ascii="Times New Roman" w:hAnsi="Times New Roman" w:eastAsia="宋体" w:cs="Times New Roman"/>
                <w:bCs/>
                <w:highlight w:val="none"/>
                <w:u w:val="single"/>
                <w:lang w:val="en-US" w:eastAsia="zh-CN"/>
              </w:rPr>
            </w:pPr>
            <w:r>
              <w:rPr>
                <w:rFonts w:hint="default" w:ascii="Times New Roman" w:hAnsi="Times New Roman" w:eastAsia="宋体" w:cs="Times New Roman"/>
                <w:b w:val="0"/>
                <w:bCs/>
                <w:i w:val="0"/>
                <w:color w:val="auto"/>
                <w:kern w:val="0"/>
                <w:sz w:val="21"/>
                <w:szCs w:val="21"/>
                <w:highlight w:val="none"/>
                <w:u w:val="single"/>
                <w:lang w:val="en-US" w:eastAsia="zh-CN" w:bidi="ar"/>
              </w:rPr>
              <w:t>PH、悬浮物、五日生化需氧量、化学需氧量</w:t>
            </w:r>
            <w:r>
              <w:rPr>
                <w:rFonts w:hint="eastAsia" w:ascii="Times New Roman" w:hAnsi="Times New Roman" w:eastAsia="宋体" w:cs="Times New Roman"/>
                <w:b w:val="0"/>
                <w:bCs/>
                <w:i w:val="0"/>
                <w:color w:val="auto"/>
                <w:kern w:val="0"/>
                <w:sz w:val="21"/>
                <w:szCs w:val="21"/>
                <w:highlight w:val="none"/>
                <w:u w:val="single"/>
                <w:lang w:val="en-US" w:eastAsia="zh-CN" w:bidi="ar"/>
              </w:rPr>
              <w:t>、</w:t>
            </w:r>
            <w:r>
              <w:rPr>
                <w:rFonts w:hint="default" w:ascii="Times New Roman" w:hAnsi="Times New Roman" w:eastAsia="宋体" w:cs="Times New Roman"/>
                <w:b w:val="0"/>
                <w:bCs/>
                <w:i w:val="0"/>
                <w:color w:val="auto"/>
                <w:kern w:val="0"/>
                <w:sz w:val="21"/>
                <w:szCs w:val="21"/>
                <w:highlight w:val="none"/>
                <w:u w:val="single"/>
                <w:lang w:val="en-US" w:eastAsia="zh-CN" w:bidi="ar"/>
              </w:rPr>
              <w:t>总氮、氨氮、总磷、石油类、粪大肠菌群</w:t>
            </w:r>
            <w:r>
              <w:rPr>
                <w:rFonts w:hint="eastAsia" w:ascii="Times New Roman" w:hAnsi="Times New Roman" w:eastAsia="宋体" w:cs="Times New Roman"/>
                <w:b w:val="0"/>
                <w:bCs/>
                <w:i w:val="0"/>
                <w:color w:val="auto"/>
                <w:kern w:val="0"/>
                <w:sz w:val="21"/>
                <w:szCs w:val="21"/>
                <w:highlight w:val="none"/>
                <w:u w:val="single"/>
                <w:lang w:val="en-US" w:eastAsia="zh-CN" w:bidi="ar"/>
              </w:rPr>
              <w:t>等</w:t>
            </w:r>
          </w:p>
        </w:tc>
        <w:tc>
          <w:tcPr>
            <w:tcW w:w="1104" w:type="dxa"/>
            <w:vMerge w:val="restart"/>
            <w:vAlign w:val="center"/>
          </w:tcPr>
          <w:p>
            <w:pPr>
              <w:spacing w:line="320" w:lineRule="exact"/>
              <w:jc w:val="center"/>
              <w:rPr>
                <w:rFonts w:hint="eastAsia" w:ascii="Times New Roman" w:hAnsi="Times New Roman" w:eastAsia="宋体" w:cs="Times New Roman"/>
                <w:bCs/>
                <w:highlight w:val="none"/>
                <w:u w:val="single"/>
                <w:lang w:eastAsia="zh-CN"/>
              </w:rPr>
            </w:pPr>
            <w:r>
              <w:rPr>
                <w:rFonts w:hint="eastAsia" w:cs="Times New Roman"/>
                <w:bCs/>
                <w:highlight w:val="none"/>
                <w:u w:val="single"/>
                <w:lang w:val="en-US" w:eastAsia="zh-CN"/>
              </w:rPr>
              <w:t>年</w:t>
            </w:r>
          </w:p>
        </w:tc>
        <w:tc>
          <w:tcPr>
            <w:tcW w:w="2114" w:type="dxa"/>
            <w:vMerge w:val="restart"/>
            <w:vAlign w:val="center"/>
          </w:tcPr>
          <w:p>
            <w:pPr>
              <w:spacing w:line="320" w:lineRule="exact"/>
              <w:jc w:val="center"/>
              <w:rPr>
                <w:rFonts w:hint="eastAsia" w:ascii="Times New Roman" w:hAnsi="Times New Roman" w:eastAsia="宋体" w:cs="Times New Roman"/>
                <w:bCs/>
                <w:highlight w:val="none"/>
                <w:u w:val="single"/>
                <w:lang w:val="en-US" w:eastAsia="zh-CN"/>
              </w:rPr>
            </w:pPr>
            <w:r>
              <w:rPr>
                <w:rFonts w:hint="default" w:ascii="Times New Roman" w:hAnsi="Times New Roman" w:cs="Times New Roman"/>
                <w:kern w:val="2"/>
                <w:szCs w:val="24"/>
                <w:highlight w:val="none"/>
                <w:u w:val="single"/>
              </w:rPr>
              <w:t>《地表水环境质量标准》（GB3838-2002）</w:t>
            </w:r>
            <w:r>
              <w:rPr>
                <w:rFonts w:hint="eastAsia" w:ascii="Times New Roman" w:hAnsi="Times New Roman" w:cs="Times New Roman"/>
                <w:kern w:val="2"/>
                <w:szCs w:val="24"/>
                <w:highlight w:val="none"/>
                <w:u w:val="single"/>
                <w:lang w:val="en-US" w:eastAsia="zh-CN"/>
              </w:rPr>
              <w:t>中</w:t>
            </w:r>
            <w:r>
              <w:rPr>
                <w:rFonts w:hint="default" w:ascii="Times New Roman" w:hAnsi="Times New Roman" w:cs="Times New Roman"/>
                <w:kern w:val="2"/>
                <w:szCs w:val="24"/>
                <w:highlight w:val="none"/>
                <w:u w:val="single"/>
              </w:rPr>
              <w:t>Ⅱ类</w:t>
            </w:r>
            <w:r>
              <w:rPr>
                <w:rFonts w:hint="eastAsia" w:ascii="Times New Roman" w:hAnsi="Times New Roman" w:cs="Times New Roman"/>
                <w:kern w:val="2"/>
                <w:szCs w:val="24"/>
                <w:highlight w:val="none"/>
                <w:u w:val="single"/>
                <w:lang w:val="en-US" w:eastAsia="zh-CN"/>
              </w:rPr>
              <w:t>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732" w:type="dxa"/>
            <w:vAlign w:val="center"/>
          </w:tcPr>
          <w:p>
            <w:pPr>
              <w:snapToGrid w:val="0"/>
              <w:jc w:val="center"/>
              <w:rPr>
                <w:rFonts w:hint="eastAsia" w:ascii="Times New Roman" w:hAnsi="Times New Roman" w:cs="Times New Roman"/>
                <w:highlight w:val="none"/>
                <w:u w:val="single"/>
                <w:lang w:val="en-US" w:eastAsia="zh-CN"/>
              </w:rPr>
            </w:pPr>
            <w:r>
              <w:rPr>
                <w:rFonts w:hint="eastAsia" w:ascii="Times New Roman" w:hAnsi="Times New Roman" w:cs="Times New Roman"/>
                <w:highlight w:val="none"/>
                <w:u w:val="single"/>
                <w:lang w:val="en-US" w:eastAsia="zh-CN"/>
              </w:rPr>
              <w:t>受纳水体</w:t>
            </w:r>
            <w:r>
              <w:rPr>
                <w:rFonts w:hint="default" w:ascii="Times New Roman" w:hAnsi="Times New Roman" w:cs="Times New Roman"/>
                <w:highlight w:val="none"/>
                <w:u w:val="single"/>
              </w:rPr>
              <w:t>排污口下游500m</w:t>
            </w:r>
          </w:p>
        </w:tc>
        <w:tc>
          <w:tcPr>
            <w:tcW w:w="3627" w:type="dxa"/>
            <w:vMerge w:val="continue"/>
            <w:vAlign w:val="center"/>
          </w:tcPr>
          <w:p>
            <w:pPr>
              <w:spacing w:line="320" w:lineRule="exact"/>
              <w:jc w:val="center"/>
              <w:rPr>
                <w:rFonts w:hint="default" w:ascii="Times New Roman" w:hAnsi="Times New Roman" w:cs="Times New Roman"/>
                <w:bCs/>
                <w:sz w:val="24"/>
                <w:highlight w:val="none"/>
                <w:u w:val="single"/>
              </w:rPr>
            </w:pPr>
          </w:p>
        </w:tc>
        <w:tc>
          <w:tcPr>
            <w:tcW w:w="1104" w:type="dxa"/>
            <w:vMerge w:val="continue"/>
            <w:vAlign w:val="center"/>
          </w:tcPr>
          <w:p>
            <w:pPr>
              <w:spacing w:line="320" w:lineRule="exact"/>
              <w:jc w:val="center"/>
              <w:rPr>
                <w:rFonts w:hint="eastAsia" w:cs="Times New Roman"/>
                <w:bCs/>
                <w:highlight w:val="none"/>
                <w:u w:val="single"/>
                <w:lang w:val="en-US" w:eastAsia="zh-CN"/>
              </w:rPr>
            </w:pPr>
          </w:p>
        </w:tc>
        <w:tc>
          <w:tcPr>
            <w:tcW w:w="2114" w:type="dxa"/>
            <w:vMerge w:val="continue"/>
            <w:vAlign w:val="center"/>
          </w:tcPr>
          <w:p>
            <w:pPr>
              <w:spacing w:line="320" w:lineRule="exact"/>
              <w:jc w:val="center"/>
              <w:rPr>
                <w:rFonts w:hint="default" w:ascii="Times New Roman" w:hAnsi="Times New Roman" w:cs="Times New Roman"/>
                <w:kern w:val="2"/>
                <w:szCs w:val="24"/>
                <w:highlight w:val="none"/>
                <w:u w:val="singl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32" w:type="dxa"/>
            <w:vAlign w:val="center"/>
          </w:tcPr>
          <w:p>
            <w:pPr>
              <w:snapToGrid w:val="0"/>
              <w:jc w:val="center"/>
              <w:rPr>
                <w:rFonts w:hint="default" w:ascii="Times New Roman" w:hAnsi="Times New Roman" w:cs="Times New Roman"/>
                <w:bCs/>
                <w:highlight w:val="none"/>
                <w:u w:val="single"/>
              </w:rPr>
            </w:pPr>
            <w:r>
              <w:rPr>
                <w:rFonts w:hint="eastAsia" w:ascii="Times New Roman" w:hAnsi="Times New Roman" w:cs="Times New Roman"/>
                <w:highlight w:val="none"/>
                <w:u w:val="single"/>
                <w:lang w:val="en-US" w:eastAsia="zh-CN"/>
              </w:rPr>
              <w:t>受纳水体</w:t>
            </w:r>
            <w:r>
              <w:rPr>
                <w:rFonts w:hint="default" w:ascii="Times New Roman" w:hAnsi="Times New Roman" w:cs="Times New Roman"/>
                <w:highlight w:val="none"/>
                <w:u w:val="single"/>
              </w:rPr>
              <w:t>排污口下游</w:t>
            </w:r>
            <w:r>
              <w:rPr>
                <w:rFonts w:hint="eastAsia" w:ascii="Times New Roman" w:hAnsi="Times New Roman" w:cs="Times New Roman"/>
                <w:highlight w:val="none"/>
                <w:u w:val="single"/>
                <w:lang w:val="en-US" w:eastAsia="zh-CN"/>
              </w:rPr>
              <w:t>1</w:t>
            </w:r>
            <w:r>
              <w:rPr>
                <w:rFonts w:hint="default" w:ascii="Times New Roman" w:hAnsi="Times New Roman" w:cs="Times New Roman"/>
                <w:highlight w:val="none"/>
                <w:u w:val="single"/>
              </w:rPr>
              <w:t>500m</w:t>
            </w:r>
          </w:p>
        </w:tc>
        <w:tc>
          <w:tcPr>
            <w:tcW w:w="3627" w:type="dxa"/>
            <w:vMerge w:val="continue"/>
            <w:tcBorders/>
            <w:vAlign w:val="center"/>
          </w:tcPr>
          <w:p>
            <w:pPr>
              <w:spacing w:line="320" w:lineRule="exact"/>
              <w:jc w:val="center"/>
              <w:rPr>
                <w:rFonts w:hint="default" w:ascii="Times New Roman" w:hAnsi="Times New Roman" w:cs="Times New Roman"/>
                <w:bCs/>
                <w:highlight w:val="none"/>
                <w:u w:val="single"/>
              </w:rPr>
            </w:pPr>
          </w:p>
        </w:tc>
        <w:tc>
          <w:tcPr>
            <w:tcW w:w="1104" w:type="dxa"/>
            <w:vMerge w:val="continue"/>
            <w:tcBorders/>
            <w:vAlign w:val="center"/>
          </w:tcPr>
          <w:p>
            <w:pPr>
              <w:spacing w:line="320" w:lineRule="exact"/>
              <w:jc w:val="center"/>
              <w:rPr>
                <w:rFonts w:hint="default" w:ascii="Times New Roman" w:hAnsi="Times New Roman" w:cs="Times New Roman"/>
                <w:bCs/>
                <w:highlight w:val="none"/>
                <w:u w:val="single"/>
              </w:rPr>
            </w:pPr>
          </w:p>
        </w:tc>
        <w:tc>
          <w:tcPr>
            <w:tcW w:w="2114" w:type="dxa"/>
            <w:vMerge w:val="continue"/>
            <w:tcBorders/>
            <w:vAlign w:val="center"/>
          </w:tcPr>
          <w:p>
            <w:pPr>
              <w:spacing w:line="320" w:lineRule="exact"/>
              <w:jc w:val="center"/>
              <w:rPr>
                <w:rFonts w:hint="default" w:ascii="Times New Roman" w:hAnsi="Times New Roman" w:cs="Times New Roman"/>
                <w:bCs/>
                <w:highlight w:val="none"/>
                <w:u w:val="single"/>
              </w:rPr>
            </w:pPr>
          </w:p>
        </w:tc>
      </w:tr>
    </w:tbl>
    <w:p>
      <w:pPr>
        <w:spacing w:line="360" w:lineRule="auto"/>
        <w:ind w:firstLine="480" w:firstLineChars="200"/>
        <w:jc w:val="left"/>
        <w:rPr>
          <w:rFonts w:hint="default" w:ascii="Times New Roman" w:hAnsi="Times New Roman" w:cs="Times New Roman"/>
          <w:bCs/>
          <w:color w:val="000000"/>
          <w:sz w:val="24"/>
          <w:highlight w:val="none"/>
        </w:rPr>
      </w:pPr>
    </w:p>
    <w:p>
      <w:pPr>
        <w:spacing w:line="360" w:lineRule="auto"/>
        <w:ind w:firstLine="480" w:firstLineChars="200"/>
        <w:jc w:val="left"/>
        <w:rPr>
          <w:rFonts w:hint="default" w:ascii="Times New Roman" w:hAnsi="Times New Roman" w:cs="Times New Roman"/>
          <w:bCs/>
          <w:color w:val="000000"/>
          <w:sz w:val="24"/>
          <w:highlight w:val="none"/>
        </w:rPr>
      </w:pPr>
    </w:p>
    <w:p>
      <w:pPr>
        <w:spacing w:line="360" w:lineRule="auto"/>
        <w:ind w:firstLine="480" w:firstLineChars="200"/>
        <w:jc w:val="left"/>
        <w:rPr>
          <w:rFonts w:hint="default" w:ascii="Times New Roman" w:hAnsi="Times New Roman" w:cs="Times New Roman"/>
          <w:bCs/>
          <w:color w:val="000000"/>
          <w:sz w:val="24"/>
          <w:highlight w:val="none"/>
        </w:rPr>
      </w:pPr>
    </w:p>
    <w:p>
      <w:pPr>
        <w:spacing w:line="360" w:lineRule="auto"/>
        <w:ind w:firstLine="480" w:firstLineChars="200"/>
        <w:jc w:val="left"/>
        <w:rPr>
          <w:rFonts w:hint="default" w:ascii="Times New Roman" w:hAnsi="Times New Roman" w:cs="Times New Roman"/>
          <w:bCs/>
          <w:color w:val="000000"/>
          <w:sz w:val="24"/>
          <w:highlight w:val="none"/>
        </w:rPr>
      </w:pPr>
    </w:p>
    <w:p>
      <w:pPr>
        <w:numPr>
          <w:ilvl w:val="0"/>
          <w:numId w:val="11"/>
        </w:numPr>
        <w:spacing w:line="360" w:lineRule="auto"/>
        <w:ind w:firstLine="480" w:firstLineChars="200"/>
        <w:jc w:val="left"/>
        <w:rPr>
          <w:rFonts w:hint="default" w:ascii="Times New Roman" w:hAnsi="Times New Roman" w:cs="Times New Roman"/>
          <w:bCs/>
          <w:color w:val="000000"/>
          <w:sz w:val="24"/>
          <w:highlight w:val="none"/>
        </w:rPr>
        <w:sectPr>
          <w:pgSz w:w="11906" w:h="16838"/>
          <w:pgMar w:top="1644" w:right="1800" w:bottom="1814" w:left="1800" w:header="851" w:footer="992" w:gutter="0"/>
          <w:cols w:space="720" w:num="1"/>
          <w:docGrid w:type="lines" w:linePitch="312" w:charSpace="0"/>
        </w:sectPr>
      </w:pPr>
    </w:p>
    <w:p>
      <w:pPr>
        <w:pStyle w:val="10"/>
        <w:outlineLvl w:val="0"/>
        <w:rPr>
          <w:rFonts w:hint="default" w:ascii="Times New Roman" w:hAnsi="Times New Roman" w:cs="Times New Roman"/>
          <w:b/>
          <w:bCs/>
          <w:kern w:val="20"/>
          <w:sz w:val="36"/>
          <w:szCs w:val="36"/>
          <w:highlight w:val="none"/>
        </w:rPr>
      </w:pPr>
      <w:bookmarkStart w:id="242" w:name="_Toc23485"/>
      <w:r>
        <w:rPr>
          <w:rFonts w:hint="default" w:ascii="Times New Roman" w:hAnsi="Times New Roman" w:cs="Times New Roman"/>
          <w:b/>
          <w:bCs/>
          <w:kern w:val="20"/>
          <w:sz w:val="36"/>
          <w:szCs w:val="36"/>
          <w:highlight w:val="none"/>
        </w:rPr>
        <w:t>8  论证结论与意见</w:t>
      </w:r>
      <w:bookmarkEnd w:id="242"/>
    </w:p>
    <w:p>
      <w:pPr>
        <w:spacing w:line="360" w:lineRule="auto"/>
        <w:ind w:left="420" w:leftChars="200"/>
        <w:jc w:val="left"/>
        <w:outlineLvl w:val="1"/>
        <w:rPr>
          <w:rFonts w:hint="default" w:ascii="Times New Roman" w:hAnsi="Times New Roman" w:cs="Times New Roman"/>
          <w:b/>
          <w:color w:val="000000"/>
          <w:sz w:val="24"/>
          <w:highlight w:val="none"/>
        </w:rPr>
      </w:pPr>
      <w:bookmarkStart w:id="243" w:name="_Toc5826"/>
      <w:r>
        <w:rPr>
          <w:rFonts w:hint="default" w:ascii="Times New Roman" w:hAnsi="Times New Roman" w:cs="Times New Roman"/>
          <w:b/>
          <w:color w:val="000000"/>
          <w:sz w:val="24"/>
          <w:highlight w:val="none"/>
        </w:rPr>
        <w:t>8.1.论证结论</w:t>
      </w:r>
      <w:bookmarkEnd w:id="243"/>
    </w:p>
    <w:p>
      <w:pPr>
        <w:spacing w:line="360" w:lineRule="auto"/>
        <w:ind w:left="420" w:leftChars="200" w:firstLine="482" w:firstLineChars="200"/>
        <w:jc w:val="left"/>
        <w:outlineLvl w:val="2"/>
        <w:rPr>
          <w:rFonts w:hint="default" w:ascii="Times New Roman" w:hAnsi="Times New Roman" w:cs="Times New Roman"/>
          <w:b/>
          <w:color w:val="000000"/>
          <w:sz w:val="24"/>
          <w:highlight w:val="none"/>
        </w:rPr>
      </w:pPr>
      <w:bookmarkStart w:id="244" w:name="_Toc14152"/>
      <w:r>
        <w:rPr>
          <w:rFonts w:hint="default" w:ascii="Times New Roman" w:hAnsi="Times New Roman" w:cs="Times New Roman"/>
          <w:b/>
          <w:color w:val="000000"/>
          <w:sz w:val="24"/>
          <w:highlight w:val="none"/>
        </w:rPr>
        <w:t>8.1.1.排污口基本情况</w:t>
      </w:r>
      <w:bookmarkEnd w:id="244"/>
    </w:p>
    <w:p>
      <w:pPr>
        <w:spacing w:line="360" w:lineRule="auto"/>
        <w:ind w:firstLine="480" w:firstLineChars="200"/>
        <w:jc w:val="left"/>
        <w:rPr>
          <w:rFonts w:hint="default" w:ascii="Times New Roman" w:hAnsi="Times New Roman" w:cs="Times New Roman"/>
          <w:bCs/>
          <w:color w:val="000000"/>
          <w:sz w:val="24"/>
          <w:szCs w:val="24"/>
          <w:highlight w:val="none"/>
        </w:rPr>
      </w:pPr>
      <w:r>
        <w:rPr>
          <w:rFonts w:hint="default" w:ascii="Times New Roman" w:hAnsi="Times New Roman" w:cs="Times New Roman"/>
          <w:bCs/>
          <w:color w:val="000000"/>
          <w:sz w:val="24"/>
          <w:szCs w:val="24"/>
          <w:highlight w:val="none"/>
        </w:rPr>
        <w:t>安化县乐安镇乐高污水处理厂一期处理规模150m³/d，设置的排污口坐标为</w:t>
      </w:r>
      <w:r>
        <w:rPr>
          <w:rFonts w:hint="default" w:ascii="Times New Roman" w:hAnsi="Times New Roman" w:cs="Times New Roman"/>
          <w:sz w:val="24"/>
          <w:szCs w:val="24"/>
          <w:highlight w:val="none"/>
        </w:rPr>
        <w:t>东经：111°34′58.550″，北纬：28°6′18.911″</w:t>
      </w:r>
      <w:r>
        <w:rPr>
          <w:rFonts w:hint="default" w:ascii="Times New Roman" w:hAnsi="Times New Roman" w:cs="Times New Roman"/>
          <w:bCs/>
          <w:color w:val="000000"/>
          <w:sz w:val="24"/>
          <w:szCs w:val="24"/>
          <w:highlight w:val="none"/>
        </w:rPr>
        <w:t>，出水执行《城镇污水处理厂污染物排放标准》（GB18918-2002）一级B标准。</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入河排污口地点：湖南省益阳市安化县乐安镇乐高社区洢水右岸</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入河排污口位置：</w:t>
      </w:r>
      <w:r>
        <w:rPr>
          <w:rFonts w:hint="default" w:ascii="Times New Roman" w:hAnsi="Times New Roman" w:cs="Times New Roman"/>
          <w:sz w:val="24"/>
          <w:szCs w:val="24"/>
          <w:highlight w:val="none"/>
        </w:rPr>
        <w:t>东经：111°34′58.550″，北纬：28°6′18.911″</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入河排污口类型：新建</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入河排污口分类：生活污水入河排污口</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排放方式：连续排放</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入河方式：管道</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排入水体名称：洢水</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排入的水功能区：无</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入河排污口废水排放量：150m</w:t>
      </w:r>
      <w:r>
        <w:rPr>
          <w:rFonts w:hint="default" w:ascii="Times New Roman" w:hAnsi="Times New Roman" w:cs="Times New Roman"/>
          <w:bCs/>
          <w:color w:val="000000"/>
          <w:sz w:val="24"/>
          <w:highlight w:val="none"/>
          <w:vertAlign w:val="superscript"/>
        </w:rPr>
        <w:t>3</w:t>
      </w:r>
      <w:r>
        <w:rPr>
          <w:rFonts w:hint="default" w:ascii="Times New Roman" w:hAnsi="Times New Roman" w:cs="Times New Roman"/>
          <w:bCs/>
          <w:color w:val="000000"/>
          <w:sz w:val="24"/>
          <w:highlight w:val="none"/>
        </w:rPr>
        <w:t>/d</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入河排污口名称：</w:t>
      </w:r>
      <w:r>
        <w:rPr>
          <w:rFonts w:hint="default" w:ascii="Times New Roman" w:hAnsi="Times New Roman" w:cs="Times New Roman"/>
          <w:bCs/>
          <w:color w:val="000000"/>
          <w:sz w:val="24"/>
          <w:szCs w:val="24"/>
          <w:highlight w:val="none"/>
        </w:rPr>
        <w:t>安化县乐安镇乐高污水处理厂</w:t>
      </w:r>
      <w:r>
        <w:rPr>
          <w:rFonts w:hint="default" w:ascii="Times New Roman" w:hAnsi="Times New Roman" w:cs="Times New Roman"/>
          <w:bCs/>
          <w:color w:val="000000"/>
          <w:sz w:val="24"/>
          <w:highlight w:val="none"/>
        </w:rPr>
        <w:t>废水入河排污口</w:t>
      </w:r>
    </w:p>
    <w:p>
      <w:pPr>
        <w:pStyle w:val="10"/>
        <w:spacing w:before="0" w:after="0" w:line="360" w:lineRule="auto"/>
        <w:ind w:firstLine="480" w:firstLineChars="200"/>
        <w:jc w:val="both"/>
        <w:rPr>
          <w:rFonts w:hint="default" w:ascii="Times New Roman" w:hAnsi="Times New Roman" w:cs="Times New Roman"/>
          <w:bCs/>
          <w:color w:val="000000"/>
          <w:highlight w:val="none"/>
        </w:rPr>
      </w:pPr>
      <w:r>
        <w:rPr>
          <w:rFonts w:hint="default" w:ascii="Times New Roman" w:hAnsi="Times New Roman" w:cs="Times New Roman"/>
          <w:bCs/>
          <w:color w:val="000000"/>
          <w:highlight w:val="none"/>
        </w:rPr>
        <w:t>各污染物排放浓度及排放量为：COD：</w:t>
      </w:r>
      <w:r>
        <w:rPr>
          <w:rFonts w:hint="default" w:ascii="Times New Roman" w:hAnsi="Times New Roman" w:cs="Times New Roman"/>
          <w:bCs/>
          <w:color w:val="000000"/>
          <w:szCs w:val="21"/>
          <w:highlight w:val="none"/>
        </w:rPr>
        <w:t>3.285t/a（60mg/L）、</w:t>
      </w:r>
      <w:r>
        <w:rPr>
          <w:rFonts w:hint="default" w:ascii="Times New Roman" w:hAnsi="Times New Roman" w:cs="Times New Roman"/>
          <w:bCs/>
          <w:color w:val="000000"/>
          <w:highlight w:val="none"/>
        </w:rPr>
        <w:t>BOD</w:t>
      </w:r>
      <w:r>
        <w:rPr>
          <w:rFonts w:hint="default" w:ascii="Times New Roman" w:hAnsi="Times New Roman" w:cs="Times New Roman"/>
          <w:bCs/>
          <w:color w:val="000000"/>
          <w:highlight w:val="none"/>
          <w:vertAlign w:val="subscript"/>
        </w:rPr>
        <w:t>5</w:t>
      </w:r>
      <w:r>
        <w:rPr>
          <w:rFonts w:hint="default" w:ascii="Times New Roman" w:hAnsi="Times New Roman" w:cs="Times New Roman"/>
          <w:bCs/>
          <w:color w:val="000000"/>
          <w:highlight w:val="none"/>
        </w:rPr>
        <w:t>：1.095</w:t>
      </w:r>
      <w:r>
        <w:rPr>
          <w:rFonts w:hint="default" w:ascii="Times New Roman" w:hAnsi="Times New Roman" w:cs="Times New Roman"/>
          <w:bCs/>
          <w:color w:val="000000"/>
          <w:kern w:val="2"/>
          <w:szCs w:val="24"/>
          <w:highlight w:val="none"/>
        </w:rPr>
        <w:t>t/a</w:t>
      </w:r>
      <w:r>
        <w:rPr>
          <w:rFonts w:hint="default" w:ascii="Times New Roman" w:hAnsi="Times New Roman" w:cs="Times New Roman"/>
          <w:bCs/>
          <w:color w:val="000000"/>
          <w:szCs w:val="21"/>
          <w:highlight w:val="none"/>
        </w:rPr>
        <w:t>（20mg/L）、</w:t>
      </w:r>
      <w:r>
        <w:rPr>
          <w:rFonts w:hint="default" w:ascii="Times New Roman" w:hAnsi="Times New Roman" w:cs="Times New Roman"/>
          <w:bCs/>
          <w:color w:val="000000"/>
          <w:highlight w:val="none"/>
        </w:rPr>
        <w:t>SS：1.095</w:t>
      </w:r>
      <w:r>
        <w:rPr>
          <w:rFonts w:hint="default" w:ascii="Times New Roman" w:hAnsi="Times New Roman" w:cs="Times New Roman"/>
          <w:bCs/>
          <w:color w:val="000000"/>
          <w:kern w:val="2"/>
          <w:szCs w:val="24"/>
          <w:highlight w:val="none"/>
        </w:rPr>
        <w:t>t/a</w:t>
      </w:r>
      <w:r>
        <w:rPr>
          <w:rFonts w:hint="default" w:ascii="Times New Roman" w:hAnsi="Times New Roman" w:cs="Times New Roman"/>
          <w:bCs/>
          <w:color w:val="000000"/>
          <w:szCs w:val="21"/>
          <w:highlight w:val="none"/>
        </w:rPr>
        <w:t>（20mg/L）、</w:t>
      </w:r>
      <w:r>
        <w:rPr>
          <w:rFonts w:hint="default" w:ascii="Times New Roman" w:hAnsi="Times New Roman" w:cs="Times New Roman"/>
          <w:bCs/>
          <w:color w:val="000000"/>
          <w:highlight w:val="none"/>
        </w:rPr>
        <w:t>氨氮：0.438t/a（8mg/L）、</w:t>
      </w:r>
      <w:r>
        <w:rPr>
          <w:rFonts w:hint="default" w:ascii="Times New Roman" w:hAnsi="Times New Roman" w:cs="Times New Roman"/>
          <w:bCs/>
          <w:color w:val="000000"/>
          <w:kern w:val="2"/>
          <w:szCs w:val="24"/>
          <w:highlight w:val="none"/>
        </w:rPr>
        <w:t>0.822t/a</w:t>
      </w:r>
      <w:r>
        <w:rPr>
          <w:rFonts w:hint="default" w:ascii="Times New Roman" w:hAnsi="Times New Roman" w:cs="Times New Roman"/>
          <w:bCs/>
          <w:color w:val="000000"/>
          <w:szCs w:val="21"/>
          <w:highlight w:val="none"/>
        </w:rPr>
        <w:t>（15mg/L）、</w:t>
      </w:r>
      <w:r>
        <w:rPr>
          <w:rFonts w:hint="default" w:ascii="Times New Roman" w:hAnsi="Times New Roman" w:cs="Times New Roman"/>
          <w:bCs/>
          <w:color w:val="000000"/>
          <w:highlight w:val="none"/>
        </w:rPr>
        <w:t>TN：1.095</w:t>
      </w:r>
      <w:r>
        <w:rPr>
          <w:rFonts w:hint="default" w:ascii="Times New Roman" w:hAnsi="Times New Roman" w:cs="Times New Roman"/>
          <w:bCs/>
          <w:color w:val="000000"/>
          <w:kern w:val="2"/>
          <w:szCs w:val="24"/>
          <w:highlight w:val="none"/>
        </w:rPr>
        <w:t>t/a</w:t>
      </w:r>
      <w:r>
        <w:rPr>
          <w:rFonts w:hint="default" w:ascii="Times New Roman" w:hAnsi="Times New Roman" w:cs="Times New Roman"/>
          <w:bCs/>
          <w:color w:val="000000"/>
          <w:szCs w:val="21"/>
          <w:highlight w:val="none"/>
        </w:rPr>
        <w:t>（20mg/L）、</w:t>
      </w:r>
      <w:r>
        <w:rPr>
          <w:rFonts w:hint="default" w:ascii="Times New Roman" w:hAnsi="Times New Roman" w:cs="Times New Roman"/>
          <w:bCs/>
          <w:color w:val="000000"/>
          <w:highlight w:val="none"/>
        </w:rPr>
        <w:t>TP：</w:t>
      </w:r>
      <w:r>
        <w:rPr>
          <w:rFonts w:hint="default" w:ascii="Times New Roman" w:hAnsi="Times New Roman" w:cs="Times New Roman"/>
          <w:bCs/>
          <w:color w:val="000000"/>
          <w:kern w:val="2"/>
          <w:szCs w:val="24"/>
          <w:highlight w:val="none"/>
        </w:rPr>
        <w:t>0.05475t/a</w:t>
      </w:r>
      <w:r>
        <w:rPr>
          <w:rFonts w:hint="default" w:ascii="Times New Roman" w:hAnsi="Times New Roman" w:cs="Times New Roman"/>
          <w:bCs/>
          <w:color w:val="000000"/>
          <w:szCs w:val="21"/>
          <w:highlight w:val="none"/>
        </w:rPr>
        <w:t>（1mg/L）</w:t>
      </w:r>
      <w:r>
        <w:rPr>
          <w:rFonts w:hint="default" w:ascii="Times New Roman" w:hAnsi="Times New Roman" w:cs="Times New Roman"/>
          <w:bCs/>
          <w:color w:val="000000"/>
          <w:highlight w:val="none"/>
        </w:rPr>
        <w:t>。</w:t>
      </w:r>
    </w:p>
    <w:p>
      <w:pPr>
        <w:spacing w:line="360" w:lineRule="auto"/>
        <w:ind w:left="420" w:leftChars="200" w:firstLine="482" w:firstLineChars="200"/>
        <w:jc w:val="left"/>
        <w:outlineLvl w:val="2"/>
        <w:rPr>
          <w:rFonts w:hint="default" w:ascii="Times New Roman" w:hAnsi="Times New Roman" w:cs="Times New Roman"/>
          <w:b/>
          <w:color w:val="000000"/>
          <w:sz w:val="24"/>
          <w:highlight w:val="none"/>
        </w:rPr>
      </w:pPr>
      <w:bookmarkStart w:id="245" w:name="_Toc8551"/>
      <w:r>
        <w:rPr>
          <w:rFonts w:hint="default" w:ascii="Times New Roman" w:hAnsi="Times New Roman" w:cs="Times New Roman"/>
          <w:b/>
          <w:color w:val="000000"/>
          <w:sz w:val="24"/>
          <w:highlight w:val="none"/>
          <w:lang w:val="en-US" w:eastAsia="zh-CN"/>
        </w:rPr>
        <w:t>8.1.2</w:t>
      </w:r>
      <w:r>
        <w:rPr>
          <w:rFonts w:hint="default" w:ascii="Times New Roman" w:hAnsi="Times New Roman" w:cs="Times New Roman"/>
          <w:b/>
          <w:color w:val="000000"/>
          <w:sz w:val="24"/>
          <w:highlight w:val="none"/>
        </w:rPr>
        <w:t>.所在水功能区（水域）纳污状况分析</w:t>
      </w:r>
      <w:bookmarkEnd w:id="245"/>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目前本项目入河排污口下游论证范围内的洢水为洢水安化源头水保护区，河流目前的主要功能为饮用、灌溉，水质管理目标为Ⅱ类。</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本项目论证范围内主要有少量村民自建农田灌溉取水口</w:t>
      </w:r>
      <w:r>
        <w:rPr>
          <w:rFonts w:hint="default" w:ascii="Times New Roman" w:hAnsi="Times New Roman" w:cs="Times New Roman"/>
          <w:kern w:val="2"/>
          <w:szCs w:val="24"/>
          <w:highlight w:val="none"/>
          <w:lang w:eastAsia="zh-CN"/>
        </w:rPr>
        <w:t>，</w:t>
      </w:r>
      <w:r>
        <w:rPr>
          <w:rFonts w:hint="default" w:ascii="Times New Roman" w:hAnsi="Times New Roman" w:cs="Times New Roman"/>
          <w:kern w:val="2"/>
          <w:szCs w:val="24"/>
          <w:highlight w:val="none"/>
        </w:rPr>
        <w:t>无</w:t>
      </w:r>
      <w:r>
        <w:rPr>
          <w:rFonts w:hint="default" w:ascii="Times New Roman" w:hAnsi="Times New Roman" w:cs="Times New Roman"/>
          <w:kern w:val="2"/>
          <w:szCs w:val="24"/>
          <w:highlight w:val="none"/>
          <w:lang w:val="en-US" w:eastAsia="zh-CN"/>
        </w:rPr>
        <w:t>市</w:t>
      </w:r>
      <w:r>
        <w:rPr>
          <w:rFonts w:hint="default" w:ascii="Times New Roman" w:hAnsi="Times New Roman" w:cs="Times New Roman"/>
          <w:kern w:val="2"/>
          <w:szCs w:val="24"/>
          <w:highlight w:val="none"/>
        </w:rPr>
        <w:t>政供水取水口</w:t>
      </w:r>
      <w:r>
        <w:rPr>
          <w:rFonts w:hint="default" w:ascii="Times New Roman" w:hAnsi="Times New Roman" w:cs="Times New Roman"/>
          <w:kern w:val="2"/>
          <w:szCs w:val="24"/>
          <w:highlight w:val="none"/>
          <w:lang w:eastAsia="zh-CN"/>
        </w:rPr>
        <w:t>；</w:t>
      </w:r>
      <w:r>
        <w:rPr>
          <w:rFonts w:hint="default" w:ascii="Times New Roman" w:hAnsi="Times New Roman" w:cs="Times New Roman"/>
          <w:kern w:val="2"/>
          <w:szCs w:val="24"/>
          <w:highlight w:val="none"/>
        </w:rPr>
        <w:t>下游有农业退水口</w:t>
      </w:r>
      <w:r>
        <w:rPr>
          <w:rFonts w:hint="default" w:ascii="Times New Roman" w:hAnsi="Times New Roman" w:cs="Times New Roman"/>
          <w:kern w:val="2"/>
          <w:szCs w:val="24"/>
          <w:highlight w:val="none"/>
          <w:lang w:eastAsia="zh-CN"/>
        </w:rPr>
        <w:t>，</w:t>
      </w:r>
      <w:r>
        <w:rPr>
          <w:rFonts w:hint="default" w:ascii="Times New Roman" w:hAnsi="Times New Roman" w:cs="Times New Roman"/>
          <w:kern w:val="2"/>
          <w:szCs w:val="24"/>
          <w:highlight w:val="none"/>
          <w:lang w:val="en-US" w:eastAsia="zh-CN"/>
        </w:rPr>
        <w:t>上游500m有一处同等规模的乐安镇乐桥</w:t>
      </w:r>
      <w:r>
        <w:rPr>
          <w:rFonts w:hint="default" w:ascii="Times New Roman" w:hAnsi="Times New Roman" w:cs="Times New Roman"/>
          <w:kern w:val="2"/>
          <w:szCs w:val="24"/>
          <w:highlight w:val="none"/>
        </w:rPr>
        <w:t>污水处理厂</w:t>
      </w:r>
      <w:r>
        <w:rPr>
          <w:rFonts w:hint="default" w:ascii="Times New Roman" w:hAnsi="Times New Roman" w:cs="Times New Roman"/>
          <w:kern w:val="2"/>
          <w:szCs w:val="24"/>
          <w:highlight w:val="none"/>
          <w:lang w:val="en-US" w:eastAsia="zh-CN"/>
        </w:rPr>
        <w:t>排放口。</w:t>
      </w:r>
    </w:p>
    <w:p>
      <w:pPr>
        <w:pStyle w:val="10"/>
        <w:spacing w:before="0" w:after="0" w:line="360" w:lineRule="auto"/>
        <w:ind w:firstLine="480" w:firstLineChars="200"/>
        <w:jc w:val="both"/>
        <w:rPr>
          <w:rFonts w:hint="default" w:ascii="Times New Roman" w:hAnsi="Times New Roman" w:cs="Times New Roman"/>
          <w:kern w:val="2"/>
          <w:szCs w:val="24"/>
          <w:highlight w:val="none"/>
        </w:rPr>
      </w:pPr>
      <w:r>
        <w:rPr>
          <w:rFonts w:hint="default" w:ascii="Times New Roman" w:hAnsi="Times New Roman" w:cs="Times New Roman"/>
          <w:kern w:val="2"/>
          <w:szCs w:val="24"/>
          <w:highlight w:val="none"/>
        </w:rPr>
        <w:t>根据国控平台系统敷溪断面</w:t>
      </w:r>
      <w:r>
        <w:rPr>
          <w:rFonts w:hint="default" w:ascii="Times New Roman" w:hAnsi="Times New Roman" w:cs="Times New Roman"/>
          <w:kern w:val="2"/>
          <w:szCs w:val="24"/>
          <w:highlight w:val="none"/>
          <w:lang w:val="en-US" w:eastAsia="zh-CN"/>
        </w:rPr>
        <w:t>和</w:t>
      </w:r>
      <w:r>
        <w:rPr>
          <w:rFonts w:hint="default" w:ascii="Times New Roman" w:hAnsi="Times New Roman" w:cs="Times New Roman"/>
          <w:kern w:val="2"/>
          <w:szCs w:val="24"/>
          <w:highlight w:val="none"/>
        </w:rPr>
        <w:t>水域水质现状调查情况，监测断面能达到水质管理目标，洢水水环境质量良好。</w:t>
      </w:r>
    </w:p>
    <w:p>
      <w:pPr>
        <w:spacing w:line="360" w:lineRule="auto"/>
        <w:ind w:left="420" w:leftChars="200" w:firstLine="482" w:firstLineChars="200"/>
        <w:jc w:val="left"/>
        <w:outlineLvl w:val="2"/>
        <w:rPr>
          <w:rFonts w:hint="default" w:ascii="Times New Roman" w:hAnsi="Times New Roman" w:cs="Times New Roman"/>
          <w:b/>
          <w:color w:val="000000"/>
          <w:sz w:val="24"/>
          <w:highlight w:val="none"/>
        </w:rPr>
      </w:pPr>
      <w:bookmarkStart w:id="246" w:name="_Toc32425"/>
      <w:r>
        <w:rPr>
          <w:rFonts w:hint="default" w:ascii="Times New Roman" w:hAnsi="Times New Roman" w:cs="Times New Roman"/>
          <w:b/>
          <w:color w:val="000000"/>
          <w:sz w:val="24"/>
          <w:highlight w:val="none"/>
        </w:rPr>
        <w:t>8.1.</w:t>
      </w:r>
      <w:r>
        <w:rPr>
          <w:rFonts w:hint="default" w:ascii="Times New Roman" w:hAnsi="Times New Roman" w:cs="Times New Roman"/>
          <w:b/>
          <w:color w:val="000000"/>
          <w:sz w:val="24"/>
          <w:highlight w:val="none"/>
          <w:lang w:val="en-US" w:eastAsia="zh-CN"/>
        </w:rPr>
        <w:t>3</w:t>
      </w:r>
      <w:r>
        <w:rPr>
          <w:rFonts w:hint="default" w:ascii="Times New Roman" w:hAnsi="Times New Roman" w:cs="Times New Roman"/>
          <w:b/>
          <w:color w:val="000000"/>
          <w:sz w:val="24"/>
          <w:highlight w:val="none"/>
        </w:rPr>
        <w:t>.对水功能区（水域）水质和生态的影响</w:t>
      </w:r>
      <w:bookmarkEnd w:id="246"/>
    </w:p>
    <w:p>
      <w:pPr>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1）废水处理设施正常运行时废水排入洢水河后，入河排污口下游的洢水河预测断面的各污染物的预测浓度均可满足《地表水环境质量标准》（GB3838-2002）II类标准，未出现超标。因此，废水正常排放时对下游河段水质影响不大。</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lang w:eastAsia="zh-CN"/>
        </w:rPr>
        <w:t>（</w:t>
      </w:r>
      <w:r>
        <w:rPr>
          <w:rFonts w:hint="default" w:ascii="Times New Roman" w:hAnsi="Times New Roman" w:cs="Times New Roman"/>
          <w:bCs/>
          <w:color w:val="000000"/>
          <w:sz w:val="24"/>
          <w:highlight w:val="none"/>
          <w:lang w:val="en-US" w:eastAsia="zh-CN"/>
        </w:rPr>
        <w:t>2</w:t>
      </w:r>
      <w:r>
        <w:rPr>
          <w:rFonts w:hint="default" w:ascii="Times New Roman" w:hAnsi="Times New Roman" w:cs="Times New Roman"/>
          <w:bCs/>
          <w:color w:val="000000"/>
          <w:sz w:val="24"/>
          <w:highlight w:val="none"/>
          <w:lang w:eastAsia="zh-CN"/>
        </w:rPr>
        <w:t>）</w:t>
      </w:r>
      <w:r>
        <w:rPr>
          <w:rFonts w:hint="default" w:ascii="Times New Roman" w:hAnsi="Times New Roman" w:cs="Times New Roman"/>
          <w:bCs/>
          <w:color w:val="000000"/>
          <w:sz w:val="24"/>
          <w:highlight w:val="none"/>
        </w:rPr>
        <w:t>当废水处理设施不能正常处理废水，废水直接外排至洢水河时，入河排污口下游的洢水河预测断面的各污染物的预测浓度仍可以满足《地表水环境质量标准》（GB3838-2002）Ⅱ类标准。说明项目废水在非正常排放时对下游河段水质不会造成较大冲击。</w:t>
      </w:r>
    </w:p>
    <w:p>
      <w:pPr>
        <w:keepNext w:val="0"/>
        <w:keepLines w:val="0"/>
        <w:pageBreakBefore w:val="0"/>
        <w:widowControl w:val="0"/>
        <w:kinsoku/>
        <w:wordWrap w:val="0"/>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000000"/>
          <w:sz w:val="24"/>
          <w:highlight w:val="none"/>
          <w:u w:val="single"/>
        </w:rPr>
      </w:pPr>
      <w:r>
        <w:rPr>
          <w:rFonts w:hint="default" w:ascii="Times New Roman" w:hAnsi="Times New Roman" w:cs="Times New Roman"/>
          <w:bCs/>
          <w:color w:val="000000"/>
          <w:sz w:val="24"/>
          <w:highlight w:val="none"/>
        </w:rPr>
        <w:t>（</w:t>
      </w:r>
      <w:r>
        <w:rPr>
          <w:rFonts w:hint="default" w:ascii="Times New Roman" w:hAnsi="Times New Roman" w:cs="Times New Roman"/>
          <w:bCs/>
          <w:color w:val="000000"/>
          <w:sz w:val="24"/>
          <w:highlight w:val="none"/>
          <w:lang w:val="en-US" w:eastAsia="zh-CN"/>
        </w:rPr>
        <w:t>3</w:t>
      </w:r>
      <w:r>
        <w:rPr>
          <w:rFonts w:hint="default" w:ascii="Times New Roman" w:hAnsi="Times New Roman" w:cs="Times New Roman"/>
          <w:bCs/>
          <w:color w:val="000000"/>
          <w:sz w:val="24"/>
          <w:highlight w:val="none"/>
        </w:rPr>
        <w:t>）</w:t>
      </w:r>
      <w:r>
        <w:rPr>
          <w:rFonts w:hint="default" w:ascii="Times New Roman" w:hAnsi="Times New Roman" w:cs="Times New Roman"/>
          <w:bCs/>
          <w:color w:val="000000"/>
          <w:sz w:val="24"/>
          <w:highlight w:val="none"/>
          <w:u w:val="single"/>
        </w:rPr>
        <w:t>根据表5-3、5-4计算，污水处理厂污水排入的水功能区在枯水期、平水期的纳污能力分别为枯水期（CODcr：194.684t/a，NH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-N：9.587t/a，TP：1.955t/a）、平水期（CODcr：874.588t/a，NH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-N：43.047t/a，TP：8.735t/a，枯水期、平水期可纳污量远远高于污水处理厂排放量，CODcr：2.285t/a、NH</w:t>
      </w:r>
      <w:r>
        <w:rPr>
          <w:rFonts w:hint="default" w:ascii="Times New Roman" w:hAnsi="Times New Roman" w:cs="Times New Roman"/>
          <w:bCs/>
          <w:color w:val="000000"/>
          <w:sz w:val="24"/>
          <w:highlight w:val="none"/>
          <w:u w:val="single"/>
          <w:vertAlign w:val="subscript"/>
        </w:rPr>
        <w:t>3</w:t>
      </w:r>
      <w:r>
        <w:rPr>
          <w:rFonts w:hint="default" w:ascii="Times New Roman" w:hAnsi="Times New Roman" w:cs="Times New Roman"/>
          <w:bCs/>
          <w:color w:val="000000"/>
          <w:sz w:val="24"/>
          <w:highlight w:val="none"/>
          <w:u w:val="single"/>
        </w:rPr>
        <w:t>-N：0.438t/a，TP：0.09548t/a。因此，洢水纳污能力可满足乐安镇乐高污水处理厂</w:t>
      </w:r>
      <w:r>
        <w:rPr>
          <w:rFonts w:hint="default" w:ascii="Times New Roman" w:hAnsi="Times New Roman" w:cs="Times New Roman"/>
          <w:bCs/>
          <w:color w:val="000000"/>
          <w:sz w:val="24"/>
          <w:highlight w:val="none"/>
          <w:u w:val="single"/>
          <w:lang w:eastAsia="zh-CN"/>
        </w:rPr>
        <w:t>（</w:t>
      </w:r>
      <w:r>
        <w:rPr>
          <w:rFonts w:hint="default" w:ascii="Times New Roman" w:hAnsi="Times New Roman" w:cs="Times New Roman"/>
          <w:bCs/>
          <w:color w:val="000000"/>
          <w:sz w:val="24"/>
          <w:highlight w:val="none"/>
          <w:u w:val="single"/>
          <w:lang w:val="en-US" w:eastAsia="zh-CN"/>
        </w:rPr>
        <w:t>叠加</w:t>
      </w:r>
      <w:r>
        <w:rPr>
          <w:rFonts w:hint="default" w:ascii="Times New Roman" w:hAnsi="Times New Roman" w:cs="Times New Roman"/>
          <w:bCs/>
          <w:color w:val="000000"/>
          <w:sz w:val="24"/>
          <w:highlight w:val="none"/>
          <w:u w:val="single"/>
        </w:rPr>
        <w:t>乐</w:t>
      </w:r>
      <w:r>
        <w:rPr>
          <w:rFonts w:hint="default" w:ascii="Times New Roman" w:hAnsi="Times New Roman" w:cs="Times New Roman"/>
          <w:bCs/>
          <w:color w:val="000000"/>
          <w:sz w:val="24"/>
          <w:highlight w:val="none"/>
          <w:u w:val="single"/>
          <w:lang w:val="en-US" w:eastAsia="zh-CN"/>
        </w:rPr>
        <w:t>桥</w:t>
      </w:r>
      <w:r>
        <w:rPr>
          <w:rFonts w:hint="default" w:ascii="Times New Roman" w:hAnsi="Times New Roman" w:cs="Times New Roman"/>
          <w:bCs/>
          <w:color w:val="000000"/>
          <w:sz w:val="24"/>
          <w:highlight w:val="none"/>
          <w:u w:val="single"/>
        </w:rPr>
        <w:t>污水处理厂</w:t>
      </w:r>
      <w:r>
        <w:rPr>
          <w:rFonts w:hint="default" w:ascii="Times New Roman" w:hAnsi="Times New Roman" w:cs="Times New Roman"/>
          <w:bCs/>
          <w:color w:val="000000"/>
          <w:sz w:val="24"/>
          <w:highlight w:val="none"/>
          <w:u w:val="single"/>
          <w:lang w:eastAsia="zh-CN"/>
        </w:rPr>
        <w:t>）</w:t>
      </w:r>
      <w:r>
        <w:rPr>
          <w:rFonts w:hint="default" w:ascii="Times New Roman" w:hAnsi="Times New Roman" w:cs="Times New Roman"/>
          <w:bCs/>
          <w:color w:val="000000"/>
          <w:sz w:val="24"/>
          <w:highlight w:val="none"/>
          <w:u w:val="single"/>
        </w:rPr>
        <w:t>污染物的排放。</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247" w:name="_Toc22515"/>
      <w:r>
        <w:rPr>
          <w:rFonts w:hint="default" w:ascii="Times New Roman" w:hAnsi="Times New Roman" w:cs="Times New Roman"/>
          <w:b/>
          <w:color w:val="000000"/>
          <w:sz w:val="24"/>
          <w:highlight w:val="none"/>
        </w:rPr>
        <w:t>8.1.</w:t>
      </w:r>
      <w:r>
        <w:rPr>
          <w:rFonts w:hint="default" w:ascii="Times New Roman" w:hAnsi="Times New Roman" w:cs="Times New Roman"/>
          <w:b/>
          <w:color w:val="000000"/>
          <w:sz w:val="24"/>
          <w:highlight w:val="none"/>
          <w:lang w:val="en-US" w:eastAsia="zh-CN"/>
        </w:rPr>
        <w:t>4</w:t>
      </w:r>
      <w:r>
        <w:rPr>
          <w:rFonts w:hint="default" w:ascii="Times New Roman" w:hAnsi="Times New Roman" w:cs="Times New Roman"/>
          <w:b/>
          <w:color w:val="000000"/>
          <w:sz w:val="24"/>
          <w:highlight w:val="none"/>
        </w:rPr>
        <w:t>.对第三者权益的影响</w:t>
      </w:r>
      <w:bookmarkEnd w:id="247"/>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outlineLvl w:val="9"/>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本项目排放的主要水污染物为COD、氨氮、TP，各污染物浓度可达到受纳水体环境功能区划规定的地表水环境质量</w:t>
      </w:r>
      <w:r>
        <w:rPr>
          <w:rFonts w:hint="default" w:ascii="Times New Roman" w:hAnsi="Times New Roman" w:cs="Times New Roman"/>
          <w:bCs/>
          <w:sz w:val="24"/>
          <w:highlight w:val="none"/>
          <w:lang w:val="en-US" w:eastAsia="zh-CN"/>
        </w:rPr>
        <w:t>目标要求</w:t>
      </w:r>
      <w:r>
        <w:rPr>
          <w:rFonts w:hint="default" w:ascii="Times New Roman" w:hAnsi="Times New Roman" w:cs="Times New Roman"/>
          <w:bCs/>
          <w:color w:val="000000"/>
          <w:sz w:val="24"/>
          <w:highlight w:val="none"/>
        </w:rPr>
        <w:t>，根据水质模型预测分析，废水在正常排放时对下游河段水质影响不大。项目入河排污口下游论证范围内的洢水的主要功能为农田灌溉，入河排污口下游论证范围2km内无饮用水水源保护区，有农业用水取水口。本项目入河排污口的设置不会对附近取水单位用水安全产生不良影响。</w:t>
      </w:r>
    </w:p>
    <w:p>
      <w:pPr>
        <w:spacing w:line="360" w:lineRule="auto"/>
        <w:ind w:firstLine="482" w:firstLineChars="200"/>
        <w:jc w:val="left"/>
        <w:outlineLvl w:val="2"/>
        <w:rPr>
          <w:rFonts w:hint="default" w:ascii="Times New Roman" w:hAnsi="Times New Roman" w:cs="Times New Roman"/>
          <w:b/>
          <w:color w:val="000000"/>
          <w:sz w:val="24"/>
          <w:highlight w:val="none"/>
        </w:rPr>
      </w:pPr>
      <w:bookmarkStart w:id="248" w:name="_Toc27925"/>
      <w:r>
        <w:rPr>
          <w:rFonts w:hint="default" w:ascii="Times New Roman" w:hAnsi="Times New Roman" w:cs="Times New Roman"/>
          <w:b/>
          <w:color w:val="000000"/>
          <w:sz w:val="24"/>
          <w:highlight w:val="none"/>
        </w:rPr>
        <w:t>8.1.</w:t>
      </w:r>
      <w:r>
        <w:rPr>
          <w:rFonts w:hint="default" w:ascii="Times New Roman" w:hAnsi="Times New Roman" w:cs="Times New Roman"/>
          <w:b/>
          <w:color w:val="000000"/>
          <w:sz w:val="24"/>
          <w:highlight w:val="none"/>
          <w:lang w:val="en-US" w:eastAsia="zh-CN"/>
        </w:rPr>
        <w:t>5</w:t>
      </w:r>
      <w:r>
        <w:rPr>
          <w:rFonts w:hint="default" w:ascii="Times New Roman" w:hAnsi="Times New Roman" w:cs="Times New Roman"/>
          <w:b/>
          <w:color w:val="000000"/>
          <w:sz w:val="24"/>
          <w:highlight w:val="none"/>
        </w:rPr>
        <w:t>.入河排污口设置最终结论</w:t>
      </w:r>
      <w:bookmarkEnd w:id="248"/>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本项目直接纳污水体为洢水，为洢水安化源头水保护区，</w:t>
      </w:r>
      <w:r>
        <w:rPr>
          <w:rFonts w:hint="default" w:ascii="Times New Roman" w:hAnsi="Times New Roman" w:cs="Times New Roman"/>
          <w:sz w:val="24"/>
          <w:szCs w:val="24"/>
          <w:highlight w:val="none"/>
        </w:rPr>
        <w:t>现状水质为Ⅱ类</w:t>
      </w:r>
      <w:r>
        <w:rPr>
          <w:rFonts w:hint="default" w:ascii="Times New Roman" w:hAnsi="Times New Roman" w:cs="Times New Roman"/>
          <w:bCs/>
          <w:color w:val="000000"/>
          <w:sz w:val="24"/>
          <w:highlight w:val="none"/>
        </w:rPr>
        <w:t>，目前本项目入河排污口下游论证范围内的洢水河主要功能为农田灌溉。本项目入河排污口不在饮用水源保护区范围内，入河排污口设置符合水功能区基本要求。各污染物排放总量均未超过受纳水体纳污能力，废水正常排放时对水功能区水质、水生态环境的影响较小。在保证废水处理达标排放、完善应急设施及措施的情况下，</w:t>
      </w:r>
      <w:r>
        <w:rPr>
          <w:rFonts w:hint="default" w:ascii="Times New Roman" w:hAnsi="Times New Roman" w:cs="Times New Roman"/>
          <w:sz w:val="24"/>
          <w:szCs w:val="24"/>
          <w:highlight w:val="none"/>
        </w:rPr>
        <w:t>安化县乐安镇乐高污水处理厂</w:t>
      </w:r>
      <w:r>
        <w:rPr>
          <w:rFonts w:hint="default" w:ascii="Times New Roman" w:hAnsi="Times New Roman" w:cs="Times New Roman"/>
          <w:bCs/>
          <w:color w:val="000000"/>
          <w:sz w:val="24"/>
          <w:highlight w:val="none"/>
        </w:rPr>
        <w:t>入河排污口设置方案是合理的、可行的。</w:t>
      </w:r>
    </w:p>
    <w:p>
      <w:pPr>
        <w:spacing w:line="360" w:lineRule="auto"/>
        <w:ind w:firstLine="482" w:firstLineChars="200"/>
        <w:jc w:val="left"/>
        <w:outlineLvl w:val="1"/>
        <w:rPr>
          <w:rFonts w:hint="default" w:ascii="Times New Roman" w:hAnsi="Times New Roman" w:cs="Times New Roman"/>
          <w:b/>
          <w:color w:val="000000"/>
          <w:sz w:val="24"/>
          <w:highlight w:val="none"/>
        </w:rPr>
      </w:pPr>
      <w:bookmarkStart w:id="249" w:name="_Toc11801"/>
      <w:r>
        <w:rPr>
          <w:rFonts w:hint="default" w:ascii="Times New Roman" w:hAnsi="Times New Roman" w:cs="Times New Roman"/>
          <w:b/>
          <w:color w:val="000000"/>
          <w:sz w:val="24"/>
          <w:highlight w:val="none"/>
        </w:rPr>
        <w:t>8.2.建议</w:t>
      </w:r>
      <w:bookmarkEnd w:id="249"/>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sz w:val="24"/>
          <w:highlight w:val="none"/>
        </w:rPr>
      </w:pPr>
      <w:r>
        <w:rPr>
          <w:rFonts w:hint="default" w:ascii="Times New Roman" w:hAnsi="Times New Roman" w:cs="Times New Roman"/>
          <w:bCs/>
          <w:sz w:val="24"/>
          <w:highlight w:val="none"/>
        </w:rPr>
        <w:t>（1）加强对项目排放废水的自行监测，动态掌握排放废水水质，以便针对废水中其他污染物及时采取处理措施。建设单位应建立有每日巡查制度，做好废水排放的水质水量检测记录；严格按照《排污单位自行监测技术指南 总则》（HJ819-2017）及环境影响评价文件的要求制定自行监测计划。</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sz w:val="24"/>
          <w:highlight w:val="none"/>
        </w:rPr>
      </w:pPr>
      <w:r>
        <w:rPr>
          <w:rFonts w:hint="default" w:ascii="Times New Roman" w:hAnsi="Times New Roman" w:cs="Times New Roman"/>
          <w:bCs/>
          <w:sz w:val="24"/>
          <w:highlight w:val="none"/>
        </w:rPr>
        <w:t>（2）制定水污染事件应急预案，以保障事故废水在进入地表水之前得到有效控制，一旦事故发生，必须按事先拟定的应急预案进行紧急处理，及时封堵排污口，停止外排废水，并及时将事故信息报告给生态环境局等主管部门，减小污染影响。</w:t>
      </w:r>
    </w:p>
    <w:p>
      <w:pPr>
        <w:spacing w:line="360" w:lineRule="auto"/>
        <w:ind w:firstLine="480" w:firstLineChars="200"/>
        <w:jc w:val="left"/>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（3）定期对废水收集管网和排污管道进行检查，防止发生废水泄漏事故。</w:t>
      </w:r>
    </w:p>
    <w:p>
      <w:pPr>
        <w:spacing w:line="360" w:lineRule="auto"/>
        <w:ind w:left="420" w:leftChars="200"/>
        <w:jc w:val="left"/>
        <w:rPr>
          <w:rFonts w:hint="default" w:ascii="Times New Roman" w:hAnsi="Times New Roman" w:cs="Times New Roman"/>
          <w:bCs/>
          <w:color w:val="000000"/>
          <w:sz w:val="24"/>
          <w:highlight w:val="none"/>
        </w:rPr>
      </w:pPr>
    </w:p>
    <w:p>
      <w:pPr>
        <w:spacing w:line="360" w:lineRule="auto"/>
        <w:ind w:left="420" w:leftChars="200"/>
        <w:jc w:val="left"/>
        <w:rPr>
          <w:rFonts w:hint="default" w:ascii="Times New Roman" w:hAnsi="Times New Roman" w:cs="Times New Roman"/>
          <w:bCs/>
          <w:color w:val="000000"/>
          <w:sz w:val="24"/>
          <w:highlight w:val="none"/>
        </w:rPr>
        <w:sectPr>
          <w:pgSz w:w="11906" w:h="16838"/>
          <w:pgMar w:top="1644" w:right="1800" w:bottom="1814" w:left="1800" w:header="851" w:footer="992" w:gutter="0"/>
          <w:cols w:space="720" w:num="1"/>
          <w:docGrid w:type="lines" w:linePitch="312" w:charSpace="0"/>
        </w:sectPr>
      </w:pPr>
    </w:p>
    <w:p>
      <w:pPr>
        <w:pStyle w:val="9"/>
        <w:jc w:val="center"/>
        <w:outlineLvl w:val="0"/>
        <w:rPr>
          <w:rFonts w:hint="default" w:ascii="Times New Roman" w:hAnsi="Times New Roman" w:cs="Times New Roman"/>
          <w:b/>
          <w:bCs/>
          <w:kern w:val="20"/>
          <w:sz w:val="36"/>
          <w:szCs w:val="36"/>
          <w:highlight w:val="none"/>
        </w:rPr>
      </w:pPr>
      <w:bookmarkStart w:id="250" w:name="_Toc32640"/>
      <w:r>
        <w:rPr>
          <w:rFonts w:hint="default" w:ascii="Times New Roman" w:hAnsi="Times New Roman" w:cs="Times New Roman"/>
          <w:b/>
          <w:bCs/>
          <w:kern w:val="20"/>
          <w:sz w:val="36"/>
          <w:szCs w:val="36"/>
          <w:highlight w:val="none"/>
        </w:rPr>
        <w:t>9  附件附图</w:t>
      </w:r>
      <w:bookmarkEnd w:id="250"/>
    </w:p>
    <w:p>
      <w:pPr>
        <w:pStyle w:val="10"/>
        <w:jc w:val="both"/>
        <w:outlineLvl w:val="0"/>
        <w:rPr>
          <w:rFonts w:hint="default" w:ascii="Times New Roman" w:hAnsi="Times New Roman" w:cs="Times New Roman"/>
          <w:b/>
          <w:bCs/>
          <w:kern w:val="20"/>
          <w:szCs w:val="24"/>
          <w:highlight w:val="none"/>
        </w:rPr>
      </w:pPr>
      <w:bookmarkStart w:id="251" w:name="_Toc19683"/>
      <w:r>
        <w:rPr>
          <w:rFonts w:hint="default" w:ascii="Times New Roman" w:hAnsi="Times New Roman" w:cs="Times New Roman"/>
          <w:b/>
          <w:bCs/>
          <w:kern w:val="20"/>
          <w:szCs w:val="24"/>
          <w:highlight w:val="none"/>
        </w:rPr>
        <w:t>附件1  委托书</w:t>
      </w:r>
      <w:bookmarkEnd w:id="251"/>
    </w:p>
    <w:p>
      <w:pPr>
        <w:jc w:val="center"/>
        <w:rPr>
          <w:rFonts w:hint="default" w:ascii="Times New Roman" w:hAnsi="Times New Roman" w:cs="Times New Roman"/>
          <w:b/>
          <w:bCs/>
          <w:sz w:val="36"/>
          <w:szCs w:val="36"/>
          <w:highlight w:val="none"/>
        </w:rPr>
      </w:pPr>
      <w:r>
        <w:rPr>
          <w:rFonts w:hint="default" w:ascii="Times New Roman" w:hAnsi="Times New Roman" w:cs="Times New Roman"/>
          <w:b/>
          <w:bCs/>
          <w:sz w:val="36"/>
          <w:szCs w:val="36"/>
          <w:highlight w:val="none"/>
        </w:rPr>
        <w:t>委托函</w:t>
      </w:r>
    </w:p>
    <w:p>
      <w:pPr>
        <w:spacing w:line="360" w:lineRule="auto"/>
        <w:rPr>
          <w:rFonts w:hint="default" w:ascii="Times New Roman" w:hAnsi="Times New Roman" w:cs="Times New Roman"/>
          <w:sz w:val="28"/>
          <w:szCs w:val="28"/>
          <w:highlight w:val="none"/>
        </w:rPr>
      </w:pPr>
      <w:r>
        <w:rPr>
          <w:rFonts w:hint="default" w:ascii="Times New Roman" w:hAnsi="Times New Roman" w:cs="Times New Roman"/>
          <w:sz w:val="28"/>
          <w:szCs w:val="28"/>
          <w:highlight w:val="none"/>
        </w:rPr>
        <w:t>湖南润志环保技术有限公司：</w:t>
      </w:r>
    </w:p>
    <w:p>
      <w:pPr>
        <w:spacing w:line="360" w:lineRule="auto"/>
        <w:ind w:firstLine="720"/>
        <w:rPr>
          <w:rFonts w:hint="default" w:ascii="Times New Roman" w:hAnsi="Times New Roman" w:cs="Times New Roman"/>
          <w:sz w:val="28"/>
          <w:szCs w:val="28"/>
          <w:highlight w:val="none"/>
        </w:rPr>
      </w:pPr>
      <w:r>
        <w:rPr>
          <w:rFonts w:hint="default" w:ascii="Times New Roman" w:hAnsi="Times New Roman" w:cs="Times New Roman"/>
          <w:sz w:val="28"/>
          <w:szCs w:val="28"/>
          <w:highlight w:val="none"/>
        </w:rPr>
        <w:t>为严格执行水利部《入河排污口监督管理办法》（水利部令第22号），促进水资源优化配置，保证水资源可持续利用，保障建设项目的合理排水要求。特委托你单位承担编制《安化县乐安镇乐高污水处理厂入河排污口设置论证报告》，完成该项目的论证报告编制工作。请贵单位按照有关入河排污口</w:t>
      </w:r>
      <w:r>
        <w:rPr>
          <w:rFonts w:hint="default" w:ascii="Times New Roman" w:hAnsi="Times New Roman" w:cs="Times New Roman"/>
          <w:sz w:val="28"/>
          <w:szCs w:val="28"/>
          <w:highlight w:val="none"/>
          <w:lang w:val="en-US" w:eastAsia="zh-CN"/>
        </w:rPr>
        <w:t>设置的</w:t>
      </w:r>
      <w:r>
        <w:rPr>
          <w:rFonts w:hint="default" w:ascii="Times New Roman" w:hAnsi="Times New Roman" w:cs="Times New Roman"/>
          <w:sz w:val="28"/>
          <w:szCs w:val="28"/>
          <w:highlight w:val="none"/>
        </w:rPr>
        <w:t>程序及规范，抓紧开展工作。</w:t>
      </w:r>
    </w:p>
    <w:p>
      <w:pPr>
        <w:spacing w:line="360" w:lineRule="auto"/>
        <w:ind w:firstLine="720"/>
        <w:rPr>
          <w:rFonts w:hint="default" w:ascii="Times New Roman" w:hAnsi="Times New Roman" w:cs="Times New Roman"/>
          <w:sz w:val="28"/>
          <w:szCs w:val="28"/>
          <w:highlight w:val="none"/>
        </w:rPr>
      </w:pPr>
    </w:p>
    <w:p>
      <w:pPr>
        <w:spacing w:line="360" w:lineRule="auto"/>
        <w:ind w:firstLine="720"/>
        <w:rPr>
          <w:rFonts w:hint="default" w:ascii="Times New Roman" w:hAnsi="Times New Roman" w:cs="Times New Roman"/>
          <w:sz w:val="28"/>
          <w:szCs w:val="28"/>
          <w:highlight w:val="none"/>
        </w:rPr>
      </w:pPr>
      <w:r>
        <w:rPr>
          <w:rFonts w:hint="default" w:ascii="Times New Roman" w:hAnsi="Times New Roman" w:cs="Times New Roman"/>
          <w:sz w:val="28"/>
          <w:szCs w:val="28"/>
          <w:highlight w:val="none"/>
        </w:rPr>
        <w:t>特此委托</w:t>
      </w:r>
    </w:p>
    <w:p>
      <w:pPr>
        <w:spacing w:line="360" w:lineRule="auto"/>
        <w:ind w:firstLine="720"/>
        <w:rPr>
          <w:rFonts w:hint="default" w:ascii="Times New Roman" w:hAnsi="Times New Roman" w:cs="Times New Roman"/>
          <w:sz w:val="28"/>
          <w:szCs w:val="28"/>
          <w:highlight w:val="none"/>
        </w:rPr>
      </w:pPr>
    </w:p>
    <w:p>
      <w:pPr>
        <w:spacing w:line="360" w:lineRule="auto"/>
        <w:ind w:firstLine="720"/>
        <w:rPr>
          <w:rFonts w:hint="default" w:ascii="Times New Roman" w:hAnsi="Times New Roman" w:cs="Times New Roman"/>
          <w:sz w:val="28"/>
          <w:szCs w:val="28"/>
          <w:highlight w:val="none"/>
        </w:rPr>
      </w:pPr>
      <w:r>
        <w:rPr>
          <w:rFonts w:hint="default" w:ascii="Times New Roman" w:hAnsi="Times New Roman" w:cs="Times New Roman"/>
          <w:sz w:val="28"/>
          <w:szCs w:val="28"/>
          <w:highlight w:val="none"/>
        </w:rPr>
        <w:t xml:space="preserve">                                安化县住房和城乡建设局</w:t>
      </w:r>
    </w:p>
    <w:p>
      <w:pPr>
        <w:spacing w:line="360" w:lineRule="auto"/>
        <w:ind w:firstLine="720"/>
        <w:jc w:val="center"/>
        <w:rPr>
          <w:rFonts w:hint="default" w:ascii="Times New Roman" w:hAnsi="Times New Roman" w:cs="Times New Roman"/>
          <w:sz w:val="28"/>
          <w:szCs w:val="28"/>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sz w:val="28"/>
          <w:szCs w:val="28"/>
          <w:highlight w:val="none"/>
        </w:rPr>
        <w:t xml:space="preserve">                                      2021年11月15日</w:t>
      </w:r>
    </w:p>
    <w:p>
      <w:pPr>
        <w:pStyle w:val="10"/>
        <w:jc w:val="both"/>
        <w:outlineLvl w:val="0"/>
        <w:rPr>
          <w:rFonts w:hint="default" w:ascii="Times New Roman" w:hAnsi="Times New Roman" w:cs="Times New Roman"/>
          <w:b/>
          <w:bCs/>
          <w:kern w:val="20"/>
          <w:szCs w:val="24"/>
          <w:highlight w:val="none"/>
        </w:rPr>
      </w:pPr>
      <w:bookmarkStart w:id="252" w:name="_Toc25380"/>
      <w:r>
        <w:rPr>
          <w:rFonts w:hint="default" w:ascii="Times New Roman" w:hAnsi="Times New Roman" w:cs="Times New Roman"/>
          <w:b/>
          <w:bCs/>
          <w:kern w:val="20"/>
          <w:szCs w:val="24"/>
          <w:highlight w:val="none"/>
        </w:rPr>
        <w:t>附件2  湘环发[2019]17号</w:t>
      </w:r>
      <w:bookmarkEnd w:id="252"/>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4956175" cy="5632450"/>
            <wp:effectExtent l="0" t="0" r="12065" b="6350"/>
            <wp:docPr id="39"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4"/>
                    <pic:cNvPicPr>
                      <a:picLocks noChangeAspect="1"/>
                    </pic:cNvPicPr>
                  </pic:nvPicPr>
                  <pic:blipFill>
                    <a:blip r:embed="rId22"/>
                    <a:stretch>
                      <a:fillRect/>
                    </a:stretch>
                  </pic:blipFill>
                  <pic:spPr>
                    <a:xfrm>
                      <a:off x="0" y="0"/>
                      <a:ext cx="4956175" cy="5632450"/>
                    </a:xfrm>
                    <a:prstGeom prst="rect">
                      <a:avLst/>
                    </a:prstGeom>
                    <a:noFill/>
                    <a:ln>
                      <a:noFill/>
                    </a:ln>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170805" cy="7361555"/>
            <wp:effectExtent l="0" t="0" r="10795" b="14605"/>
            <wp:docPr id="40"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35"/>
                    <pic:cNvPicPr>
                      <a:picLocks noChangeAspect="1"/>
                    </pic:cNvPicPr>
                  </pic:nvPicPr>
                  <pic:blipFill>
                    <a:blip r:embed="rId23"/>
                    <a:stretch>
                      <a:fillRect/>
                    </a:stretch>
                  </pic:blipFill>
                  <pic:spPr>
                    <a:xfrm>
                      <a:off x="0" y="0"/>
                      <a:ext cx="5170805" cy="7361555"/>
                    </a:xfrm>
                    <a:prstGeom prst="rect">
                      <a:avLst/>
                    </a:prstGeom>
                    <a:noFill/>
                    <a:ln>
                      <a:noFill/>
                    </a:ln>
                  </pic:spPr>
                </pic:pic>
              </a:graphicData>
            </a:graphic>
          </wp:inline>
        </w:drawing>
      </w:r>
    </w:p>
    <w:p>
      <w:pPr>
        <w:rPr>
          <w:rFonts w:hint="default" w:ascii="Times New Roman" w:hAnsi="Times New Roman" w:cs="Times New Roman"/>
          <w:highlight w:val="none"/>
        </w:rPr>
      </w:pPr>
      <w:r>
        <w:rPr>
          <w:rFonts w:hint="default" w:ascii="Times New Roman" w:hAnsi="Times New Roman" w:cs="Times New Roman"/>
          <w:highlight w:val="none"/>
        </w:rPr>
        <w:drawing>
          <wp:anchor distT="0" distB="0" distL="114300" distR="114300" simplePos="0" relativeHeight="251686912" behindDoc="0" locked="0" layoutInCell="1" allowOverlap="1">
            <wp:simplePos x="0" y="0"/>
            <wp:positionH relativeFrom="margin">
              <wp:align>center</wp:align>
            </wp:positionH>
            <wp:positionV relativeFrom="margin">
              <wp:align>top</wp:align>
            </wp:positionV>
            <wp:extent cx="5236210" cy="7936865"/>
            <wp:effectExtent l="0" t="0" r="2540" b="6985"/>
            <wp:wrapSquare wrapText="bothSides"/>
            <wp:docPr id="41"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36"/>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236210" cy="7936865"/>
                    </a:xfrm>
                    <a:prstGeom prst="rect">
                      <a:avLst/>
                    </a:prstGeom>
                    <a:noFill/>
                    <a:ln>
                      <a:noFill/>
                    </a:ln>
                  </pic:spPr>
                </pic:pic>
              </a:graphicData>
            </a:graphic>
          </wp:anchor>
        </w:drawing>
      </w:r>
    </w:p>
    <w:p>
      <w:pPr>
        <w:pStyle w:val="6"/>
        <w:spacing w:before="156"/>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p>
      <w:pPr>
        <w:pStyle w:val="10"/>
        <w:jc w:val="both"/>
        <w:outlineLvl w:val="0"/>
        <w:rPr>
          <w:rFonts w:hint="default" w:ascii="Times New Roman" w:hAnsi="Times New Roman" w:cs="Times New Roman"/>
          <w:b/>
          <w:bCs/>
          <w:kern w:val="20"/>
          <w:szCs w:val="24"/>
          <w:highlight w:val="none"/>
        </w:rPr>
      </w:pPr>
      <w:bookmarkStart w:id="253" w:name="_Toc23912"/>
      <w:r>
        <w:rPr>
          <w:rFonts w:hint="default" w:ascii="Times New Roman" w:hAnsi="Times New Roman" w:cs="Times New Roman"/>
          <w:b/>
          <w:bCs/>
          <w:kern w:val="20"/>
          <w:szCs w:val="24"/>
          <w:highlight w:val="none"/>
        </w:rPr>
        <w:t>附件3  湘环函[2021]71号</w:t>
      </w:r>
      <w:bookmarkEnd w:id="253"/>
    </w:p>
    <w:p>
      <w:pPr>
        <w:pStyle w:val="11"/>
        <w:ind w:left="0" w:leftChars="0"/>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88915" cy="7245350"/>
            <wp:effectExtent l="0" t="0" r="14605" b="8890"/>
            <wp:docPr id="42"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7"/>
                    <pic:cNvPicPr>
                      <a:picLocks noChangeAspect="1"/>
                    </pic:cNvPicPr>
                  </pic:nvPicPr>
                  <pic:blipFill>
                    <a:blip r:embed="rId25"/>
                    <a:stretch>
                      <a:fillRect/>
                    </a:stretch>
                  </pic:blipFill>
                  <pic:spPr>
                    <a:xfrm>
                      <a:off x="0" y="0"/>
                      <a:ext cx="5288915" cy="7245350"/>
                    </a:xfrm>
                    <a:prstGeom prst="rect">
                      <a:avLst/>
                    </a:prstGeom>
                    <a:noFill/>
                    <a:ln>
                      <a:noFill/>
                    </a:ln>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79390" cy="7099935"/>
            <wp:effectExtent l="0" t="0" r="8890" b="1905"/>
            <wp:docPr id="43"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38"/>
                    <pic:cNvPicPr>
                      <a:picLocks noChangeAspect="1"/>
                    </pic:cNvPicPr>
                  </pic:nvPicPr>
                  <pic:blipFill>
                    <a:blip r:embed="rId26"/>
                    <a:stretch>
                      <a:fillRect/>
                    </a:stretch>
                  </pic:blipFill>
                  <pic:spPr>
                    <a:xfrm>
                      <a:off x="0" y="0"/>
                      <a:ext cx="5279390" cy="7099935"/>
                    </a:xfrm>
                    <a:prstGeom prst="rect">
                      <a:avLst/>
                    </a:prstGeom>
                    <a:noFill/>
                    <a:ln>
                      <a:noFill/>
                    </a:ln>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32400" cy="6715125"/>
            <wp:effectExtent l="0" t="0" r="10160" b="5715"/>
            <wp:docPr id="44"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9"/>
                    <pic:cNvPicPr>
                      <a:picLocks noChangeAspect="1"/>
                    </pic:cNvPicPr>
                  </pic:nvPicPr>
                  <pic:blipFill>
                    <a:blip r:embed="rId27"/>
                    <a:stretch>
                      <a:fillRect/>
                    </a:stretch>
                  </pic:blipFill>
                  <pic:spPr>
                    <a:xfrm>
                      <a:off x="0" y="0"/>
                      <a:ext cx="5232400" cy="6715125"/>
                    </a:xfrm>
                    <a:prstGeom prst="rect">
                      <a:avLst/>
                    </a:prstGeom>
                    <a:noFill/>
                    <a:ln>
                      <a:noFill/>
                    </a:ln>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95265" cy="6969125"/>
            <wp:effectExtent l="0" t="0" r="8255" b="10795"/>
            <wp:docPr id="45"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0"/>
                    <pic:cNvPicPr>
                      <a:picLocks noChangeAspect="1"/>
                    </pic:cNvPicPr>
                  </pic:nvPicPr>
                  <pic:blipFill>
                    <a:blip r:embed="rId28"/>
                    <a:stretch>
                      <a:fillRect/>
                    </a:stretch>
                  </pic:blipFill>
                  <pic:spPr>
                    <a:xfrm>
                      <a:off x="0" y="0"/>
                      <a:ext cx="5295265" cy="6969125"/>
                    </a:xfrm>
                    <a:prstGeom prst="rect">
                      <a:avLst/>
                    </a:prstGeom>
                    <a:noFill/>
                    <a:ln>
                      <a:noFill/>
                    </a:ln>
                  </pic:spPr>
                </pic:pic>
              </a:graphicData>
            </a:graphic>
          </wp:inline>
        </w:drawing>
      </w:r>
    </w:p>
    <w:p>
      <w:pPr>
        <w:pStyle w:val="10"/>
        <w:jc w:val="both"/>
        <w:outlineLvl w:val="0"/>
        <w:rPr>
          <w:rFonts w:hint="default" w:ascii="Times New Roman" w:hAnsi="Times New Roman" w:cs="Times New Roman"/>
          <w:b/>
          <w:bCs/>
          <w:kern w:val="20"/>
          <w:szCs w:val="24"/>
          <w:highlight w:val="none"/>
        </w:rPr>
      </w:pPr>
      <w:bookmarkStart w:id="254" w:name="_Toc113"/>
      <w:r>
        <w:rPr>
          <w:rFonts w:hint="default" w:ascii="Times New Roman" w:hAnsi="Times New Roman" w:cs="Times New Roman"/>
          <w:b/>
          <w:bCs/>
          <w:kern w:val="20"/>
          <w:szCs w:val="24"/>
          <w:highlight w:val="none"/>
        </w:rPr>
        <w:t>附件4  监测报告</w:t>
      </w:r>
      <w:bookmarkEnd w:id="254"/>
    </w:p>
    <w:p>
      <w:pPr>
        <w:pStyle w:val="11"/>
        <w:ind w:left="0" w:leftChars="0"/>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30" name="图片 30" descr="安化县乐高污水处理厂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安化县乐高污水处理厂_00"/>
                    <pic:cNvPicPr>
                      <a:picLocks noChangeAspect="1"/>
                    </pic:cNvPicPr>
                  </pic:nvPicPr>
                  <pic:blipFill>
                    <a:blip r:embed="rId29"/>
                    <a:stretch>
                      <a:fillRect/>
                    </a:stretch>
                  </pic:blipFill>
                  <pic:spPr>
                    <a:xfrm>
                      <a:off x="0" y="0"/>
                      <a:ext cx="5264785" cy="7437755"/>
                    </a:xfrm>
                    <a:prstGeom prst="rect">
                      <a:avLst/>
                    </a:prstGeom>
                  </pic:spPr>
                </pic:pic>
              </a:graphicData>
            </a:graphic>
          </wp:inline>
        </w:drawing>
      </w:r>
    </w:p>
    <w:p>
      <w:pPr>
        <w:pStyle w:val="10"/>
        <w:jc w:val="both"/>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31" name="图片 31" descr="安化县乐高污水处理厂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安化县乐高污水处理厂_01"/>
                    <pic:cNvPicPr>
                      <a:picLocks noChangeAspect="1"/>
                    </pic:cNvPicPr>
                  </pic:nvPicPr>
                  <pic:blipFill>
                    <a:blip r:embed="rId30"/>
                    <a:stretch>
                      <a:fillRect/>
                    </a:stretch>
                  </pic:blipFill>
                  <pic:spPr>
                    <a:xfrm>
                      <a:off x="0" y="0"/>
                      <a:ext cx="5264785" cy="7437755"/>
                    </a:xfrm>
                    <a:prstGeom prst="rect">
                      <a:avLst/>
                    </a:prstGeom>
                  </pic:spPr>
                </pic:pic>
              </a:graphicData>
            </a:graphic>
          </wp:inline>
        </w:drawing>
      </w:r>
    </w:p>
    <w:p>
      <w:pPr>
        <w:pStyle w:val="11"/>
        <w:ind w:left="0" w:leftChars="0"/>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32" name="图片 32" descr="安化县乐高污水处理厂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安化县乐高污水处理厂_02"/>
                    <pic:cNvPicPr>
                      <a:picLocks noChangeAspect="1"/>
                    </pic:cNvPicPr>
                  </pic:nvPicPr>
                  <pic:blipFill>
                    <a:blip r:embed="rId31"/>
                    <a:stretch>
                      <a:fillRect/>
                    </a:stretch>
                  </pic:blipFill>
                  <pic:spPr>
                    <a:xfrm>
                      <a:off x="0" y="0"/>
                      <a:ext cx="5264785" cy="7437755"/>
                    </a:xfrm>
                    <a:prstGeom prst="rect">
                      <a:avLst/>
                    </a:prstGeom>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50" name="图片 50" descr="安化县乐高污水处理厂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安化县乐高污水处理厂_03"/>
                    <pic:cNvPicPr>
                      <a:picLocks noChangeAspect="1"/>
                    </pic:cNvPicPr>
                  </pic:nvPicPr>
                  <pic:blipFill>
                    <a:blip r:embed="rId32"/>
                    <a:stretch>
                      <a:fillRect/>
                    </a:stretch>
                  </pic:blipFill>
                  <pic:spPr>
                    <a:xfrm>
                      <a:off x="0" y="0"/>
                      <a:ext cx="5264785" cy="7437755"/>
                    </a:xfrm>
                    <a:prstGeom prst="rect">
                      <a:avLst/>
                    </a:prstGeom>
                  </pic:spPr>
                </pic:pic>
              </a:graphicData>
            </a:graphic>
          </wp:inline>
        </w:drawing>
      </w:r>
    </w:p>
    <w:p>
      <w:pPr>
        <w:pStyle w:val="9"/>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52" name="图片 52" descr="安化县乐高污水处理厂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安化县乐高污水处理厂_04"/>
                    <pic:cNvPicPr>
                      <a:picLocks noChangeAspect="1"/>
                    </pic:cNvPicPr>
                  </pic:nvPicPr>
                  <pic:blipFill>
                    <a:blip r:embed="rId33"/>
                    <a:stretch>
                      <a:fillRect/>
                    </a:stretch>
                  </pic:blipFill>
                  <pic:spPr>
                    <a:xfrm>
                      <a:off x="0" y="0"/>
                      <a:ext cx="5264785" cy="7437755"/>
                    </a:xfrm>
                    <a:prstGeom prst="rect">
                      <a:avLst/>
                    </a:prstGeom>
                  </pic:spPr>
                </pic:pic>
              </a:graphicData>
            </a:graphic>
          </wp:inline>
        </w:drawing>
      </w: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57" name="图片 57" descr="安化县乐高污水处理厂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安化县乐高污水处理厂_05"/>
                    <pic:cNvPicPr>
                      <a:picLocks noChangeAspect="1"/>
                    </pic:cNvPicPr>
                  </pic:nvPicPr>
                  <pic:blipFill>
                    <a:blip r:embed="rId34"/>
                    <a:stretch>
                      <a:fillRect/>
                    </a:stretch>
                  </pic:blipFill>
                  <pic:spPr>
                    <a:xfrm>
                      <a:off x="0" y="0"/>
                      <a:ext cx="5264785" cy="7437755"/>
                    </a:xfrm>
                    <a:prstGeom prst="rect">
                      <a:avLst/>
                    </a:prstGeom>
                  </pic:spPr>
                </pic:pic>
              </a:graphicData>
            </a:graphic>
          </wp:inline>
        </w:drawing>
      </w:r>
    </w:p>
    <w:p>
      <w:pPr>
        <w:pStyle w:val="9"/>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58" name="图片 58" descr="安化县乐高污水处理厂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安化县乐高污水处理厂_06"/>
                    <pic:cNvPicPr>
                      <a:picLocks noChangeAspect="1"/>
                    </pic:cNvPicPr>
                  </pic:nvPicPr>
                  <pic:blipFill>
                    <a:blip r:embed="rId35"/>
                    <a:stretch>
                      <a:fillRect/>
                    </a:stretch>
                  </pic:blipFill>
                  <pic:spPr>
                    <a:xfrm>
                      <a:off x="0" y="0"/>
                      <a:ext cx="5264785" cy="7437755"/>
                    </a:xfrm>
                    <a:prstGeom prst="rect">
                      <a:avLst/>
                    </a:prstGeom>
                  </pic:spPr>
                </pic:pic>
              </a:graphicData>
            </a:graphic>
          </wp:inline>
        </w:drawing>
      </w:r>
    </w:p>
    <w:p>
      <w:pPr>
        <w:pStyle w:val="10"/>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4785" cy="7437755"/>
            <wp:effectExtent l="0" t="0" r="5715" b="4445"/>
            <wp:docPr id="59" name="图片 59" descr="安化县乐高污水处理厂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安化县乐高污水处理厂_07"/>
                    <pic:cNvPicPr>
                      <a:picLocks noChangeAspect="1"/>
                    </pic:cNvPicPr>
                  </pic:nvPicPr>
                  <pic:blipFill>
                    <a:blip r:embed="rId36"/>
                    <a:stretch>
                      <a:fillRect/>
                    </a:stretch>
                  </pic:blipFill>
                  <pic:spPr>
                    <a:xfrm>
                      <a:off x="0" y="0"/>
                      <a:ext cx="5264785" cy="7437755"/>
                    </a:xfrm>
                    <a:prstGeom prst="rect">
                      <a:avLst/>
                    </a:prstGeom>
                  </pic:spPr>
                </pic:pic>
              </a:graphicData>
            </a:graphic>
          </wp:inline>
        </w:drawing>
      </w:r>
    </w:p>
    <w:p>
      <w:pPr>
        <w:pStyle w:val="10"/>
        <w:jc w:val="both"/>
        <w:outlineLvl w:val="0"/>
        <w:rPr>
          <w:rFonts w:hint="default" w:ascii="Times New Roman" w:hAnsi="Times New Roman" w:cs="Times New Roman"/>
          <w:b/>
          <w:bCs/>
          <w:kern w:val="20"/>
          <w:szCs w:val="24"/>
          <w:highlight w:val="none"/>
        </w:rPr>
      </w:pPr>
      <w:bookmarkStart w:id="255" w:name="_Toc8167"/>
      <w:r>
        <w:rPr>
          <w:rFonts w:hint="default" w:ascii="Times New Roman" w:hAnsi="Times New Roman" w:cs="Times New Roman"/>
          <w:b/>
          <w:bCs/>
          <w:kern w:val="20"/>
          <w:szCs w:val="24"/>
          <w:highlight w:val="none"/>
        </w:rPr>
        <w:t>附件5  环评登记表</w:t>
      </w:r>
      <w:bookmarkEnd w:id="255"/>
    </w:p>
    <w:p>
      <w:pP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266690" cy="7452995"/>
            <wp:effectExtent l="0" t="0" r="3810" b="1905"/>
            <wp:docPr id="60" name="图片 60" descr="fe595c0884d91c62ba40045703fce7f8_a98861747d667c649ddad9fd92b0b152_8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fe595c0884d91c62ba40045703fce7f8_a98861747d667c649ddad9fd92b0b152_8_00"/>
                    <pic:cNvPicPr>
                      <a:picLocks noChangeAspect="1"/>
                    </pic:cNvPicPr>
                  </pic:nvPicPr>
                  <pic:blipFill>
                    <a:blip r:embed="rId37"/>
                    <a:stretch>
                      <a:fillRect/>
                    </a:stretch>
                  </pic:blipFill>
                  <pic:spPr>
                    <a:xfrm>
                      <a:off x="0" y="0"/>
                      <a:ext cx="5266690" cy="7452995"/>
                    </a:xfrm>
                    <a:prstGeom prst="rect">
                      <a:avLst/>
                    </a:prstGeom>
                  </pic:spPr>
                </pic:pic>
              </a:graphicData>
            </a:graphic>
          </wp:inline>
        </w:drawing>
      </w:r>
    </w:p>
    <w:p>
      <w:pPr>
        <w:pStyle w:val="9"/>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p>
      <w:pPr>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r>
        <w:rPr>
          <w:rFonts w:hint="default" w:ascii="Times New Roman" w:hAnsi="Times New Roman" w:cs="Times New Roman"/>
          <w:highlight w:val="none"/>
        </w:rPr>
        <w:drawing>
          <wp:inline distT="0" distB="0" distL="114300" distR="114300">
            <wp:extent cx="5266690" cy="7452995"/>
            <wp:effectExtent l="0" t="0" r="3810" b="1905"/>
            <wp:docPr id="61" name="图片 61" descr="fe595c0884d91c62ba40045703fce7f8_a98861747d667c649ddad9fd92b0b152_8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fe595c0884d91c62ba40045703fce7f8_a98861747d667c649ddad9fd92b0b152_8_01"/>
                    <pic:cNvPicPr>
                      <a:picLocks noChangeAspect="1"/>
                    </pic:cNvPicPr>
                  </pic:nvPicPr>
                  <pic:blipFill>
                    <a:blip r:embed="rId38"/>
                    <a:stretch>
                      <a:fillRect/>
                    </a:stretch>
                  </pic:blipFill>
                  <pic:spPr>
                    <a:xfrm>
                      <a:off x="0" y="0"/>
                      <a:ext cx="5266690" cy="7452995"/>
                    </a:xfrm>
                    <a:prstGeom prst="rect">
                      <a:avLst/>
                    </a:prstGeom>
                  </pic:spPr>
                </pic:pic>
              </a:graphicData>
            </a:graphic>
          </wp:inline>
        </w:drawing>
      </w:r>
    </w:p>
    <w:p>
      <w:pPr>
        <w:pStyle w:val="10"/>
        <w:jc w:val="both"/>
        <w:outlineLvl w:val="0"/>
        <w:rPr>
          <w:rFonts w:hint="default" w:ascii="Times New Roman" w:hAnsi="Times New Roman" w:cs="Times New Roman"/>
          <w:b/>
          <w:bCs/>
          <w:kern w:val="20"/>
          <w:szCs w:val="24"/>
          <w:highlight w:val="none"/>
        </w:rPr>
      </w:pPr>
      <w:bookmarkStart w:id="256" w:name="_Toc8516"/>
      <w:r>
        <w:rPr>
          <w:rFonts w:hint="default" w:ascii="Times New Roman" w:hAnsi="Times New Roman" w:cs="Times New Roman"/>
          <w:b/>
          <w:bCs/>
          <w:kern w:val="20"/>
          <w:szCs w:val="24"/>
          <w:highlight w:val="none"/>
        </w:rPr>
        <w:t>附件6  固定污染源排污登记</w:t>
      </w:r>
      <w:bookmarkEnd w:id="256"/>
    </w:p>
    <w:p>
      <w:pPr>
        <w:pStyle w:val="10"/>
        <w:jc w:val="both"/>
        <w:rPr>
          <w:rFonts w:hint="default" w:ascii="Times New Roman" w:hAnsi="Times New Roman" w:cs="Times New Roman"/>
          <w:b/>
          <w:bCs/>
          <w:kern w:val="20"/>
          <w:szCs w:val="24"/>
          <w:highlight w:val="none"/>
        </w:rPr>
      </w:pPr>
      <w:r>
        <w:rPr>
          <w:rFonts w:hint="default" w:ascii="Times New Roman" w:hAnsi="Times New Roman" w:cs="Times New Roman"/>
          <w:b/>
          <w:bCs/>
          <w:kern w:val="20"/>
          <w:szCs w:val="24"/>
          <w:highlight w:val="none"/>
        </w:rPr>
        <w:drawing>
          <wp:inline distT="0" distB="0" distL="114300" distR="114300">
            <wp:extent cx="5269865" cy="7454900"/>
            <wp:effectExtent l="0" t="0" r="635" b="0"/>
            <wp:docPr id="7" name="图片 7" descr="六个EPC项目的排污登记表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六个EPC项目的排污登记表_01"/>
                    <pic:cNvPicPr>
                      <a:picLocks noChangeAspect="1"/>
                    </pic:cNvPicPr>
                  </pic:nvPicPr>
                  <pic:blipFill>
                    <a:blip r:embed="rId39"/>
                    <a:stretch>
                      <a:fillRect/>
                    </a:stretch>
                  </pic:blipFill>
                  <pic:spPr>
                    <a:xfrm>
                      <a:off x="0" y="0"/>
                      <a:ext cx="5269865" cy="7454900"/>
                    </a:xfrm>
                    <a:prstGeom prst="rect">
                      <a:avLst/>
                    </a:prstGeom>
                  </pic:spPr>
                </pic:pic>
              </a:graphicData>
            </a:graphic>
          </wp:inline>
        </w:drawing>
      </w:r>
    </w:p>
    <w:p>
      <w:pPr>
        <w:pStyle w:val="10"/>
        <w:jc w:val="both"/>
        <w:outlineLvl w:val="9"/>
        <w:rPr>
          <w:rFonts w:hint="default" w:ascii="Times New Roman" w:hAnsi="Times New Roman" w:cs="Times New Roman"/>
          <w:b/>
          <w:bCs/>
          <w:kern w:val="20"/>
          <w:szCs w:val="24"/>
          <w:highlight w:val="none"/>
        </w:rPr>
        <w:sectPr>
          <w:pgSz w:w="11906" w:h="16838"/>
          <w:pgMar w:top="1644" w:right="1800" w:bottom="1814" w:left="1800" w:header="851" w:footer="992" w:gutter="0"/>
          <w:cols w:space="720" w:num="1"/>
          <w:docGrid w:type="lines" w:linePitch="312" w:charSpace="0"/>
        </w:sectPr>
      </w:pPr>
    </w:p>
    <w:p>
      <w:pPr>
        <w:pStyle w:val="10"/>
        <w:jc w:val="both"/>
        <w:outlineLvl w:val="0"/>
        <w:rPr>
          <w:rFonts w:hint="default" w:ascii="Times New Roman" w:hAnsi="Times New Roman" w:cs="Times New Roman"/>
          <w:b/>
          <w:bCs/>
          <w:kern w:val="20"/>
          <w:szCs w:val="24"/>
          <w:highlight w:val="none"/>
        </w:rPr>
      </w:pPr>
      <w:bookmarkStart w:id="257" w:name="_Toc20890"/>
      <w:r>
        <w:rPr>
          <w:rFonts w:hint="default" w:ascii="Times New Roman" w:hAnsi="Times New Roman" w:cs="Times New Roman"/>
          <w:b/>
          <w:bCs/>
          <w:kern w:val="20"/>
          <w:szCs w:val="24"/>
          <w:highlight w:val="none"/>
        </w:rPr>
        <w:t>附件7  专家评审意见</w:t>
      </w:r>
      <w:bookmarkEnd w:id="257"/>
    </w:p>
    <w:p>
      <w:pPr>
        <w:pStyle w:val="10"/>
        <w:keepNext w:val="0"/>
        <w:keepLines w:val="0"/>
        <w:pageBreakBefore w:val="0"/>
        <w:widowControl/>
        <w:kinsoku/>
        <w:wordWrap/>
        <w:overflowPunct/>
        <w:topLinePunct w:val="0"/>
        <w:autoSpaceDE/>
        <w:autoSpaceDN/>
        <w:bidi w:val="0"/>
        <w:adjustRightInd/>
        <w:snapToGrid/>
        <w:jc w:val="both"/>
        <w:textAlignment w:val="center"/>
        <w:outlineLvl w:val="9"/>
        <w:rPr>
          <w:rFonts w:hint="default" w:ascii="Times New Roman" w:hAnsi="Times New Roman" w:cs="Times New Roman"/>
          <w:b/>
          <w:bCs/>
          <w:kern w:val="20"/>
          <w:szCs w:val="24"/>
          <w:highlight w:val="none"/>
        </w:rPr>
      </w:pPr>
      <w:r>
        <w:rPr>
          <w:rFonts w:hint="default" w:ascii="Times New Roman" w:hAnsi="Times New Roman" w:cs="Times New Roman"/>
          <w:highlight w:val="none"/>
        </w:rPr>
        <w:drawing>
          <wp:inline distT="0" distB="0" distL="114300" distR="114300">
            <wp:extent cx="5516245" cy="7802245"/>
            <wp:effectExtent l="0" t="0" r="8255" b="8255"/>
            <wp:docPr id="93" name="图片 93" descr="6个污水处理厂专家评审意见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6个污水处理厂专家评审意见_06"/>
                    <pic:cNvPicPr>
                      <a:picLocks noChangeAspect="1"/>
                    </pic:cNvPicPr>
                  </pic:nvPicPr>
                  <pic:blipFill>
                    <a:blip r:embed="rId40"/>
                    <a:stretch>
                      <a:fillRect/>
                    </a:stretch>
                  </pic:blipFill>
                  <pic:spPr>
                    <a:xfrm>
                      <a:off x="0" y="0"/>
                      <a:ext cx="5516245" cy="7802245"/>
                    </a:xfrm>
                    <a:prstGeom prst="rect">
                      <a:avLst/>
                    </a:prstGeom>
                  </pic:spPr>
                </pic:pic>
              </a:graphicData>
            </a:graphic>
          </wp:inline>
        </w:drawing>
      </w:r>
    </w:p>
    <w:p>
      <w:pPr>
        <w:pStyle w:val="10"/>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5572760" cy="7881620"/>
            <wp:effectExtent l="0" t="0" r="8890" b="5080"/>
            <wp:docPr id="94" name="图片 94" descr="6个污水处理厂专家评审意见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6个污水处理厂专家评审意见_07"/>
                    <pic:cNvPicPr>
                      <a:picLocks noChangeAspect="1"/>
                    </pic:cNvPicPr>
                  </pic:nvPicPr>
                  <pic:blipFill>
                    <a:blip r:embed="rId41"/>
                    <a:stretch>
                      <a:fillRect/>
                    </a:stretch>
                  </pic:blipFill>
                  <pic:spPr>
                    <a:xfrm>
                      <a:off x="0" y="0"/>
                      <a:ext cx="5572760" cy="7881620"/>
                    </a:xfrm>
                    <a:prstGeom prst="rect">
                      <a:avLst/>
                    </a:prstGeom>
                  </pic:spPr>
                </pic:pic>
              </a:graphicData>
            </a:graphic>
          </wp:inline>
        </w:drawing>
      </w:r>
    </w:p>
    <w:p>
      <w:pPr>
        <w:pStyle w:val="11"/>
        <w:rPr>
          <w:rFonts w:hint="default" w:ascii="Times New Roman" w:hAnsi="Times New Roman" w:cs="Times New Roman"/>
          <w:highlight w:val="none"/>
        </w:rPr>
        <w:sectPr>
          <w:pgSz w:w="11906" w:h="16838"/>
          <w:pgMar w:top="1644" w:right="1800" w:bottom="1814" w:left="1800" w:header="851" w:footer="992" w:gutter="0"/>
          <w:cols w:space="720" w:num="1"/>
          <w:docGrid w:type="lines" w:linePitch="312" w:charSpace="0"/>
        </w:sectPr>
      </w:pPr>
    </w:p>
    <w:p>
      <w:pPr>
        <w:jc w:val="center"/>
        <w:rPr>
          <w:rFonts w:hint="default" w:ascii="Times New Roman" w:hAnsi="Times New Roman" w:cs="Times New Roman"/>
          <w:b/>
          <w:bCs/>
          <w:highlight w:val="none"/>
        </w:rPr>
      </w:pPr>
      <w:r>
        <w:rPr>
          <w:rFonts w:hint="default" w:ascii="Times New Roman" w:hAnsi="Times New Roman" w:cs="Times New Roman"/>
          <w:highlight w:val="none"/>
        </w:rPr>
        <w:drawing>
          <wp:inline distT="0" distB="0" distL="114300" distR="114300">
            <wp:extent cx="8491220" cy="4057015"/>
            <wp:effectExtent l="0" t="0" r="5080" b="6985"/>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42"/>
                    <a:stretch>
                      <a:fillRect/>
                    </a:stretch>
                  </pic:blipFill>
                  <pic:spPr>
                    <a:xfrm>
                      <a:off x="0" y="0"/>
                      <a:ext cx="8491220" cy="4057015"/>
                    </a:xfrm>
                    <a:prstGeom prst="rect">
                      <a:avLst/>
                    </a:prstGeom>
                    <a:noFill/>
                    <a:ln>
                      <a:noFill/>
                    </a:ln>
                  </pic:spPr>
                </pic:pic>
              </a:graphicData>
            </a:graphic>
          </wp:inline>
        </w:drawing>
      </w:r>
    </w:p>
    <w:p>
      <w:pPr>
        <w:jc w:val="center"/>
        <w:outlineLvl w:val="0"/>
        <w:rPr>
          <w:rFonts w:hint="default" w:ascii="Times New Roman" w:hAnsi="Times New Roman" w:cs="Times New Roman"/>
          <w:b/>
          <w:bCs/>
          <w:highlight w:val="none"/>
        </w:rPr>
      </w:pPr>
      <w:bookmarkStart w:id="258" w:name="_Toc26691"/>
      <w:r>
        <w:rPr>
          <w:rFonts w:hint="default" w:ascii="Times New Roman" w:hAnsi="Times New Roman" w:cs="Times New Roman"/>
          <w:b/>
          <w:bCs/>
          <w:highlight w:val="none"/>
        </w:rPr>
        <w:t>附图1  地理位置图</w:t>
      </w:r>
      <w:bookmarkEnd w:id="258"/>
    </w:p>
    <w:p>
      <w:pPr>
        <w:jc w:val="center"/>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p>
    <w:p>
      <w:pPr>
        <w:jc w:val="center"/>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684864" behindDoc="0" locked="0" layoutInCell="1" allowOverlap="1">
                <wp:simplePos x="0" y="0"/>
                <wp:positionH relativeFrom="column">
                  <wp:posOffset>3203575</wp:posOffset>
                </wp:positionH>
                <wp:positionV relativeFrom="paragraph">
                  <wp:posOffset>1891665</wp:posOffset>
                </wp:positionV>
                <wp:extent cx="2081530" cy="4191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2081530" cy="419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FF00"/>
                              </w:rPr>
                            </w:pPr>
                            <w:r>
                              <w:rPr>
                                <w:rFonts w:hint="eastAsia"/>
                                <w:b/>
                                <w:bCs/>
                                <w:color w:val="FFFF00"/>
                              </w:rPr>
                              <w:t>洢水长度：6500m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2.25pt;margin-top:148.95pt;height:33pt;width:163.9pt;z-index:251684864;mso-width-relative:page;mso-height-relative:page;" filled="f" stroked="f" coordsize="21600,21600" o:gfxdata="UEsDBAoAAAAAAIdO4kAAAAAAAAAAAAAAAAAEAAAAZHJzL1BLAwQUAAAACACHTuJAjaKigt0AAAAL&#10;AQAADwAAAGRycy9kb3ducmV2LnhtbE2Py07DMBBF90j8gzVI7KjThJQkjVOhSBUSoouWbrqbxNMk&#10;wo8Quw/4eswKlqN7dO+ZcnXVip1pcoM1AuazCBiZ1srBdAL27+uHDJjzaCQqa0jAFzlYVbc3JRbS&#10;XsyWzjvfsVBiXIECeu/HgnPX9qTRzexIJmRHO2n04Zw6Lie8hHKteBxFC65xMGGhx5HqntqP3UkL&#10;eK3XG9w2sc6+Vf3ydnweP/eHVIj7u3m0BObp6v9g+NUP6lAFp8aejHRMCUijxzSgAuL8KQcWiCyJ&#10;E2CNgGSR5MCrkv//ofoBUEsDBBQAAAAIAIdO4kCCLtzpIAIAABgEAAAOAAAAZHJzL2Uyb0RvYy54&#10;bWytU81uEzEQviPxDpbvZHfTpKRRNlVoFYQU0UoBcXa8drKS7TG2k93wAPAGPXHhznPlORh7kzQC&#10;ToiLPZ5vPD/fzExuW63ITjhfgylp0cspEYZDVZt1ST9+mL8aUeIDMxVTYERJ98LT2+nLF5PGjkUf&#10;NqAq4Qg6MX7c2JJuQrDjLPN8IzTzPbDCICjBaRbw6dZZ5ViD3rXK+nl+nTXgKuuAC+9Re9+BdJr8&#10;Syl4eJDSi0BUSTG3kE6XzlU8s+mEjdeO2U3Nj2mwf8hCs9pg0LOrexYY2br6D1e65g48yNDjoDOQ&#10;suYi1YDVFPlv1Sw3zIpUC5Lj7Zkm///c8ve7R0fqqqTYKMM0tujw9O3w/efhx1cyivQ01o/RamnR&#10;LrRvoMU2n/QelbHqVjodb6yHII5E78/kijYQjsp+PiqGVwhxxAbFTZEn9rPn39b58FaAJlEoqcPm&#10;JU7ZbuEDZoKmJ5MYzMC8Vio1UBnSlPT6apinD2cEfyiDH2MNXa5RCu2qPRa2gmqPdTnoBsNbPq8x&#10;+IL58MgcTgLmi9MdHvCQCjAIHCVKNuC+/E0f7bFBiFLS4GSV1H/eMicoUe8Mtu6mGAziKKbHYPi6&#10;jw93iawuEbPVd4DDW+AeWZ7EaB/USZQO9CdcglmMihAzHGOXNJzEu9DNOy4RF7NZMsLhsywszNLy&#10;6Lqjc7YNIOvEdKSp4+bIHo5fasBxVeJ8X76T1fNCT38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jaKigt0AAAALAQAADwAAAAAAAAABACAAAAAiAAAAZHJzL2Rvd25yZXYueG1sUEsBAhQAFAAAAAgA&#10;h07iQIIu3OkgAgAAGAQAAA4AAAAAAAAAAQAgAAAALAEAAGRycy9lMm9Eb2MueG1sUEsFBgAAAAAG&#10;AAYAWQEAAL4FAAAAAA==&#10;">
                <v:fill on="f" focussize="0,0"/>
                <v:stroke on="f" weight="0.5pt"/>
                <v:imagedata o:title=""/>
                <o:lock v:ext="edit" aspectratio="f"/>
                <v:textbox>
                  <w:txbxContent>
                    <w:p>
                      <w:pPr>
                        <w:rPr>
                          <w:b/>
                          <w:bCs/>
                          <w:color w:val="FFFF00"/>
                        </w:rPr>
                      </w:pPr>
                      <w:r>
                        <w:rPr>
                          <w:rFonts w:hint="eastAsia"/>
                          <w:b/>
                          <w:bCs/>
                          <w:color w:val="FFFF00"/>
                        </w:rPr>
                        <w:t>洢水长度：6500m</w:t>
                      </w:r>
                    </w:p>
                  </w:txbxContent>
                </v:textbox>
              </v:shape>
            </w:pict>
          </mc:Fallback>
        </mc:AlternateContent>
      </w:r>
      <w:r>
        <w:rPr>
          <w:rFonts w:hint="default" w:ascii="Times New Roman" w:hAnsi="Times New Roman" w:cs="Times New Roman"/>
          <w:highlight w:val="none"/>
        </w:rPr>
        <w:drawing>
          <wp:inline distT="0" distB="0" distL="114300" distR="114300">
            <wp:extent cx="8491220" cy="4057015"/>
            <wp:effectExtent l="0" t="0" r="5080" b="6985"/>
            <wp:docPr id="6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
                    <pic:cNvPicPr>
                      <a:picLocks noChangeAspect="1"/>
                    </pic:cNvPicPr>
                  </pic:nvPicPr>
                  <pic:blipFill>
                    <a:blip r:embed="rId43"/>
                    <a:stretch>
                      <a:fillRect/>
                    </a:stretch>
                  </pic:blipFill>
                  <pic:spPr>
                    <a:xfrm>
                      <a:off x="0" y="0"/>
                      <a:ext cx="8491220" cy="4057015"/>
                    </a:xfrm>
                    <a:prstGeom prst="rect">
                      <a:avLst/>
                    </a:prstGeom>
                    <a:noFill/>
                    <a:ln>
                      <a:noFill/>
                    </a:ln>
                  </pic:spPr>
                </pic:pic>
              </a:graphicData>
            </a:graphic>
          </wp:inline>
        </w:drawing>
      </w:r>
    </w:p>
    <w:p>
      <w:pPr>
        <w:jc w:val="center"/>
        <w:outlineLvl w:val="1"/>
        <w:rPr>
          <w:rFonts w:hint="default" w:ascii="Times New Roman" w:hAnsi="Times New Roman" w:cs="Times New Roman"/>
          <w:b/>
          <w:bCs/>
          <w:highlight w:val="none"/>
        </w:rPr>
      </w:pPr>
      <w:bookmarkStart w:id="259" w:name="_Toc7801"/>
      <w:r>
        <w:rPr>
          <w:rFonts w:hint="default" w:ascii="Times New Roman" w:hAnsi="Times New Roman" w:cs="Times New Roman"/>
          <w:sz w:val="21"/>
          <w:highlight w:val="none"/>
        </w:rPr>
        <mc:AlternateContent>
          <mc:Choice Requires="wps">
            <w:drawing>
              <wp:anchor distT="0" distB="0" distL="114300" distR="114300" simplePos="0" relativeHeight="252571648" behindDoc="0" locked="0" layoutInCell="1" allowOverlap="1">
                <wp:simplePos x="0" y="0"/>
                <wp:positionH relativeFrom="column">
                  <wp:posOffset>4314190</wp:posOffset>
                </wp:positionH>
                <wp:positionV relativeFrom="paragraph">
                  <wp:posOffset>-2294255</wp:posOffset>
                </wp:positionV>
                <wp:extent cx="472440" cy="41275"/>
                <wp:effectExtent l="635" t="45720" r="3175" b="27305"/>
                <wp:wrapNone/>
                <wp:docPr id="64" name="直接箭头连接符 64"/>
                <wp:cNvGraphicFramePr/>
                <a:graphic xmlns:a="http://schemas.openxmlformats.org/drawingml/2006/main">
                  <a:graphicData uri="http://schemas.microsoft.com/office/word/2010/wordprocessingShape">
                    <wps:wsp>
                      <wps:cNvCnPr/>
                      <wps:spPr>
                        <a:xfrm flipV="1">
                          <a:off x="0" y="0"/>
                          <a:ext cx="472440" cy="41275"/>
                        </a:xfrm>
                        <a:prstGeom prst="straightConnector1">
                          <a:avLst/>
                        </a:prstGeom>
                        <a:ln>
                          <a:tailEnd type="arrow"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id="_x0000_s1026" o:spid="_x0000_s1026" o:spt="32" type="#_x0000_t32" style="position:absolute;left:0pt;flip:y;margin-left:339.7pt;margin-top:-180.65pt;height:3.25pt;width:37.2pt;z-index:252571648;mso-width-relative:page;mso-height-relative:page;" filled="f" stroked="t" coordsize="21600,21600" o:gfxdata="UEsDBAoAAAAAAIdO4kAAAAAAAAAAAAAAAAAEAAAAZHJzL1BLAwQUAAAACACHTuJAOxAdYtwAAAAN&#10;AQAADwAAAGRycy9kb3ducmV2LnhtbE2PwW6CQBCG7036Dptp0psuFAWlLB5sTHroBTSmxxVGIGVn&#10;CbuiffuOp3qcmS//fH+2uZleTDi6zpKCcB6AQKps3VGj4LDfzVYgnNdU694SKvhFB5v8+SnTaW2v&#10;VOBU+kZwCLlUK2i9H1IpXdWi0W5uByS+ne1otOdxbGQ96iuHm16+BUEsje6IP7R6wG2L1U95MQrK&#10;7SH5PHZFVezPX/77Y71LpmOo1OtLGLyD8Hjz/zDc9VkdcnY62QvVTvQK4mS9YFTBLIrDCAQjyTLi&#10;Nqf7arlYgcwz+dgi/wNQSwMEFAAAAAgAh07iQNCE3K4AAgAAsgMAAA4AAABkcnMvZTJvRG9jLnht&#10;bK1Ty67TMBDdI/EPlvc0adX7IGp6Fy1lg+BKPPZTx0ks+aWxadqf4AeQWAErYHX3fA1cPoOxU8pr&#10;h9hY45mcMzPHJ4urvdFsJzEoZ2s+nZScSStco2xX8+fPNvcuOQsRbAPaWVnzgwz8ann3zmLwlZy5&#10;3ulGIiMSG6rB17yP0VdFEUQvDYSJ89JSsXVoINIVu6JBGIjd6GJWlufF4LDx6IQMgbLrsciXmb9t&#10;pYhP2jbIyHTNabaYT8znNp3FcgFVh+B7JY5jwD9MYUBZanqiWkME9hLVX1RGCXTBtXEinClc2yoh&#10;8w60zbT8Y5unPXiZdyFxgj/JFP4frXi8u0ammpqfzzmzYOiNbl/ffH317vbTxy9vb759fpPiD+8Z&#10;1UmswYeKMCt7jcdb8NeYNt+3aFirlX9BPsha0HZsn6U+nKSW+8gEJecXs/mcHkRQaT6dXZwl8mJk&#10;SWweQ3wonWEpqHmICKrr48pZS2/qcOwAu0chjsAfgAS2bqO0pjxU2rKB5rlfnqVmQA5rNUQKjaed&#10;g+04A92RdUXEPHRwWjUJntABu+1KI9sB2WezWZVldgzN+dtnqfcaQj9+l0ujsYyK5G6tTM0vCTui&#10;oYqg9APbsHjwJDcguoGnMY1sONOSpknRuJe2pEtSfdQ5RVvXHLL8OU/GyModTZyc9+s9o3/+asvv&#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OxAdYtwAAAANAQAADwAAAAAAAAABACAAAAAiAAAAZHJz&#10;L2Rvd25yZXYueG1sUEsBAhQAFAAAAAgAh07iQNCE3K4AAgAAsgMAAA4AAAAAAAAAAQAgAAAAKwEA&#10;AGRycy9lMm9Eb2MueG1sUEsFBgAAAAAGAAYAWQEAAJ0FAAAAAA==&#10;">
                <v:fill on="f" focussize="0,0"/>
                <v:stroke weight="1.5pt" color="#FFC000 [3207]" miterlimit="8" joinstyle="miter" endarrow="open"/>
                <v:imagedata o:title=""/>
                <o:lock v:ext="edit" aspectratio="f"/>
              </v:shape>
            </w:pict>
          </mc:Fallback>
        </mc:AlternateContent>
      </w:r>
      <w:r>
        <w:rPr>
          <w:rFonts w:hint="default" w:ascii="Times New Roman" w:hAnsi="Times New Roman" w:cs="Times New Roman"/>
          <w:b/>
          <w:bCs/>
          <w:highlight w:val="none"/>
        </w:rPr>
        <w:t>附图2  论证范围图</w:t>
      </w:r>
      <w:bookmarkEnd w:id="259"/>
    </w:p>
    <w:p>
      <w:pPr>
        <w:jc w:val="center"/>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p>
    <w:p>
      <w:pPr>
        <w:jc w:val="center"/>
        <w:rPr>
          <w:rFonts w:hint="default" w:ascii="Times New Roman" w:hAnsi="Times New Roman" w:cs="Times New Roman"/>
          <w:b/>
          <w:bCs/>
          <w:highlight w:val="none"/>
        </w:rPr>
      </w:pPr>
      <w:r>
        <w:rPr>
          <w:rFonts w:hint="default" w:ascii="Times New Roman" w:hAnsi="Times New Roman" w:cs="Times New Roman"/>
          <w:highlight w:val="none"/>
        </w:rPr>
        <mc:AlternateContent>
          <mc:Choice Requires="wps">
            <w:drawing>
              <wp:anchor distT="0" distB="0" distL="114300" distR="114300" simplePos="0" relativeHeight="251669504" behindDoc="0" locked="0" layoutInCell="1" allowOverlap="1">
                <wp:simplePos x="0" y="0"/>
                <wp:positionH relativeFrom="column">
                  <wp:posOffset>6233160</wp:posOffset>
                </wp:positionH>
                <wp:positionV relativeFrom="paragraph">
                  <wp:posOffset>4157980</wp:posOffset>
                </wp:positionV>
                <wp:extent cx="1883410" cy="515620"/>
                <wp:effectExtent l="5080" t="5080" r="16510" b="12700"/>
                <wp:wrapNone/>
                <wp:docPr id="4" name="文本框 4"/>
                <wp:cNvGraphicFramePr/>
                <a:graphic xmlns:a="http://schemas.openxmlformats.org/drawingml/2006/main">
                  <a:graphicData uri="http://schemas.microsoft.com/office/word/2010/wordprocessingShape">
                    <wps:wsp>
                      <wps:cNvSpPr txBox="1"/>
                      <wps:spPr>
                        <a:xfrm>
                          <a:off x="7744460" y="5119370"/>
                          <a:ext cx="1883410" cy="51562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r>
                              <w:drawing>
                                <wp:inline distT="0" distB="0" distL="114300" distR="114300">
                                  <wp:extent cx="643255" cy="130810"/>
                                  <wp:effectExtent l="0" t="0" r="4445" b="889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44"/>
                                          <a:stretch>
                                            <a:fillRect/>
                                          </a:stretch>
                                        </pic:blipFill>
                                        <pic:spPr>
                                          <a:xfrm>
                                            <a:off x="0" y="0"/>
                                            <a:ext cx="643255" cy="130810"/>
                                          </a:xfrm>
                                          <a:prstGeom prst="rect">
                                            <a:avLst/>
                                          </a:prstGeom>
                                          <a:noFill/>
                                          <a:ln>
                                            <a:noFill/>
                                          </a:ln>
                                        </pic:spPr>
                                      </pic:pic>
                                    </a:graphicData>
                                  </a:graphic>
                                </wp:inline>
                              </w:drawing>
                            </w:r>
                            <w:r>
                              <w:rPr>
                                <w:rFonts w:hint="eastAsia"/>
                              </w:rPr>
                              <w:t>平水期影响范围</w:t>
                            </w:r>
                          </w:p>
                          <w:p>
                            <w:pPr>
                              <w:pStyle w:val="9"/>
                              <w:adjustRightInd w:val="0"/>
                              <w:snapToGrid w:val="0"/>
                              <w:spacing w:after="0"/>
                            </w:pPr>
                            <w:r>
                              <w:drawing>
                                <wp:inline distT="0" distB="0" distL="114300" distR="114300">
                                  <wp:extent cx="678180" cy="161290"/>
                                  <wp:effectExtent l="0" t="0" r="7620" b="381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45"/>
                                          <a:stretch>
                                            <a:fillRect/>
                                          </a:stretch>
                                        </pic:blipFill>
                                        <pic:spPr>
                                          <a:xfrm>
                                            <a:off x="0" y="0"/>
                                            <a:ext cx="678180" cy="161290"/>
                                          </a:xfrm>
                                          <a:prstGeom prst="rect">
                                            <a:avLst/>
                                          </a:prstGeom>
                                          <a:noFill/>
                                          <a:ln>
                                            <a:noFill/>
                                          </a:ln>
                                        </pic:spPr>
                                      </pic:pic>
                                    </a:graphicData>
                                  </a:graphic>
                                </wp:inline>
                              </w:drawing>
                            </w:r>
                            <w:r>
                              <w:rPr>
                                <w:rFonts w:hint="eastAsia"/>
                              </w:rPr>
                              <w:t>枯水期影响范围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90.8pt;margin-top:327.4pt;height:40.6pt;width:148.3pt;z-index:251669504;mso-width-relative:page;mso-height-relative:page;" fillcolor="#FFFFFF [3201]" filled="t" stroked="t" coordsize="21600,21600" o:gfxdata="UEsDBAoAAAAAAIdO4kAAAAAAAAAAAAAAAAAEAAAAZHJzL1BLAwQUAAAACACHTuJAfJwFTdkAAAAM&#10;AQAADwAAAGRycy9kb3ducmV2LnhtbE2Py07DMBBF90j8gzWV2FE7CbghZFIJJCTEjpINOzeeJlH9&#10;iGK3KX+Pu4LlaI7uPbfeXqxhZ5rD6B1CthbAyHVej65HaL/e7ktgISqnlfGOEH4owLa5valVpf3i&#10;Pum8iz1LIS5UCmGIcao4D91AVoW1n8il38HPVsV0zj3Xs1pSuDU8F0Jyq0aXGgY10etA3XF3sgjv&#10;8iV+U6s/dJEXfml5Nx9MQLxbZeIZWKRL/IPhqp/UoUlOe39yOjCD8FRmMqEI8vEhbbgS+abMge0R&#10;NoUUwJua/x/R/AJQSwMEFAAAAAgAh07iQMekLVdIAgAAdQQAAA4AAABkcnMvZTJvRG9jLnhtbK1U&#10;zY7TMBC+I/EOlu80TZv+bNV0VboqQqrYlQri7DpOE+F4jO02KQ8Ab8CJC3eeq8/B2E27XZYTIgdn&#10;7PnyeeabmUxvm0qSvTC2BJXSuNOlRCgOWam2Kf3wfvlqTIl1TGVMghIpPQhLb2cvX0xrPRE9KEBm&#10;whAkUXZS65QWzulJFFleiIrZDmih0JmDqZjDrdlGmWE1slcy6nW7w6gGk2kDXFiLp3cnJ50F/jwX&#10;3N3nuRWOyJRibC6sJqwbv0azKZtsDdNFydsw2D9EUbFS4aUXqjvmGNmZ8hlVVXIDFnLX4VBFkOcl&#10;FyEHzCbu/pHNumBahFxQHKsvMtn/R8vf7R8MKbOUJpQoVmGJjt+/HX/8Ov78ShIvT63tBFFrjTjX&#10;vIYGy3w+t3jos25yU/k35kPQPxolSTJEuQ8pHcTxTX/UCi0aR7gnGI/7SYwAHhCDYS8Aokcmbax7&#10;I6Ai3kipwUIGfdl+ZR1GhdAzxF9sQZbZspQybMx2s5CG7BkWfRkeHzB+8gQmFalTOuwPuoH5ic9z&#10;Xyg2kvFPzxmQTyqk9QKdhPCWazZNq9oGsgOKZuDUdVbzZYm8K2bdAzPYZigAjo67xyWXgMFAa1FS&#10;gPnyt3OPx+qjl5Ia2zal9vOOGUGJfKuwL27iJPF9HjbJYITCEnPt2Vx71K5aAIoU45BqHkyPd/Js&#10;5gaqjzhhc38rupjieHdK3dlcuNMw4YRyMZ8HEHa2Zm6l1pp7al8SBfOdg7wMpfMynbRp1cPeDuVp&#10;59APz/U+oB7/FrP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fJwFTdkAAAAMAQAADwAAAAAAAAAB&#10;ACAAAAAiAAAAZHJzL2Rvd25yZXYueG1sUEsBAhQAFAAAAAgAh07iQMekLVdIAgAAdQQAAA4AAAAA&#10;AAAAAQAgAAAAKAEAAGRycy9lMm9Eb2MueG1sUEsFBgAAAAAGAAYAWQEAAOIFAAAAAA==&#10;">
                <v:fill on="t" focussize="0,0"/>
                <v:stroke weight="0.5pt" color="#000000 [3204]" joinstyle="round"/>
                <v:imagedata o:title=""/>
                <o:lock v:ext="edit" aspectratio="f"/>
                <v:textbox>
                  <w:txbxContent>
                    <w:p>
                      <w:r>
                        <w:drawing>
                          <wp:inline distT="0" distB="0" distL="114300" distR="114300">
                            <wp:extent cx="643255" cy="130810"/>
                            <wp:effectExtent l="0" t="0" r="4445" b="8890"/>
                            <wp:docPr id="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pic:cNvPicPr>
                                      <a:picLocks noChangeAspect="1"/>
                                    </pic:cNvPicPr>
                                  </pic:nvPicPr>
                                  <pic:blipFill>
                                    <a:blip r:embed="rId44"/>
                                    <a:stretch>
                                      <a:fillRect/>
                                    </a:stretch>
                                  </pic:blipFill>
                                  <pic:spPr>
                                    <a:xfrm>
                                      <a:off x="0" y="0"/>
                                      <a:ext cx="643255" cy="130810"/>
                                    </a:xfrm>
                                    <a:prstGeom prst="rect">
                                      <a:avLst/>
                                    </a:prstGeom>
                                    <a:noFill/>
                                    <a:ln>
                                      <a:noFill/>
                                    </a:ln>
                                  </pic:spPr>
                                </pic:pic>
                              </a:graphicData>
                            </a:graphic>
                          </wp:inline>
                        </w:drawing>
                      </w:r>
                      <w:r>
                        <w:rPr>
                          <w:rFonts w:hint="eastAsia"/>
                        </w:rPr>
                        <w:t>平水期影响范围</w:t>
                      </w:r>
                    </w:p>
                    <w:p>
                      <w:pPr>
                        <w:pStyle w:val="9"/>
                        <w:adjustRightInd w:val="0"/>
                        <w:snapToGrid w:val="0"/>
                        <w:spacing w:after="0"/>
                      </w:pPr>
                      <w:r>
                        <w:drawing>
                          <wp:inline distT="0" distB="0" distL="114300" distR="114300">
                            <wp:extent cx="678180" cy="161290"/>
                            <wp:effectExtent l="0" t="0" r="7620" b="3810"/>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45"/>
                                    <a:stretch>
                                      <a:fillRect/>
                                    </a:stretch>
                                  </pic:blipFill>
                                  <pic:spPr>
                                    <a:xfrm>
                                      <a:off x="0" y="0"/>
                                      <a:ext cx="678180" cy="161290"/>
                                    </a:xfrm>
                                    <a:prstGeom prst="rect">
                                      <a:avLst/>
                                    </a:prstGeom>
                                    <a:noFill/>
                                    <a:ln>
                                      <a:noFill/>
                                    </a:ln>
                                  </pic:spPr>
                                </pic:pic>
                              </a:graphicData>
                            </a:graphic>
                          </wp:inline>
                        </w:drawing>
                      </w:r>
                      <w:r>
                        <w:rPr>
                          <w:rFonts w:hint="eastAsia"/>
                        </w:rPr>
                        <w:t>枯水期影响范围</w:t>
                      </w:r>
                    </w:p>
                  </w:txbxContent>
                </v:textbox>
              </v:shape>
            </w:pict>
          </mc:Fallback>
        </mc:AlternateContent>
      </w:r>
      <w:r>
        <w:rPr>
          <w:rFonts w:hint="default" w:ascii="Times New Roman" w:hAnsi="Times New Roman" w:cs="Times New Roman"/>
          <w:highlight w:val="none"/>
        </w:rPr>
        <w:drawing>
          <wp:inline distT="0" distB="0" distL="114300" distR="114300">
            <wp:extent cx="7785100" cy="459740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6"/>
                    <a:stretch>
                      <a:fillRect/>
                    </a:stretch>
                  </pic:blipFill>
                  <pic:spPr>
                    <a:xfrm>
                      <a:off x="0" y="0"/>
                      <a:ext cx="7785100" cy="4597400"/>
                    </a:xfrm>
                    <a:prstGeom prst="rect">
                      <a:avLst/>
                    </a:prstGeom>
                    <a:noFill/>
                    <a:ln>
                      <a:noFill/>
                    </a:ln>
                  </pic:spPr>
                </pic:pic>
              </a:graphicData>
            </a:graphic>
          </wp:inline>
        </w:drawing>
      </w:r>
    </w:p>
    <w:p>
      <w:pPr>
        <w:jc w:val="center"/>
        <w:outlineLvl w:val="1"/>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bookmarkStart w:id="260" w:name="_Toc31157"/>
      <w:r>
        <w:rPr>
          <w:rFonts w:hint="default" w:ascii="Times New Roman" w:hAnsi="Times New Roman" w:cs="Times New Roman"/>
          <w:b/>
          <w:bCs/>
          <w:highlight w:val="none"/>
        </w:rPr>
        <w:t>附图3  影响范围图</w:t>
      </w:r>
      <w:bookmarkEnd w:id="260"/>
    </w:p>
    <w:p>
      <w:pPr>
        <w:pStyle w:val="9"/>
        <w:jc w:val="right"/>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2371968" behindDoc="0" locked="0" layoutInCell="1" allowOverlap="1">
                <wp:simplePos x="0" y="0"/>
                <wp:positionH relativeFrom="column">
                  <wp:posOffset>3871595</wp:posOffset>
                </wp:positionH>
                <wp:positionV relativeFrom="paragraph">
                  <wp:posOffset>2851150</wp:posOffset>
                </wp:positionV>
                <wp:extent cx="1132840" cy="1448435"/>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132840" cy="1448435"/>
                        </a:xfrm>
                        <a:prstGeom prst="rect">
                          <a:avLst/>
                        </a:prstGeom>
                        <a:noFill/>
                        <a:ln>
                          <a:noFill/>
                        </a:ln>
                        <a:effectLst/>
                      </wps:spPr>
                      <wps:txbx>
                        <w:txbxContent>
                          <w:p>
                            <w:pPr>
                              <w:jc w:val="both"/>
                              <w:outlineLvl w:val="1"/>
                              <w:rPr>
                                <w:rFonts w:hint="eastAsia"/>
                                <w:b/>
                                <w:bCs/>
                                <w:color w:val="FF0000"/>
                                <w:sz w:val="21"/>
                                <w:szCs w:val="21"/>
                                <w:lang w:val="en-US" w:eastAsia="zh-CN"/>
                                <w14:shadow w14:blurRad="69850" w14:dist="43180" w14:dir="5400000" w14:sx="0" w14:sy="0" w14:kx="0" w14:ky="0" w14:algn="none">
                                  <w14:srgbClr w14:val="000000">
                                    <w14:alpha w14:val="35000"/>
                                  </w14:srgbClr>
                                </w14:shadow>
                              </w:rPr>
                            </w:pPr>
                            <w:r>
                              <w:rPr>
                                <w:rFonts w:hint="eastAsia"/>
                                <w:b/>
                                <w:bCs/>
                                <w:color w:val="FF0000"/>
                                <w:sz w:val="21"/>
                                <w:szCs w:val="21"/>
                                <w:lang w:val="en-US" w:eastAsia="zh-CN"/>
                                <w14:shadow w14:blurRad="69850" w14:dist="43180" w14:dir="5400000" w14:sx="0" w14:sy="0" w14:kx="0" w14:ky="0" w14:algn="none">
                                  <w14:srgbClr w14:val="000000">
                                    <w14:alpha w14:val="35000"/>
                                  </w14:srgbClr>
                                </w14:shadow>
                              </w:rPr>
                              <w:t>支流</w:t>
                            </w:r>
                          </w:p>
                          <w:p>
                            <w:pPr>
                              <w:pStyle w:val="9"/>
                              <w:rPr>
                                <w:rFonts w:hint="default"/>
                                <w:color w:val="FF0000"/>
                                <w:sz w:val="21"/>
                                <w:szCs w:val="21"/>
                                <w:lang w:val="en-US" w:eastAsia="zh-CN"/>
                              </w:rPr>
                            </w:pPr>
                            <w:r>
                              <w:rPr>
                                <w:rFonts w:hint="eastAsia"/>
                                <w:b/>
                                <w:bCs/>
                                <w:color w:val="FF0000"/>
                                <w:sz w:val="21"/>
                                <w:szCs w:val="21"/>
                                <w:lang w:val="en-US" w:eastAsia="zh-CN"/>
                                <w14:shadow w14:blurRad="69850" w14:dist="43180" w14:dir="5400000" w14:sx="0" w14:sy="0" w14:kx="0" w14:ky="0" w14:algn="none">
                                  <w14:srgbClr w14:val="000000">
                                    <w14:alpha w14:val="35000"/>
                                  </w14:srgbClr>
                                </w14:shadow>
                              </w:rPr>
                              <w:t>4.2km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4.85pt;margin-top:224.5pt;height:114.05pt;width:89.2pt;z-index:252371968;mso-width-relative:page;mso-height-relative:page;" filled="f" stroked="f" coordsize="21600,21600" o:gfxdata="UEsDBAoAAAAAAIdO4kAAAAAAAAAAAAAAAAAEAAAAZHJzL1BLAwQUAAAACACHTuJAPYDuC9cAAAAL&#10;AQAADwAAAGRycy9kb3ducmV2LnhtbE2Py07DMBBF90j8gzVI7KgdFJpH43QBYguiBSR2bjxNosbj&#10;KHab8PcMK1iO7tGdc6vt4gZxwSn0njQkKwUCqfG2p1bD+/75LgcRoiFrBk+o4RsDbOvrq8qU1s/0&#10;hpddbAWXUCiNhi7GsZQyNB06E1Z+ROLs6CdnIp9TK+1kZi53g7xXai2d6Yk/dGbExw6b0+7sNHy8&#10;HL8+U/XaPrmHcfaLkuQKqfXtTaI2ICIu8Q+GX31Wh5qdDv5MNohBw1oVGaMa0rTgUUxkeZ6AOHCU&#10;ZQnIupL/N9Q/UEsDBBQAAAAIAIdO4kAbMiQyHQIAACAEAAAOAAAAZHJzL2Uyb0RvYy54bWytU0uO&#10;EzEQ3SNxB8t70ukkw4QonVGYURBSxIwUEGvHbacttV3GdtIdDgA3mBUb9pwr56DsTjLhs0Js7Pq5&#10;XPXq1fSm1TXZCecVmILmvT4lwnAoldkU9MP7xYsxJT4wU7IajCjoXnh6M3v+bNrYiRhABXUpHMEk&#10;xk8aW9AqBDvJMs8roZnvgRUGnRKcZgFVt8lKxxrMruts0O+/zBpwpXXAhfdoveucdJbySyl4uJfS&#10;i0DqgmJtIZ0unet4ZrMpm2wcs5XixzLYP1ShmTL46TnVHQuMbJ36I5VW3IEHGXocdAZSKi5SD9hN&#10;3v+tm1XFrEi9IDjenmHy/y8tf7d7cESVBR1eU2KYxhkdHr8evv04fP9C0IYANdZPMG5lMTK0r6HF&#10;QZ/sHo2x71Y6HW/siKAfod6f4RVtIDw+yoeD8QhdHH35aDQeDa9inuzpuXU+vBGgSRQK6nB+CVa2&#10;W/rQhZ5C4m8GFqqu0wxr84sBc3YWkUhwfB076SqOUmjX7bG9NZR77M5BRxBv+UJhBUvmwwNzyAis&#10;Glke7vGQNTQFhaNESQXu89/sMR4HhV5KGmRYQf2nLXOCkvqtwRG+QggiJZMyuroeoOIuPetLj9nq&#10;W0AS57hPlicxxof6JEoH+iMuwzz+ii5mOP5d0HASb0PHe1wmLubzFIQktCwszcrymLqDcL4NIFWC&#10;O8LUYYNjigrSMA3suDKR55d6inpa7Nl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QQAAFtDb250ZW50X1R5cGVzXS54bWxQSwECFAAKAAAAAACH&#10;TuJAAAAAAAAAAAAAAAAABgAAAAAAAAAAABAAAABvAwAAX3JlbHMvUEsBAhQAFAAAAAgAh07iQIoU&#10;ZjzRAAAAlAEAAAsAAAAAAAAAAQAgAAAAkwMAAF9yZWxzLy5yZWxzUEsBAhQACgAAAAAAh07iQAAA&#10;AAAAAAAAAAAAAAQAAAAAAAAAAAAQAAAAAAAAAGRycy9QSwECFAAUAAAACACHTuJAPYDuC9cAAAAL&#10;AQAADwAAAAAAAAABACAAAAAiAAAAZHJzL2Rvd25yZXYueG1sUEsBAhQAFAAAAAgAh07iQBsyJDId&#10;AgAAIAQAAA4AAAAAAAAAAQAgAAAAJgEAAGRycy9lMm9Eb2MueG1sUEsFBgAAAAAGAAYAWQEAALUF&#10;AAAAAA==&#10;">
                <v:fill on="f" focussize="0,0"/>
                <v:stroke on="f"/>
                <v:imagedata o:title=""/>
                <o:lock v:ext="edit" aspectratio="f"/>
                <v:textbox>
                  <w:txbxContent>
                    <w:p>
                      <w:pPr>
                        <w:jc w:val="both"/>
                        <w:outlineLvl w:val="1"/>
                        <w:rPr>
                          <w:rFonts w:hint="eastAsia"/>
                          <w:b/>
                          <w:bCs/>
                          <w:color w:val="FF0000"/>
                          <w:sz w:val="21"/>
                          <w:szCs w:val="21"/>
                          <w:lang w:val="en-US" w:eastAsia="zh-CN"/>
                          <w14:shadow w14:blurRad="69850" w14:dist="43180" w14:dir="5400000" w14:sx="0" w14:sy="0" w14:kx="0" w14:ky="0" w14:algn="none">
                            <w14:srgbClr w14:val="000000">
                              <w14:alpha w14:val="35000"/>
                            </w14:srgbClr>
                          </w14:shadow>
                        </w:rPr>
                      </w:pPr>
                      <w:r>
                        <w:rPr>
                          <w:rFonts w:hint="eastAsia"/>
                          <w:b/>
                          <w:bCs/>
                          <w:color w:val="FF0000"/>
                          <w:sz w:val="21"/>
                          <w:szCs w:val="21"/>
                          <w:lang w:val="en-US" w:eastAsia="zh-CN"/>
                          <w14:shadow w14:blurRad="69850" w14:dist="43180" w14:dir="5400000" w14:sx="0" w14:sy="0" w14:kx="0" w14:ky="0" w14:algn="none">
                            <w14:srgbClr w14:val="000000">
                              <w14:alpha w14:val="35000"/>
                            </w14:srgbClr>
                          </w14:shadow>
                        </w:rPr>
                        <w:t>支流</w:t>
                      </w:r>
                    </w:p>
                    <w:p>
                      <w:pPr>
                        <w:pStyle w:val="9"/>
                        <w:rPr>
                          <w:rFonts w:hint="default"/>
                          <w:color w:val="FF0000"/>
                          <w:sz w:val="21"/>
                          <w:szCs w:val="21"/>
                          <w:lang w:val="en-US" w:eastAsia="zh-CN"/>
                        </w:rPr>
                      </w:pPr>
                      <w:r>
                        <w:rPr>
                          <w:rFonts w:hint="eastAsia"/>
                          <w:b/>
                          <w:bCs/>
                          <w:color w:val="FF0000"/>
                          <w:sz w:val="21"/>
                          <w:szCs w:val="21"/>
                          <w:lang w:val="en-US" w:eastAsia="zh-CN"/>
                          <w14:shadow w14:blurRad="69850" w14:dist="43180" w14:dir="5400000" w14:sx="0" w14:sy="0" w14:kx="0" w14:ky="0" w14:algn="none">
                            <w14:srgbClr w14:val="000000">
                              <w14:alpha w14:val="35000"/>
                            </w14:srgbClr>
                          </w14:shadow>
                        </w:rPr>
                        <w:t>4.2km</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2014592" behindDoc="0" locked="0" layoutInCell="1" allowOverlap="1">
                <wp:simplePos x="0" y="0"/>
                <wp:positionH relativeFrom="column">
                  <wp:posOffset>6132830</wp:posOffset>
                </wp:positionH>
                <wp:positionV relativeFrom="paragraph">
                  <wp:posOffset>1182370</wp:posOffset>
                </wp:positionV>
                <wp:extent cx="1195705" cy="1448435"/>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195705" cy="1448435"/>
                        </a:xfrm>
                        <a:prstGeom prst="rect">
                          <a:avLst/>
                        </a:prstGeom>
                        <a:noFill/>
                        <a:ln>
                          <a:noFill/>
                        </a:ln>
                        <a:effectLst/>
                      </wps:spPr>
                      <wps:txbx>
                        <w:txbxContent>
                          <w:p>
                            <w:pPr>
                              <w:ind w:firstLine="201" w:firstLineChars="100"/>
                              <w:jc w:val="both"/>
                              <w:outlineLvl w:val="1"/>
                              <w:rPr>
                                <w:rFonts w:hint="eastAsia"/>
                                <w:b/>
                                <w:bCs/>
                                <w:color w:val="FF0000"/>
                                <w:sz w:val="20"/>
                                <w:szCs w:val="20"/>
                                <w14:shadow w14:blurRad="69850" w14:dist="43180" w14:dir="5400000" w14:sx="0" w14:sy="0" w14:kx="0" w14:ky="0" w14:algn="none">
                                  <w14:srgbClr w14:val="000000">
                                    <w14:alpha w14:val="35000"/>
                                  </w14:srgbClr>
                                </w14:shadow>
                              </w:rPr>
                            </w:pPr>
                            <w:r>
                              <w:rPr>
                                <w:rFonts w:hint="eastAsia"/>
                                <w:b/>
                                <w:bCs/>
                                <w:color w:val="FF0000"/>
                                <w:sz w:val="20"/>
                                <w:szCs w:val="20"/>
                                <w14:shadow w14:blurRad="69850" w14:dist="43180" w14:dir="5400000" w14:sx="0" w14:sy="0" w14:kx="0" w14:ky="0" w14:algn="none">
                                  <w14:srgbClr w14:val="000000">
                                    <w14:alpha w14:val="35000"/>
                                  </w14:srgbClr>
                                </w14:shadow>
                              </w:rPr>
                              <w:t>洢水</w:t>
                            </w:r>
                          </w:p>
                          <w:p>
                            <w:pPr>
                              <w:pStyle w:val="9"/>
                              <w:ind w:firstLine="201" w:firstLineChars="100"/>
                              <w:rPr>
                                <w:rFonts w:hint="default"/>
                                <w:sz w:val="20"/>
                                <w:szCs w:val="20"/>
                                <w:lang w:val="en-US" w:eastAsia="zh-CN"/>
                              </w:rPr>
                            </w:pPr>
                            <w:r>
                              <w:rPr>
                                <w:rFonts w:hint="eastAsia"/>
                                <w:b/>
                                <w:bCs/>
                                <w:color w:val="FF0000"/>
                                <w:sz w:val="20"/>
                                <w:szCs w:val="20"/>
                                <w:lang w:val="en-US" w:eastAsia="zh-CN"/>
                                <w14:shadow w14:blurRad="69850" w14:dist="43180" w14:dir="5400000" w14:sx="0" w14:sy="0" w14:kx="0" w14:ky="0" w14:algn="none">
                                  <w14:srgbClr w14:val="000000">
                                    <w14:alpha w14:val="35000"/>
                                  </w14:srgbClr>
                                </w14:shadow>
                              </w:rPr>
                              <w:t>3.3km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2.9pt;margin-top:93.1pt;height:114.05pt;width:94.15pt;z-index:252014592;mso-width-relative:page;mso-height-relative:page;" filled="f" stroked="f" coordsize="21600,21600" o:gfxdata="UEsDBAoAAAAAAIdO4kAAAAAAAAAAAAAAAAAEAAAAZHJzL1BLAwQUAAAACACHTuJAJtQ+fdgAAAAM&#10;AQAADwAAAGRycy9kb3ducmV2LnhtbE2PMW/CMBSE90r8B+shdSu2aRJBiMMA6tqq0FbqZuJHEhE/&#10;R7Eh6b+vmdrxdKe774rtZDt2w8G3jhTIhQCGVDnTUq3g4/jytALmgyajO0eo4Ac9bMvZQ6Fz40Z6&#10;x9sh1CyWkM+1giaEPufcVw1a7ReuR4re2Q1WhyiHmptBj7HcdnwpRMatbikuNLrHXYPV5XC1Cj5f&#10;z99fiXir9zbtRzcJTnbNlXqcS7EBFnAKf2G440d0KCPTyV3JeNYpWGdpRA/RWGVLYPeETBMJ7KQg&#10;kckz8LLg/0+Uv1BLAwQUAAAACACHTuJAF3qKch4CAAAgBAAADgAAAGRycy9lMm9Eb2MueG1srVNL&#10;jhoxEN1Hyh0s70PTDMwH0YzIjIgiocxIJMrauG26Jdvl2IZucoDkBrPKJvuci3Ok7AaGfFZRNu76&#10;dbneq+fJbasV2QrnazAFzXt9SoThUNZmXdAP7+evrinxgZmSKTCioDvh6e305YtJY8diABWoUjiC&#10;TYwfN7agVQh2nGWeV0Iz3wMrDCYlOM0Cum6dlY412F2rbNDvX2YNuNI64MJ7jN53STpN/aUUPDxI&#10;6UUgqqA4W0inS+cqntl0wsZrx2xV88MY7B+m0Kw2eOmp1T0LjGxc/UcrXXMHHmTocdAZSFlzkTAg&#10;mrz/G5plxaxIWJAcb080+f/Xlr/bPjpSlwW9uKTEMI072j993X/7sf/+hWAMCWqsH2Pd0mJlaF9D&#10;i4s+xj0GI+5WOh2/iIhgHqnenegVbSA8/pTfjK76I0o45vLh8Hp4MYp9suffrfPhjQBNolFQh/tL&#10;tLLtwoeu9FgSbzMwr5VKO1TmlwD27CIiieDwd0TSTRyt0K7aA7wVlDtE56ATiLd8XuMEC+bDI3Oo&#10;CASEKg8PeEgFTUHhYFFSgfv8t3isx0VhlpIGFVZQ/2nDnKBEvTW4whukIEoyOcPR1QAdd55ZnWfM&#10;Rt8BijjH92R5MmN9UEdTOtAf8THM4q2YYobj3QUNR/MudLrHx8TFbJaKUISWhYVZWh5bdxTONgFk&#10;neiONHXc4JqigzJMCzs8majzcz9VPT/s6U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Am1D592AAA&#10;AAwBAAAPAAAAAAAAAAEAIAAAACIAAABkcnMvZG93bnJldi54bWxQSwECFAAUAAAACACHTuJAF3qK&#10;ch4CAAAgBAAADgAAAAAAAAABACAAAAAnAQAAZHJzL2Uyb0RvYy54bWxQSwUGAAAAAAYABgBZAQAA&#10;twUAAAAA&#10;">
                <v:fill on="f" focussize="0,0"/>
                <v:stroke on="f"/>
                <v:imagedata o:title=""/>
                <o:lock v:ext="edit" aspectratio="f"/>
                <v:textbox>
                  <w:txbxContent>
                    <w:p>
                      <w:pPr>
                        <w:ind w:firstLine="201" w:firstLineChars="100"/>
                        <w:jc w:val="both"/>
                        <w:outlineLvl w:val="1"/>
                        <w:rPr>
                          <w:rFonts w:hint="eastAsia"/>
                          <w:b/>
                          <w:bCs/>
                          <w:color w:val="FF0000"/>
                          <w:sz w:val="20"/>
                          <w:szCs w:val="20"/>
                          <w14:shadow w14:blurRad="69850" w14:dist="43180" w14:dir="5400000" w14:sx="0" w14:sy="0" w14:kx="0" w14:ky="0" w14:algn="none">
                            <w14:srgbClr w14:val="000000">
                              <w14:alpha w14:val="35000"/>
                            </w14:srgbClr>
                          </w14:shadow>
                        </w:rPr>
                      </w:pPr>
                      <w:r>
                        <w:rPr>
                          <w:rFonts w:hint="eastAsia"/>
                          <w:b/>
                          <w:bCs/>
                          <w:color w:val="FF0000"/>
                          <w:sz w:val="20"/>
                          <w:szCs w:val="20"/>
                          <w14:shadow w14:blurRad="69850" w14:dist="43180" w14:dir="5400000" w14:sx="0" w14:sy="0" w14:kx="0" w14:ky="0" w14:algn="none">
                            <w14:srgbClr w14:val="000000">
                              <w14:alpha w14:val="35000"/>
                            </w14:srgbClr>
                          </w14:shadow>
                        </w:rPr>
                        <w:t>洢水</w:t>
                      </w:r>
                    </w:p>
                    <w:p>
                      <w:pPr>
                        <w:pStyle w:val="9"/>
                        <w:ind w:firstLine="201" w:firstLineChars="100"/>
                        <w:rPr>
                          <w:rFonts w:hint="default"/>
                          <w:sz w:val="20"/>
                          <w:szCs w:val="20"/>
                          <w:lang w:val="en-US" w:eastAsia="zh-CN"/>
                        </w:rPr>
                      </w:pPr>
                      <w:r>
                        <w:rPr>
                          <w:rFonts w:hint="eastAsia"/>
                          <w:b/>
                          <w:bCs/>
                          <w:color w:val="FF0000"/>
                          <w:sz w:val="20"/>
                          <w:szCs w:val="20"/>
                          <w:lang w:val="en-US" w:eastAsia="zh-CN"/>
                          <w14:shadow w14:blurRad="69850" w14:dist="43180" w14:dir="5400000" w14:sx="0" w14:sy="0" w14:kx="0" w14:ky="0" w14:algn="none">
                            <w14:srgbClr w14:val="000000">
                              <w14:alpha w14:val="35000"/>
                            </w14:srgbClr>
                          </w14:shadow>
                        </w:rPr>
                        <w:t>3.3km</w:t>
                      </w:r>
                    </w:p>
                  </w:txbxContent>
                </v:textbox>
              </v:shape>
            </w:pict>
          </mc:Fallback>
        </mc:AlternateContent>
      </w:r>
      <w:r>
        <w:rPr>
          <w:rFonts w:hint="default" w:ascii="Times New Roman" w:hAnsi="Times New Roman" w:cs="Times New Roman"/>
          <w:highlight w:val="none"/>
        </w:rPr>
        <w:drawing>
          <wp:anchor distT="0" distB="0" distL="114300" distR="114300" simplePos="0" relativeHeight="251939840" behindDoc="0" locked="0" layoutInCell="1" allowOverlap="1">
            <wp:simplePos x="0" y="0"/>
            <wp:positionH relativeFrom="column">
              <wp:posOffset>-100965</wp:posOffset>
            </wp:positionH>
            <wp:positionV relativeFrom="paragraph">
              <wp:posOffset>26035</wp:posOffset>
            </wp:positionV>
            <wp:extent cx="4335145" cy="2635885"/>
            <wp:effectExtent l="0" t="0" r="8255" b="12065"/>
            <wp:wrapNone/>
            <wp:docPr id="3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
                    <pic:cNvPicPr>
                      <a:picLocks noChangeAspect="1"/>
                    </pic:cNvPicPr>
                  </pic:nvPicPr>
                  <pic:blipFill>
                    <a:blip r:embed="rId47"/>
                    <a:stretch>
                      <a:fillRect/>
                    </a:stretch>
                  </pic:blipFill>
                  <pic:spPr>
                    <a:xfrm>
                      <a:off x="0" y="0"/>
                      <a:ext cx="4335145" cy="2635885"/>
                    </a:xfrm>
                    <a:prstGeom prst="rect">
                      <a:avLst/>
                    </a:prstGeom>
                    <a:noFill/>
                    <a:ln>
                      <a:noFill/>
                    </a:ln>
                  </pic:spPr>
                </pic:pic>
              </a:graphicData>
            </a:graphic>
          </wp:anchor>
        </w:drawing>
      </w:r>
      <w:r>
        <w:rPr>
          <w:rFonts w:hint="default" w:ascii="Times New Roman" w:hAnsi="Times New Roman" w:cs="Times New Roman"/>
          <w:sz w:val="21"/>
          <w:highlight w:val="none"/>
        </w:rPr>
        <mc:AlternateContent>
          <mc:Choice Requires="wps">
            <w:drawing>
              <wp:anchor distT="0" distB="0" distL="114300" distR="114300" simplePos="0" relativeHeight="251940864" behindDoc="0" locked="0" layoutInCell="1" allowOverlap="1">
                <wp:simplePos x="0" y="0"/>
                <wp:positionH relativeFrom="column">
                  <wp:posOffset>2393315</wp:posOffset>
                </wp:positionH>
                <wp:positionV relativeFrom="paragraph">
                  <wp:posOffset>2687320</wp:posOffset>
                </wp:positionV>
                <wp:extent cx="100965" cy="285750"/>
                <wp:effectExtent l="17780" t="0" r="14605" b="19050"/>
                <wp:wrapNone/>
                <wp:docPr id="34" name="直接箭头连接符 34"/>
                <wp:cNvGraphicFramePr/>
                <a:graphic xmlns:a="http://schemas.openxmlformats.org/drawingml/2006/main">
                  <a:graphicData uri="http://schemas.microsoft.com/office/word/2010/wordprocessingShape">
                    <wps:wsp>
                      <wps:cNvCnPr/>
                      <wps:spPr>
                        <a:xfrm flipH="1" flipV="1">
                          <a:off x="0" y="0"/>
                          <a:ext cx="100965" cy="285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_x0000_s1026" o:spid="_x0000_s1026" o:spt="32" type="#_x0000_t32" style="position:absolute;left:0pt;flip:x y;margin-left:188.45pt;margin-top:211.6pt;height:22.5pt;width:7.95pt;z-index:251940864;mso-width-relative:page;mso-height-relative:page;" filled="f" stroked="t" coordsize="21600,21600" o:gfxdata="UEsDBAoAAAAAAIdO4kAAAAAAAAAAAAAAAAAEAAAAZHJzL1BLAwQUAAAACACHTuJA6lmkedcAAAAL&#10;AQAADwAAAGRycy9kb3ducmV2LnhtbE2PwU6DQBCG7ya+w2ZMvNldQCkgSxNNPPZg2wfYwhRI2VnC&#10;LhR9eseTHmfmyz/fX+5WO4gFJ9870hBtFAik2jU9tRpOx4+nDIQPhhozOEINX+hhV93flaZo3I0+&#10;cTmEVnAI+cJo6EIYCyl93aE1fuNGJL5d3GRN4HFqZTOZG4fbQcZKpdKanvhDZ0Z877C+HmarIaU5&#10;ytWqXqLv7ZvF5Vir/T7T+vEhUq8gAq7hD4ZffVaHip3ObqbGi0FDsk1zRjU8x0kMgokkj7nMmTdp&#10;FoOsSvm/Q/UDUEsDBBQAAAAIAIdO4kADGU8x/gEAAKoDAAAOAAAAZHJzL2Uyb0RvYy54bWytU0uO&#10;EzEQ3SNxB8t70p0MCZlWOiNNwsACQSQ+e8dtd1vyT2WTTi7BBZBYAStgNXtOA8MxKLtD+O0QvbDK&#10;Va5XVa9eLy72RpOdgKCcrel4VFIiLHeNsm1Nnz+7ujOnJERmG6adFTU9iEAvlrdvLXpfiYnrnG4E&#10;EASxoep9TbsYfVUUgXfCsDByXlgMSgeGRbxCWzTAekQ3upiU5azoHTQeHBchoHc9BOky40speHwi&#10;ZRCR6JpibzGfkM9tOovlglUtMN8pfmyD/UMXhimLRU9QaxYZeQnqLyijOLjgZBxxZwonpeIiz4DT&#10;jMs/pnnaMS/yLEhO8Ceawv+D5Y93GyCqqenZXUosM7ijm9fXX1+9u/n08cvb62+f3yT7w3uCcSSr&#10;96HCnJXdwPEW/AbS5HsJhkit/EPUAc3Wi2SlGM5J9pn0w4l0sY+Eo3NcluezKSUcQ5P59N40L6UY&#10;AFOyhxAfCGdIMmoaIjDVdnHlrMX1OhhKsN2jELElTPyRkJKtu1Ja5y1rS/qazs6wAOEMtSY1i2ga&#10;j9MH21LCdIsi5hFy08Fp1aTshBOg3a40kB1DIU0vzy/X00QHVvvtWSq9ZqEb3uXQIDGjIupcK1PT&#10;eZm+wR2Z0vdtQ+LBI/EMwPVHWG0RPbE98JusrWsOmfbsR0Hk+kfxJsX9es/ZP3+x5X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qWaR51wAAAAsBAAAPAAAAAAAAAAEAIAAAACIAAABkcnMvZG93bnJl&#10;di54bWxQSwECFAAUAAAACACHTuJAAxlPMf4BAACqAwAADgAAAAAAAAABACAAAAAmAQAAZHJzL2Uy&#10;b0RvYy54bWxQSwUGAAAAAAYABgBZAQAAlgUAAAAA&#10;">
                <v:fill on="f" focussize="0,0"/>
                <v:stroke weight="0.5pt" color="#5B9BD5 [3204]" miterlimit="8" joinstyle="miter" endarrow="open"/>
                <v:imagedata o:title=""/>
                <o:lock v:ext="edit" aspectratio="f"/>
              </v:shape>
            </w:pict>
          </mc:Fallback>
        </mc:AlternateContent>
      </w:r>
      <w:r>
        <w:rPr>
          <w:rFonts w:hint="default" w:ascii="Times New Roman" w:hAnsi="Times New Roman" w:cs="Times New Roman"/>
          <w:sz w:val="21"/>
          <w:highlight w:val="none"/>
        </w:rPr>
        <mc:AlternateContent>
          <mc:Choice Requires="wps">
            <w:drawing>
              <wp:anchor distT="0" distB="0" distL="114300" distR="114300" simplePos="0" relativeHeight="251788288" behindDoc="0" locked="0" layoutInCell="1" allowOverlap="1">
                <wp:simplePos x="0" y="0"/>
                <wp:positionH relativeFrom="column">
                  <wp:posOffset>4449445</wp:posOffset>
                </wp:positionH>
                <wp:positionV relativeFrom="paragraph">
                  <wp:posOffset>2998470</wp:posOffset>
                </wp:positionV>
                <wp:extent cx="293370" cy="381000"/>
                <wp:effectExtent l="7620" t="0" r="3810" b="19050"/>
                <wp:wrapNone/>
                <wp:docPr id="33" name="直接箭头连接符 33"/>
                <wp:cNvGraphicFramePr/>
                <a:graphic xmlns:a="http://schemas.openxmlformats.org/drawingml/2006/main">
                  <a:graphicData uri="http://schemas.microsoft.com/office/word/2010/wordprocessingShape">
                    <wps:wsp>
                      <wps:cNvCnPr/>
                      <wps:spPr>
                        <a:xfrm flipV="1">
                          <a:off x="0" y="0"/>
                          <a:ext cx="293370" cy="381000"/>
                        </a:xfrm>
                        <a:prstGeom prst="straightConnector1">
                          <a:avLst/>
                        </a:prstGeom>
                        <a:ln>
                          <a:tailEnd type="arrow"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id="_x0000_s1026" o:spid="_x0000_s1026" o:spt="32" type="#_x0000_t32" style="position:absolute;left:0pt;flip:y;margin-left:350.35pt;margin-top:236.1pt;height:30pt;width:23.1pt;z-index:251788288;mso-width-relative:page;mso-height-relative:page;" filled="f" stroked="t" coordsize="21600,21600" o:gfxdata="UEsDBAoAAAAAAIdO4kAAAAAAAAAAAAAAAAAEAAAAZHJzL1BLAwQUAAAACACHTuJA246EGdoAAAAL&#10;AQAADwAAAGRycy9kb3ducmV2LnhtbE2PsW7CMBCG90p9B+sqdSt2UopLiMNAhdShSwJCHU18JBGx&#10;HcUm0LfvdSrj3X367/vz9c32bMIxdN4pSGYCGLram841Cva77cs7sBC1M7r3DhX8YIB18fiQ68z4&#10;qytxqmLDKMSFTCtoYxwyzkPdotVh5gd0dDv50epI49hwM+orhduep0IsuNWdow+tHnDTYn2uLlZB&#10;tdnLz0NX1uXu9BW/P5ZbOR0SpZ6fErECFvEW/2H40yd1KMjp6C/OBNYrkEJIQhXMZZoCI0LOF0tg&#10;RwVvr7ThRc7vOxS/UEsDBBQAAAAIAIdO4kDphV3x/wEAALMDAAAOAAAAZHJzL2Uyb0RvYy54bWyt&#10;U0uOEzEQ3SNxB8t70p1EQCZKZxYJYYMgEp99xe3utuSfyiadXIILILECVgyr2XMaGI5B2R0yfHaI&#10;jVV2db1671X14vJgNNtLDMrZio9HJWfSClcr21b85YvNvRlnIYKtQTsrK36UgV8u795Z9H4uJ65z&#10;upbICMSGee8r3sXo50URRCcNhJHz0lKycWgg0hXbokboCd3oYlKWD4reYe3RCRkCva6HJF9m/KaR&#10;Ij5rmiAj0xUnbjGfmM9dOovlAuYtgu+UONGAf2BhQFlqeoZaQwT2GtVfUEYJdME1cSScKVzTKCGz&#10;BlIzLv9Q87wDL7MWMif4s03h/8GKp/stMlVXfDrlzIKhGd28vf725sPN56uv76+/f3mX4k8fGeXJ&#10;rN6HOdWs7BZPt+C3mJQfGjSs0cq/oj3IXpA6dshWH89Wy0Nkgh4nF9PpQxqIoNR0Ni7LPIpigElw&#10;HkN8LJ1hKah4iAiq7eLKWUtDdTi0gP2TEIkIFf4sSMXWbZTWebbasp4IXZT3UzegFWs0RAqNJ9HB&#10;tpyBbml3RcTMOjit6lSegAK2u5VGtgfan81mdcvzt89S7zWEbvgup4bNMirSemtlKj6j2kElzCMo&#10;/cjWLB49+Q2IrueJppE1Z1oSmxQNurQlecn2wegU7Vx9zP7nd9qMbMBpi9Pq/XrP1bf/2vIH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246EGdoAAAALAQAADwAAAAAAAAABACAAAAAiAAAAZHJzL2Rv&#10;d25yZXYueG1sUEsBAhQAFAAAAAgAh07iQOmFXfH/AQAAswMAAA4AAAAAAAAAAQAgAAAAKQEAAGRy&#10;cy9lMm9Eb2MueG1sUEsFBgAAAAAGAAYAWQEAAJoFAAAAAA==&#10;">
                <v:fill on="f" focussize="0,0"/>
                <v:stroke weight="1.5pt" color="#FFC000 [3207]" miterlimit="8" joinstyle="miter" endarrow="open"/>
                <v:imagedata o:title=""/>
                <o:lock v:ext="edit" aspectratio="f"/>
              </v:shape>
            </w:pict>
          </mc:Fallback>
        </mc:AlternateContent>
      </w:r>
      <w:r>
        <w:rPr>
          <w:rFonts w:hint="default" w:ascii="Times New Roman" w:hAnsi="Times New Roman" w:cs="Times New Roman"/>
          <w:sz w:val="21"/>
          <w:highlight w:val="none"/>
        </w:rPr>
        <mc:AlternateContent>
          <mc:Choice Requires="wps">
            <w:drawing>
              <wp:anchor distT="0" distB="0" distL="114300" distR="114300" simplePos="0" relativeHeight="251838464" behindDoc="0" locked="0" layoutInCell="1" allowOverlap="1">
                <wp:simplePos x="0" y="0"/>
                <wp:positionH relativeFrom="column">
                  <wp:posOffset>6008370</wp:posOffset>
                </wp:positionH>
                <wp:positionV relativeFrom="paragraph">
                  <wp:posOffset>1530985</wp:posOffset>
                </wp:positionV>
                <wp:extent cx="247015" cy="378460"/>
                <wp:effectExtent l="8255" t="0" r="11430" b="21590"/>
                <wp:wrapNone/>
                <wp:docPr id="23" name="直接箭头连接符 23"/>
                <wp:cNvGraphicFramePr/>
                <a:graphic xmlns:a="http://schemas.openxmlformats.org/drawingml/2006/main">
                  <a:graphicData uri="http://schemas.microsoft.com/office/word/2010/wordprocessingShape">
                    <wps:wsp>
                      <wps:cNvCnPr/>
                      <wps:spPr>
                        <a:xfrm flipV="1">
                          <a:off x="0" y="0"/>
                          <a:ext cx="247015" cy="378460"/>
                        </a:xfrm>
                        <a:prstGeom prst="straightConnector1">
                          <a:avLst/>
                        </a:prstGeom>
                        <a:ln>
                          <a:tailEnd type="arrow" w="med" len="med"/>
                        </a:ln>
                      </wps:spPr>
                      <wps:style>
                        <a:lnRef idx="3">
                          <a:schemeClr val="accent4"/>
                        </a:lnRef>
                        <a:fillRef idx="0">
                          <a:schemeClr val="accent4"/>
                        </a:fillRef>
                        <a:effectRef idx="2">
                          <a:schemeClr val="accent4"/>
                        </a:effectRef>
                        <a:fontRef idx="minor">
                          <a:schemeClr val="tx1"/>
                        </a:fontRef>
                      </wps:style>
                      <wps:bodyPr/>
                    </wps:wsp>
                  </a:graphicData>
                </a:graphic>
              </wp:anchor>
            </w:drawing>
          </mc:Choice>
          <mc:Fallback>
            <w:pict>
              <v:shape id="_x0000_s1026" o:spid="_x0000_s1026" o:spt="32" type="#_x0000_t32" style="position:absolute;left:0pt;flip:y;margin-left:473.1pt;margin-top:120.55pt;height:29.8pt;width:19.45pt;z-index:251838464;mso-width-relative:page;mso-height-relative:page;" filled="f" stroked="t" coordsize="21600,21600" o:gfxdata="UEsDBAoAAAAAAIdO4kAAAAAAAAAAAAAAAAAEAAAAZHJzL1BLAwQUAAAACACHTuJArjSScNsAAAAL&#10;AQAADwAAAGRycy9kb3ducmV2LnhtbE2PsU7DMBCGdyTewTokNmo7lKYJuXQoqsTAkrSqGN3YTSJi&#10;O4rdtLw9xwTbne7Tf99fbG52YLOZQu8dglwIYMY1XveuRTjsd09rYCEqp9XgnUH4NgE25f1doXLt&#10;r64ycx1bRiEu5Aqhi3HMOQ9NZ6wKCz8aR7ezn6yKtE4t15O6UrgdeCLEilvVO/rQqdFsO9N81ReL&#10;UG8P6fuxr5pqf/6In2/ZLp2PEvHxQYpXYNHc4h8Mv/qkDiU5nfzF6cAGhGy5SghFSJZSAiMiW7/Q&#10;cEJ4FiIFXhb8f4fyB1BLAwQUAAAACACHTuJAv+3WFgICAACzAwAADgAAAGRycy9lMm9Eb2MueG1s&#10;rVPLjhMxELwj8Q+W72Qm2VeIMtlDQrggWInHvePxzFjyS22TSX6CH0DiBJwWTnvna2D5DNqebHjd&#10;EBer7Z4uV5Vr5pc7o9lWYlDOVnw8KjmTVrha2bbiL1+sH0w5CxFsDdpZWfG9DPxycf/evPczOXGd&#10;07VERiA2zHpf8S5GPyuKIDppIIycl5aajUMDkbbYFjVCT+hGF5OyPC96h7VHJ2QIdLoamnyR8ZtG&#10;ivisaYKMTFecuMW8Yl43aS0Wc5i1CL5T4kAD/oGFAWXp0iPUCiKw16j+gjJKoAuuiSPhTOGaRgmZ&#10;NZCacfmHmucdeJm1kDnBH20K/w9WPN1eIVN1xScnnFkw9Ea3b2++vflw+/nT1/c337+8S/X1R0Z9&#10;Mqv3YUYzS3uFh13wV5iU7xo0rNHKv6IcZC9IHdtlq/dHq+UuMkGHk9OLcnzGmaDWycX09Dw/RTHA&#10;JDiPIT6WzrBUVDxEBNV2cemspUd1OFwB2ychEhEavBtIw9atldb5bbVlPRF6WJ7R8wugiDUaIpXG&#10;k+hgW85At5RdETGzDk6rOo0noIDtZqmRbYHys14vy/KO52+fpbtXELrhu9wakmVUpHhrZSo+pdlh&#10;GmYRlH5kaxb3nvwGRNfzRNPImjMtiU2qBl3akrxk+2B0qjau3mf/8zklIxtwSHGK3q/7PP3zX1v8&#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40knDbAAAACwEAAA8AAAAAAAAAAQAgAAAAIgAAAGRy&#10;cy9kb3ducmV2LnhtbFBLAQIUABQAAAAIAIdO4kC/7dYWAgIAALMDAAAOAAAAAAAAAAEAIAAAACoB&#10;AABkcnMvZTJvRG9jLnhtbFBLBQYAAAAABgAGAFkBAACeBQAAAAA=&#10;">
                <v:fill on="f" focussize="0,0"/>
                <v:stroke weight="1.5pt" color="#FFC000 [3207]" miterlimit="8" joinstyle="miter" endarrow="open"/>
                <v:imagedata o:title=""/>
                <o:lock v:ext="edit" aspectratio="f"/>
              </v:shape>
            </w:pict>
          </mc:Fallback>
        </mc:AlternateContent>
      </w:r>
      <w:r>
        <w:rPr>
          <w:rFonts w:hint="default" w:ascii="Times New Roman" w:hAnsi="Times New Roman" w:cs="Times New Roman"/>
          <w:highlight w:val="none"/>
        </w:rPr>
        <w:drawing>
          <wp:inline distT="0" distB="0" distL="114300" distR="114300">
            <wp:extent cx="6569710" cy="4295140"/>
            <wp:effectExtent l="0" t="0" r="2540" b="1016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48"/>
                    <a:stretch>
                      <a:fillRect/>
                    </a:stretch>
                  </pic:blipFill>
                  <pic:spPr>
                    <a:xfrm>
                      <a:off x="0" y="0"/>
                      <a:ext cx="6569710" cy="429514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jc w:val="center"/>
        <w:textAlignment w:val="auto"/>
        <w:outlineLvl w:val="1"/>
        <w:rPr>
          <w:rFonts w:hint="default" w:ascii="Times New Roman" w:hAnsi="Times New Roman" w:cs="Times New Roman"/>
          <w:color w:val="7030A0"/>
          <w:sz w:val="21"/>
          <w:highlight w:val="none"/>
          <w:u w:val="single"/>
        </w:rPr>
      </w:pPr>
      <w:bookmarkStart w:id="261" w:name="_Toc26900"/>
      <w:r>
        <w:rPr>
          <w:rFonts w:hint="default" w:ascii="Times New Roman" w:hAnsi="Times New Roman" w:cs="Times New Roman"/>
          <w:b/>
          <w:bCs/>
          <w:color w:val="7030A0"/>
          <w:highlight w:val="none"/>
          <w:u w:val="single"/>
        </w:rPr>
        <w:t>附图</w:t>
      </w:r>
      <w:r>
        <w:rPr>
          <w:rFonts w:hint="default" w:ascii="Times New Roman" w:hAnsi="Times New Roman" w:cs="Times New Roman"/>
          <w:b/>
          <w:bCs/>
          <w:color w:val="7030A0"/>
          <w:highlight w:val="none"/>
          <w:u w:val="single"/>
          <w:lang w:val="en-US" w:eastAsia="zh-CN"/>
        </w:rPr>
        <w:t>4</w:t>
      </w:r>
      <w:r>
        <w:rPr>
          <w:rFonts w:hint="default" w:ascii="Times New Roman" w:hAnsi="Times New Roman" w:cs="Times New Roman"/>
          <w:b/>
          <w:bCs/>
          <w:color w:val="7030A0"/>
          <w:highlight w:val="none"/>
          <w:u w:val="single"/>
        </w:rPr>
        <w:t xml:space="preserve">  </w:t>
      </w:r>
      <w:r>
        <w:rPr>
          <w:rFonts w:hint="default" w:ascii="Times New Roman" w:hAnsi="Times New Roman" w:cs="Times New Roman"/>
          <w:b/>
          <w:bCs/>
          <w:color w:val="7030A0"/>
          <w:highlight w:val="none"/>
          <w:u w:val="single"/>
          <w:lang w:val="en-US" w:eastAsia="zh-CN"/>
        </w:rPr>
        <w:t>污水处理厂排放口与乐安水厂饮用水源保护区取水口相对关系图</w:t>
      </w:r>
      <w:bookmarkEnd w:id="261"/>
    </w:p>
    <w:p>
      <w:pPr>
        <w:pStyle w:val="10"/>
        <w:rPr>
          <w:rFonts w:hint="default" w:ascii="Times New Roman" w:hAnsi="Times New Roman" w:cs="Times New Roman"/>
          <w:highlight w:val="none"/>
        </w:rPr>
        <w:sectPr>
          <w:type w:val="continuous"/>
          <w:pgSz w:w="16838" w:h="11906" w:orient="landscape"/>
          <w:pgMar w:top="1800" w:right="1644" w:bottom="1800" w:left="1814" w:header="851" w:footer="992" w:gutter="0"/>
          <w:cols w:space="720" w:num="1"/>
          <w:docGrid w:type="lines" w:linePitch="312" w:charSpace="0"/>
        </w:sectPr>
      </w:pPr>
    </w:p>
    <w:p>
      <w:pPr>
        <w:pStyle w:val="9"/>
        <w:jc w:val="center"/>
        <w:rPr>
          <w:rFonts w:hint="default" w:ascii="Times New Roman" w:hAnsi="Times New Roman" w:cs="Times New Roman"/>
          <w:b/>
          <w:bCs/>
          <w:sz w:val="28"/>
          <w:szCs w:val="28"/>
          <w:highlight w:val="none"/>
        </w:rPr>
      </w:pPr>
      <w:r>
        <w:rPr>
          <w:rFonts w:hint="default" w:ascii="Times New Roman" w:hAnsi="Times New Roman" w:cs="Times New Roman"/>
          <w:b/>
          <w:bCs/>
          <w:sz w:val="28"/>
          <w:szCs w:val="28"/>
          <w:highlight w:val="none"/>
        </w:rPr>
        <w:drawing>
          <wp:anchor distT="0" distB="0" distL="114300" distR="114300" simplePos="0" relativeHeight="251685888" behindDoc="0" locked="0" layoutInCell="1" allowOverlap="1">
            <wp:simplePos x="0" y="0"/>
            <wp:positionH relativeFrom="column">
              <wp:posOffset>643890</wp:posOffset>
            </wp:positionH>
            <wp:positionV relativeFrom="paragraph">
              <wp:posOffset>-510540</wp:posOffset>
            </wp:positionV>
            <wp:extent cx="11799570" cy="8410575"/>
            <wp:effectExtent l="0" t="0" r="11430" b="9525"/>
            <wp:wrapNone/>
            <wp:docPr id="20" name="图片 20" descr="乐安镇乐高污水处理厂管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乐安镇乐高污水处理厂管网"/>
                    <pic:cNvPicPr>
                      <a:picLocks noChangeAspect="1"/>
                    </pic:cNvPicPr>
                  </pic:nvPicPr>
                  <pic:blipFill>
                    <a:blip r:embed="rId49"/>
                    <a:srcRect t="9790" r="13755" b="1483"/>
                    <a:stretch>
                      <a:fillRect/>
                    </a:stretch>
                  </pic:blipFill>
                  <pic:spPr>
                    <a:xfrm>
                      <a:off x="0" y="0"/>
                      <a:ext cx="11799570" cy="8410575"/>
                    </a:xfrm>
                    <a:prstGeom prst="rect">
                      <a:avLst/>
                    </a:prstGeom>
                  </pic:spPr>
                </pic:pic>
              </a:graphicData>
            </a:graphic>
          </wp:anchor>
        </w:drawing>
      </w: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rPr>
          <w:rFonts w:hint="default" w:ascii="Times New Roman" w:hAnsi="Times New Roman" w:cs="Times New Roman"/>
          <w:b/>
          <w:bCs/>
          <w:highlight w:val="none"/>
        </w:rPr>
      </w:pPr>
    </w:p>
    <w:p>
      <w:pPr>
        <w:pStyle w:val="9"/>
        <w:jc w:val="center"/>
        <w:outlineLvl w:val="1"/>
        <w:rPr>
          <w:rFonts w:hint="default" w:ascii="Times New Roman" w:hAnsi="Times New Roman" w:cs="Times New Roman"/>
          <w:color w:val="7030A0"/>
          <w:highlight w:val="none"/>
        </w:rPr>
        <w:sectPr>
          <w:type w:val="continuous"/>
          <w:pgSz w:w="23757" w:h="16783" w:orient="landscape"/>
          <w:pgMar w:top="1800" w:right="1644" w:bottom="1800" w:left="1814" w:header="851" w:footer="992" w:gutter="0"/>
          <w:cols w:space="720" w:num="1"/>
          <w:docGrid w:type="lines" w:linePitch="312" w:charSpace="0"/>
        </w:sectPr>
      </w:pPr>
      <w:bookmarkStart w:id="262" w:name="_Toc26543"/>
      <w:r>
        <w:rPr>
          <w:rFonts w:hint="default" w:ascii="Times New Roman" w:hAnsi="Times New Roman" w:cs="Times New Roman"/>
          <w:b/>
          <w:bCs/>
          <w:color w:val="7030A0"/>
          <w:highlight w:val="none"/>
        </w:rPr>
        <w:t>附图</w:t>
      </w:r>
      <w:r>
        <w:rPr>
          <w:rFonts w:hint="default" w:ascii="Times New Roman" w:hAnsi="Times New Roman" w:cs="Times New Roman"/>
          <w:b/>
          <w:bCs/>
          <w:color w:val="7030A0"/>
          <w:highlight w:val="none"/>
          <w:lang w:val="en-US" w:eastAsia="zh-CN"/>
        </w:rPr>
        <w:t>5</w:t>
      </w:r>
      <w:r>
        <w:rPr>
          <w:rFonts w:hint="default" w:ascii="Times New Roman" w:hAnsi="Times New Roman" w:cs="Times New Roman"/>
          <w:b/>
          <w:bCs/>
          <w:color w:val="7030A0"/>
          <w:highlight w:val="none"/>
        </w:rPr>
        <w:t xml:space="preserve">  纳污管网图</w:t>
      </w:r>
      <w:bookmarkEnd w:id="262"/>
    </w:p>
    <w:p>
      <w:pPr>
        <w:jc w:val="center"/>
        <w:rPr>
          <w:rFonts w:hint="default" w:ascii="Times New Roman" w:hAnsi="Times New Roman" w:cs="Times New Roman"/>
          <w:highlight w:val="none"/>
        </w:rPr>
      </w:pPr>
      <w:r>
        <w:rPr>
          <w:rFonts w:hint="default" w:ascii="Times New Roman" w:hAnsi="Times New Roman" w:cs="Times New Roman"/>
          <w:sz w:val="24"/>
          <w:szCs w:val="24"/>
          <w:highlight w:val="none"/>
        </w:rPr>
        <w:drawing>
          <wp:inline distT="0" distB="0" distL="114300" distR="114300">
            <wp:extent cx="6856095" cy="4921885"/>
            <wp:effectExtent l="0" t="0" r="1905" b="5715"/>
            <wp:docPr id="9" name="图片 2" descr="16399315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1639931514(1)"/>
                    <pic:cNvPicPr>
                      <a:picLocks noChangeAspect="1"/>
                    </pic:cNvPicPr>
                  </pic:nvPicPr>
                  <pic:blipFill>
                    <a:blip r:embed="rId50"/>
                    <a:stretch>
                      <a:fillRect/>
                    </a:stretch>
                  </pic:blipFill>
                  <pic:spPr>
                    <a:xfrm>
                      <a:off x="0" y="0"/>
                      <a:ext cx="6856095" cy="4921885"/>
                    </a:xfrm>
                    <a:prstGeom prst="rect">
                      <a:avLst/>
                    </a:prstGeom>
                    <a:noFill/>
                    <a:ln>
                      <a:noFill/>
                    </a:ln>
                  </pic:spPr>
                </pic:pic>
              </a:graphicData>
            </a:graphic>
          </wp:inline>
        </w:drawing>
      </w:r>
    </w:p>
    <w:p>
      <w:pPr>
        <w:jc w:val="center"/>
        <w:outlineLvl w:val="1"/>
        <w:rPr>
          <w:rFonts w:hint="default" w:ascii="Times New Roman" w:hAnsi="Times New Roman" w:cs="Times New Roman"/>
          <w:b/>
          <w:bCs/>
          <w:highlight w:val="none"/>
        </w:rPr>
        <w:sectPr>
          <w:pgSz w:w="16838" w:h="11906" w:orient="landscape"/>
          <w:pgMar w:top="1800" w:right="1644" w:bottom="1800" w:left="1814" w:header="851" w:footer="992" w:gutter="0"/>
          <w:cols w:space="720" w:num="1"/>
          <w:docGrid w:type="lines" w:linePitch="312" w:charSpace="0"/>
        </w:sectPr>
      </w:pPr>
      <w:bookmarkStart w:id="263" w:name="_Toc21994"/>
      <w:r>
        <w:rPr>
          <w:rFonts w:hint="default" w:ascii="Times New Roman" w:hAnsi="Times New Roman" w:cs="Times New Roman"/>
          <w:b/>
          <w:bCs/>
          <w:highlight w:val="none"/>
        </w:rPr>
        <w:t>附图</w:t>
      </w:r>
      <w:r>
        <w:rPr>
          <w:rFonts w:hint="default" w:ascii="Times New Roman" w:hAnsi="Times New Roman" w:cs="Times New Roman"/>
          <w:b/>
          <w:bCs/>
          <w:highlight w:val="none"/>
          <w:lang w:val="en-US" w:eastAsia="zh-CN"/>
        </w:rPr>
        <w:t>6</w:t>
      </w:r>
      <w:r>
        <w:rPr>
          <w:rFonts w:hint="default" w:ascii="Times New Roman" w:hAnsi="Times New Roman" w:cs="Times New Roman"/>
          <w:b/>
          <w:bCs/>
          <w:highlight w:val="none"/>
        </w:rPr>
        <w:t xml:space="preserve">  厂区平面布置示意图</w:t>
      </w:r>
      <w:bookmarkEnd w:id="263"/>
    </w:p>
    <w:p>
      <w:pPr>
        <w:jc w:val="center"/>
        <w:rPr>
          <w:rFonts w:hint="default" w:ascii="Times New Roman" w:hAnsi="Times New Roman" w:cs="Times New Roman"/>
          <w:highlight w:val="none"/>
        </w:rPr>
      </w:pPr>
      <w:r>
        <w:rPr>
          <w:rFonts w:hint="default" w:ascii="Times New Roman" w:hAnsi="Times New Roman" w:cs="Times New Roman"/>
          <w:highlight w:val="none"/>
        </w:rPr>
        <mc:AlternateContent>
          <mc:Choice Requires="wps">
            <w:drawing>
              <wp:anchor distT="0" distB="0" distL="114300" distR="114300" simplePos="0" relativeHeight="251688960" behindDoc="0" locked="0" layoutInCell="1" allowOverlap="1">
                <wp:simplePos x="0" y="0"/>
                <wp:positionH relativeFrom="column">
                  <wp:posOffset>1775460</wp:posOffset>
                </wp:positionH>
                <wp:positionV relativeFrom="paragraph">
                  <wp:posOffset>1717040</wp:posOffset>
                </wp:positionV>
                <wp:extent cx="1341120" cy="433705"/>
                <wp:effectExtent l="0" t="0" r="0" b="5080"/>
                <wp:wrapNone/>
                <wp:docPr id="22" name="文本框 22"/>
                <wp:cNvGraphicFramePr/>
                <a:graphic xmlns:a="http://schemas.openxmlformats.org/drawingml/2006/main">
                  <a:graphicData uri="http://schemas.microsoft.com/office/word/2010/wordprocessingShape">
                    <wps:wsp>
                      <wps:cNvSpPr txBox="1"/>
                      <wps:spPr>
                        <a:xfrm>
                          <a:off x="0" y="0"/>
                          <a:ext cx="1341120" cy="433449"/>
                        </a:xfrm>
                        <a:prstGeom prst="rect">
                          <a:avLst/>
                        </a:prstGeom>
                        <a:noFill/>
                        <a:ln>
                          <a:noFill/>
                        </a:ln>
                        <a:effectLst/>
                      </wps:spPr>
                      <wps:txbx>
                        <w:txbxContent>
                          <w:p>
                            <w:pPr>
                              <w:jc w:val="center"/>
                              <w:outlineLvl w:val="1"/>
                              <w:rPr>
                                <w:b/>
                                <w:bCs/>
                                <w:color w:val="70AD47" w:themeColor="accent6"/>
                                <w:sz w:val="24"/>
                                <w:szCs w:val="24"/>
                                <w14:shadow w14:blurRad="69850" w14:dist="43180" w14:dir="5400000" w14:sx="0" w14:sy="0" w14:kx="0" w14:ky="0" w14:algn="none">
                                  <w14:srgbClr w14:val="000000">
                                    <w14:alpha w14:val="35000"/>
                                  </w14:srgbClr>
                                </w14:shadow>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hint="eastAsia"/>
                                <w:b/>
                                <w:bCs/>
                                <w:color w:val="70AD47" w:themeColor="accent6"/>
                                <w:sz w:val="24"/>
                                <w:szCs w:val="24"/>
                                <w14:shadow w14:blurRad="69850" w14:dist="43180" w14:dir="5400000" w14:sx="0" w14:sy="0" w14:kx="0" w14:ky="0" w14:algn="none">
                                  <w14:srgbClr w14:val="000000">
                                    <w14:alpha w14:val="35000"/>
                                  </w14:srgbClr>
                                </w14:shadow>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洢水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39.8pt;margin-top:135.2pt;height:34.15pt;width:105.6pt;z-index:251688960;mso-width-relative:page;mso-height-relative:page;" filled="f" stroked="f" coordsize="21600,21600" o:gfxdata="UEsDBAoAAAAAAIdO4kAAAAAAAAAAAAAAAAAEAAAAZHJzL1BLAwQUAAAACACHTuJAcIUkc9gAAAAL&#10;AQAADwAAAGRycy9kb3ducmV2LnhtbE2PwW7CMAyG75N4h8iTdhsJ0AHtmnJg2nXTgE3aLTSmrdY4&#10;VRNo9/Yzp3Gz5U+/vz/fjK4VF+xD40nDbKpAIJXeNlRpOOxfH9cgQjRkTesJNfxigE0xuctNZv1A&#10;H3jZxUpwCIXMaKhj7DIpQ1mjM2HqOyS+nXzvTOS1r6TtzcDhrpVzpZbSmYb4Q2063NZY/uzOTsPn&#10;2+n7K1Hv1Yt76gY/KkkulVo/3M/UM4iIY/yH4arP6lCw09GfyQbRapiv0iWj10ElIJhIUsVljhoW&#10;i/UKZJHL2w7FH1BLAwQUAAAACACHTuJAwWpKGx0CAAAfBAAADgAAAGRycy9lMm9Eb2MueG1srVPN&#10;jtMwEL4j8Q6W7zRNG362aroquypCqtiVCuLsOnZjKfYY221SHgDeYE9cuPNcfQ7GTtstPyfExRnP&#10;TD7PfPPN9LrTDdkJ5xWYkuaDISXCcKiU2ZT0w/vFs1eU+MBMxRowoqR74en17OmTaWsnYgQ1NJVw&#10;BEGMn7S2pHUIdpJlntdCMz8AKwwGJTjNAl7dJqscaxFdN9loOHyRteAq64AL79F72wfpLOFLKXi4&#10;k9KLQJqSYm0hnS6d63hmsymbbByzteLHMtg/VKGZMvjoGeqWBUa2Tv0BpRV34EGGAQedgZSKi9QD&#10;dpMPf+tmVTMrUi9Ijrdnmvz/g+XvdveOqKqkoxElhmmc0eHh6+Hbj8P3LwR9SFBr/QTzVhYzQ/ca&#10;Ohz0ye/RGfvupNPxix0RjCPV+zO9oguEx5/GRZ6PMMQxVozHRXEVYbLHv63z4Y0ATaJRUofjS6yy&#10;3dKHPvWUEh8zsFBNk0bYmF8ciNl7RNLA8e/YSF9wtEK37o7draHaY3MOen14yxcKK1gyH+6ZQ0Fg&#10;0SjycIeHbKAtKRwtSmpwn//mj/k4J4xS0qLASuo/bZkTlDRvDU7wKi+KqMh0KZ6/jMS4y8j6MmK2&#10;+gZQwzmuk+XJjPmhOZnSgf6IuzCPr2KIGY5vlzSczJvQyx53iYv5PCWhBi0LS7OyPEL3FM63AaRK&#10;dEeaem5wTPGCKkwDO25MlPnlPWU97vXsJ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HCFJHPYAAAA&#10;CwEAAA8AAAAAAAAAAQAgAAAAIgAAAGRycy9kb3ducmV2LnhtbFBLAQIUABQAAAAIAIdO4kDBakob&#10;HQIAAB8EAAAOAAAAAAAAAAEAIAAAACcBAABkcnMvZTJvRG9jLnhtbFBLBQYAAAAABgAGAFkBAAC2&#10;BQAAAAA=&#10;">
                <v:fill on="f" focussize="0,0"/>
                <v:stroke on="f"/>
                <v:imagedata o:title=""/>
                <o:lock v:ext="edit" aspectratio="f"/>
                <v:textbox>
                  <w:txbxContent>
                    <w:p>
                      <w:pPr>
                        <w:jc w:val="center"/>
                        <w:outlineLvl w:val="1"/>
                        <w:rPr>
                          <w:b/>
                          <w:bCs/>
                          <w:color w:val="70AD47" w:themeColor="accent6"/>
                          <w:sz w:val="24"/>
                          <w:szCs w:val="24"/>
                          <w14:shadow w14:blurRad="69850" w14:dist="43180" w14:dir="5400000" w14:sx="0" w14:sy="0" w14:kx="0" w14:ky="0" w14:algn="none">
                            <w14:srgbClr w14:val="000000">
                              <w14:alpha w14:val="35000"/>
                            </w14:srgbClr>
                          </w14:shadow>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rFonts w:hint="eastAsia"/>
                          <w:b/>
                          <w:bCs/>
                          <w:color w:val="70AD47" w:themeColor="accent6"/>
                          <w:sz w:val="24"/>
                          <w:szCs w:val="24"/>
                          <w14:shadow w14:blurRad="69850" w14:dist="43180" w14:dir="5400000" w14:sx="0" w14:sy="0" w14:kx="0" w14:ky="0" w14:algn="none">
                            <w14:srgbClr w14:val="000000">
                              <w14:alpha w14:val="35000"/>
                            </w14:srgbClr>
                          </w14:shadow>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洢水</w:t>
                      </w:r>
                    </w:p>
                  </w:txbxContent>
                </v:textbox>
              </v:shape>
            </w:pict>
          </mc:Fallback>
        </mc:AlternateContent>
      </w:r>
      <w:r>
        <w:rPr>
          <w:rFonts w:hint="default" w:ascii="Times New Roman" w:hAnsi="Times New Roman" w:cs="Times New Roman"/>
          <w:highlight w:val="none"/>
        </w:rPr>
        <w:drawing>
          <wp:inline distT="0" distB="0" distL="114300" distR="114300">
            <wp:extent cx="6242050" cy="3740150"/>
            <wp:effectExtent l="0" t="0" r="6350" b="6350"/>
            <wp:docPr id="6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7"/>
                    <pic:cNvPicPr>
                      <a:picLocks noChangeAspect="1"/>
                    </pic:cNvPicPr>
                  </pic:nvPicPr>
                  <pic:blipFill>
                    <a:blip r:embed="rId51"/>
                    <a:stretch>
                      <a:fillRect/>
                    </a:stretch>
                  </pic:blipFill>
                  <pic:spPr>
                    <a:xfrm>
                      <a:off x="0" y="0"/>
                      <a:ext cx="6242050" cy="3740150"/>
                    </a:xfrm>
                    <a:prstGeom prst="rect">
                      <a:avLst/>
                    </a:prstGeom>
                    <a:noFill/>
                    <a:ln>
                      <a:noFill/>
                    </a:ln>
                  </pic:spPr>
                </pic:pic>
              </a:graphicData>
            </a:graphic>
          </wp:inline>
        </w:drawing>
      </w:r>
      <w:r>
        <w:rPr>
          <w:rFonts w:hint="default" w:ascii="Times New Roman" w:hAnsi="Times New Roman" w:cs="Times New Roman"/>
          <w:highlight w:val="none"/>
        </w:rPr>
        <mc:AlternateContent>
          <mc:Choice Requires="wps">
            <w:drawing>
              <wp:anchor distT="0" distB="0" distL="114300" distR="114300" simplePos="0" relativeHeight="251667456" behindDoc="0" locked="0" layoutInCell="1" allowOverlap="1">
                <wp:simplePos x="0" y="0"/>
                <wp:positionH relativeFrom="column">
                  <wp:posOffset>2910205</wp:posOffset>
                </wp:positionH>
                <wp:positionV relativeFrom="paragraph">
                  <wp:posOffset>2353310</wp:posOffset>
                </wp:positionV>
                <wp:extent cx="76200" cy="76200"/>
                <wp:effectExtent l="8890" t="8890" r="16510" b="16510"/>
                <wp:wrapNone/>
                <wp:docPr id="65" name="菱形 65"/>
                <wp:cNvGraphicFramePr/>
                <a:graphic xmlns:a="http://schemas.openxmlformats.org/drawingml/2006/main">
                  <a:graphicData uri="http://schemas.microsoft.com/office/word/2010/wordprocessingShape">
                    <wps:wsp>
                      <wps:cNvSpPr/>
                      <wps:spPr>
                        <a:xfrm flipV="1">
                          <a:off x="4018280" y="2515870"/>
                          <a:ext cx="76200" cy="76200"/>
                        </a:xfrm>
                        <a:prstGeom prst="diamond">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 type="#_x0000_t4" style="position:absolute;left:0pt;flip:y;margin-left:229.15pt;margin-top:185.3pt;height:6pt;width:6pt;z-index:251667456;v-text-anchor:middle;mso-width-relative:page;mso-height-relative:page;" fillcolor="#FF0000" filled="t" stroked="t" coordsize="21600,21600" o:gfxdata="UEsDBAoAAAAAAIdO4kAAAAAAAAAAAAAAAAAEAAAAZHJzL1BLAwQUAAAACACHTuJAwqx8StkAAAAL&#10;AQAADwAAAGRycy9kb3ducmV2LnhtbE2PwUrEMBCG74LvEEbwIm6y3dqW2nRZhIInwV3xnG2yabGZ&#10;lCbb1rd3POlx/vn455tqv7qBzWYKvUcJ240AZrD1ukcr4ePUPBbAQlSo1eDRSPg2Afb17U2lSu0X&#10;fDfzMVpGJRhKJaGLcSw5D21nnAobPxqk3cVPTkUaJ8v1pBYqdwNPhMi4Uz3ShU6N5qUz7dfx6iT4&#10;h89keT1cGptye5hD7t+a1Ut5f7cVz8CiWeMfDL/6pA41OZ39FXVgg4T0qdgRKmGXiwwYEWkuKDlT&#10;UiQZ8Lri/3+ofwBQSwMEFAAAAAgAh07iQGf/f0BjAgAAvgQAAA4AAABkcnMvZTJvRG9jLnhtbK1U&#10;S44TMRDdI3EHy3umkyiZhGg6o2hGQUgjZqThs3bcdtqSf9jOZ7gEd+AGHIDjIHEMnt2d+QALhMjC&#10;qnJVv6p6fpWz84PRZCdCVM7WdHgyoERY7hplNzV993b1YkZJTMw2TDsranonIj1fPH92tvdzMXKt&#10;040IBCA2zve+pm1Kfl5VkbfCsHjivLAIShcMS3DDpmoC2wPd6Go0GJxWexcaHxwXMeL2sgvSRcGX&#10;UvB0LWUUieiaordUzlDOdT6rxRmbbwLzreJ9G+wfujBMWRS9h7pkiZFtUL9BGcWDi06mE+5M5aRU&#10;XJQZMM1w8Ms0ty3zoswCcqK/pyn+P1j+ZncTiGpqejqhxDKDN/rx+ev3b18ILsDO3sc5km79Tei9&#10;CDOPepDBEKmVf4+HL8NjHHKo6XgwnI1mYPuupqPJcDKb9jyLQyIcCdNTPB0lHPHOBHLVAWZgH2J6&#10;JZwh2ahpo5hxtikV2O4qpi77mJW/iE6rZqW0Lk7YrC90IDuGN1+tBvjlQVDgSZq2ZI/GR9PSCoP2&#10;pGYJXRkPNqLdUML0BqLmKZTaT76Of1ckN3nJYts1UxA6yRmVoHutTE1nucNji9qi08x5x3K21q65&#10;wxsF14k3er5SgL1iMd2wALWCSmxgusYhtcNQrrcoaV349Kf7nA8RIUrJHurHwB+3LAhK9GsLeb0c&#10;jsd5XYoznkxHcMLjyPpxxG7NhQPZQ+y658XM+UkfTRmc+YBFXeaqCDHLUbujtncuUreVWHUulsuS&#10;hhXxLF3ZW8+PErNuuU1OqiKCB3Z60rAk5aH7hc5b+NgvWQ9/O4u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wqx8StkAAAALAQAADwAAAAAAAAABACAAAAAiAAAAZHJzL2Rvd25yZXYueG1sUEsBAhQA&#10;FAAAAAgAh07iQGf/f0BjAgAAvgQAAA4AAAAAAAAAAQAgAAAAKAEAAGRycy9lMm9Eb2MueG1sUEsF&#10;BgAAAAAGAAYAWQEAAP0FAAAAAA==&#10;">
                <v:fill on="t" focussize="0,0"/>
                <v:stroke weight="1pt" color="#FF0000 [3204]" miterlimit="8" joinstyle="miter"/>
                <v:imagedata o:title=""/>
                <o:lock v:ext="edit" aspectratio="f"/>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668480" behindDoc="0" locked="0" layoutInCell="1" allowOverlap="1">
                <wp:simplePos x="0" y="0"/>
                <wp:positionH relativeFrom="column">
                  <wp:posOffset>2929890</wp:posOffset>
                </wp:positionH>
                <wp:positionV relativeFrom="paragraph">
                  <wp:posOffset>2405380</wp:posOffset>
                </wp:positionV>
                <wp:extent cx="1162050" cy="307975"/>
                <wp:effectExtent l="0" t="0" r="0" b="0"/>
                <wp:wrapNone/>
                <wp:docPr id="66" name="文本框 66"/>
                <wp:cNvGraphicFramePr/>
                <a:graphic xmlns:a="http://schemas.openxmlformats.org/drawingml/2006/main">
                  <a:graphicData uri="http://schemas.microsoft.com/office/word/2010/wordprocessingShape">
                    <wps:wsp>
                      <wps:cNvSpPr txBox="1"/>
                      <wps:spPr>
                        <a:xfrm>
                          <a:off x="3982720" y="2320290"/>
                          <a:ext cx="1162050" cy="3079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b/>
                                <w:bCs/>
                                <w:color w:val="FF0000"/>
                              </w:rPr>
                            </w:pPr>
                            <w:r>
                              <w:rPr>
                                <w:rFonts w:hint="eastAsia"/>
                                <w:b/>
                                <w:bCs/>
                                <w:color w:val="FF0000"/>
                              </w:rPr>
                              <w:t>本项目所在地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0.7pt;margin-top:189.4pt;height:24.25pt;width:91.5pt;z-index:251668480;mso-width-relative:page;mso-height-relative:page;" filled="f" stroked="f" coordsize="21600,21600" o:gfxdata="UEsDBAoAAAAAAIdO4kAAAAAAAAAAAAAAAAAEAAAAZHJzL1BLAwQUAAAACACHTuJA4cKXNtsAAAAL&#10;AQAADwAAAGRycy9kb3ducmV2LnhtbE2PzU7DMBCE70i8g7VI3KiTNKRRiFOhSBUSgkNLL9w2sZtE&#10;xOsQuz/w9CwnOO7Mp9mZcn2xoziZ2Q+OFMSLCISh1umBOgX7t81dDsIHJI2jI6Pgy3hYV9dXJRba&#10;nWlrTrvQCQ4hX6CCPoSpkNK3vbHoF24yxN7BzRYDn3Mn9YxnDrejTKIokxYH4g89TqbuTfuxO1oF&#10;z/XmFbdNYvPvsX56OTxOn/v3e6Vub+LoAUQwl/AHw299rg4Vd2rckbQXo4I0i1NGFSxXOW9gIktT&#10;Vhq2ktUSZFXK/xuqH1BLAwQUAAAACACHTuJAujIYPyoCAAAmBAAADgAAAGRycy9lMm9Eb2MueG1s&#10;rVPNjtMwEL4j8Q6W7zRp+rPbqumq7KoIqWJXKoiz6zhtJNtjbLdJeQB4gz1x4c5z9TkYO+lu+Tkh&#10;Ls7YM/lm5ptvZjeNkuQgrKtA57TfSykRmkNR6W1OP7xfvrqmxHmmCyZBi5wehaM385cvZrWZigx2&#10;IAthCYJoN61NTnfem2mSOL4TirkeGKHRWYJVzOPVbpPCshrRlUyyNB0nNdjCWODCOXy9a510HvHL&#10;UnB/X5ZOeCJzirX5eNp4bsKZzGdsurXM7CrelcH+oQrFKo1Jn6DumGdkb6s/oFTFLTgofY+DSqAs&#10;Ky5iD9hNP/2tm/WOGRF7QXKceaLJ/T9Y/u7wYElV5HQ8pkQzhTM6PX49fftx+v6F4BsSVBs3xbi1&#10;wUjfvIYGB31+d/gY+m5Kq8IXOyLoH0yus6sMCT/mNBtkaTbpqBaNJzwA9MdZOsIAjhGD9GpyNQqQ&#10;yTOSsc6/EaBIMHJqcZSRYXZYOd+GnkNCYg3LSso4TqlJjf0MEP4XD4JLjTlCP23dwfLNpuma3EBx&#10;xB4ttDJxhi8rTL5izj8wi7rAelHr/h6PUgImgc6iZAf289/eQzyOC72U1KiznLpPe2YFJfKtxkFO&#10;+sNhEGa8DEeRNHvp2Vx69F7dAkq5j1tleDTxZ+vl2SwtqI+4EouQFV1Mc8ydU382b32rflwpLhaL&#10;GIRSNMyv9NrwAN2Stth7KKvIdKCp5aZjD8UYZ9UtTlD75T1GPa/3/C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hwpc22wAAAAsBAAAPAAAAAAAAAAEAIAAAACIAAABkcnMvZG93bnJldi54bWxQSwEC&#10;FAAUAAAACACHTuJAujIYPyoCAAAmBAAADgAAAAAAAAABACAAAAAqAQAAZHJzL2Uyb0RvYy54bWxQ&#10;SwUGAAAAAAYABgBZAQAAxgUAAAAA&#10;">
                <v:fill on="f" focussize="0,0"/>
                <v:stroke on="f" weight="0.5pt"/>
                <v:imagedata o:title=""/>
                <o:lock v:ext="edit" aspectratio="f"/>
                <v:textbox>
                  <w:txbxContent>
                    <w:p>
                      <w:pPr>
                        <w:rPr>
                          <w:b/>
                          <w:bCs/>
                          <w:color w:val="FF0000"/>
                        </w:rPr>
                      </w:pPr>
                      <w:r>
                        <w:rPr>
                          <w:rFonts w:hint="eastAsia"/>
                          <w:b/>
                          <w:bCs/>
                          <w:color w:val="FF0000"/>
                        </w:rPr>
                        <w:t>本项目所在地</w:t>
                      </w:r>
                    </w:p>
                  </w:txbxContent>
                </v:textbox>
              </v:shape>
            </w:pict>
          </mc:Fallback>
        </mc:AlternateContent>
      </w:r>
    </w:p>
    <w:p>
      <w:pPr>
        <w:jc w:val="center"/>
        <w:rPr>
          <w:rFonts w:hint="default" w:ascii="Times New Roman" w:hAnsi="Times New Roman" w:cs="Times New Roman"/>
          <w:highlight w:val="none"/>
        </w:rPr>
      </w:pPr>
    </w:p>
    <w:p>
      <w:pPr>
        <w:jc w:val="center"/>
        <w:outlineLvl w:val="1"/>
        <w:rPr>
          <w:rFonts w:hint="default" w:ascii="Times New Roman" w:hAnsi="Times New Roman" w:cs="Times New Roman"/>
          <w:b/>
          <w:bCs/>
          <w:color w:val="7030A0"/>
          <w:highlight w:val="none"/>
        </w:rPr>
        <w:sectPr>
          <w:pgSz w:w="16838" w:h="11906" w:orient="landscape"/>
          <w:pgMar w:top="1800" w:right="1644" w:bottom="1800" w:left="1814" w:header="851" w:footer="992" w:gutter="0"/>
          <w:cols w:space="720" w:num="1"/>
          <w:docGrid w:type="lines" w:linePitch="312" w:charSpace="0"/>
        </w:sectPr>
      </w:pPr>
      <w:bookmarkStart w:id="264" w:name="_Toc7299"/>
      <w:r>
        <w:rPr>
          <w:rFonts w:hint="default" w:ascii="Times New Roman" w:hAnsi="Times New Roman" w:cs="Times New Roman"/>
          <w:b/>
          <w:bCs/>
          <w:color w:val="7030A0"/>
          <w:highlight w:val="none"/>
        </w:rPr>
        <w:t>附图</w:t>
      </w:r>
      <w:r>
        <w:rPr>
          <w:rFonts w:hint="default" w:ascii="Times New Roman" w:hAnsi="Times New Roman" w:cs="Times New Roman"/>
          <w:b/>
          <w:bCs/>
          <w:color w:val="7030A0"/>
          <w:highlight w:val="none"/>
          <w:lang w:val="en-US" w:eastAsia="zh-CN"/>
        </w:rPr>
        <w:t>7</w:t>
      </w:r>
      <w:r>
        <w:rPr>
          <w:rFonts w:hint="default" w:ascii="Times New Roman" w:hAnsi="Times New Roman" w:cs="Times New Roman"/>
          <w:b/>
          <w:bCs/>
          <w:color w:val="7030A0"/>
          <w:highlight w:val="none"/>
        </w:rPr>
        <w:t xml:space="preserve">  项目所在区域水系图</w:t>
      </w:r>
      <w:bookmarkEnd w:id="264"/>
    </w:p>
    <w:p>
      <w:pPr>
        <w:pStyle w:val="9"/>
        <w:jc w:val="center"/>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6721475" cy="4905375"/>
            <wp:effectExtent l="0" t="0" r="9525" b="9525"/>
            <wp:docPr id="87" name="图片 87" descr="adb3a0bc078f93a5ec080ab72ef30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adb3a0bc078f93a5ec080ab72ef30b7"/>
                    <pic:cNvPicPr>
                      <a:picLocks noChangeAspect="1"/>
                    </pic:cNvPicPr>
                  </pic:nvPicPr>
                  <pic:blipFill>
                    <a:blip r:embed="rId52"/>
                    <a:srcRect l="3107" t="3500" r="2929" b="3259"/>
                    <a:stretch>
                      <a:fillRect/>
                    </a:stretch>
                  </pic:blipFill>
                  <pic:spPr>
                    <a:xfrm>
                      <a:off x="0" y="0"/>
                      <a:ext cx="6721475" cy="4905375"/>
                    </a:xfrm>
                    <a:prstGeom prst="rect">
                      <a:avLst/>
                    </a:prstGeom>
                  </pic:spPr>
                </pic:pic>
              </a:graphicData>
            </a:graphic>
          </wp:inline>
        </w:drawing>
      </w:r>
    </w:p>
    <w:p>
      <w:pPr>
        <w:pStyle w:val="9"/>
        <w:jc w:val="center"/>
        <w:outlineLvl w:val="1"/>
        <w:rPr>
          <w:rFonts w:hint="default" w:ascii="Times New Roman" w:hAnsi="Times New Roman" w:cs="Times New Roman"/>
          <w:b/>
          <w:bCs/>
          <w:highlight w:val="none"/>
        </w:rPr>
      </w:pPr>
      <w:bookmarkStart w:id="265" w:name="_Toc26253"/>
      <w:r>
        <w:rPr>
          <w:rFonts w:hint="default" w:ascii="Times New Roman" w:hAnsi="Times New Roman" w:cs="Times New Roman"/>
          <w:b/>
          <w:bCs/>
          <w:highlight w:val="none"/>
        </w:rPr>
        <w:t>附图</w:t>
      </w:r>
      <w:r>
        <w:rPr>
          <w:rFonts w:hint="default" w:ascii="Times New Roman" w:hAnsi="Times New Roman" w:cs="Times New Roman"/>
          <w:b/>
          <w:bCs/>
          <w:highlight w:val="none"/>
          <w:lang w:val="en-US" w:eastAsia="zh-CN"/>
        </w:rPr>
        <w:t>8</w:t>
      </w:r>
      <w:r>
        <w:rPr>
          <w:rFonts w:hint="default" w:ascii="Times New Roman" w:hAnsi="Times New Roman" w:cs="Times New Roman"/>
          <w:b/>
          <w:bCs/>
          <w:highlight w:val="none"/>
        </w:rPr>
        <w:t xml:space="preserve">  项目水功能一级区划图</w:t>
      </w:r>
      <w:bookmarkEnd w:id="265"/>
    </w:p>
    <w:p>
      <w:pPr>
        <w:pStyle w:val="10"/>
        <w:rPr>
          <w:rFonts w:hint="default" w:ascii="Times New Roman" w:hAnsi="Times New Roman" w:cs="Times New Roman"/>
          <w:highlight w:val="none"/>
        </w:rPr>
        <w:sectPr>
          <w:pgSz w:w="16838" w:h="11906" w:orient="landscape"/>
          <w:pgMar w:top="1800" w:right="1644" w:bottom="1800" w:left="1814" w:header="851" w:footer="992" w:gutter="0"/>
          <w:cols w:space="720" w:num="1"/>
          <w:docGrid w:type="lines" w:linePitch="312" w:charSpace="0"/>
        </w:sectPr>
      </w:pPr>
    </w:p>
    <w:p>
      <w:pPr>
        <w:pStyle w:val="9"/>
        <w:ind w:left="422"/>
        <w:jc w:val="center"/>
        <w:outlineLvl w:val="1"/>
        <w:rPr>
          <w:rFonts w:hint="default" w:ascii="Times New Roman" w:hAnsi="Times New Roman" w:cs="Times New Roman"/>
          <w:highlight w:val="none"/>
        </w:rPr>
        <w:sectPr>
          <w:pgSz w:w="16838" w:h="11906" w:orient="landscape"/>
          <w:pgMar w:top="1800" w:right="1644" w:bottom="1800" w:left="1814" w:header="851" w:footer="992" w:gutter="0"/>
          <w:cols w:space="720" w:num="1"/>
          <w:docGrid w:type="lines" w:linePitch="312" w:charSpace="0"/>
        </w:sectPr>
      </w:pPr>
      <w:bookmarkStart w:id="266" w:name="_Toc31196"/>
      <w:r>
        <w:rPr>
          <w:rFonts w:hint="default" w:ascii="Times New Roman" w:hAnsi="Times New Roman" w:cs="Times New Roman"/>
          <w:highlight w:val="none"/>
        </w:rPr>
        <mc:AlternateContent>
          <mc:Choice Requires="wps">
            <w:drawing>
              <wp:anchor distT="0" distB="0" distL="114300" distR="114300" simplePos="0" relativeHeight="251738112" behindDoc="0" locked="0" layoutInCell="1" allowOverlap="1">
                <wp:simplePos x="0" y="0"/>
                <wp:positionH relativeFrom="column">
                  <wp:posOffset>967740</wp:posOffset>
                </wp:positionH>
                <wp:positionV relativeFrom="paragraph">
                  <wp:posOffset>2787650</wp:posOffset>
                </wp:positionV>
                <wp:extent cx="1475105" cy="479425"/>
                <wp:effectExtent l="6350" t="6350" r="785495" b="9525"/>
                <wp:wrapNone/>
                <wp:docPr id="28" name="矩形标注 28"/>
                <wp:cNvGraphicFramePr/>
                <a:graphic xmlns:a="http://schemas.openxmlformats.org/drawingml/2006/main">
                  <a:graphicData uri="http://schemas.microsoft.com/office/word/2010/wordprocessingShape">
                    <wps:wsp>
                      <wps:cNvSpPr/>
                      <wps:spPr>
                        <a:xfrm>
                          <a:off x="0" y="0"/>
                          <a:ext cx="1475105" cy="479425"/>
                        </a:xfrm>
                        <a:prstGeom prst="wedgeRectCallout">
                          <a:avLst>
                            <a:gd name="adj1" fmla="val 98687"/>
                            <a:gd name="adj2" fmla="val 19801"/>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项目所在处</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76.2pt;margin-top:219.5pt;height:37.75pt;width:116.15pt;z-index:251738112;v-text-anchor:middle;mso-width-relative:page;mso-height-relative:page;" filled="f" stroked="t" coordsize="21600,21600" o:gfxdata="UEsDBAoAAAAAAIdO4kAAAAAAAAAAAAAAAAAEAAAAZHJzL1BLAwQUAAAACACHTuJAnw1TBNgAAAAL&#10;AQAADwAAAGRycy9kb3ducmV2LnhtbE2Py07DMBBF90j8gzVI7KiTNIES4lQCiQ/oQ4XunHiII/yI&#10;YicNf8+wosurObpzbrVdrGEzjqH3TkC6SoCha73qXSfgeHh/2AALUToljXco4AcDbOvbm0qWyl/c&#10;Dud97BiVuFBKATrGoeQ8tBqtDCs/oKPblx+tjBTHjqtRXqjcGp4lySO3snf0QcsB3zS23/vJCphP&#10;r2ft8ZiaU4PNx3naZYfPRYj7uzR5ARZxif8w/OmTOtTk1PjJqcAM5SLLCRWQr59pFBHrTf4ErBFQ&#10;pHkBvK749Yb6F1BLAwQUAAAACACHTuJAflNAYIkCAADtBAAADgAAAGRycy9lMm9Eb2MueG1srVRL&#10;bxMxEL4j8R8s3+k+lDQPdVNFiYqQKlpREGfHa+8a+YXtZFP+AD8DxAnOnPk5lL/B2LtNw+OEyMGZ&#10;8Yzn8X0ze3a+VxLtmPPC6AoXJzlGTFNTC91U+NXLiydTjHwguibSaFbhW+bx+eLxo7POzllpWiNr&#10;5hAE0X7e2Qq3Idh5lnnaMkX8ibFMg5Ebp0gA1TVZ7UgH0ZXMyjw/zTrjausMZd7D7bo34kWKzzmj&#10;4YpzzwKSFYbaQjpdOjfxzBZnZN44YltBhzLIP1ShiNCQ9BBqTQJBWyf+CKUEdcYbHk6oUZnhXFCW&#10;eoBuivy3bm5aYlnqBcDx9gCT/39h6fPdtUOirnAJTGmigKMfH758//bp7uP7u6+fEVwDRp31c3C9&#10;sddu0DyIseE9dyr+Qyton3C9PeDK9gFRuCxGk3GRjzGiYBtNZqNyHINmD6+t8+EpMwpFocIdqxv2&#10;AshbESnNNiRoye7Sh4RxPRRK6jcFRlxJoGxHJJpNT6eTgdIjn/LYp5hN82LIPkSEOu7zx/DaXAgp&#10;02BIjToov5zkMDuUwHxySQKIygJiXjcYEdnA4NPgUo3eSFHH5zGQd81mJR2C0gCS9BsS/+IWc6+J&#10;b3u/ZOp7UCLAbkihKjw9fi01YBcZ6TmIUthv9gMxG1PfAqXO9LPuLb0QkOGS+HBNHCAFrcDChis4&#10;uDTQnxkkjFrj3v3tPvrDzIEVow6WBXp/uyWOYSSfaZjGWTEaxe1Kymg8KUFxx5bNsUVv1coAJMAd&#10;VJfE6B/kvcidUa9hr5cxK5iIppC7R3lQVqFfYvgyULZcJjfYKEvCpb6xNAbvuVxug+EixHGLQPXo&#10;DArsVJrCYf/j0h7ryevhK7X4C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J8NUwTYAAAACwEAAA8A&#10;AAAAAAAAAQAgAAAAIgAAAGRycy9kb3ducmV2LnhtbFBLAQIUABQAAAAIAIdO4kB+U0BgiQIAAO0E&#10;AAAOAAAAAAAAAAEAIAAAACcBAABkcnMvZTJvRG9jLnhtbFBLBQYAAAAABgAGAFkBAAAiBgAAAAA=&#10;" adj="32116,15077">
                <v:fill on="f" focussize="0,0"/>
                <v:stroke weight="1pt" color="#000000 [3213]" miterlimit="8" joinstyle="miter"/>
                <v:imagedata o:title=""/>
                <o:lock v:ext="edit" aspectratio="f"/>
                <v:textbox>
                  <w:txbxContent>
                    <w:p>
                      <w:pPr>
                        <w:jc w:val="center"/>
                        <w:rPr>
                          <w:color w:val="000000" w:themeColor="text1"/>
                          <w14:textFill>
                            <w14:solidFill>
                              <w14:schemeClr w14:val="tx1"/>
                            </w14:solidFill>
                          </w14:textFill>
                        </w:rPr>
                      </w:pPr>
                      <w:r>
                        <w:rPr>
                          <w:rFonts w:hint="eastAsia"/>
                          <w:color w:val="000000" w:themeColor="text1"/>
                          <w14:textFill>
                            <w14:solidFill>
                              <w14:schemeClr w14:val="tx1"/>
                            </w14:solidFill>
                          </w14:textFill>
                        </w:rPr>
                        <w:t>项目所在处</w:t>
                      </w:r>
                    </w:p>
                  </w:txbxContent>
                </v:textbox>
              </v:shape>
            </w:pict>
          </mc:Fallback>
        </mc:AlternateContent>
      </w:r>
      <w:r>
        <w:rPr>
          <w:rFonts w:hint="default" w:ascii="Times New Roman" w:hAnsi="Times New Roman" w:cs="Times New Roman"/>
          <w:highlight w:val="none"/>
        </w:rPr>
        <mc:AlternateContent>
          <mc:Choice Requires="wps">
            <w:drawing>
              <wp:anchor distT="0" distB="0" distL="114300" distR="114300" simplePos="0" relativeHeight="251737088" behindDoc="0" locked="0" layoutInCell="1" allowOverlap="1">
                <wp:simplePos x="0" y="0"/>
                <wp:positionH relativeFrom="column">
                  <wp:posOffset>3222625</wp:posOffset>
                </wp:positionH>
                <wp:positionV relativeFrom="paragraph">
                  <wp:posOffset>3060700</wp:posOffset>
                </wp:positionV>
                <wp:extent cx="112395" cy="113030"/>
                <wp:effectExtent l="18415" t="21590" r="21590" b="17780"/>
                <wp:wrapNone/>
                <wp:docPr id="29" name="五角星 29"/>
                <wp:cNvGraphicFramePr/>
                <a:graphic xmlns:a="http://schemas.openxmlformats.org/drawingml/2006/main">
                  <a:graphicData uri="http://schemas.microsoft.com/office/word/2010/wordprocessingShape">
                    <wps:wsp>
                      <wps:cNvSpPr/>
                      <wps:spPr>
                        <a:xfrm>
                          <a:off x="0" y="0"/>
                          <a:ext cx="112395" cy="11303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3.75pt;margin-top:241pt;height:8.9pt;width:8.85pt;z-index:251737088;v-text-anchor:middle;mso-width-relative:page;mso-height-relative:page;" fillcolor="#FF0000" filled="t" stroked="t" coordsize="112395,113030" o:gfxdata="UEsDBAoAAAAAAIdO4kAAAAAAAAAAAAAAAAAEAAAAZHJzL1BLAwQUAAAACACHTuJAQBqPFdoAAAAL&#10;AQAADwAAAGRycy9kb3ducmV2LnhtbE2PwU6DQBCG7ya+w2ZMvNndErGUsvRQ04MJMbF6sLcBtkBk&#10;Zwm7BXx7x5MeZ+bLP9+f7Rfbi8mMvnOkYb1SIAxVru6o0fDxfnxIQPiAVGPvyGj4Nh72+e1Nhmnt&#10;Znoz0yk0gkPIp6ihDWFIpfRVayz6lRsM8e3iRouBx7GR9Ygzh9teRko9SYsd8YcWB3NoTfV1uloN&#10;h818SV7L6vy8oD0Wn1Mxq5dC6/u7tdqBCGYJfzD86rM65OxUuivVXvQaYrWJGdXwmERciok4iiMQ&#10;JW+22wRknsn/HfIfUEsDBBQAAAAIAIdO4kAo2MbWWgIAAKsEAAAOAAAAZHJzL2Uyb0RvYy54bWyt&#10;VM1uEzEQviPxDpbvdLNpS9uomypqFYRU0UgFcXa8dtaS/7CdbMpjIA7cOPIOPA9CPAafvekfcECI&#10;HJwZz3h+vvlmT8+2RpONCFE529B6b0SJsNy1yq4a+ub1/NkxJTEx2zLtrGjojYj0bPr0yWnvJ2Ls&#10;OqdbEQiC2DjpfUO7lPykqiLvhGFxz3lhYZQuGJaghlXVBtYjutHVeDR6XvUutD44LmLE7cVgpNMS&#10;X0rB05WUUSSiG4raUjlDOZf5rKanbLIKzHeK78pg/1CFYcoi6V2oC5YYWQf1WyijeHDRybTHnamc&#10;lIqL0gO6qUe/dHPdMS9KLwAn+juY4v8Ly19tFoGotqHjE0osM5jRt68ff3z58P3TZ4I7ANT7OIHf&#10;tV+EnRYh5m63Mpj8jz7ItoB6cweq2CbCcVnX4/2TQ0o4THW9P9ovoFf3j32I6YVwhmShoWBLOCxY&#10;ss1lTMgI31ufnCw6rdq50rooYbU814FsGAY8n4/wyyXjySM3bUmP9OMjmAlnIJrULEE0Hq1Hu6KE&#10;6RUYzFMouR+9jn+XJBd5wWI3FFMiDPwyKoHkWpmGHucKb0vUFpVmdAc8s7R07Q0GEtzA1Oj5XCHs&#10;JYtpwQKoifqxbukKh9QOTbmdREnnwvs/3Wd/MAZWSnpQHQ2/W7MgKNEvLbh0Uh8c5N0oysHh0RhK&#10;eGhZPrTYtTl3ALvGYntexOyf9K0ogzNvsZWznBUmZjlyD9DulPM0rCD2movZrLhhHzxLl/ba8xw8&#10;D9e62To5qQoJ7tHZgYaNKIPebW9euYd68br/xkx/A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EAa&#10;jxXaAAAACwEAAA8AAAAAAAAAAQAgAAAAIgAAAGRycy9kb3ducmV2LnhtbFBLAQIUABQAAAAIAIdO&#10;4kAo2MbWWgIAAKsEAAAOAAAAAAAAAAEAIAAAACkBAABkcnMvZTJvRG9jLnhtbFBLBQYAAAAABgAG&#10;AFkBAAD1BQAAAAA=&#10;" path="m0,43173l42931,43173,56197,0,69463,43173,112394,43173,77662,69856,90929,113029,56197,86346,21465,113029,34732,69856xe">
                <v:path o:connectlocs="56197,0;0,43173;21465,113029;90929,113029;112394,43173" o:connectangles="247,164,82,82,0"/>
                <v:fill on="t" focussize="0,0"/>
                <v:stroke weight="1pt" color="#FF0000 [3204]" miterlimit="8" joinstyle="miter"/>
                <v:imagedata o:title=""/>
                <o:lock v:ext="edit" aspectratio="f"/>
              </v:shape>
            </w:pict>
          </mc:Fallback>
        </mc:AlternateContent>
      </w:r>
      <w:r>
        <w:rPr>
          <w:rFonts w:hint="default" w:ascii="Times New Roman" w:hAnsi="Times New Roman" w:cs="Times New Roman"/>
          <w:highlight w:val="none"/>
        </w:rPr>
        <w:drawing>
          <wp:inline distT="0" distB="0" distL="114300" distR="114300">
            <wp:extent cx="8485505" cy="4521200"/>
            <wp:effectExtent l="0" t="0" r="10795" b="0"/>
            <wp:docPr id="8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
                    <pic:cNvPicPr>
                      <a:picLocks noChangeAspect="1"/>
                    </pic:cNvPicPr>
                  </pic:nvPicPr>
                  <pic:blipFill>
                    <a:blip r:embed="rId53"/>
                    <a:stretch>
                      <a:fillRect/>
                    </a:stretch>
                  </pic:blipFill>
                  <pic:spPr>
                    <a:xfrm>
                      <a:off x="0" y="0"/>
                      <a:ext cx="8485505" cy="4521200"/>
                    </a:xfrm>
                    <a:prstGeom prst="rect">
                      <a:avLst/>
                    </a:prstGeom>
                    <a:noFill/>
                    <a:ln>
                      <a:noFill/>
                    </a:ln>
                  </pic:spPr>
                </pic:pic>
              </a:graphicData>
            </a:graphic>
          </wp:inline>
        </w:drawing>
      </w:r>
      <w:r>
        <w:rPr>
          <w:rFonts w:hint="default" w:ascii="Times New Roman" w:hAnsi="Times New Roman" w:cs="Times New Roman"/>
          <w:b/>
          <w:bCs/>
          <w:highlight w:val="none"/>
        </w:rPr>
        <w:t>附图</w:t>
      </w:r>
      <w:r>
        <w:rPr>
          <w:rFonts w:hint="default" w:ascii="Times New Roman" w:hAnsi="Times New Roman" w:cs="Times New Roman"/>
          <w:b/>
          <w:bCs/>
          <w:highlight w:val="none"/>
          <w:lang w:val="en-US" w:eastAsia="zh-CN"/>
        </w:rPr>
        <w:t>9</w:t>
      </w:r>
      <w:r>
        <w:rPr>
          <w:rFonts w:hint="default" w:ascii="Times New Roman" w:hAnsi="Times New Roman" w:cs="Times New Roman"/>
          <w:b/>
          <w:bCs/>
          <w:highlight w:val="none"/>
        </w:rPr>
        <w:t xml:space="preserve">  项目区域水功能区划图</w:t>
      </w:r>
      <w:bookmarkEnd w:id="266"/>
    </w:p>
    <w:tbl>
      <w:tblPr>
        <w:tblStyle w:val="2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798"/>
        <w:gridCol w:w="6798"/>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PrEx>
        <w:tc>
          <w:tcPr>
            <w:tcW w:w="6798" w:type="dxa"/>
          </w:tcPr>
          <w:p>
            <w:pPr>
              <w:pStyle w:val="9"/>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171950" cy="3127375"/>
                  <wp:effectExtent l="0" t="0" r="6350" b="9525"/>
                  <wp:docPr id="10" name="图片 10" descr="f5aede2a83b736f61708eeecc2eea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f5aede2a83b736f61708eeecc2eea64"/>
                          <pic:cNvPicPr>
                            <a:picLocks noChangeAspect="1"/>
                          </pic:cNvPicPr>
                        </pic:nvPicPr>
                        <pic:blipFill>
                          <a:blip r:embed="rId54"/>
                          <a:stretch>
                            <a:fillRect/>
                          </a:stretch>
                        </pic:blipFill>
                        <pic:spPr>
                          <a:xfrm>
                            <a:off x="0" y="0"/>
                            <a:ext cx="4171950" cy="3127375"/>
                          </a:xfrm>
                          <a:prstGeom prst="rect">
                            <a:avLst/>
                          </a:prstGeom>
                        </pic:spPr>
                      </pic:pic>
                    </a:graphicData>
                  </a:graphic>
                </wp:inline>
              </w:drawing>
            </w:r>
          </w:p>
        </w:tc>
        <w:tc>
          <w:tcPr>
            <w:tcW w:w="6798" w:type="dxa"/>
          </w:tcPr>
          <w:p>
            <w:pPr>
              <w:pStyle w:val="9"/>
              <w:rPr>
                <w:rFonts w:hint="default" w:ascii="Times New Roman" w:hAnsi="Times New Roman" w:cs="Times New Roman"/>
                <w:highlight w:val="none"/>
              </w:rPr>
            </w:pPr>
            <w:r>
              <w:rPr>
                <w:rFonts w:hint="default" w:ascii="Times New Roman" w:hAnsi="Times New Roman" w:cs="Times New Roman"/>
                <w:highlight w:val="none"/>
              </w:rPr>
              <w:drawing>
                <wp:inline distT="0" distB="0" distL="114300" distR="114300">
                  <wp:extent cx="4171950" cy="3127375"/>
                  <wp:effectExtent l="0" t="0" r="6350" b="9525"/>
                  <wp:docPr id="11" name="图片 11" descr="b6670ca505d79466bf294b0786b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b6670ca505d79466bf294b0786b0726"/>
                          <pic:cNvPicPr>
                            <a:picLocks noChangeAspect="1"/>
                          </pic:cNvPicPr>
                        </pic:nvPicPr>
                        <pic:blipFill>
                          <a:blip r:embed="rId55"/>
                          <a:stretch>
                            <a:fillRect/>
                          </a:stretch>
                        </pic:blipFill>
                        <pic:spPr>
                          <a:xfrm>
                            <a:off x="0" y="0"/>
                            <a:ext cx="4171950" cy="3127375"/>
                          </a:xfrm>
                          <a:prstGeom prst="rect">
                            <a:avLst/>
                          </a:prstGeom>
                        </pic:spPr>
                      </pic:pic>
                    </a:graphicData>
                  </a:graphic>
                </wp:inline>
              </w:drawing>
            </w:r>
          </w:p>
        </w:tc>
      </w:tr>
    </w:tbl>
    <w:p>
      <w:pPr>
        <w:pStyle w:val="9"/>
        <w:jc w:val="center"/>
        <w:outlineLvl w:val="0"/>
        <w:rPr>
          <w:rFonts w:hint="default" w:ascii="Times New Roman" w:hAnsi="Times New Roman" w:cs="Times New Roman"/>
          <w:highlight w:val="none"/>
        </w:rPr>
      </w:pPr>
      <w:bookmarkStart w:id="267" w:name="_Toc19159"/>
      <w:r>
        <w:rPr>
          <w:rFonts w:hint="default" w:ascii="Times New Roman" w:hAnsi="Times New Roman" w:cs="Times New Roman"/>
          <w:b/>
          <w:bCs/>
          <w:highlight w:val="none"/>
        </w:rPr>
        <w:t>附图</w:t>
      </w:r>
      <w:r>
        <w:rPr>
          <w:rFonts w:hint="default" w:ascii="Times New Roman" w:hAnsi="Times New Roman" w:cs="Times New Roman"/>
          <w:b/>
          <w:bCs/>
          <w:highlight w:val="none"/>
          <w:lang w:val="en-US" w:eastAsia="zh-CN"/>
        </w:rPr>
        <w:t>10</w:t>
      </w:r>
      <w:r>
        <w:rPr>
          <w:rFonts w:hint="default" w:ascii="Times New Roman" w:hAnsi="Times New Roman" w:cs="Times New Roman"/>
          <w:b/>
          <w:bCs/>
          <w:highlight w:val="none"/>
        </w:rPr>
        <w:t xml:space="preserve">  纳污河流现状图</w:t>
      </w:r>
      <w:bookmarkEnd w:id="267"/>
    </w:p>
    <w:p>
      <w:pPr>
        <w:rPr>
          <w:rFonts w:hint="default" w:ascii="Times New Roman" w:hAnsi="Times New Roman" w:cs="Times New Roman"/>
          <w:highlight w:val="none"/>
        </w:rPr>
      </w:pPr>
    </w:p>
    <w:sectPr>
      <w:pgSz w:w="16838" w:h="11906" w:orient="landscape"/>
      <w:pgMar w:top="1800" w:right="1644" w:bottom="1800" w:left="181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汉鼎简书宋">
    <w:altName w:val="宋体"/>
    <w:panose1 w:val="00000000000000000000"/>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宋体"/>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汉鼎简书宋">
    <w:altName w:val="宋体"/>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87</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P4ZNkPAgAABwQAAA4AAABkcnMvZTJvRG9jLnhtbK1TzY7TMBC+I/EO&#10;lu80aRGrqmq6KrsqQqrYlQri7DpOE8l/st0m5QHgDThx4c5z9Tn47CRdBJwQF3vsGX8z883n5W2n&#10;JDkJ5xujCzqd5JQIzU3Z6ENBP7zfvJhT4gPTJZNGi4Kehae3q+fPlq1diJmpjSyFIwDRftHagtYh&#10;2EWWeV4LxfzEWKHhrIxTLODoDlnpWAt0JbNZnt9krXGldYYL73F73zvpKuFXleDhoaq8CEQWFLWF&#10;tLq07uOarZZscXDM1g0fymD/UIVijUbSK9Q9C4wcXfMHlGq4M95UYcKNykxVNVykHtDNNP+tm13N&#10;rEi9gBxvrzT5/wfL350eHWnKgs4o0UxhRJevXy7ffly+fyazSE9r/QJRO4u40L02HcY83ntcxq67&#10;yqm4ox8CP4g+X8kVXSA8PprP5vMcLg7feAB+9vTcOh/eCKNINArqML1EKjttfehDx5CYTZtNI2Wa&#10;oNSkLejNy1d5enD1AFxq5IhN9MVGK3T7buhsb8ozGnOmV4a3fNMg+Zb58MgcpICCIe/wgKWSBknM&#10;YFFSG/fpb/cxHhOCl5IW0iqohvYpkW81JhdVOBpuNPajoY/qzkCrU3wby5OJBy7I0aycUR+h+XXM&#10;ARfTHJkKGkbzLvTyxp/hYr1OQdCaZWGrd5ZH6Eiet+tjAIGJ10hKz8TAFdSWJjP8jCjnX88p6un/&#10;rn4C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s0lY7tAAAAAFAQAADwAAAAAAAAABACAAAAAiAAAA&#10;ZHJzL2Rvd25yZXYueG1sUEsBAhQAFAAAAAgAh07iQHP4ZNkPAgAABwQAAA4AAAAAAAAAAQAgAAAA&#10;HwEAAGRycy9lMm9Eb2MueG1sUEsFBgAAAAAGAAYAWQEAAKA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87</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9C8A186B"/>
    <w:multiLevelType w:val="singleLevel"/>
    <w:tmpl w:val="9C8A186B"/>
    <w:lvl w:ilvl="0" w:tentative="0">
      <w:start w:val="2"/>
      <w:numFmt w:val="decimal"/>
      <w:suff w:val="nothing"/>
      <w:lvlText w:val="（%1）"/>
      <w:lvlJc w:val="left"/>
    </w:lvl>
  </w:abstractNum>
  <w:abstractNum w:abstractNumId="1">
    <w:nsid w:val="BC7A0484"/>
    <w:multiLevelType w:val="singleLevel"/>
    <w:tmpl w:val="BC7A0484"/>
    <w:lvl w:ilvl="0" w:tentative="0">
      <w:start w:val="1"/>
      <w:numFmt w:val="decimal"/>
      <w:suff w:val="nothing"/>
      <w:lvlText w:val="%1、"/>
      <w:lvlJc w:val="left"/>
    </w:lvl>
  </w:abstractNum>
  <w:abstractNum w:abstractNumId="2">
    <w:nsid w:val="BE41AA62"/>
    <w:multiLevelType w:val="singleLevel"/>
    <w:tmpl w:val="BE41AA62"/>
    <w:lvl w:ilvl="0" w:tentative="0">
      <w:start w:val="1"/>
      <w:numFmt w:val="decimal"/>
      <w:suff w:val="nothing"/>
      <w:lvlText w:val="%1、"/>
      <w:lvlJc w:val="left"/>
    </w:lvl>
  </w:abstractNum>
  <w:abstractNum w:abstractNumId="3">
    <w:nsid w:val="C3226917"/>
    <w:multiLevelType w:val="singleLevel"/>
    <w:tmpl w:val="C3226917"/>
    <w:lvl w:ilvl="0" w:tentative="0">
      <w:start w:val="1"/>
      <w:numFmt w:val="decimal"/>
      <w:suff w:val="nothing"/>
      <w:lvlText w:val="（%1）"/>
      <w:lvlJc w:val="left"/>
    </w:lvl>
  </w:abstractNum>
  <w:abstractNum w:abstractNumId="4">
    <w:nsid w:val="D62438BA"/>
    <w:multiLevelType w:val="singleLevel"/>
    <w:tmpl w:val="D62438BA"/>
    <w:lvl w:ilvl="0" w:tentative="0">
      <w:start w:val="1"/>
      <w:numFmt w:val="decimal"/>
      <w:suff w:val="nothing"/>
      <w:lvlText w:val="（%1）"/>
      <w:lvlJc w:val="left"/>
    </w:lvl>
  </w:abstractNum>
  <w:abstractNum w:abstractNumId="5">
    <w:nsid w:val="F1EC3531"/>
    <w:multiLevelType w:val="singleLevel"/>
    <w:tmpl w:val="F1EC3531"/>
    <w:lvl w:ilvl="0" w:tentative="0">
      <w:start w:val="2"/>
      <w:numFmt w:val="decimal"/>
      <w:lvlText w:val="(%1)"/>
      <w:lvlJc w:val="left"/>
      <w:pPr>
        <w:tabs>
          <w:tab w:val="left" w:pos="312"/>
        </w:tabs>
      </w:pPr>
    </w:lvl>
  </w:abstractNum>
  <w:abstractNum w:abstractNumId="6">
    <w:nsid w:val="F4E0FF2A"/>
    <w:multiLevelType w:val="singleLevel"/>
    <w:tmpl w:val="F4E0FF2A"/>
    <w:lvl w:ilvl="0" w:tentative="0">
      <w:start w:val="1"/>
      <w:numFmt w:val="decimal"/>
      <w:suff w:val="nothing"/>
      <w:lvlText w:val="（%1）"/>
      <w:lvlJc w:val="left"/>
    </w:lvl>
  </w:abstractNum>
  <w:abstractNum w:abstractNumId="7">
    <w:nsid w:val="FB2E0461"/>
    <w:multiLevelType w:val="singleLevel"/>
    <w:tmpl w:val="FB2E0461"/>
    <w:lvl w:ilvl="0" w:tentative="0">
      <w:start w:val="1"/>
      <w:numFmt w:val="decimal"/>
      <w:lvlText w:val="%1."/>
      <w:lvlJc w:val="left"/>
      <w:pPr>
        <w:ind w:left="425" w:hanging="425"/>
      </w:pPr>
      <w:rPr>
        <w:rFonts w:hint="default"/>
      </w:rPr>
    </w:lvl>
  </w:abstractNum>
  <w:abstractNum w:abstractNumId="8">
    <w:nsid w:val="1FEFE862"/>
    <w:multiLevelType w:val="singleLevel"/>
    <w:tmpl w:val="1FEFE862"/>
    <w:lvl w:ilvl="0" w:tentative="0">
      <w:start w:val="1"/>
      <w:numFmt w:val="decimal"/>
      <w:lvlText w:val="%1."/>
      <w:lvlJc w:val="left"/>
      <w:pPr>
        <w:ind w:left="425" w:hanging="425"/>
      </w:pPr>
      <w:rPr>
        <w:rFonts w:hint="default"/>
      </w:rPr>
    </w:lvl>
  </w:abstractNum>
  <w:abstractNum w:abstractNumId="9">
    <w:nsid w:val="4F610428"/>
    <w:multiLevelType w:val="multilevel"/>
    <w:tmpl w:val="4F610428"/>
    <w:lvl w:ilvl="0" w:tentative="0">
      <w:start w:val="1"/>
      <w:numFmt w:val="decimal"/>
      <w:pStyle w:val="3"/>
      <w:lvlText w:val="%1."/>
      <w:lvlJc w:val="left"/>
      <w:pPr>
        <w:ind w:left="432" w:hanging="432"/>
      </w:pPr>
      <w:rPr>
        <w:rFonts w:hint="default"/>
      </w:rPr>
    </w:lvl>
    <w:lvl w:ilvl="1" w:tentative="0">
      <w:start w:val="1"/>
      <w:numFmt w:val="decimal"/>
      <w:pStyle w:val="4"/>
      <w:lvlText w:val="%1.%2."/>
      <w:lvlJc w:val="left"/>
      <w:pPr>
        <w:ind w:left="575" w:hanging="575"/>
      </w:pPr>
      <w:rPr>
        <w:rFonts w:hint="default"/>
      </w:rPr>
    </w:lvl>
    <w:lvl w:ilvl="2" w:tentative="0">
      <w:start w:val="1"/>
      <w:numFmt w:val="decimal"/>
      <w:pStyle w:val="6"/>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Restart w:val="2"/>
      <w:lvlText w:val="表%1.%2-%5 "/>
      <w:lvlJc w:val="left"/>
      <w:pPr>
        <w:ind w:left="1008" w:hanging="1008"/>
      </w:pPr>
      <w:rPr>
        <w:rFonts w:hint="default" w:ascii="宋体" w:hAnsi="宋体" w:eastAsia="宋体" w:cs="宋体"/>
      </w:rPr>
    </w:lvl>
    <w:lvl w:ilvl="5" w:tentative="0">
      <w:start w:val="1"/>
      <w:numFmt w:val="decimal"/>
      <w:lvlRestart w:val="2"/>
      <w:isLgl/>
      <w:lvlText w:val="图%1.%2-%6 "/>
      <w:lvlJc w:val="left"/>
      <w:pPr>
        <w:ind w:left="1151" w:hanging="1151"/>
      </w:pPr>
      <w:rPr>
        <w:rFonts w:hint="default" w:ascii="宋体" w:hAnsi="宋体" w:eastAsia="宋体" w:cs="宋体"/>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0">
    <w:nsid w:val="568A8561"/>
    <w:multiLevelType w:val="multilevel"/>
    <w:tmpl w:val="568A8561"/>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suff w:val="nothing"/>
      <w:lvlText w:val="%1.%2.%3."/>
      <w:lvlJc w:val="left"/>
      <w:pPr>
        <w:tabs>
          <w:tab w:val="left" w:pos="420"/>
        </w:tabs>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Restart w:val="2"/>
      <w:suff w:val="nothing"/>
      <w:lvlText w:val="图%1.%2-%5  "/>
      <w:lvlJc w:val="left"/>
      <w:pPr>
        <w:tabs>
          <w:tab w:val="left" w:pos="0"/>
        </w:tabs>
        <w:ind w:left="1008" w:hanging="1008"/>
      </w:pPr>
      <w:rPr>
        <w:rFonts w:hint="default" w:ascii="Times New Roman" w:hAnsi="Times New Roman" w:eastAsia="宋体" w:cs="宋体"/>
      </w:rPr>
    </w:lvl>
    <w:lvl w:ilvl="5" w:tentative="0">
      <w:start w:val="1"/>
      <w:numFmt w:val="decimal"/>
      <w:lvlRestart w:val="2"/>
      <w:pStyle w:val="7"/>
      <w:suff w:val="nothing"/>
      <w:lvlText w:val="表%1.%2-%6  "/>
      <w:lvlJc w:val="left"/>
      <w:pPr>
        <w:tabs>
          <w:tab w:val="left" w:pos="420"/>
        </w:tabs>
        <w:ind w:left="1151" w:hanging="1151"/>
      </w:pPr>
      <w:rPr>
        <w:rFonts w:hint="default" w:ascii="Times New Roman" w:hAnsi="Times New Roman" w:eastAsia="宋体" w:cs="宋体"/>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num w:numId="1">
    <w:abstractNumId w:val="9"/>
  </w:num>
  <w:num w:numId="2">
    <w:abstractNumId w:val="10"/>
  </w:num>
  <w:num w:numId="3">
    <w:abstractNumId w:val="1"/>
  </w:num>
  <w:num w:numId="4">
    <w:abstractNumId w:val="0"/>
  </w:num>
  <w:num w:numId="5">
    <w:abstractNumId w:val="7"/>
  </w:num>
  <w:num w:numId="6">
    <w:abstractNumId w:val="8"/>
  </w:num>
  <w:num w:numId="7">
    <w:abstractNumId w:val="4"/>
  </w:num>
  <w:num w:numId="8">
    <w:abstractNumId w:val="5"/>
  </w:num>
  <w:num w:numId="9">
    <w:abstractNumId w:val="2"/>
  </w:num>
  <w:num w:numId="10">
    <w:abstractNumId w:val="6"/>
  </w:num>
  <w:num w:numId="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172A27"/>
    <w:rsid w:val="004F2693"/>
    <w:rsid w:val="005F453A"/>
    <w:rsid w:val="007C58B4"/>
    <w:rsid w:val="0087335B"/>
    <w:rsid w:val="009A1DC4"/>
    <w:rsid w:val="00AA2FBA"/>
    <w:rsid w:val="00AE7FEC"/>
    <w:rsid w:val="02453C8B"/>
    <w:rsid w:val="029167E5"/>
    <w:rsid w:val="02BC7743"/>
    <w:rsid w:val="02D876C0"/>
    <w:rsid w:val="036B5251"/>
    <w:rsid w:val="037C1ED4"/>
    <w:rsid w:val="0394658D"/>
    <w:rsid w:val="03B60BF9"/>
    <w:rsid w:val="03BF4FFD"/>
    <w:rsid w:val="03C70711"/>
    <w:rsid w:val="04030C06"/>
    <w:rsid w:val="049C308A"/>
    <w:rsid w:val="05816A5C"/>
    <w:rsid w:val="0592364B"/>
    <w:rsid w:val="05E65792"/>
    <w:rsid w:val="061A17FD"/>
    <w:rsid w:val="062F259D"/>
    <w:rsid w:val="06450013"/>
    <w:rsid w:val="066E03E6"/>
    <w:rsid w:val="06824DC3"/>
    <w:rsid w:val="06D03363"/>
    <w:rsid w:val="06F3181D"/>
    <w:rsid w:val="077F3CA8"/>
    <w:rsid w:val="0856306B"/>
    <w:rsid w:val="089D5285"/>
    <w:rsid w:val="08CC56FB"/>
    <w:rsid w:val="099B181A"/>
    <w:rsid w:val="0A496C16"/>
    <w:rsid w:val="0AC331EA"/>
    <w:rsid w:val="0AD025A1"/>
    <w:rsid w:val="0B824D33"/>
    <w:rsid w:val="0B860EB1"/>
    <w:rsid w:val="0BA2050F"/>
    <w:rsid w:val="0C4755FC"/>
    <w:rsid w:val="0CF41E18"/>
    <w:rsid w:val="0D0F450E"/>
    <w:rsid w:val="0DEC68CF"/>
    <w:rsid w:val="0E071439"/>
    <w:rsid w:val="0E0F33E0"/>
    <w:rsid w:val="0F3326AE"/>
    <w:rsid w:val="0F3C1CFE"/>
    <w:rsid w:val="0F7554C5"/>
    <w:rsid w:val="0FCE1079"/>
    <w:rsid w:val="10787D07"/>
    <w:rsid w:val="10881228"/>
    <w:rsid w:val="11834C8F"/>
    <w:rsid w:val="12633CFA"/>
    <w:rsid w:val="12816876"/>
    <w:rsid w:val="12B025DC"/>
    <w:rsid w:val="12B105E0"/>
    <w:rsid w:val="12E44B26"/>
    <w:rsid w:val="12E60173"/>
    <w:rsid w:val="143658E7"/>
    <w:rsid w:val="149C34F4"/>
    <w:rsid w:val="14F05C45"/>
    <w:rsid w:val="15697AB3"/>
    <w:rsid w:val="160F73BF"/>
    <w:rsid w:val="16173406"/>
    <w:rsid w:val="175E105C"/>
    <w:rsid w:val="17EC021C"/>
    <w:rsid w:val="17FC7AED"/>
    <w:rsid w:val="181B5ADD"/>
    <w:rsid w:val="18612033"/>
    <w:rsid w:val="198B3B37"/>
    <w:rsid w:val="199B617F"/>
    <w:rsid w:val="19E15CE4"/>
    <w:rsid w:val="1A0C2CE4"/>
    <w:rsid w:val="1A1F490F"/>
    <w:rsid w:val="1A393593"/>
    <w:rsid w:val="1A3A44FA"/>
    <w:rsid w:val="1A8B7A86"/>
    <w:rsid w:val="1B04493C"/>
    <w:rsid w:val="1BE12680"/>
    <w:rsid w:val="1C1B5483"/>
    <w:rsid w:val="1D352737"/>
    <w:rsid w:val="1DA36521"/>
    <w:rsid w:val="1DE53575"/>
    <w:rsid w:val="1E1775CF"/>
    <w:rsid w:val="1E1868DA"/>
    <w:rsid w:val="1FC47ED3"/>
    <w:rsid w:val="21254871"/>
    <w:rsid w:val="217B4EF1"/>
    <w:rsid w:val="22E568AB"/>
    <w:rsid w:val="230010F2"/>
    <w:rsid w:val="23124C60"/>
    <w:rsid w:val="240C79EB"/>
    <w:rsid w:val="24561251"/>
    <w:rsid w:val="24590C68"/>
    <w:rsid w:val="24C20D54"/>
    <w:rsid w:val="25780101"/>
    <w:rsid w:val="25F767DC"/>
    <w:rsid w:val="26203CF2"/>
    <w:rsid w:val="283750DB"/>
    <w:rsid w:val="2950091E"/>
    <w:rsid w:val="29B25A50"/>
    <w:rsid w:val="2A1407A5"/>
    <w:rsid w:val="2A635A44"/>
    <w:rsid w:val="2AE65071"/>
    <w:rsid w:val="2B1A64F8"/>
    <w:rsid w:val="2B6168B4"/>
    <w:rsid w:val="2B652609"/>
    <w:rsid w:val="2B6535CC"/>
    <w:rsid w:val="2B7C38A7"/>
    <w:rsid w:val="2B7E71B3"/>
    <w:rsid w:val="2BD80987"/>
    <w:rsid w:val="2C1D79E1"/>
    <w:rsid w:val="2C22587F"/>
    <w:rsid w:val="2D4D7629"/>
    <w:rsid w:val="2D9E4946"/>
    <w:rsid w:val="2DFA7CBA"/>
    <w:rsid w:val="2E067F96"/>
    <w:rsid w:val="2EAD2708"/>
    <w:rsid w:val="2F1C0F3B"/>
    <w:rsid w:val="2F3445A7"/>
    <w:rsid w:val="2F394E54"/>
    <w:rsid w:val="2F6D7074"/>
    <w:rsid w:val="30BC06C0"/>
    <w:rsid w:val="31530B5B"/>
    <w:rsid w:val="316E6BC8"/>
    <w:rsid w:val="31737A5C"/>
    <w:rsid w:val="318B1B14"/>
    <w:rsid w:val="31AE04BD"/>
    <w:rsid w:val="322E1C4E"/>
    <w:rsid w:val="32813927"/>
    <w:rsid w:val="32933D30"/>
    <w:rsid w:val="33A90259"/>
    <w:rsid w:val="33F666D8"/>
    <w:rsid w:val="34BB30CA"/>
    <w:rsid w:val="35304A00"/>
    <w:rsid w:val="35EE2535"/>
    <w:rsid w:val="36412727"/>
    <w:rsid w:val="36CB383F"/>
    <w:rsid w:val="36DD1A1E"/>
    <w:rsid w:val="37E63F70"/>
    <w:rsid w:val="381B3499"/>
    <w:rsid w:val="381E3F8F"/>
    <w:rsid w:val="38B65D42"/>
    <w:rsid w:val="39EC41AF"/>
    <w:rsid w:val="39F84B3D"/>
    <w:rsid w:val="3A2C733C"/>
    <w:rsid w:val="3AA47D0C"/>
    <w:rsid w:val="3AD9074E"/>
    <w:rsid w:val="3BBA094C"/>
    <w:rsid w:val="3D075D73"/>
    <w:rsid w:val="3D1263F8"/>
    <w:rsid w:val="3DEC4B13"/>
    <w:rsid w:val="3E03620E"/>
    <w:rsid w:val="3E6555EE"/>
    <w:rsid w:val="3E786BEE"/>
    <w:rsid w:val="3F0F3D85"/>
    <w:rsid w:val="3F693E37"/>
    <w:rsid w:val="3F710F55"/>
    <w:rsid w:val="3FB44FF5"/>
    <w:rsid w:val="402D6FB2"/>
    <w:rsid w:val="403A397B"/>
    <w:rsid w:val="40436D96"/>
    <w:rsid w:val="404E7B45"/>
    <w:rsid w:val="40550877"/>
    <w:rsid w:val="40D21E6C"/>
    <w:rsid w:val="4151103E"/>
    <w:rsid w:val="41AE749D"/>
    <w:rsid w:val="41B660C0"/>
    <w:rsid w:val="437F718E"/>
    <w:rsid w:val="43CA7E1A"/>
    <w:rsid w:val="44F0356D"/>
    <w:rsid w:val="45014489"/>
    <w:rsid w:val="45062140"/>
    <w:rsid w:val="453E547A"/>
    <w:rsid w:val="45666688"/>
    <w:rsid w:val="45E843CB"/>
    <w:rsid w:val="469A3385"/>
    <w:rsid w:val="47320BC3"/>
    <w:rsid w:val="47651695"/>
    <w:rsid w:val="48232B5B"/>
    <w:rsid w:val="48D42478"/>
    <w:rsid w:val="49435101"/>
    <w:rsid w:val="4A307D8B"/>
    <w:rsid w:val="4AED16FA"/>
    <w:rsid w:val="4AF22FD6"/>
    <w:rsid w:val="4B280089"/>
    <w:rsid w:val="4BF25249"/>
    <w:rsid w:val="4CCC6581"/>
    <w:rsid w:val="4E1A2BEE"/>
    <w:rsid w:val="4EDA14FD"/>
    <w:rsid w:val="4EE45332"/>
    <w:rsid w:val="4EE74947"/>
    <w:rsid w:val="4FF11949"/>
    <w:rsid w:val="4FF27DB9"/>
    <w:rsid w:val="503D0049"/>
    <w:rsid w:val="50444DA6"/>
    <w:rsid w:val="509A6F2E"/>
    <w:rsid w:val="50FA2994"/>
    <w:rsid w:val="517C738F"/>
    <w:rsid w:val="53071EA5"/>
    <w:rsid w:val="53A8482D"/>
    <w:rsid w:val="53E02D09"/>
    <w:rsid w:val="53E3094E"/>
    <w:rsid w:val="54460F40"/>
    <w:rsid w:val="5456175B"/>
    <w:rsid w:val="55256D57"/>
    <w:rsid w:val="56592C57"/>
    <w:rsid w:val="56604927"/>
    <w:rsid w:val="56EE70D3"/>
    <w:rsid w:val="573F7D08"/>
    <w:rsid w:val="579A78EB"/>
    <w:rsid w:val="59AB5513"/>
    <w:rsid w:val="59C23650"/>
    <w:rsid w:val="5A2D178C"/>
    <w:rsid w:val="5A3C6EE6"/>
    <w:rsid w:val="5AC77F80"/>
    <w:rsid w:val="5ACB1F97"/>
    <w:rsid w:val="5B76428C"/>
    <w:rsid w:val="5B9C5D72"/>
    <w:rsid w:val="5BFB64D2"/>
    <w:rsid w:val="5C43211E"/>
    <w:rsid w:val="5CB14AA7"/>
    <w:rsid w:val="5D062AC6"/>
    <w:rsid w:val="5D3470CA"/>
    <w:rsid w:val="5D860380"/>
    <w:rsid w:val="5DB555BB"/>
    <w:rsid w:val="5DBD56D9"/>
    <w:rsid w:val="5DE07FE6"/>
    <w:rsid w:val="5EC1360A"/>
    <w:rsid w:val="5F2627A2"/>
    <w:rsid w:val="5FC238B4"/>
    <w:rsid w:val="6033269E"/>
    <w:rsid w:val="603648D3"/>
    <w:rsid w:val="606F5B12"/>
    <w:rsid w:val="60DE2E59"/>
    <w:rsid w:val="615D5386"/>
    <w:rsid w:val="617D3332"/>
    <w:rsid w:val="61A3069A"/>
    <w:rsid w:val="61BC20AC"/>
    <w:rsid w:val="620C24CF"/>
    <w:rsid w:val="647620BA"/>
    <w:rsid w:val="648626EF"/>
    <w:rsid w:val="64CC3474"/>
    <w:rsid w:val="656A4099"/>
    <w:rsid w:val="65824225"/>
    <w:rsid w:val="6627014E"/>
    <w:rsid w:val="662C7998"/>
    <w:rsid w:val="6694184A"/>
    <w:rsid w:val="66B27F22"/>
    <w:rsid w:val="66BD036D"/>
    <w:rsid w:val="6739419F"/>
    <w:rsid w:val="67396F07"/>
    <w:rsid w:val="67487F9D"/>
    <w:rsid w:val="67560E09"/>
    <w:rsid w:val="67E20B69"/>
    <w:rsid w:val="67ED2882"/>
    <w:rsid w:val="68014955"/>
    <w:rsid w:val="684A5110"/>
    <w:rsid w:val="68780D05"/>
    <w:rsid w:val="68A1671C"/>
    <w:rsid w:val="69106D60"/>
    <w:rsid w:val="69913F0E"/>
    <w:rsid w:val="6A467D86"/>
    <w:rsid w:val="6A635D6D"/>
    <w:rsid w:val="6B743B7F"/>
    <w:rsid w:val="6BB51FF2"/>
    <w:rsid w:val="6BDB1304"/>
    <w:rsid w:val="6BF12034"/>
    <w:rsid w:val="6C0B5E41"/>
    <w:rsid w:val="6D014534"/>
    <w:rsid w:val="6D836174"/>
    <w:rsid w:val="6D9A2CD1"/>
    <w:rsid w:val="6F4E25B0"/>
    <w:rsid w:val="6FF931B2"/>
    <w:rsid w:val="701A0944"/>
    <w:rsid w:val="705A79AB"/>
    <w:rsid w:val="70717761"/>
    <w:rsid w:val="708C3A86"/>
    <w:rsid w:val="71297523"/>
    <w:rsid w:val="71963245"/>
    <w:rsid w:val="71E138E8"/>
    <w:rsid w:val="721615E8"/>
    <w:rsid w:val="72CA20E2"/>
    <w:rsid w:val="72ED6970"/>
    <w:rsid w:val="72EF2D1F"/>
    <w:rsid w:val="73322C64"/>
    <w:rsid w:val="73BB32F4"/>
    <w:rsid w:val="74191BF6"/>
    <w:rsid w:val="75227685"/>
    <w:rsid w:val="75695C4F"/>
    <w:rsid w:val="76422821"/>
    <w:rsid w:val="76B37F73"/>
    <w:rsid w:val="76EC7132"/>
    <w:rsid w:val="77FD5C6C"/>
    <w:rsid w:val="79ED757F"/>
    <w:rsid w:val="7A6922D0"/>
    <w:rsid w:val="7AB636E5"/>
    <w:rsid w:val="7B4071DF"/>
    <w:rsid w:val="7B792850"/>
    <w:rsid w:val="7BAC68FD"/>
    <w:rsid w:val="7BC23C8A"/>
    <w:rsid w:val="7CB84E0A"/>
    <w:rsid w:val="7D4105A8"/>
    <w:rsid w:val="7D7674A4"/>
    <w:rsid w:val="7D821FA4"/>
    <w:rsid w:val="7D891584"/>
    <w:rsid w:val="7E3C1E56"/>
    <w:rsid w:val="7EB021A5"/>
    <w:rsid w:val="7F03096F"/>
    <w:rsid w:val="7F173BD2"/>
    <w:rsid w:val="7F8B350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99"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iPriority="99"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1"/>
      <w:lang w:val="en-US" w:eastAsia="zh-CN" w:bidi="ar-SA"/>
    </w:rPr>
  </w:style>
  <w:style w:type="paragraph" w:styleId="3">
    <w:name w:val="heading 1"/>
    <w:basedOn w:val="1"/>
    <w:next w:val="1"/>
    <w:qFormat/>
    <w:uiPriority w:val="0"/>
    <w:pPr>
      <w:numPr>
        <w:ilvl w:val="0"/>
        <w:numId w:val="1"/>
      </w:numPr>
      <w:spacing w:before="50" w:beforeLines="50" w:after="50" w:afterLines="50" w:line="360" w:lineRule="auto"/>
      <w:jc w:val="center"/>
      <w:outlineLvl w:val="0"/>
    </w:pPr>
    <w:rPr>
      <w:b/>
      <w:bCs/>
      <w:kern w:val="20"/>
      <w:sz w:val="36"/>
      <w:szCs w:val="36"/>
    </w:rPr>
  </w:style>
  <w:style w:type="paragraph" w:styleId="4">
    <w:name w:val="heading 2"/>
    <w:basedOn w:val="1"/>
    <w:next w:val="5"/>
    <w:unhideWhenUsed/>
    <w:qFormat/>
    <w:uiPriority w:val="0"/>
    <w:pPr>
      <w:keepNext/>
      <w:keepLines/>
      <w:numPr>
        <w:ilvl w:val="1"/>
        <w:numId w:val="1"/>
      </w:numPr>
      <w:spacing w:line="360" w:lineRule="auto"/>
      <w:outlineLvl w:val="1"/>
    </w:pPr>
    <w:rPr>
      <w:sz w:val="30"/>
      <w:szCs w:val="32"/>
    </w:rPr>
  </w:style>
  <w:style w:type="paragraph" w:styleId="6">
    <w:name w:val="heading 3"/>
    <w:basedOn w:val="1"/>
    <w:next w:val="1"/>
    <w:unhideWhenUsed/>
    <w:qFormat/>
    <w:uiPriority w:val="0"/>
    <w:pPr>
      <w:keepNext/>
      <w:keepLines/>
      <w:numPr>
        <w:ilvl w:val="2"/>
        <w:numId w:val="1"/>
      </w:numPr>
      <w:spacing w:before="50" w:beforeLines="50" w:line="500" w:lineRule="exact"/>
      <w:jc w:val="left"/>
      <w:outlineLvl w:val="2"/>
    </w:pPr>
    <w:rPr>
      <w:sz w:val="28"/>
      <w:szCs w:val="28"/>
    </w:rPr>
  </w:style>
  <w:style w:type="paragraph" w:styleId="7">
    <w:name w:val="heading 6"/>
    <w:basedOn w:val="1"/>
    <w:next w:val="1"/>
    <w:qFormat/>
    <w:uiPriority w:val="0"/>
    <w:pPr>
      <w:keepNext/>
      <w:keepLines/>
      <w:numPr>
        <w:ilvl w:val="5"/>
        <w:numId w:val="2"/>
      </w:numPr>
      <w:tabs>
        <w:tab w:val="left" w:pos="0"/>
        <w:tab w:val="clear" w:pos="420"/>
      </w:tabs>
      <w:spacing w:before="50" w:beforeLines="50"/>
      <w:jc w:val="center"/>
      <w:outlineLvl w:val="5"/>
    </w:pPr>
    <w:rPr>
      <w:b/>
    </w:rPr>
  </w:style>
  <w:style w:type="character" w:default="1" w:styleId="25">
    <w:name w:val="Default Paragraph Font"/>
    <w:semiHidden/>
    <w:unhideWhenUsed/>
    <w:qFormat/>
    <w:uiPriority w:val="1"/>
  </w:style>
  <w:style w:type="table" w:default="1" w:styleId="23">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1"/>
    <w:next w:val="1"/>
    <w:qFormat/>
    <w:uiPriority w:val="0"/>
    <w:pPr>
      <w:ind w:firstLine="420"/>
    </w:pPr>
    <w:rPr>
      <w:sz w:val="24"/>
    </w:rPr>
  </w:style>
  <w:style w:type="paragraph" w:styleId="5">
    <w:name w:val="Normal Indent"/>
    <w:basedOn w:val="1"/>
    <w:qFormat/>
    <w:uiPriority w:val="99"/>
  </w:style>
  <w:style w:type="paragraph" w:styleId="8">
    <w:name w:val="annotation text"/>
    <w:basedOn w:val="1"/>
    <w:qFormat/>
    <w:uiPriority w:val="0"/>
    <w:pPr>
      <w:jc w:val="left"/>
    </w:pPr>
  </w:style>
  <w:style w:type="paragraph" w:styleId="9">
    <w:name w:val="Body Text"/>
    <w:basedOn w:val="1"/>
    <w:next w:val="10"/>
    <w:qFormat/>
    <w:uiPriority w:val="0"/>
    <w:pPr>
      <w:spacing w:after="120"/>
    </w:pPr>
  </w:style>
  <w:style w:type="paragraph" w:customStyle="1" w:styleId="10">
    <w:name w:val="xl27"/>
    <w:basedOn w:val="1"/>
    <w:next w:val="11"/>
    <w:qFormat/>
    <w:uiPriority w:val="0"/>
    <w:pPr>
      <w:widowControl/>
      <w:spacing w:before="100" w:after="100"/>
      <w:jc w:val="center"/>
      <w:textAlignment w:val="center"/>
    </w:pPr>
    <w:rPr>
      <w:rFonts w:ascii="宋体" w:hAnsi="宋体"/>
      <w:kern w:val="0"/>
      <w:sz w:val="24"/>
      <w:szCs w:val="20"/>
    </w:rPr>
  </w:style>
  <w:style w:type="paragraph" w:styleId="11">
    <w:name w:val="Body Text Indent 2"/>
    <w:basedOn w:val="1"/>
    <w:next w:val="1"/>
    <w:unhideWhenUsed/>
    <w:qFormat/>
    <w:uiPriority w:val="99"/>
    <w:pPr>
      <w:spacing w:after="120" w:line="480" w:lineRule="auto"/>
      <w:ind w:left="420" w:leftChars="200"/>
    </w:pPr>
    <w:rPr>
      <w:rFonts w:eastAsia="汉鼎简书宋"/>
      <w:szCs w:val="24"/>
    </w:rPr>
  </w:style>
  <w:style w:type="paragraph" w:styleId="12">
    <w:name w:val="Body Text Indent"/>
    <w:basedOn w:val="1"/>
    <w:next w:val="13"/>
    <w:qFormat/>
    <w:uiPriority w:val="0"/>
    <w:pPr>
      <w:spacing w:after="120"/>
      <w:ind w:left="420" w:leftChars="200"/>
    </w:pPr>
    <w:rPr>
      <w:kern w:val="0"/>
      <w:sz w:val="24"/>
      <w:szCs w:val="20"/>
    </w:rPr>
  </w:style>
  <w:style w:type="paragraph" w:customStyle="1" w:styleId="13">
    <w:name w:val="样式 正文文本缩进 + 行距: 1.5 倍行距"/>
    <w:basedOn w:val="1"/>
    <w:qFormat/>
    <w:uiPriority w:val="0"/>
    <w:pPr>
      <w:spacing w:after="120"/>
      <w:ind w:left="90" w:leftChars="32" w:firstLine="560" w:firstLineChars="200"/>
    </w:pPr>
    <w:rPr>
      <w:rFonts w:cs="宋体"/>
    </w:rPr>
  </w:style>
  <w:style w:type="paragraph" w:styleId="14">
    <w:name w:val="toc 3"/>
    <w:basedOn w:val="1"/>
    <w:next w:val="1"/>
    <w:qFormat/>
    <w:uiPriority w:val="0"/>
    <w:pPr>
      <w:ind w:left="840" w:leftChars="400"/>
    </w:pPr>
  </w:style>
  <w:style w:type="paragraph" w:styleId="15">
    <w:name w:val="Balloon Text"/>
    <w:basedOn w:val="1"/>
    <w:link w:val="35"/>
    <w:qFormat/>
    <w:uiPriority w:val="0"/>
    <w:rPr>
      <w:sz w:val="18"/>
      <w:szCs w:val="18"/>
    </w:rPr>
  </w:style>
  <w:style w:type="paragraph" w:styleId="16">
    <w:name w:val="footer"/>
    <w:basedOn w:val="1"/>
    <w:qFormat/>
    <w:uiPriority w:val="0"/>
    <w:pPr>
      <w:tabs>
        <w:tab w:val="center" w:pos="4153"/>
        <w:tab w:val="right" w:pos="8306"/>
      </w:tabs>
      <w:snapToGrid w:val="0"/>
      <w:jc w:val="left"/>
    </w:pPr>
    <w:rPr>
      <w:sz w:val="18"/>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8">
    <w:name w:val="toc 1"/>
    <w:basedOn w:val="1"/>
    <w:next w:val="1"/>
    <w:qFormat/>
    <w:uiPriority w:val="0"/>
  </w:style>
  <w:style w:type="paragraph" w:styleId="19">
    <w:name w:val="toc 2"/>
    <w:basedOn w:val="1"/>
    <w:next w:val="1"/>
    <w:qFormat/>
    <w:uiPriority w:val="0"/>
    <w:pPr>
      <w:ind w:left="420" w:leftChars="200"/>
    </w:pPr>
  </w:style>
  <w:style w:type="paragraph" w:styleId="20">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1">
    <w:name w:val="Body Text First Indent"/>
    <w:basedOn w:val="9"/>
    <w:next w:val="22"/>
    <w:qFormat/>
    <w:uiPriority w:val="0"/>
    <w:pPr>
      <w:ind w:firstLine="420" w:firstLineChars="100"/>
    </w:pPr>
  </w:style>
  <w:style w:type="paragraph" w:customStyle="1" w:styleId="22">
    <w:name w:val="正文格式"/>
    <w:basedOn w:val="1"/>
    <w:next w:val="1"/>
    <w:qFormat/>
    <w:uiPriority w:val="0"/>
    <w:pPr>
      <w:widowControl/>
      <w:ind w:firstLine="200"/>
      <w:jc w:val="left"/>
    </w:pPr>
    <w:rPr>
      <w:rFonts w:ascii="宋体" w:hAnsi="宋体"/>
      <w:kern w:val="1"/>
      <w:szCs w:val="24"/>
    </w:rPr>
  </w:style>
  <w:style w:type="table" w:styleId="24">
    <w:name w:val="Table Grid"/>
    <w:basedOn w:val="2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26">
    <w:name w:val="Default"/>
    <w:qFormat/>
    <w:uiPriority w:val="0"/>
    <w:pPr>
      <w:widowControl w:val="0"/>
      <w:autoSpaceDE w:val="0"/>
      <w:autoSpaceDN w:val="0"/>
      <w:adjustRightInd w:val="0"/>
    </w:pPr>
    <w:rPr>
      <w:rFonts w:ascii="宋体" w:hAnsi="宋体" w:eastAsia="宋体" w:cs="宋体"/>
      <w:color w:val="000000"/>
      <w:sz w:val="24"/>
      <w:szCs w:val="24"/>
      <w:lang w:val="en-US" w:eastAsia="zh-CN" w:bidi="ar-SA"/>
    </w:rPr>
  </w:style>
  <w:style w:type="table" w:customStyle="1" w:styleId="27">
    <w:name w:val="Table Normal"/>
    <w:semiHidden/>
    <w:unhideWhenUsed/>
    <w:qFormat/>
    <w:uiPriority w:val="0"/>
    <w:tblPr>
      <w:tblCellMar>
        <w:top w:w="0" w:type="dxa"/>
        <w:left w:w="0" w:type="dxa"/>
        <w:bottom w:w="0" w:type="dxa"/>
        <w:right w:w="0" w:type="dxa"/>
      </w:tblCellMar>
    </w:tblPr>
  </w:style>
  <w:style w:type="paragraph" w:customStyle="1" w:styleId="28">
    <w:name w:val="报告表正文"/>
    <w:basedOn w:val="1"/>
    <w:qFormat/>
    <w:uiPriority w:val="0"/>
    <w:pPr>
      <w:ind w:firstLine="200"/>
    </w:pPr>
    <w:rPr>
      <w:lang w:val="zh-CN"/>
    </w:rPr>
  </w:style>
  <w:style w:type="paragraph" w:customStyle="1" w:styleId="29">
    <w:name w:val="WPSOffice手动目录 1"/>
    <w:qFormat/>
    <w:uiPriority w:val="0"/>
    <w:rPr>
      <w:rFonts w:ascii="Times New Roman" w:hAnsi="Times New Roman" w:eastAsia="宋体" w:cs="Times New Roman"/>
      <w:lang w:val="en-US" w:eastAsia="zh-CN" w:bidi="ar-SA"/>
    </w:rPr>
  </w:style>
  <w:style w:type="paragraph" w:customStyle="1" w:styleId="30">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31">
    <w:name w:val="font11"/>
    <w:basedOn w:val="25"/>
    <w:qFormat/>
    <w:uiPriority w:val="0"/>
    <w:rPr>
      <w:rFonts w:hint="eastAsia" w:ascii="黑体" w:hAnsi="宋体" w:eastAsia="黑体" w:cs="黑体"/>
      <w:color w:val="000000"/>
      <w:sz w:val="18"/>
      <w:szCs w:val="18"/>
      <w:u w:val="none"/>
    </w:rPr>
  </w:style>
  <w:style w:type="character" w:customStyle="1" w:styleId="32">
    <w:name w:val="font01"/>
    <w:basedOn w:val="25"/>
    <w:qFormat/>
    <w:uiPriority w:val="0"/>
    <w:rPr>
      <w:rFonts w:hint="eastAsia" w:ascii="宋体" w:hAnsi="宋体" w:eastAsia="宋体" w:cs="宋体"/>
      <w:color w:val="000000"/>
      <w:sz w:val="18"/>
      <w:szCs w:val="18"/>
      <w:u w:val="none"/>
    </w:rPr>
  </w:style>
  <w:style w:type="character" w:customStyle="1" w:styleId="33">
    <w:name w:val="font21"/>
    <w:basedOn w:val="25"/>
    <w:qFormat/>
    <w:uiPriority w:val="0"/>
    <w:rPr>
      <w:rFonts w:hint="default" w:ascii="Times New Roman" w:hAnsi="Times New Roman" w:cs="Times New Roman"/>
      <w:color w:val="000000"/>
      <w:sz w:val="21"/>
      <w:szCs w:val="21"/>
      <w:u w:val="none"/>
      <w:vertAlign w:val="subscript"/>
    </w:rPr>
  </w:style>
  <w:style w:type="paragraph" w:customStyle="1" w:styleId="34">
    <w:name w:val="样式 (符号) 宋体 小四 行距: 1.5 倍行距"/>
    <w:basedOn w:val="1"/>
    <w:qFormat/>
    <w:uiPriority w:val="0"/>
    <w:pPr>
      <w:spacing w:line="360" w:lineRule="auto"/>
      <w:ind w:firstLine="480" w:firstLineChars="200"/>
    </w:pPr>
    <w:rPr>
      <w:rFonts w:hAnsi="宋体" w:cs="宋体"/>
      <w:sz w:val="24"/>
    </w:rPr>
  </w:style>
  <w:style w:type="character" w:customStyle="1" w:styleId="35">
    <w:name w:val="批注框文本 Char"/>
    <w:basedOn w:val="25"/>
    <w:link w:val="15"/>
    <w:qFormat/>
    <w:uiPriority w:val="0"/>
    <w:rPr>
      <w:kern w:val="2"/>
      <w:sz w:val="18"/>
      <w:szCs w:val="18"/>
    </w:rPr>
  </w:style>
  <w:style w:type="paragraph" w:customStyle="1" w:styleId="36">
    <w:name w:val="WPSOffice手动目录 3"/>
    <w:qFormat/>
    <w:uiPriority w:val="0"/>
    <w:pPr>
      <w:ind w:leftChars="400"/>
    </w:pPr>
    <w:rPr>
      <w:rFonts w:ascii="Times New Roman" w:hAnsi="Times New Roman" w:eastAsia="宋体" w:cs="Times New Roman"/>
      <w:sz w:val="20"/>
      <w:szCs w:val="20"/>
    </w:rPr>
  </w:style>
  <w:style w:type="paragraph" w:customStyle="1" w:styleId="37">
    <w:name w:val="1正文"/>
    <w:qFormat/>
    <w:uiPriority w:val="0"/>
    <w:pPr>
      <w:snapToGrid w:val="0"/>
      <w:spacing w:line="360" w:lineRule="auto"/>
      <w:ind w:firstLine="200" w:firstLineChars="200"/>
      <w:jc w:val="both"/>
    </w:pPr>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9" Type="http://schemas.openxmlformats.org/officeDocument/2006/relationships/fontTable" Target="fontTable.xml"/><Relationship Id="rId58" Type="http://schemas.openxmlformats.org/officeDocument/2006/relationships/customXml" Target="../customXml/item2.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png"/><Relationship Id="rId52" Type="http://schemas.openxmlformats.org/officeDocument/2006/relationships/image" Target="media/image48.jpeg"/><Relationship Id="rId51" Type="http://schemas.openxmlformats.org/officeDocument/2006/relationships/image" Target="media/image47.png"/><Relationship Id="rId50" Type="http://schemas.openxmlformats.org/officeDocument/2006/relationships/image" Target="media/image46.png"/><Relationship Id="rId5" Type="http://schemas.openxmlformats.org/officeDocument/2006/relationships/image" Target="media/image1.png"/><Relationship Id="rId49" Type="http://schemas.openxmlformats.org/officeDocument/2006/relationships/image" Target="media/image45.jpeg"/><Relationship Id="rId48" Type="http://schemas.openxmlformats.org/officeDocument/2006/relationships/image" Target="media/image44.png"/><Relationship Id="rId47" Type="http://schemas.openxmlformats.org/officeDocument/2006/relationships/image" Target="media/image43.png"/><Relationship Id="rId46" Type="http://schemas.openxmlformats.org/officeDocument/2006/relationships/image" Target="media/image42.png"/><Relationship Id="rId45" Type="http://schemas.openxmlformats.org/officeDocument/2006/relationships/image" Target="media/image41.png"/><Relationship Id="rId44" Type="http://schemas.openxmlformats.org/officeDocument/2006/relationships/image" Target="media/image40.png"/><Relationship Id="rId43" Type="http://schemas.openxmlformats.org/officeDocument/2006/relationships/image" Target="media/image39.png"/><Relationship Id="rId42" Type="http://schemas.openxmlformats.org/officeDocument/2006/relationships/image" Target="media/image38.png"/><Relationship Id="rId41" Type="http://schemas.openxmlformats.org/officeDocument/2006/relationships/image" Target="media/image37.png"/><Relationship Id="rId40" Type="http://schemas.openxmlformats.org/officeDocument/2006/relationships/image" Target="media/image36.png"/><Relationship Id="rId4" Type="http://schemas.openxmlformats.org/officeDocument/2006/relationships/theme" Target="theme/theme1.xml"/><Relationship Id="rId39" Type="http://schemas.openxmlformats.org/officeDocument/2006/relationships/image" Target="media/image35.png"/><Relationship Id="rId38" Type="http://schemas.openxmlformats.org/officeDocument/2006/relationships/image" Target="media/image34.png"/><Relationship Id="rId37" Type="http://schemas.openxmlformats.org/officeDocument/2006/relationships/image" Target="media/image33.png"/><Relationship Id="rId36" Type="http://schemas.openxmlformats.org/officeDocument/2006/relationships/image" Target="media/image32.png"/><Relationship Id="rId35" Type="http://schemas.openxmlformats.org/officeDocument/2006/relationships/image" Target="media/image31.png"/><Relationship Id="rId34" Type="http://schemas.openxmlformats.org/officeDocument/2006/relationships/image" Target="media/image30.png"/><Relationship Id="rId33" Type="http://schemas.openxmlformats.org/officeDocument/2006/relationships/image" Target="media/image29.png"/><Relationship Id="rId32" Type="http://schemas.openxmlformats.org/officeDocument/2006/relationships/image" Target="media/image28.png"/><Relationship Id="rId31" Type="http://schemas.openxmlformats.org/officeDocument/2006/relationships/image" Target="media/image27.png"/><Relationship Id="rId30" Type="http://schemas.openxmlformats.org/officeDocument/2006/relationships/image" Target="media/image26.png"/><Relationship Id="rId3" Type="http://schemas.openxmlformats.org/officeDocument/2006/relationships/footer" Target="foot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png"/><Relationship Id="rId22" Type="http://schemas.openxmlformats.org/officeDocument/2006/relationships/image" Target="media/image18.png"/><Relationship Id="rId21" Type="http://schemas.openxmlformats.org/officeDocument/2006/relationships/image" Target="media/image17.pn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png"/><Relationship Id="rId18" Type="http://schemas.openxmlformats.org/officeDocument/2006/relationships/image" Target="media/image14.png"/><Relationship Id="rId17" Type="http://schemas.openxmlformats.org/officeDocument/2006/relationships/image" Target="media/image13.jpeg"/><Relationship Id="rId16" Type="http://schemas.openxmlformats.org/officeDocument/2006/relationships/image" Target="media/image12.png"/><Relationship Id="rId15" Type="http://schemas.openxmlformats.org/officeDocument/2006/relationships/image" Target="media/image11.png"/><Relationship Id="rId14" Type="http://schemas.openxmlformats.org/officeDocument/2006/relationships/image" Target="media/image10.pn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34CA8F9-9727-45D6-86C3-BFD29C2E3069}">
  <ds:schemaRefs/>
</ds:datastoreItem>
</file>

<file path=docProps/app.xml><?xml version="1.0" encoding="utf-8"?>
<Properties xmlns="http://schemas.openxmlformats.org/officeDocument/2006/extended-properties" xmlns:vt="http://schemas.openxmlformats.org/officeDocument/2006/docPropsVTypes">
  <Template>Normal</Template>
  <Pages>102</Pages>
  <Words>7730</Words>
  <Characters>44067</Characters>
  <Lines>367</Lines>
  <Paragraphs>103</Paragraphs>
  <TotalTime>5</TotalTime>
  <ScaleCrop>false</ScaleCrop>
  <LinksUpToDate>false</LinksUpToDate>
  <CharactersWithSpaces>51694</CharactersWithSpaces>
  <Application>WPS Office_11.1.0.9192_F1E327BC-269C-435d-A152-05C5408002CA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2021-11-22T13:55:00Z</dcterms:created>
  <dc:creator>dont</dc:creator>
  <cp:lastModifiedBy>86189</cp:lastModifiedBy>
  <dcterms:modified xsi:type="dcterms:W3CDTF">2022-05-09T21:02:02Z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2052-11.1.0.9192</vt:lpwstr>
  </property>
  <property fmtid="{D5CDD505-2E9C-101B-9397-08002B2CF9AE}" pid="3" name="ICV">
    <vt:lpwstr>91CE292DEF274153BDEA5A014304154A</vt:lpwstr>
  </property>
</Properties>
</file>