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00" w:lineRule="exact"/>
        <w:ind w:firstLine="0"/>
        <w:jc w:val="center"/>
        <w:textAlignment w:val="auto"/>
        <w:rPr>
          <w:rFonts w:hint="eastAsia" w:ascii="方正小标宋简体" w:eastAsia="方正小标宋简体"/>
          <w:color w:val="000000" w:themeColor="text1"/>
          <w:sz w:val="24"/>
          <w:szCs w:val="24"/>
          <w14:textFill>
            <w14:solidFill>
              <w14:schemeClr w14:val="tx1"/>
            </w14:solidFill>
          </w14:textFill>
        </w:rPr>
      </w:pPr>
      <w:r>
        <w:rPr>
          <w:rFonts w:ascii="仿宋_GB2312"/>
          <w:color w:val="000000" w:themeColor="text1"/>
          <w:szCs w:val="32"/>
          <w14:textFill>
            <w14:solidFill>
              <w14:schemeClr w14:val="tx1"/>
            </w14:solidFill>
          </w14:textFill>
        </w:rPr>
        <w:tab/>
      </w:r>
    </w:p>
    <w:p>
      <w:pPr>
        <w:keepNext w:val="0"/>
        <w:keepLines w:val="0"/>
        <w:pageBreakBefore w:val="0"/>
        <w:widowControl/>
        <w:kinsoku/>
        <w:wordWrap/>
        <w:overflowPunct/>
        <w:topLinePunct w:val="0"/>
        <w:autoSpaceDE/>
        <w:autoSpaceDN/>
        <w:bidi w:val="0"/>
        <w:adjustRightInd w:val="0"/>
        <w:snapToGrid w:val="0"/>
        <w:spacing w:after="0" w:line="500" w:lineRule="exact"/>
        <w:ind w:firstLine="0"/>
        <w:jc w:val="center"/>
        <w:textAlignment w:val="auto"/>
        <w:rPr>
          <w:rFonts w:hint="eastAsia" w:ascii="方正小标宋简体" w:eastAsia="方正小标宋简体"/>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500" w:lineRule="exact"/>
        <w:ind w:firstLine="0"/>
        <w:jc w:val="center"/>
        <w:textAlignment w:val="auto"/>
        <w:rPr>
          <w:rFonts w:hint="eastAsia" w:ascii="方正小标宋简体" w:eastAsia="方正小标宋简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00" w:lineRule="exact"/>
        <w:jc w:val="right"/>
        <w:textAlignment w:val="auto"/>
        <w:rPr>
          <w:rFonts w:hint="eastAsia" w:ascii="黑体" w:eastAsia="黑体"/>
          <w:color w:val="000000" w:themeColor="text1"/>
          <w:sz w:val="36"/>
          <w:szCs w:val="36"/>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益</w:t>
      </w:r>
      <w:r>
        <w:rPr>
          <w:rFonts w:hint="eastAsia" w:ascii="宋体" w:hAnsi="宋体" w:eastAsia="宋体" w:cs="宋体"/>
          <w:color w:val="000000" w:themeColor="text1"/>
          <w:sz w:val="28"/>
          <w:szCs w:val="28"/>
          <w:lang w:val="en-US" w:eastAsia="zh-CN"/>
          <w14:textFill>
            <w14:solidFill>
              <w14:schemeClr w14:val="tx1"/>
            </w14:solidFill>
          </w14:textFill>
        </w:rPr>
        <w:t>资</w:t>
      </w:r>
      <w:r>
        <w:rPr>
          <w:rFonts w:hint="eastAsia" w:ascii="宋体" w:hAnsi="宋体" w:eastAsia="宋体" w:cs="宋体"/>
          <w:color w:val="000000" w:themeColor="text1"/>
          <w:sz w:val="28"/>
          <w:szCs w:val="28"/>
          <w14:textFill>
            <w14:solidFill>
              <w14:schemeClr w14:val="tx1"/>
            </w14:solidFill>
          </w14:textFill>
        </w:rPr>
        <w:t>环评</w:t>
      </w:r>
      <w:r>
        <w:rPr>
          <w:rFonts w:hint="eastAsia" w:ascii="宋体" w:hAnsi="宋体" w:eastAsia="宋体" w:cs="宋体"/>
          <w:color w:val="000000" w:themeColor="text1"/>
          <w:sz w:val="28"/>
          <w:szCs w:val="28"/>
          <w:lang w:val="en-US" w:eastAsia="zh-CN"/>
          <w14:textFill>
            <w14:solidFill>
              <w14:schemeClr w14:val="tx1"/>
            </w14:solidFill>
          </w14:textFill>
        </w:rPr>
        <w:t>表</w:t>
      </w:r>
      <w:r>
        <w:rPr>
          <w:rFonts w:hint="eastAsia"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lang w:val="en-US" w:eastAsia="zh-CN"/>
          <w14:textFill>
            <w14:solidFill>
              <w14:schemeClr w14:val="tx1"/>
            </w14:solidFill>
          </w14:textFill>
        </w:rPr>
        <w:t>2021</w:t>
      </w:r>
      <w:r>
        <w:rPr>
          <w:rFonts w:hint="eastAsia"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lang w:val="en-US" w:eastAsia="zh-CN"/>
          <w14:textFill>
            <w14:solidFill>
              <w14:schemeClr w14:val="tx1"/>
            </w14:solidFill>
          </w14:textFill>
        </w:rPr>
        <w:t xml:space="preserve">  </w:t>
      </w:r>
      <w:r>
        <w:rPr>
          <w:rFonts w:hint="eastAsia" w:ascii="宋体" w:hAnsi="宋体" w:eastAsia="宋体"/>
          <w:color w:val="000000" w:themeColor="text1"/>
          <w:sz w:val="28"/>
          <w:szCs w:val="28"/>
          <w14:textFill>
            <w14:solidFill>
              <w14:schemeClr w14:val="tx1"/>
            </w14:solidFill>
          </w14:textFill>
        </w:rPr>
        <w:t>号</w:t>
      </w:r>
    </w:p>
    <w:p>
      <w:pPr>
        <w:keepNext w:val="0"/>
        <w:keepLines w:val="0"/>
        <w:pageBreakBefore w:val="0"/>
        <w:tabs>
          <w:tab w:val="left" w:pos="1021"/>
        </w:tabs>
        <w:kinsoku/>
        <w:wordWrap/>
        <w:overflowPunct/>
        <w:topLinePunct w:val="0"/>
        <w:autoSpaceDE/>
        <w:autoSpaceDN/>
        <w:bidi w:val="0"/>
        <w:adjustRightInd w:val="0"/>
        <w:snapToGrid w:val="0"/>
        <w:spacing w:after="0" w:line="500" w:lineRule="exact"/>
        <w:jc w:val="center"/>
        <w:textAlignment w:val="auto"/>
        <w:rPr>
          <w:rFonts w:hint="eastAsia" w:eastAsia="黑体"/>
          <w:b w:val="0"/>
          <w:bCs/>
          <w:color w:val="000000" w:themeColor="text1"/>
          <w:sz w:val="44"/>
          <w:szCs w:val="44"/>
          <w:lang w:eastAsia="zh-CN"/>
          <w14:textFill>
            <w14:solidFill>
              <w14:schemeClr w14:val="tx1"/>
            </w14:solidFill>
          </w14:textFill>
        </w:rPr>
      </w:pPr>
      <w:r>
        <w:rPr>
          <w:rFonts w:ascii="Times New Roman" w:hAnsi="Times New Roman" w:eastAsia="黑体"/>
          <w:b w:val="0"/>
          <w:bCs/>
          <w:color w:val="000000" w:themeColor="text1"/>
          <w:sz w:val="44"/>
          <w:szCs w:val="44"/>
          <w14:textFill>
            <w14:solidFill>
              <w14:schemeClr w14:val="tx1"/>
            </w14:solidFill>
          </w14:textFill>
        </w:rPr>
        <w:t>关于</w:t>
      </w:r>
      <w:r>
        <w:rPr>
          <w:rFonts w:hint="eastAsia" w:eastAsia="黑体"/>
          <w:b w:val="0"/>
          <w:bCs/>
          <w:color w:val="000000" w:themeColor="text1"/>
          <w:sz w:val="44"/>
          <w:szCs w:val="44"/>
          <w:lang w:eastAsia="zh-CN"/>
          <w14:textFill>
            <w14:solidFill>
              <w14:schemeClr w14:val="tx1"/>
            </w14:solidFill>
          </w14:textFill>
        </w:rPr>
        <w:t>益阳远大建筑工业有限责任公司</w:t>
      </w:r>
    </w:p>
    <w:p>
      <w:pPr>
        <w:keepNext w:val="0"/>
        <w:keepLines w:val="0"/>
        <w:pageBreakBefore w:val="0"/>
        <w:tabs>
          <w:tab w:val="left" w:pos="1021"/>
        </w:tabs>
        <w:kinsoku/>
        <w:wordWrap/>
        <w:overflowPunct/>
        <w:topLinePunct w:val="0"/>
        <w:autoSpaceDE/>
        <w:autoSpaceDN/>
        <w:bidi w:val="0"/>
        <w:adjustRightInd w:val="0"/>
        <w:snapToGrid w:val="0"/>
        <w:spacing w:after="0" w:line="500" w:lineRule="exact"/>
        <w:jc w:val="center"/>
        <w:textAlignment w:val="auto"/>
        <w:rPr>
          <w:rFonts w:hint="eastAsia" w:eastAsia="黑体"/>
          <w:b w:val="0"/>
          <w:bCs/>
          <w:color w:val="000000" w:themeColor="text1"/>
          <w:sz w:val="44"/>
          <w:szCs w:val="44"/>
          <w:lang w:eastAsia="zh-CN"/>
          <w14:textFill>
            <w14:solidFill>
              <w14:schemeClr w14:val="tx1"/>
            </w14:solidFill>
          </w14:textFill>
        </w:rPr>
      </w:pPr>
      <w:r>
        <w:rPr>
          <w:rFonts w:hint="eastAsia" w:eastAsia="黑体"/>
          <w:b w:val="0"/>
          <w:bCs/>
          <w:color w:val="000000" w:themeColor="text1"/>
          <w:sz w:val="44"/>
          <w:szCs w:val="44"/>
          <w:lang w:eastAsia="zh-CN"/>
          <w14:textFill>
            <w14:solidFill>
              <w14:schemeClr w14:val="tx1"/>
            </w14:solidFill>
          </w14:textFill>
        </w:rPr>
        <w:t>PC板建设项目</w:t>
      </w:r>
    </w:p>
    <w:p>
      <w:pPr>
        <w:keepNext w:val="0"/>
        <w:keepLines w:val="0"/>
        <w:pageBreakBefore w:val="0"/>
        <w:tabs>
          <w:tab w:val="left" w:pos="1021"/>
        </w:tabs>
        <w:kinsoku/>
        <w:wordWrap/>
        <w:overflowPunct/>
        <w:topLinePunct w:val="0"/>
        <w:autoSpaceDE/>
        <w:autoSpaceDN/>
        <w:bidi w:val="0"/>
        <w:adjustRightInd w:val="0"/>
        <w:snapToGrid w:val="0"/>
        <w:spacing w:after="0" w:line="500" w:lineRule="exact"/>
        <w:jc w:val="center"/>
        <w:textAlignment w:val="auto"/>
        <w:rPr>
          <w:rFonts w:ascii="Times New Roman" w:hAnsi="Times New Roman" w:eastAsia="黑体"/>
          <w:b w:val="0"/>
          <w:bCs/>
          <w:color w:val="000000" w:themeColor="text1"/>
          <w:sz w:val="44"/>
          <w:szCs w:val="44"/>
          <w14:textFill>
            <w14:solidFill>
              <w14:schemeClr w14:val="tx1"/>
            </w14:solidFill>
          </w14:textFill>
        </w:rPr>
      </w:pPr>
      <w:r>
        <w:rPr>
          <w:rFonts w:ascii="Times New Roman" w:hAnsi="Times New Roman" w:eastAsia="黑体"/>
          <w:b w:val="0"/>
          <w:bCs/>
          <w:color w:val="000000" w:themeColor="text1"/>
          <w:sz w:val="44"/>
          <w:szCs w:val="44"/>
          <w14:textFill>
            <w14:solidFill>
              <w14:schemeClr w14:val="tx1"/>
            </w14:solidFill>
          </w14:textFill>
        </w:rPr>
        <w:t>环境影响报告表的批复</w:t>
      </w:r>
    </w:p>
    <w:p>
      <w:pPr>
        <w:keepNext w:val="0"/>
        <w:keepLines w:val="0"/>
        <w:pageBreakBefore w:val="0"/>
        <w:kinsoku/>
        <w:wordWrap/>
        <w:overflowPunct/>
        <w:topLinePunct w:val="0"/>
        <w:autoSpaceDE/>
        <w:autoSpaceDN/>
        <w:bidi w:val="0"/>
        <w:adjustRightInd w:val="0"/>
        <w:snapToGrid w:val="0"/>
        <w:spacing w:line="500" w:lineRule="exact"/>
        <w:jc w:val="both"/>
        <w:textAlignment w:val="auto"/>
        <w:rPr>
          <w:rFonts w:ascii="Times New Roman" w:hAnsi="Times New Roman"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after="0" w:line="50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益阳远大建筑工业有限责任公司</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after="0" w:line="5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你单位呈报的《</w:t>
      </w:r>
      <w:r>
        <w:rPr>
          <w:rFonts w:hint="eastAsia" w:ascii="仿宋" w:hAnsi="仿宋" w:eastAsia="仿宋" w:cs="仿宋"/>
          <w:color w:val="000000" w:themeColor="text1"/>
          <w:sz w:val="32"/>
          <w:szCs w:val="32"/>
          <w:lang w:eastAsia="zh-CN"/>
          <w14:textFill>
            <w14:solidFill>
              <w14:schemeClr w14:val="tx1"/>
            </w14:solidFill>
          </w14:textFill>
        </w:rPr>
        <w:t>益阳远大建筑工业有限责任公司PC板建设项目</w:t>
      </w:r>
      <w:r>
        <w:rPr>
          <w:rFonts w:hint="eastAsia" w:ascii="仿宋" w:hAnsi="仿宋" w:eastAsia="仿宋" w:cs="仿宋"/>
          <w:color w:val="000000" w:themeColor="text1"/>
          <w:sz w:val="32"/>
          <w:szCs w:val="32"/>
          <w14:textFill>
            <w14:solidFill>
              <w14:schemeClr w14:val="tx1"/>
            </w14:solidFill>
          </w14:textFill>
        </w:rPr>
        <w:t>环境影响报告表》（以下简称《报告表》）及相关资料收悉。经研究，批复如下：</w:t>
      </w:r>
    </w:p>
    <w:p>
      <w:pPr>
        <w:pStyle w:val="9"/>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left"/>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益阳远大建筑工业有限责任公司拟在益阳市资阳区长春经济开发区文昌路以东，白马山路以西建设益阳远大建筑工业有限责任公司PC板建设项目。项目总占地面积22753.23平方米，总投资1000万元，其中环保投资100万元，主要建设内容包括混凝土生产线、成型生产线、钢筋加工区、成品区、仓库、展示区、实验室、办公休息区及其配套设施组成。</w:t>
      </w:r>
    </w:p>
    <w:p>
      <w:pPr>
        <w:pStyle w:val="9"/>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left"/>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项目符合国家产业政策。根据湖南太禹环保科技有限公司编制的环评报告表分析结论以及专家组评审意见，在建设单位严格落实各项污染治理和风险防范措施，确保各项污染物稳定达标、环境风险可控的前提下，从环境保护的角度，我局原则同意建设单位按照报告表所列工程方案实施项目建设。</w:t>
      </w:r>
    </w:p>
    <w:p>
      <w:pPr>
        <w:pStyle w:val="9"/>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left"/>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建设单位在工程设计、建设和运营管理中，必须严格执行环保"三同时"制度，逐条落实《报告表》提出的各项污染防治和风险防范措施，确保各污染物达标排放，并着重做好以下工作：</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left"/>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（一）完善环境管理制度，配备专职或兼职环保人员，建立健全污染防治设施运行管理台帐，确保各项污染防治设施的正常运行，各类污染物达标排放。</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left"/>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（二）落</w:t>
      </w:r>
      <w:r>
        <w:rPr>
          <w:rFonts w:hint="eastAsia" w:ascii="仿宋" w:hAnsi="仿宋" w:eastAsia="仿宋" w:cs="仿宋"/>
          <w:color w:val="000000" w:themeColor="text1"/>
          <w:kern w:val="2"/>
          <w:sz w:val="32"/>
          <w:szCs w:val="32"/>
          <w:lang w:val="en-US" w:eastAsia="zh-CN" w:bidi="ar-SA"/>
          <w14:textFill>
            <w14:solidFill>
              <w14:schemeClr w14:val="tx1"/>
            </w14:solidFill>
          </w14:textFill>
        </w:rPr>
        <w:t>实项目废水污染防治措施。按"雨污分流"的原则建设排水系统。项目内生活污水经化粪池预处理达《污水综合排放标准》（GB8978-1996）表4中三级标准后，排入园区内污水管网，纳入城北污水处理厂深度处理，处理达《城镇污水处理厂污染物排放标准》（GB18918-2002）一级A标准后排至资江；生产废水经沉淀后回用，定期清理沉渣。</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left"/>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（三）</w:t>
      </w:r>
      <w:r>
        <w:rPr>
          <w:rFonts w:hint="eastAsia" w:ascii="仿宋" w:hAnsi="仿宋" w:eastAsia="仿宋" w:cs="仿宋"/>
          <w:color w:val="000000" w:themeColor="text1"/>
          <w:kern w:val="2"/>
          <w:sz w:val="32"/>
          <w:szCs w:val="32"/>
          <w:lang w:val="en-US" w:eastAsia="zh-CN" w:bidi="ar-SA"/>
          <w14:textFill>
            <w14:solidFill>
              <w14:schemeClr w14:val="tx1"/>
            </w14:solidFill>
          </w14:textFill>
        </w:rPr>
        <w:t>做好项目大气污染防治工作。项目整个混凝土生产线均设置在全封闭式厂房内，卸料过程大门关闭，筒仓仓顶设置仓顶除尘器，骨料堆场设置喷淋装置，投料、搅拌机自带布袋除尘器，成型生产线均设置在厂房内；焊接过程配备焊烟净化装置；地面全部硬化，周围种植绿化，进出口设置洗车平台等措施，确保颗粒物满足《水泥工业大气污染物排放标准》（GB4915-2013）表3中的标准要求。</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left"/>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（四）落实项</w:t>
      </w:r>
      <w:r>
        <w:rPr>
          <w:rFonts w:hint="eastAsia" w:ascii="仿宋" w:hAnsi="仿宋" w:eastAsia="仿宋" w:cs="仿宋"/>
          <w:color w:val="000000" w:themeColor="text1"/>
          <w:kern w:val="2"/>
          <w:sz w:val="32"/>
          <w:szCs w:val="32"/>
          <w:lang w:val="en-US" w:eastAsia="zh-CN" w:bidi="ar-SA"/>
          <w14:textFill>
            <w14:solidFill>
              <w14:schemeClr w14:val="tx1"/>
            </w14:solidFill>
          </w14:textFill>
        </w:rPr>
        <w:t>目噪声污染防治措施。通过优化平面布局，选用低噪声设备，同时加强设备维护，并采取减振、隔声等措施，确保项目临文昌路、白马山路一侧35m以内区域噪声满足《工业企业厂界环境噪声排放标准》（GB12348-2008）4类标准，其余区域满足《工业企业厂界环境噪声排放标准》（GB12348-2008）3类标准，敏感点满足《声环境质量标准》（GB3096-2008）2类标准。</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left"/>
        <w:textAlignment w:val="auto"/>
        <w:rPr>
          <w:rFonts w:hint="default" w:ascii="仿宋" w:hAnsi="仿宋" w:eastAsia="仿宋" w:cs="仿宋"/>
          <w:color w:val="000000" w:themeColor="text1"/>
          <w:spacing w:val="-4"/>
          <w:kern w:val="2"/>
          <w:sz w:val="32"/>
          <w:szCs w:val="32"/>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（五）</w:t>
      </w:r>
      <w:r>
        <w:rPr>
          <w:rFonts w:hint="eastAsia" w:ascii="仿宋" w:hAnsi="仿宋" w:eastAsia="仿宋" w:cs="仿宋"/>
          <w:color w:val="000000" w:themeColor="text1"/>
          <w:spacing w:val="-4"/>
          <w:kern w:val="2"/>
          <w:sz w:val="32"/>
          <w:szCs w:val="32"/>
          <w14:textFill>
            <w14:solidFill>
              <w14:schemeClr w14:val="tx1"/>
            </w14:solidFill>
          </w14:textFill>
        </w:rPr>
        <w:t>落实固体废弃物污染防治措施</w:t>
      </w:r>
      <w:r>
        <w:rPr>
          <w:rFonts w:hint="eastAsia" w:ascii="仿宋" w:hAnsi="仿宋" w:eastAsia="仿宋" w:cs="仿宋"/>
          <w:color w:val="000000" w:themeColor="text1"/>
          <w:kern w:val="2"/>
          <w:sz w:val="32"/>
          <w:szCs w:val="32"/>
          <w:lang w:val="en-US" w:eastAsia="zh-CN" w:bidi="ar-SA"/>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按照“无害化、资源化、减量化”的原则，</w:t>
      </w:r>
      <w:r>
        <w:rPr>
          <w:rFonts w:hint="eastAsia" w:ascii="仿宋" w:hAnsi="仿宋" w:eastAsia="仿宋" w:cs="仿宋"/>
          <w:color w:val="000000" w:themeColor="text1"/>
          <w:kern w:val="2"/>
          <w:sz w:val="32"/>
          <w:szCs w:val="32"/>
          <w:lang w:val="en-US" w:eastAsia="zh-CN" w:bidi="ar-SA"/>
          <w14:textFill>
            <w14:solidFill>
              <w14:schemeClr w14:val="tx1"/>
            </w14:solidFill>
          </w14:textFill>
        </w:rPr>
        <w:t>加强危险废物管理。</w:t>
      </w:r>
      <w:r>
        <w:rPr>
          <w:rFonts w:hint="default" w:ascii="仿宋" w:hAnsi="仿宋" w:eastAsia="仿宋" w:cs="仿宋"/>
          <w:color w:val="000000" w:themeColor="text1"/>
          <w:spacing w:val="-4"/>
          <w:kern w:val="2"/>
          <w:sz w:val="32"/>
          <w:szCs w:val="32"/>
          <w:lang w:val="en-US" w:eastAsia="zh-CN"/>
          <w14:textFill>
            <w14:solidFill>
              <w14:schemeClr w14:val="tx1"/>
            </w14:solidFill>
          </w14:textFill>
        </w:rPr>
        <w:t>生活垃圾</w:t>
      </w:r>
      <w:r>
        <w:rPr>
          <w:rFonts w:hint="eastAsia" w:ascii="仿宋" w:hAnsi="仿宋" w:eastAsia="仿宋" w:cs="仿宋"/>
          <w:color w:val="000000" w:themeColor="text1"/>
          <w:spacing w:val="-4"/>
          <w:kern w:val="2"/>
          <w:sz w:val="32"/>
          <w:szCs w:val="32"/>
          <w:lang w:val="en-US" w:eastAsia="zh-CN"/>
          <w14:textFill>
            <w14:solidFill>
              <w14:schemeClr w14:val="tx1"/>
            </w14:solidFill>
          </w14:textFill>
        </w:rPr>
        <w:t>、</w:t>
      </w:r>
      <w:r>
        <w:rPr>
          <w:rFonts w:hint="default" w:ascii="仿宋" w:hAnsi="仿宋" w:eastAsia="仿宋" w:cs="仿宋"/>
          <w:color w:val="000000" w:themeColor="text1"/>
          <w:spacing w:val="-4"/>
          <w:kern w:val="2"/>
          <w:sz w:val="32"/>
          <w:szCs w:val="32"/>
          <w:lang w:val="en-US" w:eastAsia="zh-CN"/>
          <w14:textFill>
            <w14:solidFill>
              <w14:schemeClr w14:val="tx1"/>
            </w14:solidFill>
          </w14:textFill>
        </w:rPr>
        <w:t>废包装材料、废弃的布袋经厂内收集后再由环卫部门统一清运处理；焊接烟尘</w:t>
      </w:r>
      <w:r>
        <w:rPr>
          <w:rFonts w:hint="eastAsia" w:ascii="仿宋" w:hAnsi="仿宋" w:eastAsia="仿宋" w:cs="仿宋"/>
          <w:color w:val="000000" w:themeColor="text1"/>
          <w:spacing w:val="-4"/>
          <w:kern w:val="2"/>
          <w:sz w:val="32"/>
          <w:szCs w:val="32"/>
          <w:lang w:val="en-US" w:eastAsia="zh-CN"/>
          <w14:textFill>
            <w14:solidFill>
              <w14:schemeClr w14:val="tx1"/>
            </w14:solidFill>
          </w14:textFill>
        </w:rPr>
        <w:t>经</w:t>
      </w:r>
      <w:r>
        <w:rPr>
          <w:rFonts w:hint="default" w:ascii="仿宋" w:hAnsi="仿宋" w:eastAsia="仿宋" w:cs="仿宋"/>
          <w:color w:val="000000" w:themeColor="text1"/>
          <w:spacing w:val="-4"/>
          <w:kern w:val="2"/>
          <w:sz w:val="32"/>
          <w:szCs w:val="32"/>
          <w:lang w:val="en-US" w:eastAsia="zh-CN"/>
          <w14:textFill>
            <w14:solidFill>
              <w14:schemeClr w14:val="tx1"/>
            </w14:solidFill>
          </w14:textFill>
        </w:rPr>
        <w:t>收集后</w:t>
      </w:r>
      <w:r>
        <w:rPr>
          <w:rFonts w:hint="eastAsia" w:ascii="仿宋" w:hAnsi="仿宋" w:eastAsia="仿宋" w:cs="仿宋"/>
          <w:color w:val="000000" w:themeColor="text1"/>
          <w:spacing w:val="-4"/>
          <w:kern w:val="2"/>
          <w:sz w:val="32"/>
          <w:szCs w:val="32"/>
          <w:lang w:val="en-US" w:eastAsia="zh-CN"/>
          <w14:textFill>
            <w14:solidFill>
              <w14:schemeClr w14:val="tx1"/>
            </w14:solidFill>
          </w14:textFill>
        </w:rPr>
        <w:t>作为一般固废处置</w:t>
      </w:r>
      <w:r>
        <w:rPr>
          <w:rFonts w:hint="default" w:ascii="仿宋" w:hAnsi="仿宋" w:eastAsia="仿宋" w:cs="仿宋"/>
          <w:color w:val="000000" w:themeColor="text1"/>
          <w:spacing w:val="-4"/>
          <w:kern w:val="2"/>
          <w:sz w:val="32"/>
          <w:szCs w:val="32"/>
          <w:lang w:val="en-US" w:eastAsia="zh-CN"/>
          <w14:textFill>
            <w14:solidFill>
              <w14:schemeClr w14:val="tx1"/>
            </w14:solidFill>
          </w14:textFill>
        </w:rPr>
        <w:t>；</w:t>
      </w:r>
      <w:r>
        <w:rPr>
          <w:rFonts w:hint="default" w:ascii="仿宋" w:hAnsi="仿宋" w:eastAsia="仿宋" w:cs="仿宋"/>
          <w:color w:val="000000" w:themeColor="text1"/>
          <w:spacing w:val="-4"/>
          <w:kern w:val="2"/>
          <w:sz w:val="32"/>
          <w:szCs w:val="32"/>
          <w:lang w:eastAsia="zh-CN"/>
          <w14:textFill>
            <w14:solidFill>
              <w14:schemeClr w14:val="tx1"/>
            </w14:solidFill>
          </w14:textFill>
        </w:rPr>
        <w:t>沉淀池沉渣、检测废料</w:t>
      </w:r>
      <w:r>
        <w:rPr>
          <w:rFonts w:hint="default" w:ascii="仿宋" w:hAnsi="仿宋" w:eastAsia="仿宋" w:cs="仿宋"/>
          <w:color w:val="000000" w:themeColor="text1"/>
          <w:spacing w:val="-4"/>
          <w:kern w:val="2"/>
          <w:sz w:val="32"/>
          <w:szCs w:val="32"/>
          <w:lang w:val="en-US" w:eastAsia="zh-CN"/>
          <w14:textFill>
            <w14:solidFill>
              <w14:schemeClr w14:val="tx1"/>
            </w14:solidFill>
          </w14:textFill>
        </w:rPr>
        <w:t>厂内收集后，</w:t>
      </w:r>
      <w:r>
        <w:rPr>
          <w:rFonts w:hint="eastAsia" w:ascii="仿宋" w:hAnsi="仿宋" w:eastAsia="仿宋" w:cs="仿宋"/>
          <w:color w:val="000000" w:themeColor="text1"/>
          <w:spacing w:val="-4"/>
          <w:kern w:val="2"/>
          <w:sz w:val="32"/>
          <w:szCs w:val="32"/>
          <w:lang w:val="en-US" w:eastAsia="zh-CN"/>
          <w14:textFill>
            <w14:solidFill>
              <w14:schemeClr w14:val="tx1"/>
            </w14:solidFill>
          </w14:textFill>
        </w:rPr>
        <w:t>外售，可作为填方</w:t>
      </w:r>
      <w:r>
        <w:rPr>
          <w:rFonts w:hint="default" w:ascii="仿宋" w:hAnsi="仿宋" w:eastAsia="仿宋" w:cs="仿宋"/>
          <w:color w:val="000000" w:themeColor="text1"/>
          <w:spacing w:val="-4"/>
          <w:kern w:val="2"/>
          <w:sz w:val="32"/>
          <w:szCs w:val="32"/>
          <w:lang w:val="en-US" w:eastAsia="zh-CN"/>
          <w14:textFill>
            <w14:solidFill>
              <w14:schemeClr w14:val="tx1"/>
            </w14:solidFill>
          </w14:textFill>
        </w:rPr>
        <w:t>；沾染了油类物质的包装材料</w:t>
      </w:r>
      <w:r>
        <w:rPr>
          <w:rFonts w:hint="eastAsia" w:ascii="仿宋" w:hAnsi="仿宋" w:eastAsia="仿宋" w:cs="仿宋"/>
          <w:color w:val="000000" w:themeColor="text1"/>
          <w:spacing w:val="-4"/>
          <w:kern w:val="2"/>
          <w:sz w:val="32"/>
          <w:szCs w:val="32"/>
          <w:lang w:val="en-US" w:eastAsia="zh-CN"/>
          <w14:textFill>
            <w14:solidFill>
              <w14:schemeClr w14:val="tx1"/>
            </w14:solidFill>
          </w14:textFill>
        </w:rPr>
        <w:t>、</w:t>
      </w:r>
      <w:r>
        <w:rPr>
          <w:rFonts w:hint="default" w:ascii="仿宋" w:hAnsi="仿宋" w:eastAsia="仿宋" w:cs="仿宋"/>
          <w:color w:val="000000" w:themeColor="text1"/>
          <w:spacing w:val="-4"/>
          <w:kern w:val="2"/>
          <w:sz w:val="32"/>
          <w:szCs w:val="32"/>
          <w:lang w:val="en-US" w:eastAsia="zh-CN"/>
          <w14:textFill>
            <w14:solidFill>
              <w14:schemeClr w14:val="tx1"/>
            </w14:solidFill>
          </w14:textFill>
        </w:rPr>
        <w:t>沾染了油类物质的劳保用品属于危废，暂存于危废间，再由有相关资质的单位处置。</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left"/>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（六）本项目投入运营后，存在环境风险隐患，必须制定行之有效的环境风险事故应急预案和切实可行的应急措施，确保环境安全。</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640" w:firstLineChars="200"/>
        <w:jc w:val="left"/>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四、</w:t>
      </w:r>
      <w:r>
        <w:rPr>
          <w:rFonts w:hint="eastAsia" w:ascii="仿宋" w:hAnsi="仿宋" w:eastAsia="仿宋" w:cs="仿宋"/>
          <w:color w:val="000000" w:themeColor="text1"/>
          <w:kern w:val="2"/>
          <w:sz w:val="32"/>
          <w:szCs w:val="32"/>
          <w:lang w:val="en-US" w:eastAsia="zh-CN" w:bidi="ar-SA"/>
          <w14:textFill>
            <w14:solidFill>
              <w14:schemeClr w14:val="tx1"/>
            </w14:solidFill>
          </w14:textFill>
        </w:rPr>
        <w:t>本项目的性质、规模、地点或者污染防治措施等发生重大变化时，应当重新向生态环境部门进行环评报批。</w:t>
      </w:r>
    </w:p>
    <w:p>
      <w:pPr>
        <w:keepNext w:val="0"/>
        <w:keepLines w:val="0"/>
        <w:pageBreakBefore w:val="0"/>
        <w:widowControl w:val="0"/>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宋体"/>
          <w:bCs/>
          <w:color w:val="000000" w:themeColor="text1"/>
          <w:szCs w:val="32"/>
          <w14:textFill>
            <w14:solidFill>
              <w14:schemeClr w14:val="tx1"/>
            </w14:solidFill>
          </w14:textFill>
        </w:rPr>
      </w:pPr>
      <w:r>
        <w:rPr>
          <w:rFonts w:hint="eastAsia" w:ascii="仿宋_GB2312" w:hAnsi="宋体"/>
          <w:bCs/>
          <w:color w:val="000000" w:themeColor="text1"/>
          <w:szCs w:val="32"/>
          <w14:textFill>
            <w14:solidFill>
              <w14:schemeClr w14:val="tx1"/>
            </w14:solidFill>
          </w14:textFill>
        </w:rPr>
        <w:t>五、</w:t>
      </w:r>
      <w:r>
        <w:rPr>
          <w:rFonts w:hint="eastAsia" w:ascii="仿宋_GB2312"/>
          <w:bCs/>
          <w:color w:val="000000" w:themeColor="text1"/>
          <w:szCs w:val="32"/>
          <w14:textFill>
            <w14:solidFill>
              <w14:schemeClr w14:val="tx1"/>
            </w14:solidFill>
          </w14:textFill>
        </w:rPr>
        <w:t>项目建成后，</w:t>
      </w:r>
      <w:r>
        <w:rPr>
          <w:rFonts w:hint="eastAsia" w:ascii="仿宋_GB2312" w:hAnsi="仿宋_GB2312" w:cs="仿宋_GB2312"/>
          <w:bCs/>
          <w:color w:val="000000" w:themeColor="text1"/>
          <w:szCs w:val="32"/>
          <w14:textFill>
            <w14:solidFill>
              <w14:schemeClr w14:val="tx1"/>
            </w14:solidFill>
          </w14:textFill>
        </w:rPr>
        <w:t>应按规定程序及时办理排污许可及竣工环境保护验收工作，经验收合格</w:t>
      </w:r>
      <w:r>
        <w:rPr>
          <w:rFonts w:hint="eastAsia" w:ascii="仿宋_GB2312"/>
          <w:bCs/>
          <w:color w:val="000000" w:themeColor="text1"/>
          <w:szCs w:val="32"/>
          <w14:textFill>
            <w14:solidFill>
              <w14:schemeClr w14:val="tx1"/>
            </w14:solidFill>
          </w14:textFill>
        </w:rPr>
        <w:t>后</w:t>
      </w:r>
      <w:r>
        <w:rPr>
          <w:rFonts w:hint="eastAsia" w:ascii="仿宋_GB2312" w:hAnsi="宋体"/>
          <w:bCs/>
          <w:color w:val="000000" w:themeColor="text1"/>
          <w:szCs w:val="32"/>
          <w14:textFill>
            <w14:solidFill>
              <w14:schemeClr w14:val="tx1"/>
            </w14:solidFill>
          </w14:textFill>
        </w:rPr>
        <w:t>方可正式投入运营。益阳市生态环境保护综合行政执法支队资阳大队和益阳市生态环境局资阳分局负责该项目“三同时”现场监督检查和日常环境管理。</w:t>
      </w:r>
    </w:p>
    <w:p>
      <w:pPr>
        <w:keepNext w:val="0"/>
        <w:keepLines w:val="0"/>
        <w:pageBreakBefore w:val="0"/>
        <w:kinsoku/>
        <w:wordWrap/>
        <w:overflowPunct/>
        <w:topLinePunct w:val="0"/>
        <w:autoSpaceDE/>
        <w:autoSpaceDN/>
        <w:bidi w:val="0"/>
        <w:adjustRightInd w:val="0"/>
        <w:snapToGrid w:val="0"/>
        <w:spacing w:line="500" w:lineRule="exact"/>
        <w:ind w:firstLine="320" w:firstLineChars="100"/>
        <w:jc w:val="both"/>
        <w:textAlignment w:val="auto"/>
        <w:rPr>
          <w:rFonts w:hint="eastAsia" w:ascii="仿宋" w:hAnsi="仿宋" w:eastAsia="仿宋" w:cs="仿宋"/>
          <w:color w:val="000000" w:themeColor="text1"/>
          <w:sz w:val="32"/>
          <w:szCs w:val="32"/>
          <w14:textFill>
            <w14:solidFill>
              <w14:schemeClr w14:val="tx1"/>
            </w14:solidFill>
          </w14:textFill>
        </w:rPr>
      </w:pPr>
      <w:bookmarkStart w:id="0" w:name="_GoBack"/>
      <w:bookmarkEnd w:id="0"/>
    </w:p>
    <w:p>
      <w:pPr>
        <w:keepNext w:val="0"/>
        <w:keepLines w:val="0"/>
        <w:pageBreakBefore w:val="0"/>
        <w:kinsoku/>
        <w:wordWrap/>
        <w:overflowPunct/>
        <w:topLinePunct w:val="0"/>
        <w:autoSpaceDE/>
        <w:autoSpaceDN/>
        <w:bidi w:val="0"/>
        <w:adjustRightInd w:val="0"/>
        <w:snapToGrid w:val="0"/>
        <w:spacing w:after="0" w:line="500" w:lineRule="exact"/>
        <w:jc w:val="righ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益阳市生态环境局</w:t>
      </w:r>
    </w:p>
    <w:p>
      <w:pPr>
        <w:keepNext w:val="0"/>
        <w:keepLines w:val="0"/>
        <w:pageBreakBefore w:val="0"/>
        <w:kinsoku/>
        <w:wordWrap/>
        <w:overflowPunct/>
        <w:topLinePunct w:val="0"/>
        <w:autoSpaceDE/>
        <w:autoSpaceDN/>
        <w:bidi w:val="0"/>
        <w:adjustRightInd w:val="0"/>
        <w:snapToGrid w:val="0"/>
        <w:spacing w:after="0" w:line="500" w:lineRule="exact"/>
        <w:ind w:firstLine="640" w:firstLineChars="200"/>
        <w:jc w:val="right"/>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日</w:t>
      </w:r>
    </w:p>
    <w:sectPr>
      <w:pgSz w:w="11906" w:h="16838"/>
      <w:pgMar w:top="1701" w:right="1701" w:bottom="1701" w:left="1701" w:header="708" w:footer="708"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18030">
    <w:altName w:val="宋体"/>
    <w:panose1 w:val="00000000000000000000"/>
    <w:charset w:val="00"/>
    <w:family w:val="auto"/>
    <w:pitch w:val="default"/>
    <w:sig w:usb0="00000000" w:usb1="00000000" w:usb2="00000000" w:usb3="00000000" w:csb0="00040001" w:csb1="00000000"/>
  </w:font>
  <w:font w:name="方正小标宋简体">
    <w:altName w:val="宋体"/>
    <w:panose1 w:val="02000000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E89431"/>
    <w:multiLevelType w:val="singleLevel"/>
    <w:tmpl w:val="53E8943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B76D2C"/>
    <w:rsid w:val="25014E5C"/>
    <w:rsid w:val="5F54478B"/>
    <w:rsid w:val="689515A6"/>
    <w:rsid w:val="6C066365"/>
    <w:rsid w:val="70205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qFormat/>
    <w:uiPriority w:val="0"/>
    <w:pPr>
      <w:adjustRightInd w:val="0"/>
    </w:pPr>
    <w:rPr>
      <w:rFonts w:ascii="宋体" w:hAnsi="Courier New"/>
      <w:szCs w:val="20"/>
    </w:rPr>
  </w:style>
  <w:style w:type="paragraph" w:styleId="4">
    <w:name w:val="annotation text"/>
    <w:basedOn w:val="1"/>
    <w:qFormat/>
    <w:uiPriority w:val="0"/>
    <w:pPr>
      <w:jc w:val="left"/>
    </w:pPr>
  </w:style>
  <w:style w:type="paragraph" w:styleId="5">
    <w:name w:val="Body Text"/>
    <w:basedOn w:val="1"/>
    <w:next w:val="6"/>
    <w:qFormat/>
    <w:uiPriority w:val="0"/>
    <w:pPr>
      <w:spacing w:after="120"/>
    </w:pPr>
  </w:style>
  <w:style w:type="paragraph" w:customStyle="1" w:styleId="6">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sz w:val="24"/>
      <w:szCs w:val="24"/>
    </w:rPr>
  </w:style>
  <w:style w:type="paragraph" w:styleId="7">
    <w:name w:val="Body Text Indent"/>
    <w:basedOn w:val="1"/>
    <w:next w:val="8"/>
    <w:qFormat/>
    <w:uiPriority w:val="0"/>
    <w:pPr>
      <w:widowControl w:val="0"/>
      <w:tabs>
        <w:tab w:val="left" w:pos="5985"/>
      </w:tabs>
      <w:adjustRightInd/>
      <w:snapToGrid/>
      <w:spacing w:after="0"/>
      <w:ind w:firstLine="560" w:firstLineChars="200"/>
      <w:jc w:val="both"/>
    </w:pPr>
    <w:rPr>
      <w:rFonts w:ascii="Times New Roman" w:hAnsi="Times New Roman" w:eastAsia="宋体" w:cs="Times New Roman"/>
      <w:kern w:val="2"/>
      <w:sz w:val="28"/>
      <w:szCs w:val="24"/>
    </w:rPr>
  </w:style>
  <w:style w:type="paragraph" w:styleId="8">
    <w:name w:val="Body Text Indent 2"/>
    <w:basedOn w:val="1"/>
    <w:qFormat/>
    <w:uiPriority w:val="0"/>
    <w:pPr>
      <w:spacing w:after="120" w:afterLines="0" w:line="480" w:lineRule="auto"/>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7"/>
    <w:next w:val="1"/>
    <w:qFormat/>
    <w:uiPriority w:val="0"/>
    <w:pPr>
      <w:spacing w:after="120" w:afterLines="0"/>
      <w:ind w:left="420" w:leftChars="200" w:firstLine="420" w:firstLineChars="200"/>
    </w:pPr>
    <w:rPr>
      <w:sz w:val="21"/>
    </w:rPr>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乙醇C2H5OH</cp:lastModifiedBy>
  <cp:lastPrinted>2021-03-31T09:44:00Z</cp:lastPrinted>
  <dcterms:modified xsi:type="dcterms:W3CDTF">2021-11-02T01:02:30Z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A1FA70DA7F2E424DBD60F352E0A7C2D3</vt:lpwstr>
  </property>
</Properties>
</file>