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line="520" w:lineRule="exact"/>
        <w:rPr>
          <w:rFonts w:ascii="仿宋" w:hAnsi="仿宋" w:eastAsia="仿宋" w:cs="仿宋"/>
          <w:sz w:val="32"/>
          <w:szCs w:val="32"/>
        </w:rPr>
      </w:pPr>
    </w:p>
    <w:p>
      <w:pPr>
        <w:spacing w:after="200" w:line="520" w:lineRule="exact"/>
        <w:rPr>
          <w:rFonts w:ascii="仿宋" w:hAnsi="仿宋" w:eastAsia="仿宋" w:cs="仿宋"/>
          <w:sz w:val="32"/>
          <w:szCs w:val="32"/>
        </w:rPr>
      </w:pPr>
    </w:p>
    <w:p>
      <w:pPr>
        <w:spacing w:after="200" w:line="520" w:lineRule="exact"/>
        <w:rPr>
          <w:rFonts w:ascii="仿宋" w:hAnsi="仿宋" w:eastAsia="仿宋" w:cs="仿宋"/>
          <w:sz w:val="32"/>
          <w:szCs w:val="32"/>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益赫环评表〔2021〕</w:t>
      </w:r>
      <w:r>
        <w:rPr>
          <w:rFonts w:hint="eastAsia" w:ascii="仿宋" w:hAnsi="仿宋" w:eastAsia="仿宋" w:cs="仿宋"/>
          <w:sz w:val="32"/>
          <w:szCs w:val="32"/>
          <w:lang w:val="en-US" w:eastAsia="zh-CN"/>
        </w:rPr>
        <w:t>3</w:t>
      </w:r>
      <w:r>
        <w:rPr>
          <w:rFonts w:hint="eastAsia" w:ascii="仿宋" w:hAnsi="仿宋" w:eastAsia="仿宋" w:cs="仿宋"/>
          <w:sz w:val="32"/>
          <w:szCs w:val="32"/>
        </w:rPr>
        <w:t>号</w:t>
      </w:r>
    </w:p>
    <w:p>
      <w:pPr>
        <w:spacing w:line="640" w:lineRule="exact"/>
        <w:jc w:val="center"/>
        <w:rPr>
          <w:rFonts w:ascii="华文中宋" w:hAnsi="华文中宋" w:eastAsia="华文中宋" w:cstheme="minorEastAsia"/>
          <w:b w:val="0"/>
          <w:bCs/>
          <w:sz w:val="32"/>
          <w:szCs w:val="32"/>
        </w:rPr>
      </w:pPr>
      <w:r>
        <w:rPr>
          <w:rFonts w:hint="eastAsia" w:ascii="华文中宋" w:hAnsi="华文中宋" w:eastAsia="华文中宋" w:cstheme="minorEastAsia"/>
          <w:b w:val="0"/>
          <w:bCs/>
          <w:sz w:val="44"/>
          <w:szCs w:val="44"/>
        </w:rPr>
        <w:t>关于《益阳市万京源电子有限公司年产</w:t>
      </w:r>
      <w:r>
        <w:rPr>
          <w:rFonts w:ascii="华文中宋" w:hAnsi="华文中宋" w:eastAsia="华文中宋" w:cstheme="minorEastAsia"/>
          <w:b w:val="0"/>
          <w:bCs/>
          <w:sz w:val="44"/>
          <w:szCs w:val="44"/>
        </w:rPr>
        <w:t>15亿支铝电解电容器建设项目环境影响报告表》的批复</w:t>
      </w:r>
      <w:bookmarkStart w:id="0" w:name="_GoBack"/>
      <w:bookmarkEnd w:id="0"/>
    </w:p>
    <w:p>
      <w:pPr>
        <w:spacing w:line="560" w:lineRule="exact"/>
        <w:rPr>
          <w:rFonts w:ascii="仿宋" w:hAnsi="仿宋" w:eastAsia="仿宋" w:cs="仿宋"/>
          <w:color w:val="000000" w:themeColor="text1"/>
          <w:sz w:val="32"/>
          <w:szCs w:val="32"/>
          <w14:textFill>
            <w14:solidFill>
              <w14:schemeClr w14:val="tx1"/>
            </w14:solidFill>
          </w14:textFill>
        </w:rPr>
      </w:pPr>
    </w:p>
    <w:p>
      <w:pPr>
        <w:spacing w:line="560" w:lineRule="exact"/>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益阳市万京源电子有限公司</w:t>
      </w:r>
      <w:r>
        <w:rPr>
          <w:rFonts w:hint="eastAsia" w:ascii="仿宋" w:hAnsi="仿宋" w:eastAsia="仿宋" w:cs="仿宋"/>
          <w:sz w:val="32"/>
          <w:szCs w:val="32"/>
        </w:rPr>
        <w:t>：</w:t>
      </w:r>
    </w:p>
    <w:p>
      <w:pPr>
        <w:numPr>
          <w:ilvl w:val="0"/>
          <w:numId w:val="0"/>
        </w:numPr>
        <w:spacing w:line="560" w:lineRule="exact"/>
        <w:ind w:firstLine="656"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pacing w:val="4"/>
          <w:sz w:val="32"/>
          <w:szCs w:val="32"/>
        </w:rPr>
        <w:t>你</w:t>
      </w:r>
      <w:r>
        <w:rPr>
          <w:rFonts w:hint="eastAsia" w:ascii="仿宋" w:hAnsi="仿宋" w:eastAsia="仿宋" w:cs="仿宋"/>
          <w:sz w:val="32"/>
          <w:szCs w:val="32"/>
        </w:rPr>
        <w:t>公司呈报的《益阳市万京源电子有限公司年产15亿支铝电解电容器建设项目环境影响报告表》</w:t>
      </w:r>
      <w:r>
        <w:rPr>
          <w:rFonts w:hint="eastAsia" w:ascii="仿宋" w:hAnsi="仿宋" w:eastAsia="仿宋" w:cs="仿宋"/>
          <w:color w:val="000000"/>
          <w:sz w:val="32"/>
          <w:szCs w:val="32"/>
        </w:rPr>
        <w:t>及相关附件收悉。</w:t>
      </w:r>
      <w:r>
        <w:rPr>
          <w:rFonts w:hint="eastAsia" w:ascii="仿宋" w:hAnsi="仿宋" w:eastAsia="仿宋" w:cs="仿宋"/>
          <w:sz w:val="32"/>
          <w:szCs w:val="32"/>
        </w:rPr>
        <w:t>经审查、研究，批复如下：</w:t>
      </w:r>
    </w:p>
    <w:p>
      <w:pPr>
        <w:numPr>
          <w:ilvl w:val="0"/>
          <w:numId w:val="0"/>
        </w:num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themeColor="text1"/>
          <w:sz w:val="32"/>
          <w:szCs w:val="32"/>
          <w14:textFill>
            <w14:solidFill>
              <w14:schemeClr w14:val="tx1"/>
            </w14:solidFill>
          </w14:textFill>
        </w:rPr>
        <w:t>一、益阳市万京源电子有限公司成立于2005年，企业原位于</w:t>
      </w:r>
      <w:r>
        <w:rPr>
          <w:rFonts w:hint="eastAsia" w:ascii="仿宋" w:hAnsi="仿宋" w:eastAsia="仿宋" w:cs="仿宋"/>
          <w:color w:val="000000" w:themeColor="text1"/>
          <w:sz w:val="32"/>
          <w:szCs w:val="32"/>
          <w:shd w:val="clear" w:color="auto" w:fill="FFFFFF"/>
          <w14:textFill>
            <w14:solidFill>
              <w14:schemeClr w14:val="tx1"/>
            </w14:solidFill>
          </w14:textFill>
        </w:rPr>
        <w:t>益阳市龙岭工业园团山路，</w:t>
      </w:r>
      <w:r>
        <w:rPr>
          <w:rFonts w:hint="eastAsia" w:ascii="仿宋" w:hAnsi="仿宋" w:eastAsia="仿宋" w:cs="仿宋"/>
          <w:color w:val="000000" w:themeColor="text1"/>
          <w:sz w:val="32"/>
          <w:szCs w:val="32"/>
          <w14:textFill>
            <w14:solidFill>
              <w14:schemeClr w14:val="tx1"/>
            </w14:solidFill>
          </w14:textFill>
        </w:rPr>
        <w:t>由于发展需要，于2018年搬迁至益阳市赫山区衡龙新区，公司石墨烯高分子固态电容研发及产业化项目于2018年</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月取得我局批复（益环赫审[2018]07号），目前尚未投入生产。由于建设内容发生重大变化，故重新报批环评文件。</w:t>
      </w:r>
      <w:r>
        <w:rPr>
          <w:rFonts w:hint="eastAsia" w:ascii="仿宋" w:hAnsi="仿宋" w:eastAsia="仿宋" w:cs="仿宋"/>
          <w:color w:val="000000" w:themeColor="text1"/>
          <w:sz w:val="32"/>
          <w:szCs w:val="32"/>
          <w:lang w:val="en-US" w:eastAsia="zh-CN"/>
          <w14:textFill>
            <w14:solidFill>
              <w14:schemeClr w14:val="tx1"/>
            </w14:solidFill>
          </w14:textFill>
        </w:rPr>
        <w:t>公司总投资24000万元，</w:t>
      </w:r>
      <w:r>
        <w:rPr>
          <w:rFonts w:hint="eastAsia" w:ascii="仿宋" w:hAnsi="仿宋" w:eastAsia="仿宋" w:cs="仿宋"/>
          <w:kern w:val="0"/>
          <w:sz w:val="32"/>
          <w:szCs w:val="32"/>
          <w:lang w:eastAsia="zh-CN"/>
        </w:rPr>
        <w:t>占地</w:t>
      </w:r>
      <w:r>
        <w:rPr>
          <w:rFonts w:hint="eastAsia" w:ascii="仿宋" w:hAnsi="仿宋" w:eastAsia="仿宋" w:cs="仿宋"/>
          <w:kern w:val="0"/>
          <w:sz w:val="32"/>
          <w:szCs w:val="32"/>
        </w:rPr>
        <w:t>面积</w:t>
      </w:r>
      <w:r>
        <w:rPr>
          <w:rFonts w:hint="eastAsia" w:ascii="仿宋" w:hAnsi="仿宋" w:eastAsia="仿宋" w:cs="仿宋"/>
          <w:color w:val="000000" w:themeColor="text1"/>
          <w:sz w:val="32"/>
          <w:szCs w:val="32"/>
          <w14:textFill>
            <w14:solidFill>
              <w14:schemeClr w14:val="tx1"/>
            </w14:solidFill>
          </w14:textFill>
        </w:rPr>
        <w:t>33026</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w:t>
      </w:r>
      <w:r>
        <w:rPr>
          <w:rFonts w:hint="eastAsia" w:ascii="仿宋" w:hAnsi="仿宋" w:eastAsia="仿宋" w:cs="仿宋"/>
          <w:color w:val="000000" w:themeColor="text1"/>
          <w:sz w:val="32"/>
          <w:szCs w:val="32"/>
          <w14:textFill>
            <w14:solidFill>
              <w14:schemeClr w14:val="tx1"/>
            </w14:solidFill>
          </w14:textFill>
        </w:rPr>
        <w:t>本次建设内容主要为1栋4层楼的生产车间、1栋7层楼的办公楼、1栋3层楼的食堂、1栋5层楼的宿舍及2间门卫室等相关配套设施。</w:t>
      </w:r>
      <w:r>
        <w:rPr>
          <w:rFonts w:hint="eastAsia" w:ascii="仿宋" w:hAnsi="仿宋" w:eastAsia="仿宋" w:cs="仿宋"/>
          <w:sz w:val="32"/>
          <w:szCs w:val="32"/>
          <w:lang w:val="en-US" w:eastAsia="zh-CN"/>
        </w:rPr>
        <w:t>建设1</w:t>
      </w:r>
      <w:r>
        <w:rPr>
          <w:rFonts w:hint="eastAsia" w:ascii="仿宋" w:hAnsi="仿宋" w:eastAsia="仿宋" w:cs="仿宋"/>
          <w:sz w:val="32"/>
          <w:szCs w:val="32"/>
        </w:rPr>
        <w:t>条</w:t>
      </w:r>
      <w:r>
        <w:rPr>
          <w:rFonts w:hint="eastAsia" w:ascii="仿宋" w:hAnsi="仿宋" w:eastAsia="仿宋" w:cs="仿宋"/>
          <w:sz w:val="32"/>
          <w:szCs w:val="32"/>
          <w:lang w:val="en-US" w:eastAsia="zh-CN"/>
        </w:rPr>
        <w:t>铝</w:t>
      </w:r>
      <w:r>
        <w:rPr>
          <w:rFonts w:hint="eastAsia" w:ascii="仿宋" w:hAnsi="仿宋" w:eastAsia="仿宋" w:cs="仿宋"/>
          <w:sz w:val="32"/>
          <w:szCs w:val="32"/>
        </w:rPr>
        <w:t>电解电容器生产线，形成年产</w:t>
      </w:r>
      <w:r>
        <w:rPr>
          <w:rFonts w:hint="eastAsia" w:ascii="仿宋" w:hAnsi="仿宋" w:eastAsia="仿宋" w:cs="仿宋"/>
          <w:sz w:val="32"/>
          <w:szCs w:val="32"/>
          <w:lang w:val="en-US" w:eastAsia="zh-CN"/>
        </w:rPr>
        <w:t>15</w:t>
      </w:r>
      <w:r>
        <w:rPr>
          <w:rFonts w:hint="eastAsia" w:ascii="仿宋" w:hAnsi="仿宋" w:eastAsia="仿宋" w:cs="仿宋"/>
          <w:sz w:val="32"/>
          <w:szCs w:val="32"/>
        </w:rPr>
        <w:t>亿支</w:t>
      </w:r>
      <w:r>
        <w:rPr>
          <w:rFonts w:hint="eastAsia" w:ascii="仿宋" w:hAnsi="仿宋" w:eastAsia="仿宋" w:cs="仿宋"/>
          <w:sz w:val="32"/>
          <w:szCs w:val="32"/>
          <w:lang w:val="en-US" w:eastAsia="zh-CN"/>
        </w:rPr>
        <w:t>铝</w:t>
      </w:r>
      <w:r>
        <w:rPr>
          <w:rFonts w:hint="eastAsia" w:ascii="仿宋" w:hAnsi="仿宋" w:eastAsia="仿宋" w:cs="仿宋"/>
          <w:sz w:val="32"/>
          <w:szCs w:val="32"/>
        </w:rPr>
        <w:t>电解电容器的生产规模。项目符合国家产业政策，</w:t>
      </w:r>
      <w:r>
        <w:rPr>
          <w:rFonts w:hint="eastAsia" w:ascii="仿宋" w:hAnsi="仿宋" w:eastAsia="仿宋" w:cs="仿宋"/>
          <w:spacing w:val="8"/>
          <w:sz w:val="32"/>
          <w:szCs w:val="32"/>
        </w:rPr>
        <w:t>选址可行。</w:t>
      </w:r>
      <w:r>
        <w:rPr>
          <w:rFonts w:hint="eastAsia" w:ascii="仿宋" w:hAnsi="仿宋" w:eastAsia="仿宋" w:cs="仿宋"/>
          <w:color w:val="000000"/>
          <w:kern w:val="0"/>
          <w:sz w:val="32"/>
          <w:szCs w:val="32"/>
        </w:rPr>
        <w:t>根据</w:t>
      </w:r>
      <w:r>
        <w:rPr>
          <w:rFonts w:hint="eastAsia" w:ascii="仿宋" w:hAnsi="仿宋" w:eastAsia="仿宋" w:cs="仿宋"/>
          <w:color w:val="000000" w:themeColor="text1"/>
          <w:sz w:val="32"/>
          <w:szCs w:val="32"/>
          <w14:textFill>
            <w14:solidFill>
              <w14:schemeClr w14:val="tx1"/>
            </w14:solidFill>
          </w14:textFill>
        </w:rPr>
        <w:t>湖南太禹环保科技有限公司</w:t>
      </w:r>
      <w:r>
        <w:rPr>
          <w:rFonts w:hint="eastAsia" w:ascii="仿宋" w:hAnsi="仿宋" w:eastAsia="仿宋" w:cs="仿宋"/>
          <w:color w:val="000000"/>
          <w:kern w:val="0"/>
          <w:sz w:val="32"/>
          <w:szCs w:val="32"/>
        </w:rPr>
        <w:t>编制的环评报告表的分析结论和专家组审查意见，</w:t>
      </w:r>
      <w:r>
        <w:rPr>
          <w:rFonts w:hint="eastAsia" w:ascii="仿宋" w:hAnsi="仿宋" w:eastAsia="仿宋" w:cs="仿宋"/>
          <w:kern w:val="0"/>
          <w:sz w:val="32"/>
          <w:szCs w:val="32"/>
        </w:rPr>
        <w:t>在建设单位认真落实环评报告表提出的各项污染防治措施，</w:t>
      </w:r>
      <w:r>
        <w:rPr>
          <w:rFonts w:hint="eastAsia" w:ascii="仿宋" w:hAnsi="仿宋" w:eastAsia="仿宋" w:cs="仿宋"/>
          <w:color w:val="000000"/>
          <w:sz w:val="32"/>
          <w:szCs w:val="32"/>
        </w:rPr>
        <w:t>确保外排污染物稳定达标的前提下，从环保的角度分析，我局同意项目按报告表所列的建设方案、规模、工艺、环保措施等在拟选地址建设。</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建设单位在项目设计、建设和营运期间，必须严格执行环保“三同时”制度，按照环评报告表要求落实各项污染防治措施，并着重做好如下工作</w:t>
      </w:r>
      <w:r>
        <w:rPr>
          <w:rFonts w:hint="eastAsia" w:ascii="仿宋" w:hAnsi="仿宋" w:eastAsia="仿宋" w:cs="仿宋"/>
          <w:color w:val="000000"/>
          <w:spacing w:val="4"/>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严格履行建设单位的生态环境保护主体责任，加强环境管理，建立环境管理机构，配备专职或兼职环保管理人员，完善环境管理的各项规章制度，定期对“三废”处理设施进行维护和检查，严禁“三废”不经处理直接排放。</w:t>
      </w:r>
    </w:p>
    <w:p>
      <w:pPr>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（二）加强大气污染防控。</w:t>
      </w:r>
      <w:r>
        <w:rPr>
          <w:rFonts w:hint="eastAsia" w:ascii="仿宋" w:hAnsi="仿宋" w:eastAsia="仿宋" w:cs="仿宋"/>
          <w:bCs/>
          <w:color w:val="000000" w:themeColor="text1"/>
          <w:sz w:val="32"/>
          <w:szCs w:val="32"/>
          <w14:textFill>
            <w14:solidFill>
              <w14:schemeClr w14:val="tx1"/>
            </w14:solidFill>
          </w14:textFill>
        </w:rPr>
        <w:t>含浸、聚合、老化、捺印、套管工序</w:t>
      </w:r>
      <w:r>
        <w:rPr>
          <w:rFonts w:hint="eastAsia" w:ascii="仿宋" w:hAnsi="仿宋" w:eastAsia="仿宋" w:cs="仿宋"/>
          <w:color w:val="000000" w:themeColor="text1"/>
          <w:sz w:val="32"/>
          <w:szCs w:val="32"/>
          <w14:textFill>
            <w14:solidFill>
              <w14:schemeClr w14:val="tx1"/>
            </w14:solidFill>
          </w14:textFill>
        </w:rPr>
        <w:t>产生的挥发性有机物经“UV光氧+活性炭吸附”装置处理后通过15m高排气筒排放，确保外排污染物满足</w:t>
      </w:r>
      <w:r>
        <w:rPr>
          <w:rFonts w:hint="eastAsia" w:ascii="仿宋" w:hAnsi="仿宋" w:eastAsia="仿宋" w:cs="仿宋"/>
          <w:sz w:val="32"/>
          <w:szCs w:val="32"/>
        </w:rPr>
        <w:t>湖南省地方标准《印刷业挥发性有机物排放标准》（DB43/1357-2017）</w:t>
      </w:r>
      <w:r>
        <w:rPr>
          <w:rFonts w:hint="eastAsia" w:ascii="仿宋" w:hAnsi="仿宋" w:eastAsia="仿宋" w:cs="仿宋"/>
          <w:sz w:val="32"/>
          <w:szCs w:val="32"/>
          <w:lang w:val="en-US" w:eastAsia="zh-CN"/>
        </w:rPr>
        <w:t>中</w:t>
      </w:r>
      <w:r>
        <w:rPr>
          <w:rFonts w:hint="eastAsia" w:ascii="仿宋" w:hAnsi="仿宋" w:eastAsia="仿宋" w:cs="仿宋"/>
          <w:sz w:val="32"/>
          <w:szCs w:val="32"/>
        </w:rPr>
        <w:t>表1</w:t>
      </w:r>
      <w:r>
        <w:rPr>
          <w:rFonts w:hint="eastAsia" w:ascii="仿宋" w:hAnsi="仿宋" w:eastAsia="仿宋" w:cs="仿宋"/>
          <w:sz w:val="32"/>
          <w:szCs w:val="32"/>
          <w:lang w:val="en-US" w:eastAsia="zh-CN"/>
        </w:rPr>
        <w:t>排放限值</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pacing w:val="-2"/>
          <w:sz w:val="32"/>
          <w:szCs w:val="32"/>
          <w14:textFill>
            <w14:solidFill>
              <w14:schemeClr w14:val="tx1"/>
            </w14:solidFill>
          </w14:textFill>
        </w:rPr>
        <w:t>VOC</w:t>
      </w:r>
      <w:r>
        <w:rPr>
          <w:rFonts w:hint="eastAsia" w:ascii="仿宋" w:hAnsi="仿宋" w:eastAsia="仿宋" w:cs="仿宋"/>
          <w:color w:val="000000" w:themeColor="text1"/>
          <w:spacing w:val="-2"/>
          <w:sz w:val="32"/>
          <w:szCs w:val="32"/>
          <w:vertAlign w:val="subscript"/>
          <w14:textFill>
            <w14:solidFill>
              <w14:schemeClr w14:val="tx1"/>
            </w14:solidFill>
          </w14:textFill>
        </w:rPr>
        <w:t>S</w:t>
      </w:r>
      <w:r>
        <w:rPr>
          <w:rFonts w:hint="eastAsia" w:ascii="仿宋" w:hAnsi="仿宋" w:eastAsia="仿宋" w:cs="仿宋"/>
          <w:color w:val="000000" w:themeColor="text1"/>
          <w:sz w:val="32"/>
          <w:szCs w:val="32"/>
          <w14:textFill>
            <w14:solidFill>
              <w14:schemeClr w14:val="tx1"/>
            </w14:solidFill>
          </w14:textFill>
        </w:rPr>
        <w:t>无组织排放同时满足</w:t>
      </w:r>
      <w:r>
        <w:rPr>
          <w:rFonts w:hint="eastAsia" w:ascii="仿宋" w:hAnsi="仿宋" w:eastAsia="仿宋" w:cs="仿宋"/>
          <w:color w:val="000000" w:themeColor="text1"/>
          <w:spacing w:val="-4"/>
          <w:sz w:val="32"/>
          <w:szCs w:val="32"/>
          <w14:textFill>
            <w14:solidFill>
              <w14:schemeClr w14:val="tx1"/>
            </w14:solidFill>
          </w14:textFill>
        </w:rPr>
        <w:t>《挥发性有机物无组织排放控</w:t>
      </w:r>
      <w:r>
        <w:rPr>
          <w:rFonts w:hint="eastAsia" w:ascii="仿宋" w:hAnsi="仿宋" w:eastAsia="仿宋" w:cs="仿宋"/>
          <w:color w:val="000000" w:themeColor="text1"/>
          <w:spacing w:val="-8"/>
          <w:sz w:val="32"/>
          <w:szCs w:val="32"/>
          <w14:textFill>
            <w14:solidFill>
              <w14:schemeClr w14:val="tx1"/>
            </w14:solidFill>
          </w14:textFill>
        </w:rPr>
        <w:t>制标准》</w:t>
      </w:r>
      <w:r>
        <w:rPr>
          <w:rFonts w:hint="eastAsia" w:ascii="仿宋" w:hAnsi="仿宋" w:eastAsia="仿宋" w:cs="仿宋"/>
          <w:color w:val="000000" w:themeColor="text1"/>
          <w:spacing w:val="-1"/>
          <w:sz w:val="32"/>
          <w:szCs w:val="32"/>
          <w14:textFill>
            <w14:solidFill>
              <w14:schemeClr w14:val="tx1"/>
            </w14:solidFill>
          </w14:textFill>
        </w:rPr>
        <w:t>（GB37822-2019）附录A中限值；</w:t>
      </w:r>
      <w:r>
        <w:rPr>
          <w:rFonts w:hint="eastAsia" w:ascii="仿宋" w:hAnsi="仿宋" w:eastAsia="仿宋" w:cs="仿宋"/>
          <w:bCs/>
          <w:color w:val="000000" w:themeColor="text1"/>
          <w:sz w:val="32"/>
          <w:szCs w:val="32"/>
          <w14:textFill>
            <w14:solidFill>
              <w14:schemeClr w14:val="tx1"/>
            </w14:solidFill>
          </w14:textFill>
        </w:rPr>
        <w:t>项目裁切工序产生的粉尘</w:t>
      </w:r>
      <w:r>
        <w:rPr>
          <w:rFonts w:hint="eastAsia" w:ascii="仿宋" w:hAnsi="仿宋" w:eastAsia="仿宋" w:cs="仿宋"/>
          <w:color w:val="000000" w:themeColor="text1"/>
          <w:sz w:val="32"/>
          <w:szCs w:val="32"/>
          <w14:textFill>
            <w14:solidFill>
              <w14:schemeClr w14:val="tx1"/>
            </w14:solidFill>
          </w14:textFill>
        </w:rPr>
        <w:t>经布袋除尘器处理后外排，确保外排污染物满足《大气污染物综合排放标准》（GB16297-1996）中表2无组织排放监控浓度限值；食堂油烟经油烟净化器处理满足《饮食业油烟排放标准（试行）》（GB18483-2001）要求后引至楼顶排放。</w:t>
      </w:r>
    </w:p>
    <w:p>
      <w:pPr>
        <w:pStyle w:val="7"/>
        <w:adjustRightInd w:val="0"/>
        <w:snapToGrid w:val="0"/>
        <w:spacing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color w:val="000000"/>
          <w:spacing w:val="4"/>
          <w:sz w:val="32"/>
          <w:szCs w:val="32"/>
        </w:rPr>
        <w:t>做好项目水污染防治工作。</w:t>
      </w:r>
      <w:r>
        <w:rPr>
          <w:rFonts w:hint="eastAsia" w:ascii="仿宋" w:hAnsi="仿宋" w:eastAsia="仿宋" w:cs="仿宋"/>
          <w:color w:val="000000" w:themeColor="text1"/>
          <w:sz w:val="32"/>
          <w:szCs w:val="32"/>
          <w14:textFill>
            <w14:solidFill>
              <w14:schemeClr w14:val="tx1"/>
            </w14:solidFill>
          </w14:textFill>
        </w:rPr>
        <w:t>清洗废水经隔油池预处理，生活污水经隔油池、化粪池预处理，达到《污水综合排放标准》</w:t>
      </w:r>
      <w:r>
        <w:rPr>
          <w:rFonts w:hint="eastAsia" w:ascii="仿宋" w:hAnsi="仿宋" w:eastAsia="仿宋"/>
          <w:sz w:val="32"/>
          <w:szCs w:val="32"/>
        </w:rPr>
        <w:t>（GB8978-1996）表4中</w:t>
      </w:r>
      <w:r>
        <w:rPr>
          <w:rFonts w:hint="eastAsia" w:ascii="仿宋" w:hAnsi="仿宋" w:eastAsia="仿宋" w:cs="仿宋"/>
          <w:color w:val="000000" w:themeColor="text1"/>
          <w:sz w:val="32"/>
          <w:szCs w:val="32"/>
          <w14:textFill>
            <w14:solidFill>
              <w14:schemeClr w14:val="tx1"/>
            </w14:solidFill>
          </w14:textFill>
        </w:rPr>
        <w:t>三级标准后排入园区污水管网，后进入益阳市衡龙新区污水处理厂</w:t>
      </w:r>
      <w:r>
        <w:rPr>
          <w:rFonts w:hint="eastAsia" w:ascii="仿宋" w:hAnsi="仿宋" w:eastAsia="仿宋" w:cs="仿宋"/>
          <w:sz w:val="32"/>
          <w:szCs w:val="32"/>
        </w:rPr>
        <w:t>进行深度处理。</w:t>
      </w:r>
    </w:p>
    <w:p>
      <w:pPr>
        <w:pStyle w:val="4"/>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color w:val="000000"/>
          <w:spacing w:val="4"/>
          <w:sz w:val="32"/>
          <w:szCs w:val="32"/>
        </w:rPr>
        <w:t>做好项目噪声污染防治工作。</w:t>
      </w:r>
      <w:r>
        <w:rPr>
          <w:rFonts w:hint="eastAsia" w:ascii="仿宋" w:hAnsi="仿宋" w:eastAsia="仿宋" w:cs="仿宋"/>
          <w:color w:val="000000"/>
          <w:sz w:val="32"/>
          <w:szCs w:val="32"/>
        </w:rPr>
        <w:t>落实环评报告表提出的噪声防治措施，合理优化总平面布局，并从优化设备的选型、减震、消声、隔声和合理安排设备作业时间等方面做好噪声的污染控制工作，确保厂界东、南侧噪声满足</w:t>
      </w:r>
      <w:r>
        <w:rPr>
          <w:rFonts w:hint="eastAsia" w:ascii="仿宋" w:hAnsi="仿宋" w:eastAsia="仿宋" w:cs="仿宋"/>
          <w:color w:val="000000" w:themeColor="text1"/>
          <w:sz w:val="32"/>
          <w:szCs w:val="32"/>
          <w14:textFill>
            <w14:solidFill>
              <w14:schemeClr w14:val="tx1"/>
            </w14:solidFill>
          </w14:textFill>
        </w:rPr>
        <w:t>《工业企业厂界环境噪声排放标准》（GB12348-2008）中3类区标准，西、北侧噪声满足《工业企业厂界环境噪声排放标准》（GB12348-2008）中4类区标准</w:t>
      </w:r>
      <w:r>
        <w:rPr>
          <w:rFonts w:hint="eastAsia" w:ascii="仿宋" w:hAnsi="仿宋" w:eastAsia="仿宋" w:cs="仿宋"/>
          <w:color w:val="000000"/>
          <w:sz w:val="32"/>
          <w:szCs w:val="32"/>
        </w:rPr>
        <w:t>要求</w:t>
      </w:r>
      <w:r>
        <w:rPr>
          <w:rFonts w:hint="eastAsia" w:ascii="仿宋" w:hAnsi="仿宋" w:eastAsia="仿宋" w:cs="仿宋"/>
          <w:color w:val="000000"/>
          <w:spacing w:val="4"/>
          <w:sz w:val="32"/>
          <w:szCs w:val="32"/>
        </w:rPr>
        <w:t>。</w:t>
      </w:r>
    </w:p>
    <w:p>
      <w:pPr>
        <w:pStyle w:val="4"/>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color w:val="000000"/>
          <w:sz w:val="32"/>
          <w:szCs w:val="32"/>
        </w:rPr>
        <w:t>加强对固体废物的分类管理控制。项目产生的危废和一般固废应严格分类贮存，厂区内按规范和环评提出的容量要求分别设置危废暂存库和一般固废暂存场所，其建设、运行和管理应相应分别满足《危险废物贮存污染控制标准》(GB18597-2001)及其修改单、《一般工业固体废物贮存、处置场污染控制标准》（GB18599-2001）及其修改单要求。做好固体废物分类收集处置，</w:t>
      </w:r>
      <w:r>
        <w:rPr>
          <w:rFonts w:hint="eastAsia" w:ascii="仿宋" w:hAnsi="仿宋" w:eastAsia="仿宋" w:cs="仿宋"/>
          <w:color w:val="000000" w:themeColor="text1"/>
          <w:sz w:val="32"/>
          <w:szCs w:val="32"/>
          <w14:textFill>
            <w14:solidFill>
              <w14:schemeClr w14:val="tx1"/>
            </w14:solidFill>
          </w14:textFill>
        </w:rPr>
        <w:t>废边角料及除尘器收集粉尘经收集后交由供应商回收利用；废弃的纸箱包装物</w:t>
      </w:r>
      <w:r>
        <w:rPr>
          <w:rFonts w:hint="eastAsia" w:ascii="仿宋" w:hAnsi="仿宋" w:eastAsia="仿宋" w:cs="仿宋"/>
          <w:color w:val="000000" w:themeColor="text1"/>
          <w:sz w:val="32"/>
          <w:szCs w:val="32"/>
          <w:lang w:val="en-US" w:eastAsia="zh-CN"/>
          <w14:textFill>
            <w14:solidFill>
              <w14:schemeClr w14:val="tx1"/>
            </w14:solidFill>
          </w14:textFill>
        </w:rPr>
        <w:t>及</w:t>
      </w:r>
      <w:r>
        <w:rPr>
          <w:rFonts w:hint="eastAsia" w:ascii="仿宋" w:hAnsi="仿宋" w:eastAsia="仿宋" w:cs="仿宋"/>
          <w:color w:val="000000" w:themeColor="text1"/>
          <w:sz w:val="32"/>
          <w:szCs w:val="32"/>
          <w:u w:color="000000"/>
          <w14:textFill>
            <w14:solidFill>
              <w14:schemeClr w14:val="tx1"/>
            </w14:solidFill>
          </w14:textFill>
        </w:rPr>
        <w:t>不合格产品</w:t>
      </w:r>
      <w:r>
        <w:rPr>
          <w:rFonts w:hint="eastAsia" w:ascii="仿宋" w:hAnsi="仿宋" w:eastAsia="仿宋" w:cs="仿宋"/>
          <w:color w:val="000000" w:themeColor="text1"/>
          <w:sz w:val="32"/>
          <w:szCs w:val="32"/>
          <w14:textFill>
            <w14:solidFill>
              <w14:schemeClr w14:val="tx1"/>
            </w14:solidFill>
          </w14:textFill>
        </w:rPr>
        <w:t>外售给物资回收单位；生活垃圾由环卫部门统一清运处理；废滤芯由原生产厂家定期上门更换和回收；</w:t>
      </w:r>
      <w:r>
        <w:rPr>
          <w:rFonts w:hint="eastAsia" w:ascii="仿宋" w:hAnsi="仿宋" w:eastAsia="仿宋" w:cs="仿宋"/>
          <w:color w:val="000000" w:themeColor="text1"/>
          <w:sz w:val="32"/>
          <w:szCs w:val="32"/>
          <w:lang w:val="en-US" w:eastAsia="zh-CN"/>
          <w14:textFill>
            <w14:solidFill>
              <w14:schemeClr w14:val="tx1"/>
            </w14:solidFill>
          </w14:textFill>
        </w:rPr>
        <w:t>电解液及油墨废</w:t>
      </w:r>
      <w:r>
        <w:rPr>
          <w:rFonts w:hint="eastAsia" w:ascii="仿宋" w:hAnsi="仿宋" w:eastAsia="仿宋" w:cs="仿宋"/>
          <w:color w:val="000000" w:themeColor="text1"/>
          <w:sz w:val="32"/>
          <w:szCs w:val="32"/>
          <w14:textFill>
            <w14:solidFill>
              <w14:schemeClr w14:val="tx1"/>
            </w14:solidFill>
          </w14:textFill>
        </w:rPr>
        <w:t>包装桶</w:t>
      </w:r>
      <w:r>
        <w:rPr>
          <w:rFonts w:hint="eastAsia" w:ascii="仿宋" w:hAnsi="仿宋" w:eastAsia="仿宋" w:cs="仿宋"/>
          <w:color w:val="000000" w:themeColor="text1"/>
          <w:kern w:val="0"/>
          <w:sz w:val="32"/>
          <w:szCs w:val="32"/>
          <w14:textFill>
            <w14:solidFill>
              <w14:schemeClr w14:val="tx1"/>
            </w14:solidFill>
          </w14:textFill>
        </w:rPr>
        <w:t>、废UV灯管、废活性炭及隔油池废油</w:t>
      </w:r>
      <w:r>
        <w:rPr>
          <w:rFonts w:hint="eastAsia" w:ascii="仿宋" w:hAnsi="仿宋" w:eastAsia="仿宋" w:cs="仿宋"/>
          <w:color w:val="000000" w:themeColor="text1"/>
          <w:sz w:val="32"/>
          <w:szCs w:val="32"/>
          <w14:textFill>
            <w14:solidFill>
              <w14:schemeClr w14:val="tx1"/>
            </w14:solidFill>
          </w14:textFill>
        </w:rPr>
        <w:t>暂存于危废暂存间，定期</w:t>
      </w:r>
      <w:r>
        <w:rPr>
          <w:rFonts w:hint="eastAsia" w:ascii="仿宋" w:hAnsi="仿宋" w:eastAsia="仿宋" w:cs="仿宋"/>
          <w:bCs/>
          <w:color w:val="000000" w:themeColor="text1"/>
          <w:kern w:val="0"/>
          <w:sz w:val="32"/>
          <w:szCs w:val="32"/>
          <w14:textFill>
            <w14:solidFill>
              <w14:schemeClr w14:val="tx1"/>
            </w14:solidFill>
          </w14:textFill>
        </w:rPr>
        <w:t>交由有资质的单位进行处置。</w:t>
      </w:r>
    </w:p>
    <w:p>
      <w:pPr>
        <w:widowControl w:val="0"/>
        <w:spacing w:line="560" w:lineRule="exact"/>
        <w:ind w:firstLine="640" w:firstLineChars="200"/>
        <w:jc w:val="both"/>
        <w:rPr>
          <w:rFonts w:ascii="Times New Roman" w:hAnsi="Times New Roman" w:eastAsia="宋体" w:cs="Times New Roman"/>
          <w:color w:val="auto"/>
          <w:sz w:val="32"/>
          <w:szCs w:val="32"/>
        </w:rPr>
      </w:pPr>
      <w:r>
        <w:rPr>
          <w:rFonts w:hint="eastAsia" w:ascii="仿宋" w:hAnsi="仿宋" w:eastAsia="仿宋" w:cs="仿宋"/>
          <w:sz w:val="32"/>
          <w:szCs w:val="32"/>
        </w:rPr>
        <w:t>（六）</w:t>
      </w:r>
      <w:r>
        <w:rPr>
          <w:rFonts w:hint="eastAsia" w:ascii="仿宋" w:hAnsi="仿宋" w:eastAsia="仿宋" w:cs="仿宋"/>
          <w:color w:val="000000"/>
          <w:sz w:val="32"/>
          <w:szCs w:val="32"/>
        </w:rPr>
        <w:t>加强环境风险防范。</w:t>
      </w:r>
      <w:r>
        <w:rPr>
          <w:rFonts w:ascii="仿宋" w:hAnsi="仿宋" w:eastAsia="仿宋"/>
          <w:sz w:val="32"/>
          <w:szCs w:val="32"/>
        </w:rPr>
        <w:t>本项目运营过程中，存在环境风险隐患，必须制定行之有效的环境风险事故应急预案和切实可行的应急措施。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三、本项目的性质、规模、地点或者污染防治措施等发生重大变化时，应当重新向生态环境部门进行环评报批。</w:t>
      </w:r>
    </w:p>
    <w:p>
      <w:pPr>
        <w:tabs>
          <w:tab w:val="left" w:pos="8280"/>
        </w:tabs>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w:t>
      </w:r>
      <w:r>
        <w:rPr>
          <w:rFonts w:hint="eastAsia" w:ascii="仿宋" w:hAnsi="仿宋" w:eastAsia="仿宋" w:cs="仿宋"/>
          <w:color w:val="000000" w:themeColor="text1"/>
          <w:sz w:val="32"/>
          <w:szCs w:val="32"/>
          <w14:textFill>
            <w14:solidFill>
              <w14:schemeClr w14:val="tx1"/>
            </w14:solidFill>
          </w14:textFill>
        </w:rPr>
        <w:t>益阳市万京源电子有限公司</w:t>
      </w:r>
      <w:r>
        <w:rPr>
          <w:rFonts w:hint="eastAsia" w:ascii="仿宋" w:hAnsi="仿宋" w:eastAsia="仿宋"/>
          <w:sz w:val="32"/>
          <w:szCs w:val="32"/>
        </w:rPr>
        <w:t>在本次环评审批手续后，须严格按照《报告表》的内容和批复要求落实各项污染防治措施。项目建成后，</w:t>
      </w:r>
      <w:r>
        <w:rPr>
          <w:rFonts w:hint="eastAsia" w:ascii="仿宋" w:hAnsi="仿宋" w:eastAsia="仿宋"/>
          <w:color w:val="000000"/>
          <w:sz w:val="32"/>
          <w:szCs w:val="32"/>
        </w:rPr>
        <w:t>应按规定程序及时办理排污许可及竣工环境保护验收手续。</w:t>
      </w:r>
    </w:p>
    <w:p>
      <w:pPr>
        <w:tabs>
          <w:tab w:val="left" w:pos="8280"/>
        </w:tabs>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六、建设单位应严格执行环境保护制度规定，项目日常环境管理工作由益阳市生态环境局赫山分局负责，环保“三同时”执行情况的监督由益阳市生态环境保护综合行政执法支队赫山大队具体负责。</w:t>
      </w:r>
    </w:p>
    <w:p>
      <w:pPr>
        <w:widowControl/>
        <w:adjustRightInd w:val="0"/>
        <w:snapToGrid w:val="0"/>
        <w:spacing w:line="560" w:lineRule="exact"/>
        <w:ind w:firstLine="640" w:firstLineChars="200"/>
        <w:rPr>
          <w:rFonts w:ascii="仿宋" w:hAnsi="仿宋" w:eastAsia="仿宋" w:cs="仿宋"/>
          <w:kern w:val="0"/>
          <w:sz w:val="32"/>
          <w:szCs w:val="32"/>
        </w:rPr>
      </w:pPr>
    </w:p>
    <w:p>
      <w:pPr>
        <w:widowControl/>
        <w:adjustRightInd w:val="0"/>
        <w:snapToGrid w:val="0"/>
        <w:spacing w:line="560" w:lineRule="exact"/>
        <w:ind w:firstLine="640" w:firstLineChars="200"/>
        <w:jc w:val="both"/>
        <w:rPr>
          <w:rFonts w:ascii="仿宋" w:hAnsi="仿宋" w:eastAsia="仿宋" w:cs="仿宋"/>
          <w:kern w:val="0"/>
          <w:sz w:val="32"/>
          <w:szCs w:val="32"/>
        </w:rPr>
      </w:pPr>
    </w:p>
    <w:p>
      <w:pPr>
        <w:widowControl/>
        <w:adjustRightInd w:val="0"/>
        <w:snapToGrid w:val="0"/>
        <w:spacing w:line="560" w:lineRule="exact"/>
        <w:ind w:firstLine="640" w:firstLineChars="200"/>
        <w:jc w:val="both"/>
        <w:rPr>
          <w:rFonts w:ascii="仿宋" w:hAnsi="仿宋" w:eastAsia="仿宋" w:cs="仿宋"/>
          <w:kern w:val="0"/>
          <w:sz w:val="32"/>
          <w:szCs w:val="32"/>
        </w:rPr>
      </w:pPr>
      <w:r>
        <w:rPr>
          <w:rFonts w:hint="eastAsia" w:ascii="仿宋" w:hAnsi="仿宋" w:eastAsia="仿宋" w:cs="仿宋"/>
          <w:sz w:val="32"/>
          <w:szCs w:val="32"/>
        </w:rPr>
        <w:tab/>
      </w:r>
      <w:r>
        <w:rPr>
          <w:rFonts w:hint="eastAsia" w:ascii="仿宋" w:hAnsi="仿宋" w:eastAsia="仿宋" w:cs="仿宋"/>
          <w:sz w:val="32"/>
          <w:szCs w:val="32"/>
        </w:rPr>
        <w:t xml:space="preserve">                              </w:t>
      </w:r>
      <w:r>
        <w:rPr>
          <w:rFonts w:hint="eastAsia" w:ascii="仿宋" w:hAnsi="仿宋" w:eastAsia="仿宋" w:cs="仿宋"/>
          <w:kern w:val="0"/>
          <w:sz w:val="32"/>
          <w:szCs w:val="32"/>
        </w:rPr>
        <w:t>益阳市生态环境局</w:t>
      </w:r>
    </w:p>
    <w:p>
      <w:pPr>
        <w:tabs>
          <w:tab w:val="left" w:pos="540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 xml:space="preserve">  2021年3月4日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24A02"/>
    <w:rsid w:val="001173C2"/>
    <w:rsid w:val="002732B5"/>
    <w:rsid w:val="00315D89"/>
    <w:rsid w:val="00355927"/>
    <w:rsid w:val="0050303B"/>
    <w:rsid w:val="008454D1"/>
    <w:rsid w:val="009B4A4C"/>
    <w:rsid w:val="00A94D1B"/>
    <w:rsid w:val="00B21499"/>
    <w:rsid w:val="00B43D0E"/>
    <w:rsid w:val="00C04C2C"/>
    <w:rsid w:val="00D57A09"/>
    <w:rsid w:val="00D865C6"/>
    <w:rsid w:val="03A4091C"/>
    <w:rsid w:val="03AC515C"/>
    <w:rsid w:val="04382DB1"/>
    <w:rsid w:val="059D323F"/>
    <w:rsid w:val="06631BF4"/>
    <w:rsid w:val="06A47CCE"/>
    <w:rsid w:val="08356C4D"/>
    <w:rsid w:val="09192FC9"/>
    <w:rsid w:val="0A836961"/>
    <w:rsid w:val="0AED50A6"/>
    <w:rsid w:val="0B7970B0"/>
    <w:rsid w:val="0BC276F6"/>
    <w:rsid w:val="0CEC7627"/>
    <w:rsid w:val="0EB3780B"/>
    <w:rsid w:val="0F9C258E"/>
    <w:rsid w:val="10EB3FC4"/>
    <w:rsid w:val="11223069"/>
    <w:rsid w:val="112A083F"/>
    <w:rsid w:val="114C0D8E"/>
    <w:rsid w:val="11C060A5"/>
    <w:rsid w:val="12822609"/>
    <w:rsid w:val="1332794C"/>
    <w:rsid w:val="15275767"/>
    <w:rsid w:val="15784543"/>
    <w:rsid w:val="16307BED"/>
    <w:rsid w:val="17992FBB"/>
    <w:rsid w:val="17C3036A"/>
    <w:rsid w:val="19F974F6"/>
    <w:rsid w:val="1D274983"/>
    <w:rsid w:val="1D8D259C"/>
    <w:rsid w:val="1E5308F7"/>
    <w:rsid w:val="1F343FA8"/>
    <w:rsid w:val="1F4129DF"/>
    <w:rsid w:val="2007264F"/>
    <w:rsid w:val="20976ECF"/>
    <w:rsid w:val="21047EE3"/>
    <w:rsid w:val="231725FC"/>
    <w:rsid w:val="238D513E"/>
    <w:rsid w:val="23B63C6D"/>
    <w:rsid w:val="255132F3"/>
    <w:rsid w:val="255542EF"/>
    <w:rsid w:val="286706DB"/>
    <w:rsid w:val="28AF4EFC"/>
    <w:rsid w:val="28D31DBA"/>
    <w:rsid w:val="28F53A9D"/>
    <w:rsid w:val="296D3281"/>
    <w:rsid w:val="2B04610B"/>
    <w:rsid w:val="2BFA39B5"/>
    <w:rsid w:val="2C1D298C"/>
    <w:rsid w:val="306D4687"/>
    <w:rsid w:val="307D4B14"/>
    <w:rsid w:val="314D1DD8"/>
    <w:rsid w:val="319A2806"/>
    <w:rsid w:val="31A24A02"/>
    <w:rsid w:val="321064E4"/>
    <w:rsid w:val="33042FCC"/>
    <w:rsid w:val="346067FF"/>
    <w:rsid w:val="347B11F3"/>
    <w:rsid w:val="34A7729C"/>
    <w:rsid w:val="359B00DB"/>
    <w:rsid w:val="36D5716B"/>
    <w:rsid w:val="386D0DA7"/>
    <w:rsid w:val="38F50B01"/>
    <w:rsid w:val="39BA228A"/>
    <w:rsid w:val="3BBD746B"/>
    <w:rsid w:val="3D0C709F"/>
    <w:rsid w:val="3F5422FD"/>
    <w:rsid w:val="410C6CD2"/>
    <w:rsid w:val="41B637BF"/>
    <w:rsid w:val="41FA5A77"/>
    <w:rsid w:val="4245713E"/>
    <w:rsid w:val="438F39EB"/>
    <w:rsid w:val="43DE2FA8"/>
    <w:rsid w:val="455373FB"/>
    <w:rsid w:val="4560704F"/>
    <w:rsid w:val="499318E8"/>
    <w:rsid w:val="49BA1BCC"/>
    <w:rsid w:val="4A2D549F"/>
    <w:rsid w:val="4A826FB7"/>
    <w:rsid w:val="4BE5063D"/>
    <w:rsid w:val="4E190E1F"/>
    <w:rsid w:val="4E8324CA"/>
    <w:rsid w:val="50271879"/>
    <w:rsid w:val="502863FE"/>
    <w:rsid w:val="504A77F5"/>
    <w:rsid w:val="510001DC"/>
    <w:rsid w:val="51901604"/>
    <w:rsid w:val="51AC58FC"/>
    <w:rsid w:val="5201786C"/>
    <w:rsid w:val="53041BC6"/>
    <w:rsid w:val="5380317F"/>
    <w:rsid w:val="53AF6B97"/>
    <w:rsid w:val="54D64A78"/>
    <w:rsid w:val="55342931"/>
    <w:rsid w:val="557A6032"/>
    <w:rsid w:val="57DA67B4"/>
    <w:rsid w:val="58926D07"/>
    <w:rsid w:val="58A163C3"/>
    <w:rsid w:val="58BB14DA"/>
    <w:rsid w:val="593C0096"/>
    <w:rsid w:val="5ACA5183"/>
    <w:rsid w:val="5B900DE8"/>
    <w:rsid w:val="5C3F2F42"/>
    <w:rsid w:val="5C7B2DDB"/>
    <w:rsid w:val="5E31335A"/>
    <w:rsid w:val="5F6218DE"/>
    <w:rsid w:val="60630FEC"/>
    <w:rsid w:val="607A2E61"/>
    <w:rsid w:val="60B03121"/>
    <w:rsid w:val="61976FE7"/>
    <w:rsid w:val="61AB20E4"/>
    <w:rsid w:val="62AE1340"/>
    <w:rsid w:val="62BA4DB1"/>
    <w:rsid w:val="63E52036"/>
    <w:rsid w:val="641F5822"/>
    <w:rsid w:val="650A4266"/>
    <w:rsid w:val="6625766A"/>
    <w:rsid w:val="68040011"/>
    <w:rsid w:val="68C07AF5"/>
    <w:rsid w:val="68E262B4"/>
    <w:rsid w:val="6AAC4A8D"/>
    <w:rsid w:val="6DA20434"/>
    <w:rsid w:val="6E1E5676"/>
    <w:rsid w:val="6E6D7EF1"/>
    <w:rsid w:val="6F454E37"/>
    <w:rsid w:val="6FE772B4"/>
    <w:rsid w:val="727727CA"/>
    <w:rsid w:val="74A77FA2"/>
    <w:rsid w:val="752130C5"/>
    <w:rsid w:val="773D556D"/>
    <w:rsid w:val="785F2726"/>
    <w:rsid w:val="78977EA3"/>
    <w:rsid w:val="7A86060B"/>
    <w:rsid w:val="7B2616C0"/>
    <w:rsid w:val="7DE61F32"/>
    <w:rsid w:val="7E1D16F6"/>
    <w:rsid w:val="7EC44F78"/>
    <w:rsid w:val="7FF226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0"/>
    <w:pPr>
      <w:autoSpaceDE w:val="0"/>
      <w:autoSpaceDN w:val="0"/>
    </w:pPr>
    <w:rPr>
      <w:rFonts w:hint="eastAsia" w:hAnsi="宋体"/>
      <w:color w:val="000000"/>
      <w:sz w:val="24"/>
    </w:rPr>
  </w:style>
  <w:style w:type="paragraph" w:customStyle="1" w:styleId="3">
    <w:name w:val="纯文本1"/>
    <w:basedOn w:val="1"/>
    <w:qFormat/>
    <w:uiPriority w:val="0"/>
    <w:pPr>
      <w:adjustRightInd w:val="0"/>
    </w:pPr>
    <w:rPr>
      <w:rFonts w:ascii="宋体" w:hAnsi="Courier New"/>
      <w:szCs w:val="20"/>
    </w:rPr>
  </w:style>
  <w:style w:type="paragraph" w:styleId="4">
    <w:name w:val="annotation text"/>
    <w:basedOn w:val="1"/>
    <w:link w:val="14"/>
    <w:unhideWhenUsed/>
    <w:qFormat/>
    <w:uiPriority w:val="99"/>
    <w:pPr>
      <w:jc w:val="left"/>
    </w:pPr>
  </w:style>
  <w:style w:type="paragraph" w:styleId="5">
    <w:name w:val="Balloon Text"/>
    <w:basedOn w:val="1"/>
    <w:link w:val="13"/>
    <w:qFormat/>
    <w:uiPriority w:val="0"/>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semiHidden/>
    <w:qFormat/>
    <w:uiPriority w:val="0"/>
    <w:pPr>
      <w:ind w:left="420" w:leftChars="200"/>
    </w:pPr>
  </w:style>
  <w:style w:type="paragraph" w:styleId="8">
    <w:name w:val="annotation subject"/>
    <w:basedOn w:val="4"/>
    <w:next w:val="4"/>
    <w:link w:val="15"/>
    <w:qFormat/>
    <w:uiPriority w:val="0"/>
    <w:rPr>
      <w:b/>
      <w:bCs/>
    </w:rPr>
  </w:style>
  <w:style w:type="character" w:styleId="11">
    <w:name w:val="annotation reference"/>
    <w:basedOn w:val="10"/>
    <w:qFormat/>
    <w:uiPriority w:val="0"/>
    <w:rPr>
      <w:sz w:val="21"/>
      <w:szCs w:val="21"/>
    </w:rPr>
  </w:style>
  <w:style w:type="paragraph" w:customStyle="1" w:styleId="12">
    <w:name w:val="_Style 1"/>
    <w:qFormat/>
    <w:uiPriority w:val="1"/>
    <w:pPr>
      <w:adjustRightInd w:val="0"/>
      <w:snapToGrid w:val="0"/>
      <w:spacing w:line="360" w:lineRule="auto"/>
      <w:jc w:val="center"/>
    </w:pPr>
    <w:rPr>
      <w:rFonts w:ascii="Tahoma" w:hAnsi="Tahoma" w:eastAsia="宋体" w:cs="Times New Roman"/>
      <w:sz w:val="24"/>
      <w:szCs w:val="22"/>
      <w:lang w:val="en-US" w:eastAsia="zh-CN" w:bidi="ar-SA"/>
    </w:rPr>
  </w:style>
  <w:style w:type="character" w:customStyle="1" w:styleId="13">
    <w:name w:val="批注框文本 Char"/>
    <w:basedOn w:val="10"/>
    <w:link w:val="5"/>
    <w:qFormat/>
    <w:uiPriority w:val="0"/>
    <w:rPr>
      <w:kern w:val="2"/>
      <w:sz w:val="18"/>
      <w:szCs w:val="18"/>
    </w:rPr>
  </w:style>
  <w:style w:type="character" w:customStyle="1" w:styleId="14">
    <w:name w:val="批注文字 Char"/>
    <w:basedOn w:val="10"/>
    <w:link w:val="4"/>
    <w:qFormat/>
    <w:uiPriority w:val="99"/>
    <w:rPr>
      <w:kern w:val="2"/>
      <w:sz w:val="21"/>
      <w:szCs w:val="22"/>
    </w:rPr>
  </w:style>
  <w:style w:type="character" w:customStyle="1" w:styleId="15">
    <w:name w:val="批注主题 Char"/>
    <w:basedOn w:val="14"/>
    <w:link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388</Words>
  <Characters>2218</Characters>
  <Lines>18</Lines>
  <Paragraphs>5</Paragraphs>
  <TotalTime>27</TotalTime>
  <ScaleCrop>false</ScaleCrop>
  <LinksUpToDate>false</LinksUpToDate>
  <CharactersWithSpaces>2601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2021-02-08T07:29:00Z</dcterms:created>
  <dc:creator>TANG</dc:creator>
  <cp:lastModifiedBy>O</cp:lastModifiedBy>
  <cp:lastPrinted>2021-03-04T08:22:00Z</cp:lastPrinted>
  <dcterms:modified xsi:type="dcterms:W3CDTF">2021-03-12T01:54:17Z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D3629FEA49AF49CFA8EFBD47E6CAB532</vt:lpwstr>
  </property>
</Properties>
</file>