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jc w:val="center"/>
        <w:rPr>
          <w:rFonts w:ascii="仿宋_GB2312" w:eastAsia="仿宋_GB2312"/>
          <w:spacing w:val="-20"/>
        </w:rPr>
      </w:pPr>
    </w:p>
    <w:p>
      <w:pPr>
        <w:pStyle w:val="4"/>
        <w:spacing w:line="460" w:lineRule="exact"/>
        <w:jc w:val="center"/>
        <w:rPr>
          <w:rFonts w:ascii="仿宋_GB2312" w:eastAsia="仿宋_GB2312"/>
          <w:spacing w:val="-20"/>
        </w:rPr>
      </w:pPr>
    </w:p>
    <w:p>
      <w:pPr>
        <w:pStyle w:val="4"/>
        <w:spacing w:line="460" w:lineRule="exact"/>
        <w:jc w:val="center"/>
        <w:rPr>
          <w:rFonts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 xml:space="preserve">  </w:t>
      </w:r>
    </w:p>
    <w:p>
      <w:pPr>
        <w:pStyle w:val="4"/>
        <w:spacing w:line="460" w:lineRule="exact"/>
        <w:jc w:val="center"/>
        <w:rPr>
          <w:rFonts w:ascii="仿宋_GB2312" w:eastAsia="仿宋_GB2312"/>
          <w:spacing w:val="-20"/>
        </w:rPr>
      </w:pPr>
    </w:p>
    <w:p>
      <w:pPr>
        <w:pStyle w:val="4"/>
        <w:spacing w:line="560" w:lineRule="exact"/>
        <w:jc w:val="center"/>
        <w:rPr>
          <w:rFonts w:ascii="宋体" w:hAnsi="宋体"/>
          <w:spacing w:val="-20"/>
        </w:rPr>
      </w:pPr>
      <w:r>
        <w:rPr>
          <w:rFonts w:hint="eastAsia" w:ascii="仿宋_GB2312" w:eastAsia="仿宋_GB2312"/>
          <w:spacing w:val="-20"/>
        </w:rPr>
        <w:t xml:space="preserve">                                                           益环赫审(表)[2020]71号</w:t>
      </w:r>
      <w:bookmarkStart w:id="0" w:name="_GoBack"/>
      <w:bookmarkEnd w:id="0"/>
    </w:p>
    <w:p>
      <w:pPr>
        <w:pStyle w:val="4"/>
        <w:tabs>
          <w:tab w:val="center" w:pos="4252"/>
          <w:tab w:val="left" w:pos="7800"/>
        </w:tabs>
        <w:spacing w:line="560" w:lineRule="exact"/>
        <w:jc w:val="center"/>
        <w:rPr>
          <w:rFonts w:asciiTheme="minorEastAsia" w:hAnsiTheme="minorEastAsia" w:eastAsiaTheme="minorEastAsia"/>
          <w:b/>
          <w:szCs w:val="32"/>
        </w:rPr>
      </w:pPr>
      <w:r>
        <w:rPr>
          <w:rFonts w:hint="eastAsia" w:asciiTheme="minorEastAsia" w:hAnsiTheme="minorEastAsia" w:eastAsiaTheme="minorEastAsia"/>
          <w:b/>
          <w:szCs w:val="32"/>
        </w:rPr>
        <w:t>关于《</w:t>
      </w:r>
      <w:r>
        <w:rPr>
          <w:rFonts w:hint="eastAsia" w:asciiTheme="minorEastAsia" w:hAnsiTheme="minorEastAsia" w:eastAsiaTheme="minorEastAsia"/>
          <w:b/>
          <w:bCs/>
          <w:szCs w:val="32"/>
          <w:lang w:eastAsia="zh-CN"/>
        </w:rPr>
        <w:t>年产6万m2竹木制品和竹筷1000万双建设项目</w:t>
      </w:r>
      <w:r>
        <w:rPr>
          <w:rFonts w:hint="eastAsia" w:asciiTheme="minorEastAsia" w:hAnsiTheme="minorEastAsia" w:eastAsiaTheme="minorEastAsia"/>
          <w:b/>
          <w:szCs w:val="32"/>
        </w:rPr>
        <w:t>环境影响报告表》的批复</w:t>
      </w:r>
    </w:p>
    <w:p>
      <w:pPr>
        <w:spacing w:line="52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益阳市百岁竹科技有限公司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：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 xml:space="preserve">  你公司呈报的《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益阳市百岁竹科技有限公司年产6万m2竹木制品和竹筷1000万双建设项目环境影响报告表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》（以下简称《报告表》）及相关资料收悉。经研究，批复如下：</w:t>
      </w:r>
    </w:p>
    <w:p>
      <w:pPr>
        <w:spacing w:line="540" w:lineRule="exact"/>
        <w:ind w:firstLine="624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一、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益阳市百岁竹科技有限公司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总投资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万元（其中环保投资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万元），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建设年产6万m2竹木制品和竹筷1000万双建设项目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。总占地面积为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5400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平方米，项目具备年产6万m2竹木制品和竹筷1000万双的能力。具体建设内容、环保工程见环评报告。项目符合国家产业政策，选址可行。根据报告表的分析结论及专家组意见，在建设单位认真落实报告表提出的各项污染防治和风险防范措施，确保外排污染物稳定达标、环境风险可控的前提下，从环境保护角度分析，我局同意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益阳市百岁竹科技有限公司年产6万m2竹木制品和竹筷1000万双建设项目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的选址并建设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。</w:t>
      </w:r>
    </w:p>
    <w:p>
      <w:pPr>
        <w:pStyle w:val="3"/>
        <w:spacing w:line="540" w:lineRule="exact"/>
        <w:rPr>
          <w:rFonts w:ascii="仿宋" w:hAnsi="仿宋" w:eastAsia="仿宋"/>
          <w:spacing w:val="-6"/>
          <w:szCs w:val="32"/>
        </w:rPr>
      </w:pPr>
      <w:r>
        <w:rPr>
          <w:rFonts w:hint="eastAsia" w:ascii="仿宋" w:hAnsi="仿宋" w:eastAsia="仿宋"/>
          <w:szCs w:val="32"/>
        </w:rPr>
        <w:t>二、</w:t>
      </w:r>
      <w:r>
        <w:rPr>
          <w:rFonts w:hint="eastAsia" w:ascii="仿宋" w:hAnsi="仿宋" w:eastAsia="仿宋"/>
          <w:spacing w:val="-4"/>
          <w:szCs w:val="32"/>
        </w:rPr>
        <w:t>你</w:t>
      </w:r>
      <w:r>
        <w:rPr>
          <w:rFonts w:hint="eastAsia" w:ascii="仿宋" w:hAnsi="仿宋" w:eastAsia="仿宋"/>
          <w:spacing w:val="-4"/>
          <w:szCs w:val="32"/>
          <w:lang w:eastAsia="zh-CN"/>
        </w:rPr>
        <w:t>单位</w:t>
      </w:r>
      <w:r>
        <w:rPr>
          <w:rFonts w:hint="eastAsia" w:ascii="仿宋" w:hAnsi="仿宋" w:eastAsia="仿宋"/>
          <w:spacing w:val="-6"/>
          <w:szCs w:val="32"/>
        </w:rPr>
        <w:t>在工程设计、建设和运营管理中，应全面执行环保“三同时”制度，逐条落实《报告表》提出的各项污染防治和风险防范措施，并着重做好以下工作：</w:t>
      </w:r>
    </w:p>
    <w:p>
      <w:pPr>
        <w:spacing w:line="540" w:lineRule="exact"/>
        <w:ind w:firstLine="624" w:firstLineChars="200"/>
        <w:jc w:val="both"/>
        <w:rPr>
          <w:rFonts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加强环境管理，建立环境管理机构，配备专职环保管理人员，完善环境管理的各项规章制度，定期对各项设施进行检查和维护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。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（二）做好废水污染防治。项目区排水实施“雨污分流”，生产废水通过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沉淀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处理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后回用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，生活污水经化粪池处理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用于周边农田农肥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。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（三）落实废气污染防治措施。项目锅炉烟气通过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布袋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除尘设施处理后通过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m高烟囱排放，满足《锅炉大气污染物排放标准》（GB13271-2014）中的表3中的浓度限值；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粉尘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旋风除尘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设施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+湿法除尘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处理后通过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m高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排气筒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排放，满足《大气污染物综合排放标准》（GB16297-1996）表2中标准；VOCs、甲醛通过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活性炭吸附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处理后通过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m高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排气筒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排放，满足《大气污染物综合排放标准》（GB16297-1996）表2中标准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《家具制造行业挥发性有机物排放标准》（DB43/1355-2017）。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（四）加强噪声污染防治工作。选用低噪声设备，采取减振、吸音、隔声等措施，确保运营期厂界噪声达到《工业企业厂界环境噪声排放标准》（GB12348-2008）中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类区标准要求。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五）加强固体废物防治工作。按照固体废物“无害化、资源化、减量化”的原则，做好工程固废的分类收集、暂存、安全处置和综合利用工作。员工生活垃圾交当地的环卫部门处理；一般固废须按照《一般工业固体废物贮存、处置场污染物控制标准》（GB18599-2001）及其2013年修改单的相关要求，废边角料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锅炉灰渣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外售综合利用，废胶桶由厂家回收，生活垃圾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由环卫部门清运。废活性炭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废液压油交由有资质单位处置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。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（六）污染物总量控制。本项目大气污染因子SO</w:t>
      </w:r>
      <w:r>
        <w:rPr>
          <w:rFonts w:hint="eastAsia" w:ascii="仿宋" w:hAnsi="仿宋" w:eastAsia="仿宋" w:cs="Times New Roman"/>
          <w:spacing w:val="-4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≤0.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t/a，NOx≤0.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t/a</w:t>
      </w:r>
      <w:r>
        <w:rPr>
          <w:rFonts w:hint="eastAsia" w:ascii="仿宋" w:hAnsi="仿宋" w:eastAsia="仿宋" w:cs="Times New Roman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VOCs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≤0.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t/a。</w:t>
      </w:r>
    </w:p>
    <w:p>
      <w:pPr>
        <w:spacing w:line="540" w:lineRule="exact"/>
        <w:ind w:firstLine="624" w:firstLineChars="200"/>
        <w:jc w:val="both"/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（七）建立健全环境管理制度，落实各项环境风险防范措施。</w:t>
      </w:r>
    </w:p>
    <w:p>
      <w:pPr>
        <w:spacing w:line="540" w:lineRule="exact"/>
        <w:ind w:firstLine="624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三、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GB"/>
        </w:rPr>
        <w:t>项目建成后，按《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建设项目环境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保护管理条例</w:t>
      </w:r>
      <w:r>
        <w:rPr>
          <w:rFonts w:hint="eastAsia" w:ascii="仿宋" w:hAnsi="仿宋" w:eastAsia="仿宋"/>
          <w:sz w:val="32"/>
          <w:szCs w:val="32"/>
          <w:lang w:val="en-GB"/>
        </w:rPr>
        <w:t>》的有关规定，及时办理竣工环保验收手续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。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益阳市生态环境局赫山分局</w:t>
      </w:r>
      <w:r>
        <w:rPr>
          <w:rFonts w:hint="eastAsia" w:ascii="仿宋" w:hAnsi="仿宋" w:eastAsia="仿宋"/>
          <w:sz w:val="32"/>
          <w:szCs w:val="32"/>
        </w:rPr>
        <w:t>负责项目建设期间的“三同时”现场监督检查和日常环境管理。</w:t>
      </w:r>
    </w:p>
    <w:p>
      <w:pPr>
        <w:spacing w:line="540" w:lineRule="exact"/>
        <w:ind w:firstLine="624" w:firstLineChars="200"/>
        <w:jc w:val="both"/>
        <w:rPr>
          <w:rFonts w:ascii="仿宋" w:hAnsi="仿宋" w:eastAsia="仿宋" w:cs="Times New Roman"/>
          <w:spacing w:val="-4"/>
          <w:sz w:val="32"/>
          <w:szCs w:val="32"/>
        </w:rPr>
      </w:pPr>
    </w:p>
    <w:p>
      <w:pPr>
        <w:spacing w:line="540" w:lineRule="exact"/>
        <w:ind w:firstLine="624" w:firstLineChars="200"/>
        <w:jc w:val="both"/>
        <w:rPr>
          <w:rFonts w:ascii="仿宋" w:hAnsi="仿宋" w:eastAsia="仿宋" w:cs="Times New Roman"/>
          <w:spacing w:val="-4"/>
          <w:sz w:val="32"/>
          <w:szCs w:val="32"/>
        </w:rPr>
      </w:pPr>
    </w:p>
    <w:p>
      <w:pPr>
        <w:spacing w:line="540" w:lineRule="exact"/>
        <w:ind w:firstLine="5148" w:firstLineChars="1650"/>
        <w:jc w:val="both"/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201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年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月</w:t>
      </w:r>
      <w:r>
        <w:rPr>
          <w:rFonts w:hint="eastAsia" w:ascii="仿宋" w:hAnsi="仿宋" w:eastAsia="仿宋" w:cs="Times New Roman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B96"/>
    <w:rsid w:val="00112C82"/>
    <w:rsid w:val="00167351"/>
    <w:rsid w:val="00260ABD"/>
    <w:rsid w:val="00323B43"/>
    <w:rsid w:val="003B65CC"/>
    <w:rsid w:val="003D37D8"/>
    <w:rsid w:val="00426133"/>
    <w:rsid w:val="004358AB"/>
    <w:rsid w:val="004664F3"/>
    <w:rsid w:val="005F1878"/>
    <w:rsid w:val="00667992"/>
    <w:rsid w:val="008631B7"/>
    <w:rsid w:val="008B7726"/>
    <w:rsid w:val="00965FA2"/>
    <w:rsid w:val="009E37C6"/>
    <w:rsid w:val="00AC6B40"/>
    <w:rsid w:val="00B6640C"/>
    <w:rsid w:val="00B84CB8"/>
    <w:rsid w:val="00C4157F"/>
    <w:rsid w:val="00C967F6"/>
    <w:rsid w:val="00D31D50"/>
    <w:rsid w:val="00D57E33"/>
    <w:rsid w:val="00E42D53"/>
    <w:rsid w:val="052726E4"/>
    <w:rsid w:val="0B4042BD"/>
    <w:rsid w:val="153B46E7"/>
    <w:rsid w:val="189924C6"/>
    <w:rsid w:val="18DA2785"/>
    <w:rsid w:val="2CFF7312"/>
    <w:rsid w:val="31166D80"/>
    <w:rsid w:val="3ECD616E"/>
    <w:rsid w:val="3F711131"/>
    <w:rsid w:val="440A1CC5"/>
    <w:rsid w:val="583E3D90"/>
    <w:rsid w:val="5E8E2BBC"/>
    <w:rsid w:val="603C198C"/>
    <w:rsid w:val="64160A61"/>
    <w:rsid w:val="64AD21B6"/>
    <w:rsid w:val="7122404A"/>
    <w:rsid w:val="715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/>
    </w:pPr>
    <w:rPr>
      <w:sz w:val="21"/>
    </w:rPr>
  </w:style>
  <w:style w:type="paragraph" w:styleId="3">
    <w:name w:val="Body Text Indent"/>
    <w:basedOn w:val="1"/>
    <w:link w:val="10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</w:rPr>
  </w:style>
  <w:style w:type="paragraph" w:styleId="4">
    <w:name w:val="Body Text"/>
    <w:basedOn w:val="1"/>
    <w:link w:val="9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32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character" w:customStyle="1" w:styleId="10">
    <w:name w:val="正文文本缩进 Char"/>
    <w:basedOn w:val="8"/>
    <w:link w:val="3"/>
    <w:qFormat/>
    <w:uiPriority w:val="0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986</Characters>
  <Lines>8</Lines>
  <Paragraphs>2</Paragraphs>
  <TotalTime>1</TotalTime>
  <ScaleCrop>false</ScaleCrop>
  <LinksUpToDate>false</LinksUpToDate>
  <CharactersWithSpaces>1156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Ella</cp:lastModifiedBy>
  <dcterms:modified xsi:type="dcterms:W3CDTF">2021-02-04T05:08:14Z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