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eastAsia="华文仿宋"/>
          <w:b/>
          <w:sz w:val="24"/>
          <w:lang w:eastAsia="zh-CN"/>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59</w:t>
      </w:r>
      <w:r>
        <w:rPr>
          <w:rFonts w:hint="eastAsia" w:ascii="仿宋_GB2312" w:eastAsia="仿宋_GB2312"/>
          <w:color w:val="auto"/>
          <w:sz w:val="28"/>
          <w:szCs w:val="28"/>
        </w:rPr>
        <w:t>号</w:t>
      </w: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95"/>
          <w:sz w:val="44"/>
          <w:szCs w:val="44"/>
          <w:lang w:val="en-US" w:eastAsia="zh-CN"/>
        </w:rPr>
      </w:pPr>
      <w:r>
        <w:rPr>
          <w:rFonts w:hint="eastAsia" w:ascii="方正小标宋简体" w:hAnsi="方正小标宋简体" w:eastAsia="方正小标宋简体" w:cs="方正小标宋简体"/>
          <w:b w:val="0"/>
          <w:bCs w:val="0"/>
          <w:w w:val="95"/>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rPr>
        <w:t>关于益阳湘北汽车物流园比亚迪4S店建设项目环境影响报告表的批复</w:t>
      </w:r>
    </w:p>
    <w:p>
      <w:pPr>
        <w:spacing w:line="560" w:lineRule="exact"/>
        <w:rPr>
          <w:rFonts w:ascii="仿宋_GB2312" w:hAnsi="黑体" w:eastAsia="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Cs w:val="32"/>
        </w:rPr>
      </w:pPr>
      <w:r>
        <w:rPr>
          <w:rFonts w:hint="eastAsia" w:ascii="仿宋_GB2312" w:hAnsi="仿宋_GB2312" w:eastAsia="仿宋_GB2312" w:cs="仿宋_GB2312"/>
          <w:bCs/>
          <w:spacing w:val="0"/>
          <w:szCs w:val="32"/>
        </w:rPr>
        <w:t>益阳市比亚迪乾元新景汽车销售有限公司</w:t>
      </w:r>
      <w:r>
        <w:rPr>
          <w:rFonts w:hint="eastAsia" w:ascii="仿宋_GB2312" w:hAnsi="仿宋_GB2312" w:eastAsia="仿宋_GB2312" w:cs="仿宋_GB2312"/>
          <w:spacing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pacing w:val="0"/>
          <w:szCs w:val="32"/>
        </w:rPr>
      </w:pPr>
      <w:r>
        <w:rPr>
          <w:rFonts w:hint="eastAsia" w:ascii="仿宋_GB2312" w:hAnsi="仿宋_GB2312" w:eastAsia="仿宋_GB2312" w:cs="仿宋_GB2312"/>
          <w:bCs/>
          <w:spacing w:val="0"/>
          <w:szCs w:val="32"/>
        </w:rPr>
        <w:t>你</w:t>
      </w:r>
      <w:r>
        <w:rPr>
          <w:rFonts w:hint="eastAsia" w:ascii="仿宋_GB2312" w:hAnsi="仿宋_GB2312" w:eastAsia="仿宋_GB2312" w:cs="仿宋_GB2312"/>
          <w:bCs/>
          <w:spacing w:val="0"/>
          <w:szCs w:val="32"/>
          <w:lang w:eastAsia="zh-CN"/>
        </w:rPr>
        <w:t>公司</w:t>
      </w:r>
      <w:r>
        <w:rPr>
          <w:rFonts w:hint="eastAsia" w:ascii="仿宋_GB2312" w:hAnsi="仿宋_GB2312" w:eastAsia="仿宋_GB2312" w:cs="仿宋_GB2312"/>
          <w:bCs/>
          <w:spacing w:val="0"/>
          <w:szCs w:val="32"/>
        </w:rPr>
        <w:t>呈报的《益阳湘北汽车物流园比亚迪4S店建设项目环境影响报告表》</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Cs w:val="32"/>
        </w:rPr>
      </w:pPr>
      <w:r>
        <w:rPr>
          <w:rFonts w:hint="eastAsia" w:ascii="仿宋_GB2312" w:hAnsi="仿宋_GB2312" w:eastAsia="仿宋_GB2312" w:cs="仿宋_GB2312"/>
          <w:bCs/>
          <w:spacing w:val="0"/>
          <w:szCs w:val="32"/>
          <w:lang w:eastAsia="zh-CN"/>
        </w:rPr>
        <w:t>你</w:t>
      </w:r>
      <w:r>
        <w:rPr>
          <w:rFonts w:hint="eastAsia" w:ascii="仿宋_GB2312" w:hAnsi="仿宋_GB2312" w:eastAsia="仿宋_GB2312" w:cs="仿宋_GB2312"/>
          <w:bCs/>
          <w:spacing w:val="0"/>
          <w:szCs w:val="32"/>
        </w:rPr>
        <w:t>公</w:t>
      </w:r>
      <w:r>
        <w:rPr>
          <w:rFonts w:hint="eastAsia" w:ascii="仿宋_GB2312" w:hAnsi="仿宋_GB2312" w:eastAsia="仿宋_GB2312" w:cs="仿宋_GB2312"/>
          <w:bCs/>
          <w:color w:val="auto"/>
          <w:spacing w:val="0"/>
          <w:szCs w:val="32"/>
        </w:rPr>
        <w:t>司拟</w:t>
      </w:r>
      <w:r>
        <w:rPr>
          <w:rFonts w:hint="eastAsia" w:ascii="仿宋_GB2312" w:hAnsi="仿宋_GB2312" w:eastAsia="仿宋_GB2312" w:cs="仿宋_GB2312"/>
          <w:color w:val="auto"/>
          <w:spacing w:val="0"/>
          <w:szCs w:val="32"/>
        </w:rPr>
        <w:t>投资</w:t>
      </w:r>
      <w:r>
        <w:rPr>
          <w:rFonts w:hint="eastAsia" w:ascii="仿宋_GB2312" w:hAnsi="仿宋_GB2312" w:eastAsia="仿宋_GB2312" w:cs="仿宋_GB2312"/>
          <w:color w:val="auto"/>
          <w:spacing w:val="0"/>
          <w:szCs w:val="32"/>
          <w:lang w:val="en-US" w:eastAsia="zh-CN"/>
        </w:rPr>
        <w:t>400</w:t>
      </w:r>
      <w:r>
        <w:rPr>
          <w:rFonts w:hint="eastAsia" w:ascii="仿宋_GB2312" w:hAnsi="仿宋_GB2312" w:eastAsia="仿宋_GB2312" w:cs="仿宋_GB2312"/>
          <w:color w:val="auto"/>
          <w:spacing w:val="0"/>
          <w:szCs w:val="32"/>
        </w:rPr>
        <w:t>万元</w:t>
      </w:r>
      <w:r>
        <w:rPr>
          <w:rFonts w:hint="eastAsia" w:ascii="仿宋_GB2312" w:hAnsi="仿宋_GB2312" w:eastAsia="仿宋_GB2312" w:cs="仿宋_GB2312"/>
          <w:color w:val="auto"/>
          <w:spacing w:val="0"/>
          <w:szCs w:val="32"/>
          <w:lang w:eastAsia="zh-CN"/>
        </w:rPr>
        <w:t>在益</w:t>
      </w:r>
      <w:r>
        <w:rPr>
          <w:rFonts w:hint="eastAsia" w:ascii="仿宋_GB2312" w:hAnsi="仿宋_GB2312" w:eastAsia="仿宋_GB2312" w:cs="仿宋_GB2312"/>
          <w:color w:val="000000"/>
          <w:spacing w:val="0"/>
          <w:szCs w:val="32"/>
          <w:lang w:eastAsia="zh-CN"/>
        </w:rPr>
        <w:t>阳高新区银城路西侧湘北汽车物流园建设比亚迪4S店项目。项目占地面积</w:t>
      </w:r>
      <w:r>
        <w:rPr>
          <w:rFonts w:hint="eastAsia" w:ascii="仿宋_GB2312" w:hAnsi="仿宋_GB2312" w:eastAsia="仿宋_GB2312" w:cs="仿宋_GB2312"/>
          <w:color w:val="000000"/>
          <w:spacing w:val="0"/>
          <w:szCs w:val="32"/>
          <w:lang w:val="en-US" w:eastAsia="zh-CN"/>
        </w:rPr>
        <w:t>2688平方米</w:t>
      </w:r>
      <w:r>
        <w:rPr>
          <w:rFonts w:hint="eastAsia" w:ascii="仿宋_GB2312" w:hAnsi="仿宋_GB2312" w:eastAsia="仿宋_GB2312" w:cs="仿宋_GB2312"/>
          <w:color w:val="000000"/>
          <w:spacing w:val="0"/>
          <w:sz w:val="32"/>
          <w:szCs w:val="32"/>
          <w:lang w:val="en-US" w:eastAsia="zh-CN"/>
        </w:rPr>
        <w:t>，建筑面积为3800平方米，主要建设内容包括销售展厅、机修车间、钣金车间、喷漆车间、办公区、接待区</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lang w:val="en-US" w:eastAsia="zh-CN"/>
        </w:rPr>
        <w:t>给排水、供配电、环保等相关公用辅助工程。项目建设符合国家产业政策，选址符合益阳高新区</w:t>
      </w:r>
      <w:r>
        <w:rPr>
          <w:rFonts w:hint="eastAsia" w:ascii="仿宋_GB2312" w:hAnsi="仿宋_GB2312" w:eastAsia="仿宋_GB2312" w:cs="仿宋_GB2312"/>
          <w:color w:val="000000"/>
          <w:spacing w:val="0"/>
          <w:szCs w:val="32"/>
          <w:lang w:eastAsia="zh-CN"/>
        </w:rPr>
        <w:t>朝阳产业园</w:t>
      </w:r>
      <w:r>
        <w:rPr>
          <w:rFonts w:hint="eastAsia" w:ascii="仿宋_GB2312" w:hAnsi="仿宋_GB2312" w:eastAsia="仿宋_GB2312" w:cs="仿宋_GB2312"/>
          <w:color w:val="000000"/>
          <w:spacing w:val="0"/>
          <w:sz w:val="32"/>
          <w:szCs w:val="32"/>
          <w:lang w:val="en-US" w:eastAsia="zh-CN"/>
        </w:rPr>
        <w:t>用地规划要求。根据</w:t>
      </w:r>
      <w:r>
        <w:rPr>
          <w:rFonts w:hint="eastAsia" w:ascii="仿宋_GB2312" w:hAnsi="仿宋_GB2312" w:eastAsia="仿宋_GB2312" w:cs="仿宋_GB2312"/>
          <w:color w:val="auto"/>
          <w:spacing w:val="0"/>
          <w:lang w:eastAsia="zh-CN"/>
        </w:rPr>
        <w:t>山东睿福环境科技有限责任公司</w:t>
      </w:r>
      <w:r>
        <w:rPr>
          <w:rFonts w:hint="eastAsia" w:ascii="仿宋_GB2312" w:hAnsi="仿宋_GB2312" w:eastAsia="仿宋_GB2312" w:cs="仿宋_GB2312"/>
          <w:color w:val="000000"/>
          <w:spacing w:val="0"/>
          <w:sz w:val="32"/>
          <w:szCs w:val="32"/>
          <w:lang w:eastAsia="zh-CN"/>
        </w:rPr>
        <w:t>编制</w:t>
      </w:r>
      <w:r>
        <w:rPr>
          <w:rFonts w:hint="eastAsia" w:ascii="仿宋_GB2312" w:hAnsi="仿宋_GB2312" w:eastAsia="仿宋_GB2312" w:cs="仿宋_GB2312"/>
          <w:color w:val="000000"/>
          <w:spacing w:val="0"/>
          <w:sz w:val="32"/>
          <w:szCs w:val="32"/>
          <w:lang w:val="en-US" w:eastAsia="zh-CN"/>
        </w:rPr>
        <w:t>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szCs w:val="32"/>
        </w:rPr>
      </w:pPr>
      <w:r>
        <w:rPr>
          <w:rFonts w:hint="eastAsia" w:ascii="仿宋_GB2312" w:hAnsi="仿宋_GB2312" w:eastAsia="仿宋_GB2312" w:cs="仿宋_GB2312"/>
          <w:color w:val="000000"/>
          <w:spacing w:val="0"/>
          <w:sz w:val="32"/>
          <w:szCs w:val="32"/>
        </w:rPr>
        <w:t>建设单位在项目设计、建设和营运期间，必须严格执行环保“三同时”制度，按照环评报告表要求落实各项污染防治措施，并着重做好如下工作</w:t>
      </w:r>
      <w:r>
        <w:rPr>
          <w:rFonts w:hint="eastAsia" w:ascii="仿宋_GB2312" w:hAnsi="仿宋_GB2312" w:eastAsia="仿宋_GB2312" w:cs="仿宋_GB2312"/>
          <w:color w:val="000000"/>
          <w:spacing w:val="0"/>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color w:val="auto"/>
          <w:spacing w:val="0"/>
          <w:szCs w:val="32"/>
        </w:rPr>
        <w:t>加强施工期环境管理</w:t>
      </w:r>
      <w:r>
        <w:rPr>
          <w:rFonts w:hint="eastAsia" w:ascii="仿宋_GB2312" w:hAnsi="仿宋_GB2312" w:eastAsia="仿宋_GB2312" w:cs="仿宋_GB2312"/>
          <w:color w:val="auto"/>
          <w:spacing w:val="0"/>
          <w:szCs w:val="32"/>
          <w:lang w:eastAsia="zh-CN"/>
        </w:rPr>
        <w:t>。采取有效措施，尽可能减缓施工期废水、废渣、噪声、扬尘对周边的影响，避免扰民及环境纠纷。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color w:val="000000"/>
          <w:spacing w:val="0"/>
          <w:szCs w:val="32"/>
        </w:rPr>
        <w:t>做好项目大气污染防治工作。加强车间通风换气，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lang w:eastAsia="zh-CN"/>
        </w:rPr>
      </w:pPr>
      <w:r>
        <w:rPr>
          <w:rFonts w:hint="eastAsia" w:ascii="仿宋_GB2312" w:hAnsi="仿宋_GB2312" w:eastAsia="仿宋_GB2312" w:cs="仿宋_GB2312"/>
          <w:color w:val="000000"/>
          <w:spacing w:val="0"/>
          <w:szCs w:val="32"/>
          <w:lang w:eastAsia="zh-CN"/>
        </w:rPr>
        <w:t>焊接烟气经移动式焊接烟尘净化器处理；</w:t>
      </w:r>
      <w:r>
        <w:rPr>
          <w:rFonts w:hint="eastAsia" w:ascii="仿宋_GB2312" w:hAnsi="仿宋_GB2312" w:eastAsia="仿宋_GB2312" w:cs="仿宋_GB2312"/>
          <w:spacing w:val="0"/>
          <w:lang w:eastAsia="zh-CN"/>
        </w:rPr>
        <w:t>打磨抛光工序密闭作业，产生的粉尘经设备自带的除尘装置进行收集处理</w:t>
      </w:r>
      <w:r>
        <w:rPr>
          <w:rFonts w:hint="eastAsia" w:ascii="仿宋_GB2312" w:hAnsi="仿宋_GB2312" w:eastAsia="仿宋_GB2312" w:cs="仿宋_GB2312"/>
          <w:color w:val="000000"/>
          <w:spacing w:val="0"/>
          <w:szCs w:val="32"/>
          <w:lang w:eastAsia="zh-CN"/>
        </w:rPr>
        <w:t>；喷漆（采用水性漆）、烘干等工序产生的漆雾和有机废气由负压集气引入“过滤棉吸附+</w:t>
      </w:r>
      <w:r>
        <w:rPr>
          <w:rFonts w:hint="eastAsia" w:ascii="宋体" w:hAnsi="宋体"/>
          <w:color w:val="000000" w:themeColor="text1"/>
          <w:spacing w:val="0"/>
          <w:szCs w:val="21"/>
        </w:rPr>
        <w:t>UV光氧催化净化器</w:t>
      </w:r>
      <w:r>
        <w:rPr>
          <w:rFonts w:hint="eastAsia" w:ascii="仿宋_GB2312" w:hAnsi="仿宋_GB2312" w:eastAsia="仿宋_GB2312" w:cs="仿宋_GB2312"/>
          <w:color w:val="000000"/>
          <w:spacing w:val="0"/>
          <w:szCs w:val="32"/>
          <w:lang w:eastAsia="zh-CN"/>
        </w:rPr>
        <w:t>+活性炭吸附装置”处理后通过</w:t>
      </w:r>
      <w:r>
        <w:rPr>
          <w:rFonts w:hint="eastAsia" w:ascii="仿宋_GB2312" w:hAnsi="仿宋_GB2312" w:eastAsia="仿宋_GB2312" w:cs="仿宋_GB2312"/>
          <w:color w:val="000000"/>
          <w:spacing w:val="0"/>
          <w:szCs w:val="32"/>
          <w:lang w:val="en-US" w:eastAsia="zh-CN"/>
        </w:rPr>
        <w:t>15</w:t>
      </w:r>
      <w:r>
        <w:rPr>
          <w:rFonts w:hint="eastAsia" w:ascii="仿宋_GB2312" w:hAnsi="仿宋_GB2312" w:eastAsia="仿宋_GB2312" w:cs="仿宋_GB2312"/>
          <w:color w:val="000000"/>
          <w:spacing w:val="0"/>
          <w:szCs w:val="32"/>
          <w:lang w:eastAsia="zh-CN"/>
        </w:rPr>
        <w:t>米高排气筒排放，</w:t>
      </w:r>
      <w:r>
        <w:rPr>
          <w:rFonts w:hint="eastAsia" w:ascii="仿宋_GB2312" w:hAnsi="仿宋_GB2312" w:eastAsia="仿宋_GB2312" w:cs="仿宋_GB2312"/>
          <w:color w:val="auto"/>
          <w:spacing w:val="0"/>
          <w:szCs w:val="32"/>
        </w:rPr>
        <w:t>确保</w:t>
      </w:r>
      <w:r>
        <w:rPr>
          <w:rFonts w:hint="eastAsia" w:ascii="仿宋_GB2312" w:hAnsi="仿宋_GB2312" w:eastAsia="仿宋_GB2312" w:cs="仿宋_GB2312"/>
          <w:color w:val="auto"/>
          <w:spacing w:val="0"/>
          <w:szCs w:val="32"/>
          <w:lang w:eastAsia="zh-CN"/>
        </w:rPr>
        <w:t>上述</w:t>
      </w:r>
      <w:r>
        <w:rPr>
          <w:rFonts w:hint="eastAsia" w:ascii="仿宋_GB2312" w:hAnsi="仿宋_GB2312" w:eastAsia="仿宋_GB2312" w:cs="仿宋_GB2312"/>
          <w:color w:val="auto"/>
          <w:spacing w:val="0"/>
          <w:szCs w:val="32"/>
        </w:rPr>
        <w:t>外排污染物</w:t>
      </w:r>
      <w:r>
        <w:rPr>
          <w:rFonts w:hint="eastAsia" w:ascii="仿宋_GB2312" w:hAnsi="仿宋_GB2312" w:eastAsia="仿宋_GB2312" w:cs="仿宋_GB2312"/>
          <w:color w:val="auto"/>
          <w:spacing w:val="0"/>
          <w:szCs w:val="32"/>
          <w:lang w:eastAsia="zh-CN"/>
        </w:rPr>
        <w:t>分别</w:t>
      </w:r>
      <w:r>
        <w:rPr>
          <w:rFonts w:hint="eastAsia" w:ascii="仿宋_GB2312" w:hAnsi="仿宋_GB2312" w:eastAsia="仿宋_GB2312" w:cs="仿宋_GB2312"/>
          <w:color w:val="auto"/>
          <w:spacing w:val="0"/>
          <w:szCs w:val="32"/>
        </w:rPr>
        <w:t>满足</w:t>
      </w:r>
      <w:r>
        <w:rPr>
          <w:rFonts w:hint="eastAsia" w:ascii="仿宋_GB2312" w:hAnsi="仿宋_GB2312" w:eastAsia="仿宋_GB2312" w:cs="仿宋_GB2312"/>
          <w:color w:val="000000"/>
          <w:spacing w:val="0"/>
          <w:szCs w:val="32"/>
        </w:rPr>
        <w:t>《大气污染物综合排放标准》（GB16297-1996）表2中二级标准及</w:t>
      </w:r>
      <w:r>
        <w:rPr>
          <w:rFonts w:hint="eastAsia" w:ascii="仿宋_GB2312" w:hAnsi="仿宋_GB2312" w:eastAsia="仿宋_GB2312" w:cs="仿宋_GB2312"/>
          <w:color w:val="000000"/>
          <w:spacing w:val="0"/>
          <w:szCs w:val="32"/>
          <w:lang w:eastAsia="zh-CN"/>
        </w:rPr>
        <w:t>无</w:t>
      </w:r>
      <w:r>
        <w:rPr>
          <w:rFonts w:hint="eastAsia" w:ascii="仿宋_GB2312" w:hAnsi="仿宋_GB2312" w:eastAsia="仿宋_GB2312" w:cs="仿宋_GB2312"/>
          <w:color w:val="000000"/>
          <w:spacing w:val="0"/>
          <w:szCs w:val="32"/>
        </w:rPr>
        <w:t>组织排放监控浓度限值要求</w:t>
      </w:r>
      <w:r>
        <w:rPr>
          <w:rFonts w:hint="eastAsia" w:ascii="仿宋_GB2312" w:hAnsi="仿宋_GB2312" w:eastAsia="仿宋_GB2312" w:cs="仿宋_GB2312"/>
          <w:color w:val="000000"/>
          <w:spacing w:val="0"/>
          <w:szCs w:val="32"/>
          <w:lang w:eastAsia="zh-CN"/>
        </w:rPr>
        <w:t>、</w:t>
      </w:r>
      <w:r>
        <w:rPr>
          <w:rFonts w:hint="eastAsia" w:ascii="仿宋_GB2312" w:hAnsi="仿宋_GB2312" w:eastAsia="仿宋_GB2312" w:cs="仿宋_GB2312"/>
          <w:color w:val="auto"/>
          <w:spacing w:val="0"/>
          <w:szCs w:val="32"/>
        </w:rPr>
        <w:t>《表面涂装（汽车制造及维修）挥发性有机物、镍排放标准》（DB43/1356-2017）表1中挥发性有机物排放浓度限值及表3中无组织监控点挥发性有机物浓度限值</w:t>
      </w:r>
      <w:r>
        <w:rPr>
          <w:rFonts w:hint="eastAsia" w:ascii="仿宋_GB2312" w:hAnsi="仿宋_GB2312" w:eastAsia="仿宋_GB2312" w:cs="仿宋_GB2312"/>
          <w:color w:val="auto"/>
          <w:spacing w:val="0"/>
          <w:szCs w:val="32"/>
          <w:lang w:eastAsia="zh-CN"/>
        </w:rPr>
        <w:t>要求</w:t>
      </w:r>
      <w:r>
        <w:rPr>
          <w:rFonts w:hint="eastAsia" w:ascii="仿宋_GB2312" w:hAnsi="仿宋_GB2312" w:eastAsia="仿宋_GB2312" w:cs="仿宋_GB2312"/>
          <w:color w:val="auto"/>
          <w:spacing w:val="0"/>
          <w:sz w:val="32"/>
          <w:szCs w:val="32"/>
          <w:lang w:eastAsia="zh-CN"/>
        </w:rPr>
        <w:t>以及《挥发性有机物无组织排放控制标准》（GB37822-2019）表A.1中排放限值要求</w:t>
      </w:r>
      <w:r>
        <w:rPr>
          <w:rFonts w:hint="eastAsia" w:ascii="仿宋_GB2312" w:hAnsi="仿宋_GB2312" w:eastAsia="仿宋_GB2312" w:cs="仿宋_GB2312"/>
          <w:color w:val="auto"/>
          <w:spacing w:val="0"/>
          <w:szCs w:val="32"/>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做好项目水污染防治工作。</w:t>
      </w:r>
      <w:r>
        <w:rPr>
          <w:rFonts w:hint="eastAsia" w:ascii="宋体" w:hAnsi="宋体"/>
          <w:color w:val="auto"/>
          <w:spacing w:val="0"/>
          <w:szCs w:val="21"/>
        </w:rPr>
        <w:t>生活污水</w:t>
      </w:r>
      <w:r>
        <w:rPr>
          <w:rFonts w:hint="eastAsia" w:ascii="宋体" w:hAnsi="宋体"/>
          <w:color w:val="auto"/>
          <w:spacing w:val="0"/>
          <w:szCs w:val="21"/>
          <w:lang w:eastAsia="zh-CN"/>
        </w:rPr>
        <w:t>和生产废水分别经</w:t>
      </w:r>
      <w:r>
        <w:rPr>
          <w:rFonts w:hint="eastAsia" w:ascii="宋体" w:hAnsi="宋体"/>
          <w:color w:val="auto"/>
          <w:spacing w:val="0"/>
          <w:szCs w:val="21"/>
        </w:rPr>
        <w:t>预处理后</w:t>
      </w:r>
      <w:r>
        <w:rPr>
          <w:rFonts w:hint="eastAsia" w:ascii="仿宋_GB2312" w:eastAsia="仿宋_GB2312"/>
          <w:color w:val="auto"/>
          <w:spacing w:val="0"/>
          <w:szCs w:val="32"/>
          <w:lang w:eastAsia="zh-CN"/>
        </w:rPr>
        <w:t>一起进入厂内综合废水处理站，经二次处理</w:t>
      </w:r>
      <w:r>
        <w:rPr>
          <w:rFonts w:hint="eastAsia" w:ascii="宋体" w:hAnsi="宋体"/>
          <w:color w:val="auto"/>
          <w:spacing w:val="0"/>
          <w:szCs w:val="21"/>
        </w:rPr>
        <w:t>达</w:t>
      </w:r>
      <w:r>
        <w:rPr>
          <w:rFonts w:hint="eastAsia" w:ascii="宋体" w:hAnsi="宋体"/>
          <w:color w:val="auto"/>
          <w:spacing w:val="0"/>
          <w:szCs w:val="21"/>
          <w:lang w:eastAsia="zh-CN"/>
        </w:rPr>
        <w:t>到</w:t>
      </w:r>
      <w:r>
        <w:rPr>
          <w:rFonts w:hint="eastAsia" w:ascii="宋体" w:hAnsi="宋体"/>
          <w:color w:val="auto"/>
          <w:spacing w:val="0"/>
          <w:szCs w:val="21"/>
        </w:rPr>
        <w:t>《汽车维修业水污染物排放标准》（GB26877-2011）表2中的直接排放标准</w:t>
      </w:r>
      <w:r>
        <w:rPr>
          <w:rFonts w:hint="eastAsia" w:ascii="宋体" w:hAnsi="宋体"/>
          <w:color w:val="auto"/>
          <w:spacing w:val="0"/>
          <w:szCs w:val="21"/>
          <w:lang w:eastAsia="zh-CN"/>
        </w:rPr>
        <w:t>要求</w:t>
      </w:r>
      <w:r>
        <w:rPr>
          <w:rFonts w:hint="eastAsia" w:ascii="宋体" w:hAnsi="宋体"/>
          <w:color w:val="auto"/>
          <w:spacing w:val="0"/>
          <w:szCs w:val="21"/>
        </w:rPr>
        <w:t>后外排至清溪河</w:t>
      </w:r>
      <w:r>
        <w:rPr>
          <w:rFonts w:hint="eastAsia" w:ascii="仿宋_GB2312" w:hAnsi="仿宋_GB2312" w:eastAsia="仿宋_GB2312" w:cs="仿宋_GB2312"/>
          <w:color w:val="auto"/>
          <w:spacing w:val="0"/>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szCs w:val="32"/>
        </w:rPr>
      </w:pPr>
      <w:r>
        <w:rPr>
          <w:rFonts w:hint="eastAsia" w:ascii="仿宋_GB2312" w:hAnsi="仿宋_GB2312" w:eastAsia="仿宋_GB2312" w:cs="仿宋_GB2312"/>
          <w:color w:val="auto"/>
          <w:spacing w:val="0"/>
          <w:szCs w:val="32"/>
          <w:lang w:eastAsia="zh-CN"/>
        </w:rPr>
        <w:t>（四）</w:t>
      </w:r>
      <w:r>
        <w:rPr>
          <w:rFonts w:hint="eastAsia" w:ascii="仿宋_GB2312" w:hAnsi="仿宋_GB2312" w:eastAsia="仿宋_GB2312" w:cs="仿宋_GB2312"/>
          <w:color w:val="auto"/>
          <w:spacing w:val="0"/>
          <w:szCs w:val="32"/>
        </w:rPr>
        <w:t>做好项目噪声污</w:t>
      </w:r>
      <w:r>
        <w:rPr>
          <w:rFonts w:hint="eastAsia" w:ascii="仿宋_GB2312" w:hAnsi="仿宋_GB2312" w:eastAsia="仿宋_GB2312" w:cs="仿宋_GB2312"/>
          <w:color w:val="000000"/>
          <w:spacing w:val="0"/>
          <w:szCs w:val="32"/>
        </w:rPr>
        <w:t>染防治工作。</w:t>
      </w:r>
      <w:r>
        <w:rPr>
          <w:rFonts w:hint="eastAsia" w:ascii="仿宋_GB2312" w:hAnsi="仿宋_GB2312" w:eastAsia="仿宋_GB2312" w:cs="仿宋_GB2312"/>
          <w:color w:val="000000"/>
          <w:spacing w:val="0"/>
          <w:sz w:val="32"/>
          <w:szCs w:val="32"/>
        </w:rPr>
        <w:t>落实环评报告</w:t>
      </w:r>
      <w:r>
        <w:rPr>
          <w:rFonts w:hint="eastAsia" w:ascii="仿宋_GB2312" w:hAnsi="仿宋_GB2312" w:eastAsia="仿宋_GB2312" w:cs="仿宋_GB2312"/>
          <w:color w:val="000000"/>
          <w:spacing w:val="0"/>
          <w:sz w:val="32"/>
          <w:szCs w:val="32"/>
          <w:lang w:eastAsia="zh-CN"/>
        </w:rPr>
        <w:t>表</w:t>
      </w:r>
      <w:r>
        <w:rPr>
          <w:rFonts w:hint="eastAsia" w:ascii="仿宋_GB2312" w:hAnsi="仿宋_GB2312" w:eastAsia="仿宋_GB2312" w:cs="仿宋_GB2312"/>
          <w:color w:val="000000"/>
          <w:spacing w:val="0"/>
          <w:sz w:val="32"/>
          <w:szCs w:val="32"/>
        </w:rPr>
        <w:t>提出的噪声防治措施，合理优化总平面布局，并从优化设备的选型、减震、消声、隔声和合理安排设备作业时间等方面做好噪声的污染控制工作，确保厂界噪声达到《工业企业厂界环境噪声排放标准》（GB12348-2008）中</w:t>
      </w:r>
      <w:r>
        <w:rPr>
          <w:rFonts w:hint="eastAsia" w:ascii="仿宋_GB2312" w:hAnsi="仿宋_GB2312" w:eastAsia="仿宋_GB2312" w:cs="仿宋_GB2312"/>
          <w:color w:val="000000"/>
          <w:spacing w:val="0"/>
          <w:sz w:val="32"/>
          <w:szCs w:val="32"/>
          <w:lang w:val="en-US" w:eastAsia="zh-CN"/>
        </w:rPr>
        <w:t>2</w:t>
      </w:r>
      <w:r>
        <w:rPr>
          <w:rFonts w:hint="eastAsia" w:ascii="仿宋_GB2312" w:hAnsi="仿宋_GB2312" w:eastAsia="仿宋_GB2312" w:cs="仿宋_GB2312"/>
          <w:color w:val="000000"/>
          <w:spacing w:val="0"/>
          <w:sz w:val="32"/>
          <w:szCs w:val="32"/>
        </w:rPr>
        <w:t>类区标准要求</w:t>
      </w:r>
      <w:r>
        <w:rPr>
          <w:rFonts w:hint="eastAsia" w:ascii="仿宋_GB2312" w:hAnsi="仿宋_GB2312" w:eastAsia="仿宋_GB2312" w:cs="仿宋_GB2312"/>
          <w:color w:val="000000"/>
          <w:spacing w:val="0"/>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szCs w:val="32"/>
        </w:rPr>
      </w:pPr>
      <w:r>
        <w:rPr>
          <w:rFonts w:hint="eastAsia" w:ascii="仿宋_GB2312" w:hAnsi="仿宋_GB2312" w:eastAsia="仿宋_GB2312" w:cs="仿宋_GB2312"/>
          <w:color w:val="000000"/>
          <w:spacing w:val="0"/>
          <w:szCs w:val="32"/>
          <w:lang w:eastAsia="zh-CN"/>
        </w:rPr>
        <w:t>（五）</w:t>
      </w:r>
      <w:r>
        <w:rPr>
          <w:rFonts w:hint="eastAsia" w:ascii="仿宋_GB2312" w:hAnsi="仿宋_GB2312" w:eastAsia="仿宋_GB2312" w:cs="仿宋_GB2312"/>
          <w:color w:val="000000"/>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2001)及其修改单要求、《一般工业固体废物贮存、处置场污染控制标准》（GB18599-2001）及其修改单要求。做好固体废物分类收集处置，</w:t>
      </w:r>
      <w:r>
        <w:rPr>
          <w:rFonts w:hint="eastAsia" w:ascii="仿宋_GB2312" w:hAnsi="仿宋_GB2312" w:eastAsia="仿宋_GB2312" w:cs="仿宋_GB2312"/>
          <w:color w:val="000000"/>
          <w:spacing w:val="0"/>
          <w:kern w:val="0"/>
          <w:sz w:val="32"/>
          <w:szCs w:val="32"/>
          <w:lang w:val="en-US" w:eastAsia="zh-CN" w:bidi="ar"/>
        </w:rPr>
        <w:t>生活垃圾收集后交给地方环卫部门</w:t>
      </w:r>
      <w:r>
        <w:rPr>
          <w:rFonts w:hint="eastAsia" w:ascii="仿宋_GB2312" w:hAnsi="仿宋_GB2312" w:eastAsia="仿宋_GB2312" w:cs="仿宋_GB2312"/>
          <w:color w:val="auto"/>
          <w:spacing w:val="0"/>
          <w:kern w:val="0"/>
          <w:sz w:val="32"/>
          <w:szCs w:val="32"/>
          <w:lang w:val="en-US" w:eastAsia="zh-CN" w:bidi="ar"/>
        </w:rPr>
        <w:t>处理;废包装材料、</w:t>
      </w:r>
      <w:r>
        <w:rPr>
          <w:rFonts w:hint="eastAsia" w:ascii="仿宋_GB2312" w:hAnsi="仿宋_GB2312" w:eastAsia="仿宋_GB2312" w:cs="仿宋_GB2312"/>
          <w:color w:val="auto"/>
          <w:spacing w:val="0"/>
          <w:szCs w:val="32"/>
        </w:rPr>
        <w:t>废焊丝、焊渣、</w:t>
      </w:r>
      <w:r>
        <w:rPr>
          <w:rFonts w:hint="eastAsia" w:ascii="仿宋_GB2312"/>
          <w:color w:val="000000" w:themeColor="text1"/>
          <w:spacing w:val="0"/>
          <w:szCs w:val="32"/>
        </w:rPr>
        <w:t>废旧轮胎</w:t>
      </w:r>
      <w:r>
        <w:rPr>
          <w:rFonts w:hint="eastAsia" w:ascii="仿宋_GB2312"/>
          <w:color w:val="000000" w:themeColor="text1"/>
          <w:spacing w:val="0"/>
          <w:szCs w:val="32"/>
          <w:lang w:eastAsia="zh-CN"/>
        </w:rPr>
        <w:t>、</w:t>
      </w:r>
      <w:r>
        <w:rPr>
          <w:rFonts w:hint="eastAsia" w:ascii="仿宋_GB2312"/>
          <w:color w:val="000000" w:themeColor="text1"/>
          <w:spacing w:val="0"/>
          <w:szCs w:val="32"/>
        </w:rPr>
        <w:t>废金属零件</w:t>
      </w:r>
      <w:r>
        <w:rPr>
          <w:rFonts w:hint="eastAsia" w:ascii="仿宋_GB2312"/>
          <w:color w:val="000000" w:themeColor="text1"/>
          <w:spacing w:val="0"/>
          <w:szCs w:val="32"/>
          <w:lang w:eastAsia="zh-CN"/>
        </w:rPr>
        <w:t>、</w:t>
      </w:r>
      <w:r>
        <w:rPr>
          <w:rFonts w:hint="eastAsia" w:ascii="仿宋_GB2312" w:hAnsi="仿宋_GB2312" w:eastAsia="仿宋_GB2312" w:cs="仿宋_GB2312"/>
          <w:color w:val="auto"/>
          <w:spacing w:val="0"/>
          <w:szCs w:val="32"/>
        </w:rPr>
        <w:t>边角</w:t>
      </w:r>
      <w:r>
        <w:rPr>
          <w:rFonts w:hint="eastAsia" w:ascii="仿宋_GB2312" w:hAnsi="仿宋_GB2312" w:eastAsia="仿宋_GB2312" w:cs="仿宋_GB2312"/>
          <w:color w:val="auto"/>
          <w:spacing w:val="0"/>
          <w:szCs w:val="32"/>
          <w:lang w:eastAsia="zh-CN"/>
        </w:rPr>
        <w:t>废</w:t>
      </w:r>
      <w:r>
        <w:rPr>
          <w:rFonts w:hint="eastAsia" w:ascii="仿宋_GB2312" w:hAnsi="仿宋_GB2312" w:eastAsia="仿宋_GB2312" w:cs="仿宋_GB2312"/>
          <w:color w:val="auto"/>
          <w:spacing w:val="0"/>
          <w:szCs w:val="32"/>
        </w:rPr>
        <w:t>料</w:t>
      </w:r>
      <w:r>
        <w:rPr>
          <w:rFonts w:hint="eastAsia" w:ascii="仿宋_GB2312" w:hAnsi="仿宋_GB2312" w:eastAsia="仿宋_GB2312" w:cs="仿宋_GB2312"/>
          <w:color w:val="auto"/>
          <w:spacing w:val="0"/>
          <w:szCs w:val="32"/>
          <w:lang w:eastAsia="zh-CN"/>
        </w:rPr>
        <w:t>以及除尘装置</w:t>
      </w:r>
      <w:r>
        <w:rPr>
          <w:rFonts w:hint="eastAsia" w:ascii="仿宋_GB2312" w:hAnsi="仿宋_GB2312" w:eastAsia="仿宋_GB2312" w:cs="仿宋_GB2312"/>
          <w:color w:val="000000"/>
          <w:spacing w:val="0"/>
          <w:szCs w:val="32"/>
        </w:rPr>
        <w:t>收集的粉</w:t>
      </w:r>
      <w:r>
        <w:rPr>
          <w:rFonts w:hint="eastAsia" w:ascii="仿宋_GB2312" w:hAnsi="仿宋_GB2312" w:eastAsia="仿宋_GB2312" w:cs="仿宋_GB2312"/>
          <w:color w:val="000000"/>
          <w:spacing w:val="0"/>
          <w:szCs w:val="32"/>
          <w:lang w:eastAsia="zh-CN"/>
        </w:rPr>
        <w:t>尘等</w:t>
      </w:r>
      <w:r>
        <w:rPr>
          <w:rFonts w:hint="eastAsia" w:ascii="仿宋_GB2312" w:hAnsi="仿宋_GB2312" w:eastAsia="仿宋_GB2312" w:cs="仿宋_GB2312"/>
          <w:color w:val="000000"/>
          <w:spacing w:val="0"/>
          <w:sz w:val="32"/>
          <w:szCs w:val="32"/>
          <w:lang w:val="en-US" w:eastAsia="zh-CN"/>
        </w:rPr>
        <w:t>为一</w:t>
      </w:r>
      <w:bookmarkStart w:id="0" w:name="_GoBack"/>
      <w:bookmarkEnd w:id="0"/>
      <w:r>
        <w:rPr>
          <w:rFonts w:hint="eastAsia" w:ascii="仿宋_GB2312" w:hAnsi="仿宋_GB2312" w:eastAsia="仿宋_GB2312" w:cs="仿宋_GB2312"/>
          <w:color w:val="000000"/>
          <w:spacing w:val="0"/>
          <w:sz w:val="32"/>
          <w:szCs w:val="32"/>
          <w:lang w:val="en-US" w:eastAsia="zh-CN"/>
        </w:rPr>
        <w:t>般工业固废，经分类收集贮存后外售或综合利用；</w:t>
      </w:r>
      <w:r>
        <w:rPr>
          <w:rFonts w:hint="eastAsia" w:ascii="仿宋_GB2312" w:hAnsi="仿宋_GB2312" w:eastAsia="仿宋_GB2312" w:cs="仿宋_GB2312"/>
          <w:color w:val="000000"/>
          <w:spacing w:val="0"/>
          <w:szCs w:val="32"/>
        </w:rPr>
        <w:t>润滑油</w:t>
      </w:r>
      <w:r>
        <w:rPr>
          <w:rFonts w:hint="eastAsia" w:ascii="仿宋_GB2312" w:hAnsi="仿宋_GB2312" w:eastAsia="仿宋_GB2312" w:cs="仿宋_GB2312"/>
          <w:color w:val="000000"/>
          <w:spacing w:val="0"/>
          <w:szCs w:val="32"/>
          <w:lang w:eastAsia="zh-CN"/>
        </w:rPr>
        <w:t>空桶</w:t>
      </w:r>
      <w:r>
        <w:rPr>
          <w:rFonts w:hint="eastAsia" w:ascii="仿宋_GB2312" w:hAnsi="仿宋_GB2312" w:eastAsia="仿宋_GB2312" w:cs="仿宋_GB2312"/>
          <w:color w:val="000000"/>
          <w:spacing w:val="0"/>
          <w:szCs w:val="32"/>
        </w:rPr>
        <w:t>、</w:t>
      </w:r>
      <w:r>
        <w:rPr>
          <w:rFonts w:hint="eastAsia" w:ascii="仿宋_GB2312" w:hAnsi="仿宋_GB2312" w:eastAsia="仿宋_GB2312" w:cs="仿宋_GB2312"/>
          <w:color w:val="000000"/>
          <w:spacing w:val="0"/>
          <w:sz w:val="32"/>
          <w:szCs w:val="32"/>
          <w:lang w:val="en-US" w:eastAsia="zh-CN"/>
        </w:rPr>
        <w:t>水性漆空桶、</w:t>
      </w:r>
      <w:r>
        <w:rPr>
          <w:rFonts w:hint="eastAsia" w:ascii="仿宋_GB2312" w:hAnsi="仿宋_GB2312" w:eastAsia="仿宋_GB2312" w:cs="仿宋_GB2312"/>
          <w:color w:val="000000"/>
          <w:spacing w:val="0"/>
          <w:szCs w:val="32"/>
        </w:rPr>
        <w:t>漆渣、含漆渣的废报纸（废棉布、废砂纸）</w:t>
      </w:r>
      <w:r>
        <w:rPr>
          <w:rFonts w:hint="eastAsia" w:ascii="仿宋_GB2312" w:hAnsi="仿宋_GB2312" w:eastAsia="仿宋_GB2312" w:cs="仿宋_GB2312"/>
          <w:color w:val="000000"/>
          <w:spacing w:val="0"/>
          <w:szCs w:val="32"/>
          <w:lang w:eastAsia="zh-CN"/>
        </w:rPr>
        <w:t>、</w:t>
      </w:r>
      <w:r>
        <w:rPr>
          <w:rFonts w:hint="eastAsia" w:ascii="仿宋_GB2312" w:hAnsi="仿宋_GB2312" w:eastAsia="仿宋_GB2312" w:cs="仿宋_GB2312"/>
          <w:color w:val="000000"/>
          <w:spacing w:val="0"/>
          <w:szCs w:val="32"/>
        </w:rPr>
        <w:t>废水处理站污泥</w:t>
      </w:r>
      <w:r>
        <w:rPr>
          <w:rFonts w:hint="eastAsia" w:ascii="仿宋_GB2312" w:hAnsi="仿宋_GB2312" w:eastAsia="仿宋_GB2312" w:cs="仿宋_GB2312"/>
          <w:color w:val="000000"/>
          <w:spacing w:val="0"/>
          <w:szCs w:val="32"/>
          <w:lang w:eastAsia="zh-CN"/>
        </w:rPr>
        <w:t>、</w:t>
      </w:r>
      <w:r>
        <w:rPr>
          <w:rFonts w:hint="eastAsia" w:ascii="仿宋_GB2312" w:hAnsi="仿宋_GB2312" w:eastAsia="仿宋_GB2312" w:cs="仿宋_GB2312"/>
          <w:color w:val="000000"/>
          <w:spacing w:val="0"/>
          <w:szCs w:val="32"/>
        </w:rPr>
        <w:t>废</w:t>
      </w:r>
      <w:r>
        <w:rPr>
          <w:rFonts w:hint="eastAsia" w:ascii="仿宋_GB2312" w:hAnsi="仿宋_GB2312" w:eastAsia="仿宋_GB2312" w:cs="仿宋_GB2312"/>
          <w:color w:val="000000"/>
          <w:spacing w:val="0"/>
          <w:szCs w:val="32"/>
          <w:lang w:eastAsia="zh-CN"/>
        </w:rPr>
        <w:t>过滤棉、</w:t>
      </w:r>
      <w:r>
        <w:rPr>
          <w:rFonts w:hint="eastAsia" w:ascii="仿宋_GB2312" w:hAnsi="仿宋_GB2312" w:eastAsia="仿宋_GB2312" w:cs="仿宋_GB2312"/>
          <w:color w:val="000000"/>
          <w:spacing w:val="0"/>
          <w:szCs w:val="32"/>
        </w:rPr>
        <w:t>废催化剂</w:t>
      </w:r>
      <w:r>
        <w:rPr>
          <w:rFonts w:hint="eastAsia" w:ascii="仿宋_GB2312" w:hAnsi="仿宋_GB2312" w:eastAsia="仿宋_GB2312" w:cs="仿宋_GB2312"/>
          <w:color w:val="000000"/>
          <w:spacing w:val="0"/>
          <w:szCs w:val="32"/>
          <w:lang w:eastAsia="zh-CN"/>
        </w:rPr>
        <w:t>、</w:t>
      </w:r>
      <w:r>
        <w:rPr>
          <w:rFonts w:hint="eastAsia" w:ascii="仿宋_GB2312" w:hAnsi="仿宋_GB2312" w:eastAsia="仿宋_GB2312" w:cs="仿宋_GB2312"/>
          <w:color w:val="000000"/>
          <w:spacing w:val="0"/>
          <w:sz w:val="32"/>
          <w:szCs w:val="32"/>
          <w:lang w:val="en-US" w:eastAsia="zh-CN"/>
        </w:rPr>
        <w:t>废活性</w:t>
      </w:r>
      <w:r>
        <w:rPr>
          <w:rFonts w:hint="eastAsia" w:ascii="仿宋_GB2312" w:hAnsi="仿宋_GB2312" w:eastAsia="仿宋_GB2312" w:cs="仿宋_GB2312"/>
          <w:color w:val="auto"/>
          <w:spacing w:val="0"/>
          <w:sz w:val="32"/>
          <w:szCs w:val="32"/>
          <w:lang w:val="en-US" w:eastAsia="zh-CN"/>
        </w:rPr>
        <w:t>炭</w:t>
      </w:r>
      <w:r>
        <w:rPr>
          <w:rFonts w:hint="eastAsia" w:ascii="仿宋_GB2312" w:hAnsi="仿宋_GB2312" w:eastAsia="仿宋_GB2312" w:cs="仿宋_GB2312"/>
          <w:color w:val="auto"/>
          <w:spacing w:val="0"/>
          <w:szCs w:val="32"/>
        </w:rPr>
        <w:t>、废UV灯管</w:t>
      </w:r>
      <w:r>
        <w:rPr>
          <w:rFonts w:hint="eastAsia" w:ascii="仿宋_GB2312" w:hAnsi="仿宋_GB2312" w:eastAsia="仿宋_GB2312" w:cs="仿宋_GB2312"/>
          <w:color w:val="auto"/>
          <w:spacing w:val="0"/>
          <w:szCs w:val="32"/>
          <w:lang w:eastAsia="zh-CN"/>
        </w:rPr>
        <w:t>、废电瓶、</w:t>
      </w:r>
      <w:r>
        <w:rPr>
          <w:rFonts w:hint="eastAsia" w:ascii="仿宋_GB2312" w:hAnsi="仿宋_GB2312" w:eastAsia="仿宋_GB2312" w:cs="仿宋_GB2312"/>
          <w:color w:val="auto"/>
          <w:spacing w:val="0"/>
          <w:szCs w:val="32"/>
        </w:rPr>
        <w:t>废润滑油</w:t>
      </w:r>
      <w:r>
        <w:rPr>
          <w:rFonts w:hint="eastAsia" w:ascii="仿宋_GB2312" w:hAnsi="仿宋_GB2312" w:eastAsia="仿宋_GB2312" w:cs="仿宋_GB2312"/>
          <w:color w:val="auto"/>
          <w:spacing w:val="0"/>
          <w:szCs w:val="32"/>
          <w:lang w:val="en-US" w:eastAsia="zh-CN"/>
        </w:rPr>
        <w:t>及</w:t>
      </w:r>
      <w:r>
        <w:rPr>
          <w:rFonts w:hint="eastAsia" w:ascii="仿宋_GB2312" w:hAnsi="仿宋_GB2312" w:eastAsia="仿宋_GB2312" w:cs="仿宋_GB2312"/>
          <w:color w:val="auto"/>
          <w:spacing w:val="0"/>
          <w:sz w:val="32"/>
          <w:szCs w:val="32"/>
        </w:rPr>
        <w:t>含油废抹布</w:t>
      </w:r>
      <w:r>
        <w:rPr>
          <w:rFonts w:hint="eastAsia" w:ascii="仿宋_GB2312" w:hAnsi="仿宋_GB2312" w:eastAsia="仿宋_GB2312" w:cs="仿宋_GB2312"/>
          <w:color w:val="auto"/>
          <w:spacing w:val="0"/>
          <w:sz w:val="32"/>
          <w:szCs w:val="32"/>
          <w:lang w:eastAsia="zh-CN"/>
        </w:rPr>
        <w:t>和废手套</w:t>
      </w:r>
      <w:r>
        <w:rPr>
          <w:rFonts w:hint="eastAsia" w:ascii="仿宋_GB2312" w:hAnsi="仿宋_GB2312" w:eastAsia="仿宋_GB2312" w:cs="仿宋_GB2312"/>
          <w:color w:val="auto"/>
          <w:spacing w:val="0"/>
          <w:sz w:val="32"/>
          <w:szCs w:val="32"/>
        </w:rPr>
        <w:t>等危险废物</w:t>
      </w:r>
      <w:r>
        <w:rPr>
          <w:rFonts w:hint="eastAsia" w:ascii="仿宋_GB2312" w:hAnsi="仿宋_GB2312" w:eastAsia="仿宋_GB2312" w:cs="仿宋_GB2312"/>
          <w:color w:val="000000"/>
          <w:spacing w:val="0"/>
          <w:kern w:val="0"/>
          <w:sz w:val="32"/>
          <w:szCs w:val="32"/>
          <w:lang w:val="en-US" w:eastAsia="zh-CN" w:bidi="ar"/>
        </w:rPr>
        <w:t>应送危废暂存库分类贮存，定期外委有危废处置资质单位处理。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Cs w:val="32"/>
          <w:lang w:eastAsia="zh-CN"/>
        </w:rPr>
        <w:t>（六）</w:t>
      </w:r>
      <w:r>
        <w:rPr>
          <w:rFonts w:hint="eastAsia" w:ascii="仿宋_GB2312" w:hAnsi="仿宋_GB2312" w:eastAsia="仿宋_GB2312" w:cs="仿宋_GB2312"/>
          <w:color w:val="000000"/>
          <w:spacing w:val="0"/>
          <w:sz w:val="32"/>
          <w:szCs w:val="32"/>
          <w:lang w:val="en-US" w:eastAsia="zh-CN"/>
        </w:rPr>
        <w:t>加强环境风险防范。建立健全风险防控体系和事故排放污染收集系统；按国家《危险废物收集贮存运输技术规范》（HJ2025-2012）的规定，加强对危险废物在运输、贮存等各环节的安全管理。制定突发环境事件应急预案，严格落实风险防范措施，定期对事故隐患存在点进行检查，有效防止事故发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color w:val="000000"/>
          <w:spacing w:val="0"/>
          <w:sz w:val="32"/>
          <w:szCs w:val="32"/>
          <w:lang w:val="en-US" w:eastAsia="zh-CN"/>
        </w:rPr>
        <w:t>（七）</w:t>
      </w:r>
      <w:r>
        <w:rPr>
          <w:rFonts w:hint="eastAsia" w:ascii="仿宋_GB2312" w:hAnsi="仿宋_GB2312" w:eastAsia="仿宋_GB2312" w:cs="仿宋_GB2312"/>
          <w:color w:val="000000"/>
          <w:spacing w:val="0"/>
          <w:szCs w:val="32"/>
        </w:rPr>
        <w:t>污</w:t>
      </w:r>
      <w:r>
        <w:rPr>
          <w:rFonts w:hint="eastAsia" w:ascii="仿宋_GB2312" w:hAnsi="仿宋_GB2312" w:eastAsia="仿宋_GB2312" w:cs="仿宋_GB2312"/>
          <w:color w:val="auto"/>
          <w:spacing w:val="0"/>
          <w:szCs w:val="32"/>
        </w:rPr>
        <w:t>染物总量控制：COD≤0.</w:t>
      </w:r>
      <w:r>
        <w:rPr>
          <w:rFonts w:hint="eastAsia" w:ascii="仿宋_GB2312" w:hAnsi="仿宋_GB2312" w:eastAsia="仿宋_GB2312" w:cs="仿宋_GB2312"/>
          <w:color w:val="auto"/>
          <w:spacing w:val="0"/>
          <w:szCs w:val="32"/>
          <w:lang w:val="en-US" w:eastAsia="zh-CN"/>
        </w:rPr>
        <w:t>16</w:t>
      </w:r>
      <w:r>
        <w:rPr>
          <w:rFonts w:hint="eastAsia" w:ascii="仿宋_GB2312" w:hAnsi="仿宋_GB2312" w:eastAsia="仿宋_GB2312" w:cs="仿宋_GB2312"/>
          <w:color w:val="auto"/>
          <w:spacing w:val="0"/>
          <w:szCs w:val="32"/>
        </w:rPr>
        <w:t>t/a，NH</w:t>
      </w:r>
      <w:r>
        <w:rPr>
          <w:rFonts w:hint="eastAsia" w:ascii="仿宋_GB2312" w:hAnsi="仿宋_GB2312" w:eastAsia="仿宋_GB2312" w:cs="仿宋_GB2312"/>
          <w:color w:val="auto"/>
          <w:spacing w:val="0"/>
          <w:szCs w:val="32"/>
          <w:vertAlign w:val="subscript"/>
        </w:rPr>
        <w:t>3</w:t>
      </w:r>
      <w:r>
        <w:rPr>
          <w:rFonts w:hint="eastAsia" w:ascii="仿宋_GB2312" w:hAnsi="仿宋_GB2312" w:eastAsia="仿宋_GB2312" w:cs="仿宋_GB2312"/>
          <w:color w:val="auto"/>
          <w:spacing w:val="0"/>
          <w:szCs w:val="32"/>
        </w:rPr>
        <w:t>-N≤0.0</w:t>
      </w:r>
      <w:r>
        <w:rPr>
          <w:rFonts w:hint="eastAsia" w:ascii="仿宋_GB2312" w:hAnsi="仿宋_GB2312" w:eastAsia="仿宋_GB2312" w:cs="仿宋_GB2312"/>
          <w:color w:val="auto"/>
          <w:spacing w:val="0"/>
          <w:szCs w:val="32"/>
          <w:lang w:val="en-US" w:eastAsia="zh-CN"/>
        </w:rPr>
        <w:t>3</w:t>
      </w:r>
      <w:r>
        <w:rPr>
          <w:rFonts w:hint="eastAsia" w:ascii="仿宋_GB2312" w:hAnsi="仿宋_GB2312" w:eastAsia="仿宋_GB2312" w:cs="仿宋_GB2312"/>
          <w:color w:val="auto"/>
          <w:spacing w:val="0"/>
          <w:szCs w:val="32"/>
        </w:rPr>
        <w:t>t/a</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VOC</w:t>
      </w:r>
      <w:r>
        <w:rPr>
          <w:rFonts w:hint="eastAsia" w:ascii="仿宋_GB2312" w:hAnsi="仿宋_GB2312" w:eastAsia="仿宋_GB2312" w:cs="仿宋_GB2312"/>
          <w:color w:val="auto"/>
          <w:spacing w:val="0"/>
          <w:szCs w:val="32"/>
          <w:vertAlign w:val="subscript"/>
        </w:rPr>
        <w:t>S</w:t>
      </w:r>
      <w:r>
        <w:rPr>
          <w:rFonts w:hint="eastAsia" w:ascii="仿宋_GB2312" w:hAnsi="仿宋_GB2312" w:eastAsia="仿宋_GB2312" w:cs="仿宋_GB2312"/>
          <w:color w:val="auto"/>
          <w:spacing w:val="0"/>
          <w:szCs w:val="32"/>
          <w:vertAlign w:val="baseline"/>
          <w:lang w:val="en-US" w:eastAsia="zh-CN"/>
        </w:rPr>
        <w:t>≦</w:t>
      </w:r>
      <w:r>
        <w:rPr>
          <w:rFonts w:hint="eastAsia" w:ascii="仿宋_GB2312" w:hAnsi="仿宋_GB2312" w:eastAsia="仿宋_GB2312" w:cs="仿宋_GB2312"/>
          <w:color w:val="auto"/>
          <w:spacing w:val="0"/>
          <w:szCs w:val="32"/>
        </w:rPr>
        <w:t>0.</w:t>
      </w:r>
      <w:r>
        <w:rPr>
          <w:rFonts w:hint="eastAsia" w:ascii="仿宋_GB2312" w:hAnsi="仿宋_GB2312" w:eastAsia="仿宋_GB2312" w:cs="仿宋_GB2312"/>
          <w:color w:val="auto"/>
          <w:spacing w:val="0"/>
          <w:szCs w:val="32"/>
          <w:lang w:val="en-US" w:eastAsia="zh-CN"/>
        </w:rPr>
        <w:t>01</w:t>
      </w:r>
      <w:r>
        <w:rPr>
          <w:rFonts w:hint="eastAsia" w:ascii="仿宋_GB2312" w:hAnsi="仿宋_GB2312" w:eastAsia="仿宋_GB2312" w:cs="仿宋_GB2312"/>
          <w:color w:val="auto"/>
          <w:spacing w:val="0"/>
          <w:szCs w:val="32"/>
        </w:rPr>
        <w:t>t/a</w:t>
      </w:r>
      <w:r>
        <w:rPr>
          <w:rFonts w:hint="eastAsia" w:ascii="仿宋_GB2312" w:hAnsi="仿宋_GB2312" w:eastAsia="仿宋_GB2312" w:cs="仿宋_GB2312"/>
          <w:color w:val="auto"/>
          <w:spacing w:val="0"/>
          <w:szCs w:val="32"/>
          <w:lang w:eastAsia="zh-CN"/>
        </w:rPr>
        <w:t>，总量指标纳入当地环保部门总量控制管理。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Cs w:val="32"/>
        </w:rPr>
      </w:pPr>
      <w:r>
        <w:rPr>
          <w:rFonts w:hint="eastAsia" w:ascii="仿宋_GB2312" w:hAnsi="仿宋_GB2312" w:eastAsia="仿宋_GB2312" w:cs="仿宋_GB2312"/>
          <w:color w:val="000000"/>
          <w:spacing w:val="0"/>
          <w:szCs w:val="32"/>
        </w:rPr>
        <w:t>三、建设</w:t>
      </w:r>
      <w:r>
        <w:rPr>
          <w:rFonts w:hint="eastAsia" w:ascii="仿宋_GB2312" w:hAnsi="仿宋_GB2312" w:eastAsia="仿宋_GB2312" w:cs="仿宋_GB2312"/>
          <w:color w:val="000000"/>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hAnsi="仿宋_GB2312" w:eastAsia="仿宋_GB2312" w:cs="仿宋_GB2312"/>
          <w:color w:val="000000"/>
          <w:spacing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spacing w:val="0"/>
        </w:rPr>
      </w:pPr>
      <w:r>
        <w:rPr>
          <w:rFonts w:hint="eastAsia" w:ascii="仿宋_GB2312" w:eastAsia="仿宋_GB2312"/>
          <w:spacing w:val="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spacing w:val="0"/>
        </w:rPr>
      </w:pPr>
      <w:r>
        <w:rPr>
          <w:rFonts w:hint="eastAsia" w:ascii="仿宋_GB2312" w:eastAsia="仿宋_GB2312"/>
          <w:spacing w:val="0"/>
        </w:rPr>
        <w:t xml:space="preserve"> 益阳市生态环境局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color w:val="FF0000"/>
          <w:spacing w:val="0"/>
        </w:rPr>
      </w:pPr>
      <w:r>
        <w:rPr>
          <w:rFonts w:hint="eastAsia" w:ascii="仿宋_GB2312" w:eastAsia="仿宋_GB2312"/>
          <w:color w:val="FF0000"/>
          <w:spacing w:val="0"/>
        </w:rPr>
        <w:t xml:space="preserve">                             </w:t>
      </w:r>
      <w:r>
        <w:rPr>
          <w:rFonts w:hint="eastAsia" w:ascii="仿宋_GB2312" w:eastAsia="仿宋_GB2312"/>
          <w:color w:val="FF0000"/>
          <w:spacing w:val="0"/>
          <w:lang w:val="en-US" w:eastAsia="zh-CN"/>
        </w:rPr>
        <w:t xml:space="preserve"> </w:t>
      </w:r>
      <w:r>
        <w:rPr>
          <w:rFonts w:hint="eastAsia" w:ascii="仿宋_GB2312" w:eastAsia="仿宋_GB2312"/>
          <w:color w:val="auto"/>
          <w:spacing w:val="0"/>
        </w:rPr>
        <w:t>2020年</w:t>
      </w:r>
      <w:r>
        <w:rPr>
          <w:rFonts w:hint="eastAsia" w:ascii="仿宋_GB2312" w:eastAsia="仿宋_GB2312"/>
          <w:color w:val="auto"/>
          <w:spacing w:val="0"/>
          <w:lang w:val="en-US" w:eastAsia="zh-CN"/>
        </w:rPr>
        <w:t>12</w:t>
      </w:r>
      <w:r>
        <w:rPr>
          <w:rFonts w:hint="eastAsia" w:ascii="仿宋_GB2312" w:eastAsia="仿宋_GB2312"/>
          <w:color w:val="auto"/>
          <w:spacing w:val="0"/>
        </w:rPr>
        <w:t>月</w:t>
      </w:r>
      <w:r>
        <w:rPr>
          <w:rFonts w:hint="eastAsia" w:ascii="仿宋_GB2312" w:eastAsia="仿宋_GB2312"/>
          <w:color w:val="auto"/>
          <w:spacing w:val="0"/>
          <w:lang w:val="en-US" w:eastAsia="zh-CN"/>
        </w:rPr>
        <w:t>25</w:t>
      </w:r>
      <w:r>
        <w:rPr>
          <w:rFonts w:hint="eastAsia" w:ascii="仿宋_GB2312" w:eastAsia="仿宋_GB2312"/>
          <w:color w:val="auto"/>
          <w:spacing w:val="0"/>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0A8C2"/>
    <w:multiLevelType w:val="singleLevel"/>
    <w:tmpl w:val="B500A8C2"/>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0FC4B02"/>
    <w:multiLevelType w:val="singleLevel"/>
    <w:tmpl w:val="40FC4B0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2A3ACD"/>
    <w:rsid w:val="01416D8E"/>
    <w:rsid w:val="01D03FEC"/>
    <w:rsid w:val="01D159D9"/>
    <w:rsid w:val="01ED35F8"/>
    <w:rsid w:val="02224966"/>
    <w:rsid w:val="025C6D52"/>
    <w:rsid w:val="02821C11"/>
    <w:rsid w:val="029E3B84"/>
    <w:rsid w:val="03232A97"/>
    <w:rsid w:val="032F168E"/>
    <w:rsid w:val="033476DA"/>
    <w:rsid w:val="03466357"/>
    <w:rsid w:val="03DA560A"/>
    <w:rsid w:val="05751EFF"/>
    <w:rsid w:val="05D8789C"/>
    <w:rsid w:val="0638548F"/>
    <w:rsid w:val="064A2C9B"/>
    <w:rsid w:val="070865B3"/>
    <w:rsid w:val="07104EB2"/>
    <w:rsid w:val="07511000"/>
    <w:rsid w:val="07702649"/>
    <w:rsid w:val="08396583"/>
    <w:rsid w:val="083C1AB1"/>
    <w:rsid w:val="086B7063"/>
    <w:rsid w:val="088B2B53"/>
    <w:rsid w:val="089413C5"/>
    <w:rsid w:val="08A4447D"/>
    <w:rsid w:val="09415B9F"/>
    <w:rsid w:val="09A82EA5"/>
    <w:rsid w:val="09FA59E7"/>
    <w:rsid w:val="0A9F631F"/>
    <w:rsid w:val="0ADD093C"/>
    <w:rsid w:val="0B290884"/>
    <w:rsid w:val="0B307C81"/>
    <w:rsid w:val="0BCC26AF"/>
    <w:rsid w:val="0BF719CD"/>
    <w:rsid w:val="0BFD72E7"/>
    <w:rsid w:val="0C562ECC"/>
    <w:rsid w:val="0C963F62"/>
    <w:rsid w:val="0D021275"/>
    <w:rsid w:val="0D0D5F8F"/>
    <w:rsid w:val="0DC04E7F"/>
    <w:rsid w:val="0E101F59"/>
    <w:rsid w:val="0E75128A"/>
    <w:rsid w:val="0F3F696C"/>
    <w:rsid w:val="0F4815CC"/>
    <w:rsid w:val="0F737963"/>
    <w:rsid w:val="0FAA59C8"/>
    <w:rsid w:val="101616EC"/>
    <w:rsid w:val="103067B1"/>
    <w:rsid w:val="105861FD"/>
    <w:rsid w:val="130004D4"/>
    <w:rsid w:val="13555622"/>
    <w:rsid w:val="140D6837"/>
    <w:rsid w:val="14360E9D"/>
    <w:rsid w:val="157F39FE"/>
    <w:rsid w:val="158942BB"/>
    <w:rsid w:val="15F03768"/>
    <w:rsid w:val="16414F1E"/>
    <w:rsid w:val="167429F4"/>
    <w:rsid w:val="16CC5B36"/>
    <w:rsid w:val="16E81710"/>
    <w:rsid w:val="170755B1"/>
    <w:rsid w:val="176A2F62"/>
    <w:rsid w:val="18757D21"/>
    <w:rsid w:val="1A1F4F6D"/>
    <w:rsid w:val="1B434D9E"/>
    <w:rsid w:val="1B5F06EB"/>
    <w:rsid w:val="1BE92948"/>
    <w:rsid w:val="1C8D3340"/>
    <w:rsid w:val="1CF02631"/>
    <w:rsid w:val="1DDE1448"/>
    <w:rsid w:val="1E3A67FD"/>
    <w:rsid w:val="20095B14"/>
    <w:rsid w:val="202B0267"/>
    <w:rsid w:val="205C1174"/>
    <w:rsid w:val="20EE6003"/>
    <w:rsid w:val="215D7E12"/>
    <w:rsid w:val="21D23C17"/>
    <w:rsid w:val="21F92B3D"/>
    <w:rsid w:val="229D1CE8"/>
    <w:rsid w:val="25EB3281"/>
    <w:rsid w:val="26423EFF"/>
    <w:rsid w:val="26677257"/>
    <w:rsid w:val="26C7259C"/>
    <w:rsid w:val="27BA1B7C"/>
    <w:rsid w:val="27BF57E9"/>
    <w:rsid w:val="27C03033"/>
    <w:rsid w:val="2BFA14EE"/>
    <w:rsid w:val="2C36248E"/>
    <w:rsid w:val="2C9A7D53"/>
    <w:rsid w:val="2CD03A61"/>
    <w:rsid w:val="2DA026E8"/>
    <w:rsid w:val="2DDB3472"/>
    <w:rsid w:val="2ED91A45"/>
    <w:rsid w:val="2FBE547D"/>
    <w:rsid w:val="302837E4"/>
    <w:rsid w:val="306D20D8"/>
    <w:rsid w:val="3073000C"/>
    <w:rsid w:val="30EF2D26"/>
    <w:rsid w:val="31C577AD"/>
    <w:rsid w:val="31F55553"/>
    <w:rsid w:val="3217743F"/>
    <w:rsid w:val="3358012B"/>
    <w:rsid w:val="33741DC8"/>
    <w:rsid w:val="33B11EC4"/>
    <w:rsid w:val="34711A93"/>
    <w:rsid w:val="35B4328A"/>
    <w:rsid w:val="36487212"/>
    <w:rsid w:val="366F1DC1"/>
    <w:rsid w:val="36E44291"/>
    <w:rsid w:val="38073DA8"/>
    <w:rsid w:val="380A631A"/>
    <w:rsid w:val="382F7084"/>
    <w:rsid w:val="389E4E95"/>
    <w:rsid w:val="3A01070A"/>
    <w:rsid w:val="3A084AD3"/>
    <w:rsid w:val="3A8E5140"/>
    <w:rsid w:val="3AB857D3"/>
    <w:rsid w:val="3B125EF8"/>
    <w:rsid w:val="3C0159EA"/>
    <w:rsid w:val="3D8809F4"/>
    <w:rsid w:val="3DBD62A2"/>
    <w:rsid w:val="3DD36518"/>
    <w:rsid w:val="3DEE185B"/>
    <w:rsid w:val="3E237685"/>
    <w:rsid w:val="3ED71EBA"/>
    <w:rsid w:val="3F4E171F"/>
    <w:rsid w:val="3F8E207B"/>
    <w:rsid w:val="40026EF9"/>
    <w:rsid w:val="40312E67"/>
    <w:rsid w:val="413D42E7"/>
    <w:rsid w:val="45CF0E9E"/>
    <w:rsid w:val="45E80663"/>
    <w:rsid w:val="46926864"/>
    <w:rsid w:val="46E36B0F"/>
    <w:rsid w:val="484F7B35"/>
    <w:rsid w:val="485A6652"/>
    <w:rsid w:val="48A069BA"/>
    <w:rsid w:val="48AE3800"/>
    <w:rsid w:val="48BA45F7"/>
    <w:rsid w:val="48FB3ADA"/>
    <w:rsid w:val="4993613B"/>
    <w:rsid w:val="49B07B17"/>
    <w:rsid w:val="4A9B4753"/>
    <w:rsid w:val="4AB744D3"/>
    <w:rsid w:val="4BE51D09"/>
    <w:rsid w:val="4CB0540E"/>
    <w:rsid w:val="4CBA6727"/>
    <w:rsid w:val="4CF26A83"/>
    <w:rsid w:val="4DD816AB"/>
    <w:rsid w:val="4DEE12CE"/>
    <w:rsid w:val="4E6A7DDF"/>
    <w:rsid w:val="4EE70BF8"/>
    <w:rsid w:val="4F1E6B4A"/>
    <w:rsid w:val="4FAC3FCA"/>
    <w:rsid w:val="50AB4AD3"/>
    <w:rsid w:val="50FF58C8"/>
    <w:rsid w:val="5138471E"/>
    <w:rsid w:val="51DB6FAB"/>
    <w:rsid w:val="52130BCC"/>
    <w:rsid w:val="535263C4"/>
    <w:rsid w:val="53D57E72"/>
    <w:rsid w:val="53F34F30"/>
    <w:rsid w:val="543609F7"/>
    <w:rsid w:val="54952865"/>
    <w:rsid w:val="54D33207"/>
    <w:rsid w:val="55D35293"/>
    <w:rsid w:val="567D20E7"/>
    <w:rsid w:val="56871C4F"/>
    <w:rsid w:val="56A24A8C"/>
    <w:rsid w:val="58861573"/>
    <w:rsid w:val="58B71C90"/>
    <w:rsid w:val="58D04EA6"/>
    <w:rsid w:val="5A107B8D"/>
    <w:rsid w:val="5A3263A9"/>
    <w:rsid w:val="5A42464D"/>
    <w:rsid w:val="5B2C0540"/>
    <w:rsid w:val="5BB921BB"/>
    <w:rsid w:val="5C180601"/>
    <w:rsid w:val="5C940C0B"/>
    <w:rsid w:val="5C9F2F38"/>
    <w:rsid w:val="5CC3205E"/>
    <w:rsid w:val="5E883244"/>
    <w:rsid w:val="5E992B90"/>
    <w:rsid w:val="5EE67A46"/>
    <w:rsid w:val="5F010883"/>
    <w:rsid w:val="5F132F57"/>
    <w:rsid w:val="5F1C05DD"/>
    <w:rsid w:val="5F3825B7"/>
    <w:rsid w:val="5FBA4E4C"/>
    <w:rsid w:val="6005046D"/>
    <w:rsid w:val="60E0450D"/>
    <w:rsid w:val="60EC13C9"/>
    <w:rsid w:val="61040EA5"/>
    <w:rsid w:val="616801FC"/>
    <w:rsid w:val="616854FA"/>
    <w:rsid w:val="61C74309"/>
    <w:rsid w:val="63DC0FAA"/>
    <w:rsid w:val="641354EA"/>
    <w:rsid w:val="657A6729"/>
    <w:rsid w:val="657F402D"/>
    <w:rsid w:val="65AC5AA9"/>
    <w:rsid w:val="65C62AAF"/>
    <w:rsid w:val="67990F2E"/>
    <w:rsid w:val="679E4A51"/>
    <w:rsid w:val="67CE0480"/>
    <w:rsid w:val="6861112F"/>
    <w:rsid w:val="68EA26DC"/>
    <w:rsid w:val="69757189"/>
    <w:rsid w:val="6A476406"/>
    <w:rsid w:val="6A737633"/>
    <w:rsid w:val="6BB53802"/>
    <w:rsid w:val="6C04239A"/>
    <w:rsid w:val="6C211604"/>
    <w:rsid w:val="6C923045"/>
    <w:rsid w:val="6D964EB2"/>
    <w:rsid w:val="6DF731D4"/>
    <w:rsid w:val="6FAB56DD"/>
    <w:rsid w:val="708E268D"/>
    <w:rsid w:val="711235A4"/>
    <w:rsid w:val="71332ADA"/>
    <w:rsid w:val="72080A6A"/>
    <w:rsid w:val="72D17DDC"/>
    <w:rsid w:val="75AA383B"/>
    <w:rsid w:val="76184CB6"/>
    <w:rsid w:val="762F029B"/>
    <w:rsid w:val="76440617"/>
    <w:rsid w:val="766D332E"/>
    <w:rsid w:val="768E0AE0"/>
    <w:rsid w:val="772C3B92"/>
    <w:rsid w:val="77641A8C"/>
    <w:rsid w:val="77E761FD"/>
    <w:rsid w:val="78485F58"/>
    <w:rsid w:val="798D56F0"/>
    <w:rsid w:val="7A781C01"/>
    <w:rsid w:val="7AA95265"/>
    <w:rsid w:val="7B41207C"/>
    <w:rsid w:val="7B734C9E"/>
    <w:rsid w:val="7D60233C"/>
    <w:rsid w:val="7D7A2C5C"/>
    <w:rsid w:val="7DAB0C85"/>
    <w:rsid w:val="7F162B16"/>
    <w:rsid w:val="7F582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eastAsia="宋体"/>
      <w:sz w:val="18"/>
      <w:szCs w:val="18"/>
    </w:rPr>
  </w:style>
  <w:style w:type="paragraph" w:styleId="4">
    <w:name w:val="annotation text"/>
    <w:basedOn w:val="1"/>
    <w:link w:val="16"/>
    <w:unhideWhenUsed/>
    <w:qFormat/>
    <w:uiPriority w:val="0"/>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rFonts w:ascii="Times New Roman" w:hAnsi="Times New Roman" w:eastAsia="华文仿宋" w:cs="Times New Roman"/>
      <w:sz w:val="18"/>
      <w:szCs w:val="18"/>
    </w:rPr>
  </w:style>
  <w:style w:type="character" w:customStyle="1" w:styleId="13">
    <w:name w:val="页脚 Char"/>
    <w:basedOn w:val="10"/>
    <w:link w:val="6"/>
    <w:semiHidden/>
    <w:qFormat/>
    <w:uiPriority w:val="99"/>
    <w:rPr>
      <w:rFonts w:ascii="Times New Roman" w:hAnsi="Times New Roman" w:eastAsia="华文仿宋" w:cs="Times New Roman"/>
      <w:sz w:val="18"/>
      <w:szCs w:val="18"/>
    </w:rPr>
  </w:style>
  <w:style w:type="character" w:customStyle="1" w:styleId="14">
    <w:name w:val="文档结构图 Char"/>
    <w:basedOn w:val="10"/>
    <w:link w:val="3"/>
    <w:semiHidden/>
    <w:qFormat/>
    <w:uiPriority w:val="99"/>
    <w:rPr>
      <w:rFonts w:ascii="宋体"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华文仿宋" w:cs="Times New Roman"/>
      <w:sz w:val="18"/>
      <w:szCs w:val="18"/>
    </w:rPr>
  </w:style>
  <w:style w:type="character" w:customStyle="1" w:styleId="16">
    <w:name w:val="批注文字 Char"/>
    <w:basedOn w:val="10"/>
    <w:link w:val="4"/>
    <w:qFormat/>
    <w:uiPriority w:val="0"/>
    <w:rPr>
      <w:rFonts w:ascii="Times New Roman" w:hAnsi="Times New Roman" w:eastAsia="华文仿宋" w:cs="Times New Roman"/>
      <w:sz w:val="32"/>
      <w:szCs w:val="24"/>
    </w:rPr>
  </w:style>
  <w:style w:type="character" w:customStyle="1" w:styleId="17">
    <w:name w:val="批注主题 Char"/>
    <w:basedOn w:val="16"/>
    <w:link w:val="8"/>
    <w:semiHidden/>
    <w:qFormat/>
    <w:uiPriority w:val="99"/>
    <w:rPr>
      <w:rFonts w:ascii="Times New Roman" w:hAnsi="Times New Roman" w:eastAsia="华文仿宋" w:cs="Times New Roman"/>
      <w:b/>
      <w:bCs/>
      <w:sz w:val="32"/>
      <w:szCs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6</TotalTime>
  <ScaleCrop>false</ScaleCrop>
  <LinksUpToDate>false</LinksUpToDate>
  <CharactersWithSpaces>1508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Administrator</cp:lastModifiedBy>
  <cp:lastPrinted>2020-02-14T08:29:00Z</cp:lastPrinted>
  <dcterms:modified xsi:type="dcterms:W3CDTF">2021-01-22T02:11:52Z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