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10"/>
        </w:tabs>
        <w:spacing w:line="560" w:lineRule="exact"/>
        <w:jc w:val="left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5750"/>
        </w:tabs>
        <w:spacing w:line="560" w:lineRule="exact"/>
        <w:jc w:val="left"/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750"/>
        </w:tabs>
        <w:spacing w:line="560" w:lineRule="exact"/>
        <w:jc w:val="left"/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110"/>
        </w:tabs>
        <w:spacing w:line="560" w:lineRule="exact"/>
        <w:jc w:val="right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益赫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环评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（表）〔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〕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《益阳高平中学建设项目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环境影响报告表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的批复</w:t>
      </w:r>
    </w:p>
    <w:p>
      <w:pPr>
        <w:pStyle w:val="9"/>
        <w:spacing w:line="560" w:lineRule="exact"/>
        <w:rPr>
          <w:rFonts w:hint="eastAsia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益阳高平中学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你单位呈报的《</w:t>
      </w: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益阳高平中学建设项目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环境影响报告表》（以下简称《报告表》）及有关材料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收悉。经研究，批复如下：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项目概况: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益阳高平中学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投资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万元（其中环保投资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480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万元）选址于益阳市赫山区欧江岔镇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高平村。项目总占地面积280000m</w:t>
      </w:r>
      <w:r>
        <w:rPr>
          <w:rFonts w:hint="eastAsia" w:ascii="仿宋" w:hAnsi="仿宋" w:eastAsia="仿宋" w:cs="仿宋"/>
          <w:color w:val="000000" w:themeColor="text1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，主要建设内容为：教学楼、教辅楼、实验室、食堂、运动场、学生宿舍、医务室、门卫等相关配套设施。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项目符合国家产业政策，选址可行。项目环境影响报告表分析结论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分析结论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以及专家组评审意见,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在建设单位认真落实报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告表和本批复提出的各项生态环境保护措施，确保各项污染物稳定达标排放的前提下，我局原则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同意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益阳高平中学建设项目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建设单位在工程设计、建设和运营管理中，必须严格执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环保“三同时”制度，逐条落实《报告表》提出的各项污染防治和风险防范措施,确保各污染物达标排放，并着重做好以下工作：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ascii="仿宋" w:hAnsi="仿宋" w:eastAsia="仿宋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加强环境管理，建立环境管理机构，配备专职环保管理人员，完善环境管理的各项规章制度，定期对各项设施进行检查和维护</w:t>
      </w:r>
      <w:r>
        <w:rPr>
          <w:rFonts w:hint="eastAsia" w:ascii="仿宋" w:hAnsi="仿宋" w:eastAsia="仿宋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（二）做好项目废水污染防治工作。按“雨污分流”的原则建设厂区排水系统，认真落实《报告表》提出的废水处理方案。生活污水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及实验室清洗废水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经化粪池处理后排至污水处理设施处理达《城镇污水处理厂污染物排放标准》（GB18918-2002）中一级A标准后进水渠最终排至新河；实验室浓液经收集后，委托有资质的单位处置；水膜除尘用水经沉淀池沉淀后循环使用，不外排</w:t>
      </w: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（三）做好项目大气污染防治工作。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食堂油烟废气经油烟净化装置处理达标后经楼顶烟道排放；锅炉废气经布袋除尘器+水膜除尘处理达《锅炉大气污染物排放标准》（GB13271-2014）表3中燃煤排放标准浓度限值后经20m排气筒排放；污水处理设施污泥定期清理，污水处理设施喷洒除臭剂等措施，确保外排放废气满足</w:t>
      </w:r>
      <w:r>
        <w:rPr>
          <w:rFonts w:hint="default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《恶臭污染物排放标准》（GB14554-93）表1二级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改扩建</w:t>
      </w:r>
      <w:r>
        <w:rPr>
          <w:rFonts w:hint="default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限值；实验室废气通过通风橱后无组织排放；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（四）做好项目噪声污染防治工作。选用低噪声设备、对各项高噪声设备采取有效的隔声降噪减振措施，确保厂界噪声达到《工业企业厂界环境噪声排放标准》（GB12348-2008）中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类标准要求。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（五）加强对固体废物的分类管理控制。</w:t>
      </w:r>
      <w:r>
        <w:rPr>
          <w:rFonts w:hint="eastAsia" w:ascii="仿宋" w:hAnsi="仿宋" w:eastAsia="仿宋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按照固体废物“无害化、资源化、减量化”的原则，做好工程固废的分类收集、暂存、安全处置和综合利用工作。</w:t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项目须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《危险废物贮存污染控制标准》(GB18597-2001)及其修改单要求设置危废暂存</w:t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区。</w:t>
      </w:r>
      <w:bookmarkStart w:id="0" w:name="_GoBack"/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活垃圾以及实验室中一般固废由校内垃圾桶收集后，再由环卫部门统一清运处理；废弃布袋经收集后，再外售给物资回收公司；污水处理设施污泥由专业清掏公司进行清掏处理；实验室危险废物、医疗废弃物等危险废物则收集后暂存于危废暂存间，委托有相关资质的单位收集处置；废油脂经收集后交由有资质的单位进行综合处理；餐厨垃圾委托餐厨垃圾收集处理单位集中收集处理。</w:t>
      </w:r>
    </w:p>
    <w:bookmarkEnd w:id="0"/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建立健全环境管理制度，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制定应急预案、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落实各项环境风险防范措施</w:t>
      </w: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:lang w:val="en-GB"/>
          <w14:textFill>
            <w14:solidFill>
              <w14:schemeClr w14:val="tx1"/>
            </w14:solidFill>
          </w14:textFill>
        </w:rPr>
        <w:t>本项目的性质、规模</w:t>
      </w:r>
      <w:r>
        <w:rPr>
          <w:rFonts w:hint="eastAsia" w:ascii="仿宋" w:hAnsi="仿宋" w:eastAsia="仿宋" w:cs="Times New Roman"/>
          <w:color w:val="000000" w:themeColor="text1"/>
          <w:spacing w:val="8"/>
          <w:szCs w:val="32"/>
          <w:lang w:val="en-GB"/>
          <w14:textFill>
            <w14:solidFill>
              <w14:schemeClr w14:val="tx1"/>
            </w14:solidFill>
          </w14:textFill>
        </w:rPr>
        <w:t>、地点或者污染防治措施等发生重大变化时，应当重新向环保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部门进行环评报批。</w:t>
      </w:r>
    </w:p>
    <w:p>
      <w:pPr>
        <w:numPr>
          <w:ilvl w:val="0"/>
          <w:numId w:val="1"/>
        </w:numPr>
        <w:spacing w:line="360" w:lineRule="auto"/>
        <w:ind w:firstLine="672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Cs w:val="32"/>
          <w:lang w:val="en-GB"/>
          <w14:textFill>
            <w14:solidFill>
              <w14:schemeClr w14:val="tx1"/>
            </w14:solidFill>
          </w14:textFill>
        </w:rPr>
        <w:t>项目批复后，</w:t>
      </w:r>
      <w:r>
        <w:rPr>
          <w:rFonts w:hint="eastAsia"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须按照《固定污染源排污许可分类管理名录》(2019年版)和《排污许可管理办法（试行）》（环保部令第48号）的要求及时办理排污许可相关手续。同时，</w:t>
      </w:r>
      <w:r>
        <w:rPr>
          <w:rFonts w:hint="eastAsia" w:ascii="仿宋" w:hAnsi="仿宋" w:eastAsia="仿宋"/>
          <w:color w:val="000000" w:themeColor="text1"/>
          <w:szCs w:val="32"/>
          <w:lang w:val="en-GB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《建设项目环境保护管理条例》</w:t>
      </w:r>
      <w:r>
        <w:rPr>
          <w:rFonts w:hint="eastAsia" w:ascii="仿宋" w:hAnsi="仿宋" w:eastAsia="仿宋"/>
          <w:color w:val="000000" w:themeColor="text1"/>
          <w:szCs w:val="32"/>
          <w:lang w:val="en-GB"/>
          <w14:textFill>
            <w14:solidFill>
              <w14:schemeClr w14:val="tx1"/>
            </w14:solidFill>
          </w14:textFill>
        </w:rPr>
        <w:t>的有关规定，及时办理项目竣工环保验收手续。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320" w:firstLine="640" w:firstLineChars="200"/>
        <w:jc w:val="right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益阳</w:t>
      </w:r>
      <w:r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生态</w:t>
      </w:r>
      <w:r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环境局</w:t>
      </w:r>
    </w:p>
    <w:p>
      <w:pPr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6033"/>
    <w:multiLevelType w:val="singleLevel"/>
    <w:tmpl w:val="0EE260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6714C"/>
    <w:rsid w:val="41996040"/>
    <w:rsid w:val="42F71C84"/>
    <w:rsid w:val="5D74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240" w:lineRule="auto"/>
      <w:ind w:firstLine="420"/>
    </w:pPr>
    <w:rPr>
      <w:sz w:val="21"/>
    </w:rPr>
  </w:style>
  <w:style w:type="paragraph" w:styleId="3">
    <w:name w:val="Body Text Indent"/>
    <w:basedOn w:val="1"/>
    <w:qFormat/>
    <w:uiPriority w:val="0"/>
    <w:pPr>
      <w:widowControl w:val="0"/>
      <w:adjustRightInd/>
      <w:snapToGrid/>
      <w:spacing w:after="0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2021-01-11T13:02:00Z</dcterms:created>
  <dc:creator>61919</dc:creator>
  <cp:lastModifiedBy>乙醇C2H5OH</cp:lastModifiedBy>
  <dcterms:modified xsi:type="dcterms:W3CDTF">2021-02-02T07:55:47Z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