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b/>
          <w:sz w:val="24"/>
        </w:rPr>
      </w:pPr>
      <w:bookmarkStart w:id="0" w:name="_GoBack"/>
      <w:bookmarkEnd w:id="0"/>
    </w:p>
    <w:p>
      <w:pPr>
        <w:keepNext w:val="0"/>
        <w:keepLines w:val="0"/>
        <w:pageBreakBefore w:val="0"/>
        <w:widowControl w:val="0"/>
        <w:tabs>
          <w:tab w:val="left" w:pos="6240"/>
        </w:tabs>
        <w:kinsoku/>
        <w:wordWrap/>
        <w:overflowPunct/>
        <w:topLinePunct w:val="0"/>
        <w:autoSpaceDE/>
        <w:autoSpaceDN/>
        <w:bidi w:val="0"/>
        <w:adjustRightInd/>
        <w:snapToGrid/>
        <w:spacing w:line="560" w:lineRule="exact"/>
        <w:jc w:val="right"/>
        <w:textAlignment w:val="auto"/>
        <w:rPr>
          <w:rFonts w:hint="eastAsia" w:ascii="仿宋_GB2312" w:eastAsia="仿宋_GB2312"/>
          <w:color w:val="auto"/>
          <w:sz w:val="32"/>
          <w:szCs w:val="32"/>
        </w:rPr>
      </w:pPr>
      <w:r>
        <w:rPr>
          <w:rFonts w:hint="eastAsia" w:ascii="仿宋_GB2312" w:eastAsia="仿宋_GB2312"/>
          <w:color w:val="000000" w:themeColor="text1"/>
          <w:sz w:val="24"/>
        </w:rPr>
        <w:t xml:space="preserve">                                        </w:t>
      </w:r>
      <w:r>
        <w:rPr>
          <w:rFonts w:hint="eastAsia" w:ascii="仿宋_GB2312" w:eastAsia="仿宋_GB2312"/>
          <w:color w:val="auto"/>
          <w:sz w:val="28"/>
          <w:szCs w:val="28"/>
        </w:rPr>
        <w:t>益环高审[2020]</w:t>
      </w:r>
      <w:r>
        <w:rPr>
          <w:rFonts w:hint="eastAsia" w:ascii="仿宋_GB2312" w:eastAsia="仿宋_GB2312"/>
          <w:color w:val="auto"/>
          <w:sz w:val="28"/>
          <w:szCs w:val="28"/>
          <w:lang w:val="en-US" w:eastAsia="zh-CN"/>
        </w:rPr>
        <w:t>58</w:t>
      </w:r>
      <w:r>
        <w:rPr>
          <w:rFonts w:hint="eastAsia" w:ascii="仿宋_GB2312" w:eastAsia="仿宋_GB2312"/>
          <w:color w:val="auto"/>
          <w:sz w:val="28"/>
          <w:szCs w:val="28"/>
        </w:rPr>
        <w:t>号</w:t>
      </w:r>
    </w:p>
    <w:p>
      <w:pPr>
        <w:keepNext w:val="0"/>
        <w:keepLines w:val="0"/>
        <w:pageBreakBefore w:val="0"/>
        <w:widowControl w:val="0"/>
        <w:tabs>
          <w:tab w:val="left" w:pos="6240"/>
        </w:tabs>
        <w:kinsoku/>
        <w:wordWrap/>
        <w:overflowPunct/>
        <w:topLinePunct w:val="0"/>
        <w:autoSpaceDE/>
        <w:autoSpaceDN/>
        <w:bidi w:val="0"/>
        <w:adjustRightInd/>
        <w:snapToGrid/>
        <w:spacing w:line="560" w:lineRule="exact"/>
        <w:jc w:val="right"/>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w w:val="92"/>
          <w:sz w:val="44"/>
          <w:szCs w:val="44"/>
          <w:lang w:val="en-US" w:eastAsia="zh-CN"/>
        </w:rPr>
      </w:pPr>
      <w:r>
        <w:rPr>
          <w:rFonts w:hint="eastAsia" w:ascii="方正小标宋简体" w:hAnsi="方正小标宋简体" w:eastAsia="方正小标宋简体" w:cs="方正小标宋简体"/>
          <w:b w:val="0"/>
          <w:bCs w:val="0"/>
          <w:w w:val="92"/>
          <w:sz w:val="44"/>
          <w:szCs w:val="44"/>
          <w:lang w:val="en-US" w:eastAsia="zh-CN"/>
        </w:rPr>
        <w:t>益阳市生态环境局</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w w:val="92"/>
          <w:sz w:val="44"/>
          <w:szCs w:val="44"/>
        </w:rPr>
      </w:pPr>
      <w:r>
        <w:rPr>
          <w:rFonts w:hint="eastAsia" w:ascii="方正小标宋简体" w:hAnsi="方正小标宋简体" w:eastAsia="方正小标宋简体" w:cs="方正小标宋简体"/>
          <w:b w:val="0"/>
          <w:bCs w:val="0"/>
          <w:w w:val="92"/>
          <w:sz w:val="44"/>
          <w:szCs w:val="44"/>
        </w:rPr>
        <w:t>关于北大新世纪附属博雅公学益阳学校建设项目环境影响报告表的批复</w:t>
      </w:r>
    </w:p>
    <w:p>
      <w:pPr>
        <w:spacing w:line="560" w:lineRule="exact"/>
        <w:rPr>
          <w:rFonts w:ascii="仿宋_GB2312" w:hAnsi="黑体" w:eastAsia="仿宋_GB2312"/>
          <w:color w:val="000000"/>
          <w:sz w:val="36"/>
          <w:szCs w:val="36"/>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pacing w:val="0"/>
          <w:szCs w:val="32"/>
        </w:rPr>
      </w:pPr>
      <w:r>
        <w:rPr>
          <w:rFonts w:hint="eastAsia" w:ascii="仿宋_GB2312" w:eastAsia="仿宋_GB2312"/>
          <w:bCs/>
          <w:spacing w:val="0"/>
          <w:szCs w:val="32"/>
        </w:rPr>
        <w:t>益阳市师园方舟教育科技发展有限公司</w:t>
      </w:r>
      <w:r>
        <w:rPr>
          <w:rFonts w:hint="eastAsia" w:ascii="仿宋_GB2312" w:eastAsia="仿宋_GB2312"/>
          <w:spacing w:val="0"/>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Cs/>
          <w:spacing w:val="0"/>
          <w:szCs w:val="32"/>
        </w:rPr>
      </w:pPr>
      <w:r>
        <w:rPr>
          <w:rFonts w:hint="eastAsia" w:ascii="仿宋_GB2312" w:eastAsia="仿宋_GB2312"/>
          <w:color w:val="000000"/>
          <w:spacing w:val="0"/>
          <w:szCs w:val="32"/>
        </w:rPr>
        <w:t>你</w:t>
      </w:r>
      <w:r>
        <w:rPr>
          <w:rFonts w:hint="eastAsia" w:ascii="仿宋_GB2312" w:eastAsia="仿宋_GB2312"/>
          <w:bCs/>
          <w:spacing w:val="0"/>
          <w:szCs w:val="32"/>
          <w:lang w:eastAsia="zh-CN"/>
        </w:rPr>
        <w:t>公司</w:t>
      </w:r>
      <w:r>
        <w:rPr>
          <w:rFonts w:hint="eastAsia" w:ascii="仿宋_GB2312" w:eastAsia="仿宋_GB2312"/>
          <w:bCs/>
          <w:spacing w:val="0"/>
          <w:szCs w:val="32"/>
        </w:rPr>
        <w:t>呈报的《北大新世纪附属博雅公学益阳学校建设项目环境影响报告表》</w:t>
      </w:r>
      <w:r>
        <w:rPr>
          <w:rFonts w:hint="eastAsia" w:ascii="仿宋_GB2312" w:hAnsi="仿宋_GB2312" w:eastAsia="仿宋_GB2312" w:cs="仿宋_GB2312"/>
          <w:color w:val="000000"/>
          <w:spacing w:val="0"/>
          <w:sz w:val="32"/>
          <w:szCs w:val="32"/>
          <w:lang w:val="en-US" w:eastAsia="zh-CN"/>
        </w:rPr>
        <w:t>及相关附件收悉</w:t>
      </w:r>
      <w:r>
        <w:rPr>
          <w:rFonts w:hint="eastAsia" w:ascii="仿宋_GB2312" w:hAnsi="仿宋_GB2312" w:eastAsia="仿宋_GB2312" w:cs="仿宋_GB2312"/>
          <w:color w:val="000000"/>
          <w:spacing w:val="0"/>
          <w:sz w:val="32"/>
          <w:szCs w:val="32"/>
        </w:rPr>
        <w:t>。经</w:t>
      </w:r>
      <w:r>
        <w:rPr>
          <w:rFonts w:hint="eastAsia" w:ascii="仿宋_GB2312" w:hAnsi="仿宋_GB2312" w:eastAsia="仿宋_GB2312" w:cs="仿宋_GB2312"/>
          <w:color w:val="000000"/>
          <w:spacing w:val="0"/>
          <w:sz w:val="32"/>
          <w:szCs w:val="32"/>
          <w:lang w:eastAsia="zh-CN"/>
        </w:rPr>
        <w:t>研究</w:t>
      </w:r>
      <w:r>
        <w:rPr>
          <w:rFonts w:hint="eastAsia" w:ascii="仿宋_GB2312" w:hAnsi="仿宋_GB2312" w:eastAsia="仿宋_GB2312" w:cs="仿宋_GB2312"/>
          <w:color w:val="000000"/>
          <w:spacing w:val="0"/>
          <w:sz w:val="32"/>
          <w:szCs w:val="32"/>
        </w:rPr>
        <w:t>，批复如下：</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pacing w:val="0"/>
          <w:szCs w:val="32"/>
        </w:rPr>
      </w:pPr>
      <w:r>
        <w:rPr>
          <w:rFonts w:hint="eastAsia" w:ascii="仿宋_GB2312" w:eastAsia="仿宋_GB2312"/>
          <w:bCs/>
          <w:spacing w:val="0"/>
          <w:szCs w:val="32"/>
          <w:lang w:eastAsia="zh-CN"/>
        </w:rPr>
        <w:t>你</w:t>
      </w:r>
      <w:r>
        <w:rPr>
          <w:rFonts w:hint="eastAsia" w:ascii="仿宋_GB2312" w:eastAsia="仿宋_GB2312"/>
          <w:bCs/>
          <w:spacing w:val="0"/>
          <w:szCs w:val="32"/>
        </w:rPr>
        <w:t>公司</w:t>
      </w:r>
      <w:r>
        <w:rPr>
          <w:rFonts w:hint="eastAsia" w:ascii="仿宋_GB2312" w:eastAsia="仿宋_GB2312"/>
          <w:bCs/>
          <w:color w:val="000000"/>
          <w:spacing w:val="0"/>
          <w:szCs w:val="32"/>
        </w:rPr>
        <w:t>拟</w:t>
      </w:r>
      <w:r>
        <w:rPr>
          <w:rFonts w:hint="eastAsia" w:ascii="仿宋_GB2312" w:eastAsia="仿宋_GB2312"/>
          <w:color w:val="000000"/>
          <w:spacing w:val="0"/>
          <w:szCs w:val="32"/>
        </w:rPr>
        <w:t>投</w:t>
      </w:r>
      <w:r>
        <w:rPr>
          <w:rFonts w:hint="eastAsia" w:ascii="仿宋_GB2312" w:hAnsi="仿宋_GB2312" w:eastAsia="仿宋_GB2312" w:cs="仿宋_GB2312"/>
          <w:color w:val="000000"/>
          <w:spacing w:val="0"/>
          <w:szCs w:val="32"/>
        </w:rPr>
        <w:t>资</w:t>
      </w:r>
      <w:r>
        <w:rPr>
          <w:rFonts w:hint="eastAsia" w:ascii="仿宋_GB2312" w:hAnsi="仿宋_GB2312" w:eastAsia="仿宋_GB2312" w:cs="仿宋_GB2312"/>
          <w:color w:val="000000"/>
          <w:spacing w:val="0"/>
          <w:szCs w:val="32"/>
          <w:lang w:val="en-US" w:eastAsia="zh-CN"/>
        </w:rPr>
        <w:t>76000</w:t>
      </w:r>
      <w:r>
        <w:rPr>
          <w:rFonts w:hint="eastAsia" w:ascii="仿宋_GB2312" w:hAnsi="仿宋_GB2312" w:eastAsia="仿宋_GB2312" w:cs="仿宋_GB2312"/>
          <w:color w:val="000000"/>
          <w:spacing w:val="0"/>
          <w:szCs w:val="32"/>
        </w:rPr>
        <w:t>万元</w:t>
      </w:r>
      <w:r>
        <w:rPr>
          <w:rFonts w:hint="eastAsia" w:ascii="仿宋_GB2312" w:hAnsi="仿宋_GB2312" w:eastAsia="仿宋_GB2312" w:cs="仿宋_GB2312"/>
          <w:color w:val="000000"/>
          <w:spacing w:val="0"/>
          <w:szCs w:val="32"/>
          <w:lang w:eastAsia="zh-CN"/>
        </w:rPr>
        <w:t>在益阳高新区东部产业园鱼形山路以北、兰岭路以南</w:t>
      </w:r>
      <w:r>
        <w:rPr>
          <w:rFonts w:hint="eastAsia" w:ascii="仿宋_GB2312" w:eastAsia="仿宋_GB2312"/>
          <w:color w:val="000000"/>
          <w:spacing w:val="0"/>
          <w:szCs w:val="32"/>
          <w:lang w:eastAsia="zh-CN"/>
        </w:rPr>
        <w:t>建设</w:t>
      </w:r>
      <w:r>
        <w:rPr>
          <w:rFonts w:hint="eastAsia" w:ascii="仿宋_GB2312" w:eastAsia="仿宋_GB2312"/>
          <w:bCs/>
          <w:spacing w:val="0"/>
          <w:szCs w:val="32"/>
        </w:rPr>
        <w:t>北大新世纪附属博雅公学益阳学校建设项目</w:t>
      </w:r>
      <w:r>
        <w:rPr>
          <w:rFonts w:hint="eastAsia" w:ascii="仿宋_GB2312" w:eastAsia="仿宋_GB2312"/>
          <w:bCs/>
          <w:spacing w:val="0"/>
          <w:szCs w:val="32"/>
          <w:lang w:eastAsia="zh-CN"/>
        </w:rPr>
        <w:t>。项目总征地面积为160667.21平方米，其中，一期工程用地面积为91137.84平方米，建筑面积为76682.46平方米，主要建设内容包括教学楼、综合楼、食堂、体艺馆、宿舍楼、教师周转房、风雨连廊、门卫室</w:t>
      </w:r>
      <w:r>
        <w:rPr>
          <w:rFonts w:hint="eastAsia" w:ascii="仿宋_GB2312" w:hAnsi="仿宋_GB2312" w:eastAsia="仿宋_GB2312" w:cs="仿宋_GB2312"/>
          <w:color w:val="000000"/>
          <w:spacing w:val="0"/>
          <w:sz w:val="32"/>
          <w:szCs w:val="32"/>
          <w:lang w:eastAsia="zh-CN"/>
        </w:rPr>
        <w:t>及</w:t>
      </w:r>
      <w:r>
        <w:rPr>
          <w:rFonts w:hint="eastAsia" w:ascii="仿宋_GB2312" w:hAnsi="仿宋_GB2312" w:eastAsia="仿宋_GB2312" w:cs="仿宋_GB2312"/>
          <w:color w:val="000000"/>
          <w:spacing w:val="0"/>
          <w:sz w:val="32"/>
          <w:szCs w:val="32"/>
          <w:lang w:val="en-US" w:eastAsia="zh-CN"/>
        </w:rPr>
        <w:t>给排水、供配电、环保等相关公用辅助工程。项目建设符合国家产业政策，选址符合益阳高新区</w:t>
      </w:r>
      <w:r>
        <w:rPr>
          <w:rFonts w:hint="eastAsia" w:ascii="仿宋_GB2312" w:hAnsi="仿宋_GB2312" w:eastAsia="仿宋_GB2312" w:cs="仿宋_GB2312"/>
          <w:color w:val="000000"/>
          <w:spacing w:val="0"/>
          <w:szCs w:val="32"/>
          <w:lang w:eastAsia="zh-CN"/>
        </w:rPr>
        <w:t>东部产业园</w:t>
      </w:r>
      <w:r>
        <w:rPr>
          <w:rFonts w:hint="eastAsia" w:ascii="仿宋_GB2312" w:hAnsi="仿宋_GB2312" w:eastAsia="仿宋_GB2312" w:cs="仿宋_GB2312"/>
          <w:color w:val="000000"/>
          <w:spacing w:val="0"/>
          <w:sz w:val="32"/>
          <w:szCs w:val="32"/>
          <w:lang w:val="en-US" w:eastAsia="zh-CN"/>
        </w:rPr>
        <w:t>用地规划要求。根据湖南润美环保科技有限公司编制的环评报告表的分析结论，在建设单位认真落实报告表提出的各项污染防治措施、确保外排污染物稳定达标的前提下，从环保的角度分析，我局同意项目按报告表所列的建设方案、规模、工艺、环保措施等在拟选地址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pacing w:val="0"/>
          <w:szCs w:val="32"/>
          <w:lang w:eastAsia="zh-CN"/>
        </w:rPr>
      </w:pPr>
      <w:r>
        <w:rPr>
          <w:rFonts w:hint="eastAsia" w:ascii="仿宋_GB2312" w:eastAsia="仿宋_GB2312"/>
          <w:color w:val="000000"/>
          <w:spacing w:val="0"/>
          <w:szCs w:val="32"/>
        </w:rPr>
        <w:t>二、</w:t>
      </w:r>
      <w:r>
        <w:rPr>
          <w:rFonts w:hint="eastAsia" w:ascii="仿宋_GB2312" w:hAnsi="仿宋_GB2312" w:eastAsia="仿宋_GB2312" w:cs="仿宋_GB2312"/>
          <w:color w:val="000000"/>
          <w:spacing w:val="0"/>
          <w:sz w:val="32"/>
          <w:szCs w:val="32"/>
        </w:rPr>
        <w:t>建设单位在项目设计、建设和营运期间，必须严格执行环保“三同时”制度，按照环评报告表要求落实各项污染防治措施，并着重做好如下工作</w:t>
      </w:r>
      <w:r>
        <w:rPr>
          <w:rFonts w:hint="eastAsia" w:ascii="仿宋_GB2312" w:eastAsia="仿宋_GB2312"/>
          <w:color w:val="000000"/>
          <w:spacing w:val="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pacing w:val="0"/>
          <w:szCs w:val="32"/>
        </w:rPr>
      </w:pPr>
      <w:r>
        <w:rPr>
          <w:rFonts w:hint="eastAsia" w:ascii="仿宋_GB2312" w:eastAsia="仿宋_GB2312"/>
          <w:color w:val="000000"/>
          <w:spacing w:val="0"/>
          <w:szCs w:val="32"/>
          <w:lang w:eastAsia="zh-CN"/>
        </w:rPr>
        <w:t>（一）</w:t>
      </w:r>
      <w:r>
        <w:rPr>
          <w:rFonts w:hint="eastAsia" w:ascii="仿宋_GB2312" w:eastAsia="仿宋_GB2312"/>
          <w:color w:val="000000"/>
          <w:spacing w:val="0"/>
          <w:szCs w:val="32"/>
        </w:rPr>
        <w:t>做好项目大气污染防治工作。施工期施工现场架设围墙封闭施工，采取洒水降尘措施，出入口设置车辆冲洗平台，硬化地面，弃土和物料临时堆场采用毡布覆盖，弃土、建渣及时清运，运载车辆实行封闭运输，禁止在大风天气进行渣土作业，严格落实“六</w:t>
      </w:r>
      <w:r>
        <w:rPr>
          <w:rFonts w:hint="eastAsia" w:ascii="仿宋_GB2312" w:eastAsia="仿宋_GB2312"/>
          <w:color w:val="000000"/>
          <w:spacing w:val="0"/>
          <w:szCs w:val="32"/>
          <w:lang w:eastAsia="zh-CN"/>
        </w:rPr>
        <w:t>个百分百</w:t>
      </w:r>
      <w:r>
        <w:rPr>
          <w:rFonts w:hint="eastAsia" w:ascii="仿宋_GB2312" w:eastAsia="仿宋_GB2312"/>
          <w:color w:val="000000"/>
          <w:spacing w:val="0"/>
          <w:szCs w:val="32"/>
        </w:rPr>
        <w:t>”规定，做好扬尘防护工作。营运期实验室废气应采用排风罩和通风柜（厨），通过集气管道高空排放，必要时采取过滤、吸附等措施，确保外排污染物</w:t>
      </w:r>
      <w:r>
        <w:rPr>
          <w:rFonts w:hint="eastAsia" w:ascii="仿宋_GB2312" w:eastAsia="仿宋_GB2312"/>
          <w:color w:val="000000"/>
          <w:spacing w:val="0"/>
          <w:szCs w:val="32"/>
          <w:lang w:eastAsia="zh-CN"/>
        </w:rPr>
        <w:t>满足</w:t>
      </w:r>
      <w:r>
        <w:rPr>
          <w:rFonts w:hint="eastAsia" w:ascii="仿宋_GB2312" w:eastAsia="仿宋_GB2312"/>
          <w:color w:val="000000"/>
          <w:spacing w:val="0"/>
          <w:szCs w:val="32"/>
        </w:rPr>
        <w:t>《大气污染物综合排放标准》(GB16297-1996)表2中二级标准及无组织排放监控浓度限值要求；食堂油烟经油烟机处理后达到《饮食业油烟排放标准</w:t>
      </w:r>
      <w:r>
        <w:rPr>
          <w:rFonts w:hint="eastAsia" w:ascii="仿宋_GB2312" w:hAnsi="仿宋_GB2312" w:eastAsia="仿宋_GB2312" w:cs="仿宋_GB2312"/>
          <w:color w:val="auto"/>
          <w:spacing w:val="0"/>
          <w:szCs w:val="32"/>
        </w:rPr>
        <w:t>（试行）</w:t>
      </w:r>
      <w:r>
        <w:rPr>
          <w:rFonts w:hint="eastAsia" w:ascii="仿宋_GB2312" w:eastAsia="仿宋_GB2312"/>
          <w:color w:val="000000"/>
          <w:spacing w:val="0"/>
          <w:szCs w:val="32"/>
        </w:rPr>
        <w:t>》（GB18483-2001）中的限值标准要求后，通过专用烟道引至楼顶高空排放，烟道设置须满足《饮食业环境保护技术规范》（HJ554-2010）相关要求；备用柴油发电机燃烧尾气经自带油烟净化器处理后由机械排风系统引至</w:t>
      </w:r>
      <w:r>
        <w:rPr>
          <w:rFonts w:hint="eastAsia" w:ascii="仿宋_GB2312" w:eastAsia="仿宋_GB2312"/>
          <w:color w:val="auto"/>
          <w:spacing w:val="0"/>
          <w:szCs w:val="32"/>
          <w:lang w:eastAsia="zh-CN"/>
        </w:rPr>
        <w:t>所在构筑物</w:t>
      </w:r>
      <w:r>
        <w:rPr>
          <w:rFonts w:hint="eastAsia" w:ascii="仿宋_GB2312" w:eastAsia="仿宋_GB2312"/>
          <w:color w:val="auto"/>
          <w:spacing w:val="0"/>
          <w:szCs w:val="32"/>
        </w:rPr>
        <w:t>楼顶高空排放。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pacing w:val="0"/>
          <w:szCs w:val="32"/>
        </w:rPr>
      </w:pPr>
      <w:r>
        <w:rPr>
          <w:rFonts w:hint="eastAsia" w:ascii="仿宋_GB2312" w:eastAsia="仿宋_GB2312"/>
          <w:color w:val="000000"/>
          <w:spacing w:val="0"/>
          <w:szCs w:val="32"/>
          <w:lang w:eastAsia="zh-CN"/>
        </w:rPr>
        <w:t>（二）</w:t>
      </w:r>
      <w:r>
        <w:rPr>
          <w:rFonts w:hint="eastAsia" w:ascii="仿宋_GB2312" w:eastAsia="仿宋_GB2312"/>
          <w:color w:val="000000"/>
          <w:spacing w:val="0"/>
          <w:szCs w:val="32"/>
        </w:rPr>
        <w:t>做好项目水污染防治工作。施工期</w:t>
      </w:r>
      <w:r>
        <w:rPr>
          <w:rFonts w:hint="eastAsia" w:ascii="仿宋_GB2312" w:eastAsia="仿宋_GB2312"/>
          <w:color w:val="auto"/>
          <w:spacing w:val="0"/>
          <w:szCs w:val="32"/>
        </w:rPr>
        <w:t>施工废水经场地内临时废水隔油池和沉淀池处理后回用，不外排；车辆冲洗废水经场地</w:t>
      </w:r>
      <w:r>
        <w:rPr>
          <w:rFonts w:hint="eastAsia" w:ascii="仿宋_GB2312" w:eastAsia="仿宋_GB2312"/>
          <w:color w:val="auto"/>
          <w:spacing w:val="0"/>
          <w:szCs w:val="32"/>
          <w:lang w:eastAsia="zh-CN"/>
        </w:rPr>
        <w:t>内</w:t>
      </w:r>
      <w:r>
        <w:rPr>
          <w:rFonts w:hint="eastAsia" w:ascii="仿宋_GB2312" w:eastAsia="仿宋_GB2312"/>
          <w:color w:val="auto"/>
          <w:spacing w:val="0"/>
          <w:szCs w:val="32"/>
        </w:rPr>
        <w:t>临时沉淀池处理后回用，不外排；施工人员</w:t>
      </w:r>
      <w:r>
        <w:rPr>
          <w:rFonts w:hint="eastAsia" w:ascii="仿宋_GB2312" w:eastAsia="仿宋_GB2312"/>
          <w:color w:val="auto"/>
          <w:spacing w:val="0"/>
          <w:szCs w:val="32"/>
          <w:lang w:eastAsia="zh-CN"/>
        </w:rPr>
        <w:t>生活</w:t>
      </w:r>
      <w:r>
        <w:rPr>
          <w:rFonts w:hint="eastAsia" w:ascii="仿宋_GB2312" w:eastAsia="仿宋_GB2312"/>
          <w:color w:val="auto"/>
          <w:spacing w:val="0"/>
          <w:szCs w:val="32"/>
        </w:rPr>
        <w:t>污水通过</w:t>
      </w:r>
      <w:r>
        <w:rPr>
          <w:rFonts w:hint="eastAsia" w:ascii="仿宋_GB2312" w:eastAsia="仿宋_GB2312"/>
          <w:color w:val="auto"/>
          <w:spacing w:val="0"/>
          <w:szCs w:val="32"/>
          <w:lang w:eastAsia="zh-CN"/>
        </w:rPr>
        <w:t>设置临时化粪池处理达到</w:t>
      </w:r>
      <w:r>
        <w:rPr>
          <w:rFonts w:hint="eastAsia" w:ascii="仿宋_GB2312" w:eastAsia="仿宋_GB2312"/>
          <w:color w:val="auto"/>
          <w:spacing w:val="0"/>
          <w:szCs w:val="32"/>
        </w:rPr>
        <w:t>《污水综合排放标准》（GB8978-1996）</w:t>
      </w:r>
      <w:r>
        <w:rPr>
          <w:rFonts w:hint="eastAsia" w:ascii="仿宋_GB2312" w:eastAsia="仿宋_GB2312"/>
          <w:color w:val="auto"/>
          <w:spacing w:val="0"/>
          <w:szCs w:val="32"/>
          <w:lang w:eastAsia="zh-CN"/>
        </w:rPr>
        <w:t>三</w:t>
      </w:r>
      <w:r>
        <w:rPr>
          <w:rFonts w:hint="eastAsia" w:ascii="仿宋_GB2312" w:eastAsia="仿宋_GB2312"/>
          <w:color w:val="auto"/>
          <w:spacing w:val="0"/>
          <w:szCs w:val="32"/>
        </w:rPr>
        <w:t>级标准后排放。</w:t>
      </w:r>
      <w:r>
        <w:rPr>
          <w:rFonts w:hint="eastAsia" w:ascii="仿宋_GB2312" w:eastAsia="仿宋_GB2312"/>
          <w:color w:val="auto"/>
          <w:spacing w:val="0"/>
          <w:szCs w:val="32"/>
          <w:highlight w:val="none"/>
        </w:rPr>
        <w:t>营运期</w:t>
      </w:r>
      <w:r>
        <w:rPr>
          <w:rFonts w:hint="eastAsia" w:ascii="仿宋_GB2312" w:eastAsia="仿宋_GB2312"/>
          <w:color w:val="auto"/>
          <w:spacing w:val="0"/>
          <w:szCs w:val="32"/>
          <w:highlight w:val="none"/>
          <w:lang w:eastAsia="zh-CN"/>
        </w:rPr>
        <w:t>实验</w:t>
      </w:r>
      <w:r>
        <w:rPr>
          <w:rFonts w:hint="eastAsia" w:ascii="仿宋_GB2312" w:eastAsia="仿宋_GB2312"/>
          <w:color w:val="auto"/>
          <w:spacing w:val="0"/>
          <w:szCs w:val="32"/>
          <w:highlight w:val="none"/>
        </w:rPr>
        <w:t>废水（不含有毒有害、重金属等的废液）经中和沉淀池预处理</w:t>
      </w:r>
      <w:r>
        <w:rPr>
          <w:rFonts w:hint="eastAsia" w:ascii="仿宋_GB2312" w:eastAsia="仿宋_GB2312"/>
          <w:color w:val="auto"/>
          <w:spacing w:val="0"/>
          <w:szCs w:val="32"/>
          <w:highlight w:val="none"/>
          <w:lang w:eastAsia="zh-CN"/>
        </w:rPr>
        <w:t>、</w:t>
      </w:r>
      <w:r>
        <w:rPr>
          <w:rFonts w:hint="eastAsia" w:ascii="仿宋_GB2312" w:eastAsia="仿宋_GB2312"/>
          <w:color w:val="auto"/>
          <w:spacing w:val="0"/>
          <w:szCs w:val="32"/>
          <w:highlight w:val="none"/>
        </w:rPr>
        <w:t>食堂餐饮废</w:t>
      </w:r>
      <w:r>
        <w:rPr>
          <w:rFonts w:hint="eastAsia" w:ascii="仿宋_GB2312" w:eastAsia="仿宋_GB2312"/>
          <w:color w:val="000000"/>
          <w:spacing w:val="0"/>
          <w:szCs w:val="32"/>
          <w:highlight w:val="none"/>
        </w:rPr>
        <w:t>水经隔油池</w:t>
      </w:r>
      <w:r>
        <w:rPr>
          <w:rFonts w:hint="eastAsia" w:ascii="仿宋_GB2312" w:eastAsia="仿宋_GB2312"/>
          <w:color w:val="000000"/>
          <w:spacing w:val="0"/>
          <w:szCs w:val="32"/>
          <w:highlight w:val="none"/>
          <w:lang w:eastAsia="zh-CN"/>
        </w:rPr>
        <w:t>预</w:t>
      </w:r>
      <w:r>
        <w:rPr>
          <w:rFonts w:hint="eastAsia" w:ascii="仿宋_GB2312" w:eastAsia="仿宋_GB2312"/>
          <w:color w:val="000000"/>
          <w:spacing w:val="0"/>
          <w:szCs w:val="32"/>
          <w:highlight w:val="none"/>
        </w:rPr>
        <w:t>处理、医务室洗手废水经消毒</w:t>
      </w:r>
      <w:r>
        <w:rPr>
          <w:rFonts w:hint="eastAsia" w:ascii="仿宋_GB2312" w:eastAsia="仿宋_GB2312"/>
          <w:color w:val="000000"/>
          <w:spacing w:val="0"/>
          <w:szCs w:val="32"/>
          <w:highlight w:val="none"/>
          <w:lang w:eastAsia="zh-CN"/>
        </w:rPr>
        <w:t>池预处理后</w:t>
      </w:r>
      <w:r>
        <w:rPr>
          <w:rFonts w:hint="eastAsia" w:ascii="仿宋_GB2312" w:eastAsia="仿宋_GB2312"/>
          <w:color w:val="000000"/>
          <w:spacing w:val="0"/>
          <w:szCs w:val="32"/>
          <w:highlight w:val="none"/>
        </w:rPr>
        <w:t>与生活污水</w:t>
      </w:r>
      <w:r>
        <w:rPr>
          <w:rFonts w:hint="eastAsia" w:ascii="仿宋_GB2312" w:eastAsia="仿宋_GB2312"/>
          <w:color w:val="000000"/>
          <w:spacing w:val="0"/>
          <w:szCs w:val="32"/>
          <w:highlight w:val="none"/>
          <w:lang w:eastAsia="zh-CN"/>
        </w:rPr>
        <w:t>一同</w:t>
      </w:r>
      <w:r>
        <w:rPr>
          <w:rFonts w:hint="eastAsia" w:ascii="仿宋_GB2312" w:eastAsia="仿宋_GB2312"/>
          <w:color w:val="000000"/>
          <w:spacing w:val="0"/>
          <w:szCs w:val="32"/>
          <w:highlight w:val="none"/>
        </w:rPr>
        <w:t>进入</w:t>
      </w:r>
      <w:r>
        <w:rPr>
          <w:rFonts w:hint="eastAsia" w:ascii="仿宋_GB2312" w:eastAsia="仿宋_GB2312"/>
          <w:color w:val="000000"/>
          <w:spacing w:val="0"/>
          <w:szCs w:val="32"/>
          <w:highlight w:val="none"/>
          <w:lang w:eastAsia="zh-CN"/>
        </w:rPr>
        <w:t>化粪池</w:t>
      </w:r>
      <w:r>
        <w:rPr>
          <w:rFonts w:hint="eastAsia" w:ascii="仿宋_GB2312" w:hAnsi="仿宋_GB2312" w:eastAsia="仿宋_GB2312" w:cs="仿宋_GB2312"/>
          <w:color w:val="auto"/>
          <w:spacing w:val="0"/>
          <w:szCs w:val="32"/>
          <w:highlight w:val="none"/>
          <w:lang w:eastAsia="zh-CN"/>
        </w:rPr>
        <w:t>进一步处理</w:t>
      </w:r>
      <w:r>
        <w:rPr>
          <w:rFonts w:hint="eastAsia" w:ascii="仿宋_GB2312" w:eastAsia="仿宋_GB2312"/>
          <w:color w:val="000000"/>
          <w:spacing w:val="0"/>
          <w:szCs w:val="32"/>
          <w:highlight w:val="none"/>
        </w:rPr>
        <w:t>，确保外排污染物满足《污水综合排放标准》（GB8978-1996）三级标准</w:t>
      </w:r>
      <w:r>
        <w:rPr>
          <w:rFonts w:hint="eastAsia" w:ascii="仿宋_GB2312" w:eastAsia="仿宋_GB2312"/>
          <w:color w:val="000000"/>
          <w:spacing w:val="0"/>
          <w:szCs w:val="32"/>
          <w:highlight w:val="none"/>
          <w:lang w:eastAsia="zh-CN"/>
        </w:rPr>
        <w:t>后经园区</w:t>
      </w:r>
      <w:r>
        <w:rPr>
          <w:rFonts w:hint="eastAsia" w:ascii="仿宋_GB2312" w:eastAsia="仿宋_GB2312"/>
          <w:color w:val="000000"/>
          <w:spacing w:val="0"/>
          <w:szCs w:val="32"/>
          <w:highlight w:val="none"/>
        </w:rPr>
        <w:t>市政污水管网</w:t>
      </w:r>
      <w:r>
        <w:rPr>
          <w:rFonts w:hint="eastAsia" w:ascii="仿宋_GB2312" w:eastAsia="仿宋_GB2312"/>
          <w:color w:val="000000"/>
          <w:spacing w:val="0"/>
          <w:szCs w:val="32"/>
          <w:highlight w:val="none"/>
          <w:lang w:eastAsia="zh-CN"/>
        </w:rPr>
        <w:t>排入</w:t>
      </w:r>
      <w:r>
        <w:rPr>
          <w:rFonts w:hint="eastAsia" w:ascii="仿宋_GB2312" w:eastAsia="仿宋_GB2312"/>
          <w:color w:val="000000"/>
          <w:spacing w:val="0"/>
          <w:szCs w:val="32"/>
          <w:highlight w:val="none"/>
        </w:rPr>
        <w:t>上实环境（益阳东部新区）污水处理有限公司</w:t>
      </w:r>
      <w:r>
        <w:rPr>
          <w:rFonts w:hint="eastAsia" w:ascii="仿宋_GB2312" w:eastAsia="仿宋_GB2312"/>
          <w:color w:val="000000"/>
          <w:spacing w:val="0"/>
          <w:szCs w:val="32"/>
          <w:highlight w:val="none"/>
          <w:lang w:eastAsia="zh-CN"/>
        </w:rPr>
        <w:t>进行深度处理。</w:t>
      </w:r>
      <w:r>
        <w:rPr>
          <w:rFonts w:hint="eastAsia" w:ascii="仿宋_GB2312" w:eastAsia="仿宋_GB2312"/>
          <w:color w:val="000000"/>
          <w:spacing w:val="0"/>
          <w:szCs w:val="32"/>
        </w:rPr>
        <w:t>严格按照报告表提出的防渗分区和防渗等级对校区进行防渗处理，防止地下水污染。</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olor w:val="000000"/>
          <w:spacing w:val="0"/>
          <w:szCs w:val="32"/>
        </w:rPr>
      </w:pPr>
      <w:r>
        <w:rPr>
          <w:rFonts w:hint="eastAsia" w:ascii="仿宋_GB2312" w:eastAsia="仿宋_GB2312"/>
          <w:color w:val="000000"/>
          <w:spacing w:val="0"/>
          <w:szCs w:val="32"/>
          <w:lang w:eastAsia="zh-CN"/>
        </w:rPr>
        <w:t>（三）</w:t>
      </w:r>
      <w:r>
        <w:rPr>
          <w:rFonts w:hint="eastAsia" w:ascii="仿宋_GB2312" w:eastAsia="仿宋_GB2312"/>
          <w:color w:val="000000"/>
          <w:spacing w:val="0"/>
          <w:szCs w:val="32"/>
        </w:rPr>
        <w:t>做好项目噪声污染防治工作。施工期合理安排施工平面和作业时间，采用低噪</w:t>
      </w:r>
      <w:r>
        <w:rPr>
          <w:rFonts w:hint="eastAsia" w:ascii="仿宋_GB2312" w:eastAsia="仿宋_GB2312"/>
          <w:color w:val="000000"/>
          <w:spacing w:val="0"/>
          <w:szCs w:val="32"/>
          <w:lang w:eastAsia="zh-CN"/>
        </w:rPr>
        <w:t>声</w:t>
      </w:r>
      <w:r>
        <w:rPr>
          <w:rFonts w:hint="eastAsia" w:ascii="仿宋_GB2312" w:eastAsia="仿宋_GB2312"/>
          <w:color w:val="000000"/>
          <w:spacing w:val="0"/>
          <w:szCs w:val="32"/>
        </w:rPr>
        <w:t>机械施工，加强维护保养，加强运输车辆管理，禁止夜间进行高噪声作业，确保施工期噪声排放达到《建筑施工场界环境噪声排放标准》(GBl2523－2011)限值标准。营运期加强管理，减少人员活动噪声，水泵、备用柴油发电机等设备布置于设备间内，设置减震基础，采用柔性接头，机房采用隔声墙体，确保营运期噪声排放达到《工业企业厂界环境噪声排放标准》(GB12348-2008)</w:t>
      </w:r>
      <w:r>
        <w:rPr>
          <w:rFonts w:hint="eastAsia" w:ascii="仿宋_GB2312" w:hAnsi="仿宋_GB2312" w:eastAsia="仿宋_GB2312" w:cs="仿宋_GB2312"/>
          <w:color w:val="auto"/>
          <w:spacing w:val="0"/>
          <w:szCs w:val="32"/>
        </w:rPr>
        <w:t>中</w:t>
      </w:r>
      <w:r>
        <w:rPr>
          <w:rFonts w:hint="eastAsia" w:ascii="仿宋_GB2312" w:hAnsi="仿宋_GB2312" w:eastAsia="仿宋_GB2312" w:cs="仿宋_GB2312"/>
          <w:color w:val="auto"/>
          <w:spacing w:val="0"/>
          <w:szCs w:val="32"/>
          <w:lang w:val="en-US" w:eastAsia="zh-CN"/>
        </w:rPr>
        <w:t>2</w:t>
      </w:r>
      <w:r>
        <w:rPr>
          <w:rFonts w:hint="eastAsia" w:ascii="仿宋_GB2312" w:hAnsi="仿宋_GB2312" w:eastAsia="仿宋_GB2312" w:cs="仿宋_GB2312"/>
          <w:color w:val="auto"/>
          <w:spacing w:val="0"/>
          <w:szCs w:val="32"/>
        </w:rPr>
        <w:t>类区标准要求</w:t>
      </w:r>
      <w:r>
        <w:rPr>
          <w:rFonts w:hint="eastAsia" w:ascii="仿宋_GB2312" w:eastAsia="仿宋_GB2312"/>
          <w:color w:val="000000"/>
          <w:spacing w:val="0"/>
          <w:szCs w:val="32"/>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pacing w:val="0"/>
          <w:szCs w:val="32"/>
        </w:rPr>
      </w:pPr>
      <w:r>
        <w:rPr>
          <w:rFonts w:hint="eastAsia" w:ascii="仿宋_GB2312" w:hAnsi="仿宋_GB2312" w:eastAsia="仿宋_GB2312" w:cs="仿宋_GB2312"/>
          <w:color w:val="000000"/>
          <w:spacing w:val="0"/>
          <w:sz w:val="32"/>
          <w:szCs w:val="32"/>
          <w:lang w:eastAsia="zh-CN"/>
        </w:rPr>
        <w:t>（四）</w:t>
      </w:r>
      <w:r>
        <w:rPr>
          <w:rFonts w:hint="eastAsia" w:ascii="仿宋_GB2312" w:hAnsi="仿宋_GB2312" w:eastAsia="仿宋_GB2312" w:cs="仿宋_GB2312"/>
          <w:color w:val="000000"/>
          <w:spacing w:val="0"/>
          <w:sz w:val="32"/>
          <w:szCs w:val="32"/>
        </w:rPr>
        <w:t>加强对固体废物的分类管理控制。施工期挖方全部用于回填，废包装材料、建筑垃圾分类回收后出售给废品收购站处理，不能回收的部分集中堆放，做好防雨、防风措施，定期外运到指定的建筑垃圾堆放场</w:t>
      </w:r>
      <w:r>
        <w:rPr>
          <w:rFonts w:hint="eastAsia" w:ascii="仿宋_GB2312" w:hAnsi="仿宋_GB2312" w:eastAsia="仿宋_GB2312" w:cs="仿宋_GB2312"/>
          <w:color w:val="auto"/>
          <w:spacing w:val="0"/>
          <w:sz w:val="32"/>
          <w:szCs w:val="32"/>
        </w:rPr>
        <w:t>处置；生活垃圾袋装收集</w:t>
      </w:r>
      <w:r>
        <w:rPr>
          <w:rFonts w:hint="eastAsia" w:ascii="仿宋_GB2312" w:hAnsi="仿宋_GB2312" w:eastAsia="仿宋_GB2312" w:cs="仿宋_GB2312"/>
          <w:color w:val="auto"/>
          <w:spacing w:val="0"/>
          <w:sz w:val="32"/>
          <w:szCs w:val="32"/>
          <w:lang w:eastAsia="zh-CN"/>
        </w:rPr>
        <w:t>后</w:t>
      </w:r>
      <w:r>
        <w:rPr>
          <w:rFonts w:hint="eastAsia" w:ascii="仿宋_GB2312" w:hAnsi="仿宋_GB2312" w:eastAsia="仿宋_GB2312" w:cs="仿宋_GB2312"/>
          <w:color w:val="auto"/>
          <w:spacing w:val="0"/>
          <w:sz w:val="32"/>
          <w:szCs w:val="32"/>
        </w:rPr>
        <w:t>交</w:t>
      </w:r>
      <w:r>
        <w:rPr>
          <w:rFonts w:hint="eastAsia" w:ascii="仿宋_GB2312" w:hAnsi="仿宋_GB2312" w:eastAsia="仿宋_GB2312" w:cs="仿宋_GB2312"/>
          <w:color w:val="000000"/>
          <w:spacing w:val="0"/>
          <w:sz w:val="32"/>
          <w:szCs w:val="32"/>
        </w:rPr>
        <w:t>由</w:t>
      </w:r>
      <w:r>
        <w:rPr>
          <w:rFonts w:hint="eastAsia" w:ascii="仿宋_GB2312" w:hAnsi="仿宋_GB2312" w:eastAsia="仿宋_GB2312" w:cs="仿宋_GB2312"/>
          <w:color w:val="000000"/>
          <w:spacing w:val="0"/>
          <w:sz w:val="32"/>
          <w:szCs w:val="32"/>
          <w:lang w:eastAsia="zh-CN"/>
        </w:rPr>
        <w:t>地方</w:t>
      </w:r>
      <w:r>
        <w:rPr>
          <w:rFonts w:hint="eastAsia" w:ascii="仿宋_GB2312" w:hAnsi="仿宋_GB2312" w:eastAsia="仿宋_GB2312" w:cs="仿宋_GB2312"/>
          <w:color w:val="000000"/>
          <w:spacing w:val="0"/>
          <w:sz w:val="32"/>
          <w:szCs w:val="32"/>
        </w:rPr>
        <w:t>环卫部门清运处置。营运期含重金属、有毒有害物质的废液、含有毒有害物质的样品分析残液、过期危险药品及容器、废活性炭等分类收集，暂存于危废暂存间，定期交由有资质单位处置，医疗垃圾通过专用容器收集后交由有资质的单位处理，危废的收集处置必须满足《危险废物贮存污染控制标准》（GB18597-2001）以及修改单的相关规定；餐厨垃圾、隔油池废油脂采用专用容器收集后暂存于餐厨垃圾暂存间，交由有资质的单位处置，预处理池清掏的污泥、生活垃圾集中收集后交由环卫部门清运处置，一般固废的收集、处置须达到《一般工业固体废物贮存、处置场污染控制标准》（GB18599-2001）及其修改单的要求</w:t>
      </w:r>
      <w:r>
        <w:rPr>
          <w:rFonts w:hint="eastAsia" w:ascii="仿宋_GB2312" w:hAnsi="仿宋_GB2312" w:eastAsia="仿宋_GB2312" w:cs="仿宋_GB2312"/>
          <w:color w:val="000000"/>
          <w:spacing w:val="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sz w:val="32"/>
          <w:szCs w:val="32"/>
          <w:lang w:val="en-US" w:eastAsia="zh-CN"/>
        </w:rPr>
      </w:pPr>
      <w:r>
        <w:rPr>
          <w:rFonts w:hint="eastAsia" w:ascii="仿宋_GB2312" w:eastAsia="仿宋_GB2312"/>
          <w:color w:val="000000"/>
          <w:spacing w:val="0"/>
          <w:szCs w:val="32"/>
          <w:lang w:eastAsia="zh-CN"/>
        </w:rPr>
        <w:t>（五）</w:t>
      </w:r>
      <w:r>
        <w:rPr>
          <w:rFonts w:hint="eastAsia" w:ascii="仿宋_GB2312" w:hAnsi="仿宋_GB2312" w:eastAsia="仿宋_GB2312" w:cs="仿宋_GB2312"/>
          <w:color w:val="000000"/>
          <w:spacing w:val="0"/>
          <w:sz w:val="32"/>
          <w:szCs w:val="32"/>
          <w:lang w:val="en-US" w:eastAsia="zh-CN"/>
        </w:rPr>
        <w:t>加强环境风险防范。建立健全风险防控体系和事故排放污染收集系统；按国家《危险废物收集贮存运输技术规范》（HJ2025-2012）的规定，加强对危险废物在运输、贮存等各环节的安全管理。制定突发环境事件应急预案，严格落实风险防范措施，定期对事故隐患存在点进行检查，有效防止事故发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szCs w:val="32"/>
          <w:lang w:val="en-US" w:eastAsia="zh-CN"/>
        </w:rPr>
      </w:pPr>
      <w:r>
        <w:rPr>
          <w:rFonts w:hint="eastAsia" w:ascii="仿宋_GB2312" w:hAnsi="仿宋_GB2312" w:eastAsia="仿宋_GB2312" w:cs="仿宋_GB2312"/>
          <w:color w:val="000000"/>
          <w:spacing w:val="0"/>
          <w:szCs w:val="32"/>
          <w:lang w:val="en-US" w:eastAsia="zh-CN"/>
        </w:rPr>
        <w:t>（六）做好项目周围规划控制，学校为环境敏感点，有关部门应禁止在学校周边规划建设对学校影响较大的项目。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szCs w:val="32"/>
          <w:lang w:val="en-US" w:eastAsia="zh-CN"/>
        </w:rPr>
      </w:pPr>
      <w:r>
        <w:rPr>
          <w:rFonts w:hint="eastAsia" w:ascii="仿宋_GB2312" w:hAnsi="仿宋_GB2312" w:eastAsia="仿宋_GB2312" w:cs="仿宋_GB2312"/>
          <w:color w:val="000000"/>
          <w:spacing w:val="0"/>
          <w:szCs w:val="32"/>
          <w:lang w:val="en-US" w:eastAsia="zh-CN"/>
        </w:rPr>
        <w:t>（七）</w:t>
      </w:r>
      <w:r>
        <w:rPr>
          <w:rFonts w:hint="eastAsia" w:ascii="仿宋_GB2312" w:hAnsi="仿宋_GB2312" w:eastAsia="仿宋_GB2312" w:cs="仿宋_GB2312"/>
          <w:spacing w:val="0"/>
          <w:sz w:val="32"/>
          <w:szCs w:val="32"/>
        </w:rPr>
        <w:t>按照排污许可要求申报排污许可证，并落实许可证及报告</w:t>
      </w:r>
      <w:r>
        <w:rPr>
          <w:rFonts w:hint="eastAsia" w:ascii="仿宋_GB2312" w:hAnsi="仿宋_GB2312" w:eastAsia="仿宋_GB2312" w:cs="仿宋_GB2312"/>
          <w:spacing w:val="0"/>
          <w:sz w:val="32"/>
          <w:szCs w:val="32"/>
          <w:lang w:eastAsia="zh-CN"/>
        </w:rPr>
        <w:t>表</w:t>
      </w:r>
      <w:r>
        <w:rPr>
          <w:rFonts w:hint="eastAsia" w:ascii="仿宋_GB2312" w:hAnsi="仿宋_GB2312" w:eastAsia="仿宋_GB2312" w:cs="仿宋_GB2312"/>
          <w:spacing w:val="0"/>
          <w:sz w:val="32"/>
          <w:szCs w:val="32"/>
        </w:rPr>
        <w:t>中提出的环境管理和监测计划。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Cs w:val="32"/>
          <w:lang w:eastAsia="zh-CN"/>
        </w:rPr>
      </w:pPr>
      <w:r>
        <w:rPr>
          <w:rFonts w:hint="eastAsia" w:ascii="仿宋_GB2312" w:hAnsi="仿宋_GB2312" w:eastAsia="仿宋_GB2312" w:cs="仿宋_GB2312"/>
          <w:color w:val="auto"/>
          <w:spacing w:val="0"/>
          <w:szCs w:val="32"/>
          <w:lang w:eastAsia="zh-CN"/>
        </w:rPr>
        <w:t>（八）《报告表》经批准后，若建设项目的性质、规模、地点、采用的生产工艺或者防治污染、防治生态破坏的措施等发生重大变动，你单位应当重新报批建设项目的环境影响评价文件。自《报告表》批准之日起，如工程超过5年未开工建设，须报我局重新审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pacing w:val="0"/>
          <w:szCs w:val="32"/>
        </w:rPr>
      </w:pPr>
      <w:r>
        <w:rPr>
          <w:rFonts w:hint="eastAsia" w:ascii="仿宋_GB2312" w:eastAsia="仿宋_GB2312"/>
          <w:color w:val="000000"/>
          <w:spacing w:val="0"/>
          <w:szCs w:val="32"/>
        </w:rPr>
        <w:t>三、</w:t>
      </w:r>
      <w:r>
        <w:rPr>
          <w:rFonts w:hint="eastAsia" w:ascii="仿宋_GB2312" w:hAnsi="仿宋_GB2312" w:eastAsia="仿宋_GB2312" w:cs="仿宋_GB2312"/>
          <w:color w:val="000000"/>
          <w:spacing w:val="0"/>
          <w:szCs w:val="32"/>
        </w:rPr>
        <w:t>建设</w:t>
      </w:r>
      <w:r>
        <w:rPr>
          <w:rFonts w:hint="eastAsia" w:ascii="仿宋_GB2312" w:hAnsi="仿宋_GB2312" w:eastAsia="仿宋_GB2312" w:cs="仿宋_GB2312"/>
          <w:color w:val="000000"/>
          <w:spacing w:val="0"/>
          <w:szCs w:val="32"/>
          <w:lang w:eastAsia="zh-CN"/>
        </w:rPr>
        <w:t>单位应严格执行环境保护“三同时”规定，项目环保“三同时”执行情况的监督检查和日常环境管理工作由益阳市生态环境局高新区分局和益阳市生态环境保护综合行政执法支队高新区大队具体负责</w:t>
      </w:r>
      <w:r>
        <w:rPr>
          <w:rFonts w:hint="eastAsia" w:ascii="仿宋_GB2312" w:eastAsia="仿宋_GB2312"/>
          <w:color w:val="000000"/>
          <w:spacing w:val="0"/>
          <w:szCs w:val="32"/>
        </w:rPr>
        <w:t>。</w:t>
      </w:r>
    </w:p>
    <w:p>
      <w:pPr>
        <w:keepNext w:val="0"/>
        <w:keepLines w:val="0"/>
        <w:pageBreakBefore w:val="0"/>
        <w:kinsoku/>
        <w:wordWrap/>
        <w:overflowPunct/>
        <w:topLinePunct w:val="0"/>
        <w:autoSpaceDE/>
        <w:autoSpaceDN/>
        <w:bidi w:val="0"/>
        <w:adjustRightInd/>
        <w:snapToGrid/>
        <w:spacing w:line="560" w:lineRule="exact"/>
        <w:ind w:firstLine="656" w:firstLineChars="200"/>
        <w:textAlignment w:val="auto"/>
        <w:rPr>
          <w:rFonts w:hint="eastAsia" w:ascii="仿宋_GB2312" w:eastAsia="仿宋_GB2312"/>
          <w:color w:val="000000"/>
          <w:spacing w:val="4"/>
          <w:szCs w:val="32"/>
        </w:rPr>
      </w:pPr>
    </w:p>
    <w:p>
      <w:pPr>
        <w:keepNext w:val="0"/>
        <w:keepLines w:val="0"/>
        <w:pageBreakBefore w:val="0"/>
        <w:kinsoku/>
        <w:wordWrap/>
        <w:overflowPunct/>
        <w:topLinePunct w:val="0"/>
        <w:autoSpaceDE/>
        <w:autoSpaceDN/>
        <w:bidi w:val="0"/>
        <w:adjustRightInd/>
        <w:snapToGrid/>
        <w:spacing w:line="560" w:lineRule="exact"/>
        <w:ind w:firstLine="656" w:firstLineChars="200"/>
        <w:textAlignment w:val="auto"/>
        <w:rPr>
          <w:rFonts w:hint="eastAsia" w:ascii="仿宋_GB2312" w:eastAsia="仿宋_GB2312"/>
          <w:color w:val="000000"/>
          <w:spacing w:val="4"/>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ascii="仿宋_GB2312" w:eastAsia="仿宋_GB2312"/>
        </w:rPr>
      </w:pPr>
      <w:r>
        <w:rPr>
          <w:rFonts w:hint="eastAsia" w:ascii="仿宋_GB2312" w:eastAsia="仿宋_GB2312"/>
        </w:rPr>
        <w:t xml:space="preserve">                             益阳市生态环境局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ascii="仿宋_GB2312" w:eastAsia="仿宋_GB2312"/>
          <w:color w:val="FF0000"/>
        </w:rPr>
      </w:pPr>
      <w:r>
        <w:rPr>
          <w:rFonts w:hint="eastAsia" w:ascii="仿宋_GB2312" w:eastAsia="仿宋_GB2312"/>
          <w:color w:val="FF0000"/>
        </w:rPr>
        <w:t xml:space="preserve">                             </w:t>
      </w:r>
      <w:r>
        <w:rPr>
          <w:rFonts w:hint="eastAsia" w:ascii="仿宋_GB2312" w:eastAsia="仿宋_GB2312"/>
          <w:color w:val="FF0000"/>
          <w:lang w:val="en-US" w:eastAsia="zh-CN"/>
        </w:rPr>
        <w:t xml:space="preserve"> </w:t>
      </w:r>
      <w:r>
        <w:rPr>
          <w:rFonts w:hint="eastAsia" w:ascii="仿宋_GB2312" w:eastAsia="仿宋_GB2312"/>
          <w:color w:val="auto"/>
        </w:rPr>
        <w:t>2020年</w:t>
      </w:r>
      <w:r>
        <w:rPr>
          <w:rFonts w:hint="eastAsia" w:ascii="仿宋_GB2312" w:eastAsia="仿宋_GB2312"/>
          <w:color w:val="auto"/>
          <w:lang w:val="en-US" w:eastAsia="zh-CN"/>
        </w:rPr>
        <w:t>12</w:t>
      </w:r>
      <w:r>
        <w:rPr>
          <w:rFonts w:hint="eastAsia" w:ascii="仿宋_GB2312" w:eastAsia="仿宋_GB2312"/>
          <w:color w:val="auto"/>
        </w:rPr>
        <w:t>月</w:t>
      </w:r>
      <w:r>
        <w:rPr>
          <w:rFonts w:hint="eastAsia" w:ascii="仿宋_GB2312" w:eastAsia="仿宋_GB2312"/>
          <w:color w:val="auto"/>
          <w:lang w:val="en-US" w:eastAsia="zh-CN"/>
        </w:rPr>
        <w:t>25</w:t>
      </w:r>
      <w:r>
        <w:rPr>
          <w:rFonts w:hint="eastAsia" w:ascii="仿宋_GB2312" w:eastAsia="仿宋_GB2312"/>
          <w:color w:val="auto"/>
        </w:rPr>
        <w:t>日</w:t>
      </w:r>
    </w:p>
    <w:sectPr>
      <w:headerReference r:id="rId3" w:type="default"/>
      <w:footerReference r:id="rId4" w:type="default"/>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4099" o:spid="_x0000_s409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0"/>
                  <w:jc w:val="right"/>
                  <w:rPr>
                    <w:rFonts w:hint="eastAsia" w:eastAsia="华文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tentative="0">
      <w:start w:val="1"/>
      <w:numFmt w:val="decimal"/>
      <w:pStyle w:val="2"/>
      <w:lvlText w:val="%1"/>
      <w:lvlJc w:val="left"/>
      <w:pPr>
        <w:tabs>
          <w:tab w:val="left" w:pos="792"/>
        </w:tabs>
        <w:ind w:left="792" w:hanging="432"/>
      </w:pPr>
      <w:rPr>
        <w:rFonts w:hint="eastAsia" w:ascii="黑体" w:hAnsi="Times New Roman" w:eastAsia="黑体" w:cs="Times New Roman"/>
        <w:b/>
      </w:rPr>
    </w:lvl>
    <w:lvl w:ilvl="1" w:tentative="0">
      <w:start w:val="1"/>
      <w:numFmt w:val="decimal"/>
      <w:lvlText w:val="%1.%2"/>
      <w:lvlJc w:val="left"/>
      <w:pPr>
        <w:tabs>
          <w:tab w:val="left" w:pos="576"/>
        </w:tabs>
        <w:ind w:left="576" w:hanging="576"/>
      </w:pPr>
      <w:rPr>
        <w:rFonts w:hint="default" w:ascii="Times New Roman" w:hAnsi="Times New Roman" w:cs="Times New Roman"/>
      </w:rPr>
    </w:lvl>
    <w:lvl w:ilvl="2" w:tentative="0">
      <w:start w:val="1"/>
      <w:numFmt w:val="decimal"/>
      <w:lvlText w:val="%1.%2.%3"/>
      <w:lvlJc w:val="left"/>
      <w:pPr>
        <w:tabs>
          <w:tab w:val="left" w:pos="567"/>
        </w:tabs>
        <w:ind w:left="567" w:hanging="567"/>
      </w:pPr>
      <w:rPr>
        <w:rFonts w:hint="default" w:ascii="Times New Roman" w:hAnsi="Times New Roman" w:eastAsia="宋体" w:cs="Times New Roman"/>
        <w:b/>
        <w:i w:val="0"/>
        <w:color w:val="auto"/>
        <w:sz w:val="24"/>
        <w:szCs w:val="24"/>
      </w:rPr>
    </w:lvl>
    <w:lvl w:ilvl="3" w:tentative="0">
      <w:start w:val="1"/>
      <w:numFmt w:val="decimal"/>
      <w:lvlText w:val="%1.%2.%3.%4"/>
      <w:lvlJc w:val="left"/>
      <w:pPr>
        <w:tabs>
          <w:tab w:val="left" w:pos="284"/>
        </w:tabs>
        <w:ind w:left="255" w:hanging="198"/>
      </w:pPr>
      <w:rPr>
        <w:rFonts w:hint="default" w:ascii="Times New Roman" w:hAnsi="Times New Roman" w:cs="Times New Roman"/>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40FC4B02"/>
    <w:multiLevelType w:val="singleLevel"/>
    <w:tmpl w:val="40FC4B0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A417E"/>
    <w:rsid w:val="00001BF0"/>
    <w:rsid w:val="000048E1"/>
    <w:rsid w:val="00025DD7"/>
    <w:rsid w:val="0003774F"/>
    <w:rsid w:val="00045768"/>
    <w:rsid w:val="00051EBB"/>
    <w:rsid w:val="00061FF5"/>
    <w:rsid w:val="000631CD"/>
    <w:rsid w:val="00070A82"/>
    <w:rsid w:val="000731FD"/>
    <w:rsid w:val="00080857"/>
    <w:rsid w:val="00083200"/>
    <w:rsid w:val="000937FB"/>
    <w:rsid w:val="000B4630"/>
    <w:rsid w:val="000C0A77"/>
    <w:rsid w:val="000C212A"/>
    <w:rsid w:val="000C3813"/>
    <w:rsid w:val="000D0A02"/>
    <w:rsid w:val="000D2CC4"/>
    <w:rsid w:val="000D481A"/>
    <w:rsid w:val="000D5172"/>
    <w:rsid w:val="000E1649"/>
    <w:rsid w:val="000F2C08"/>
    <w:rsid w:val="000F4556"/>
    <w:rsid w:val="00110053"/>
    <w:rsid w:val="00111F88"/>
    <w:rsid w:val="00117285"/>
    <w:rsid w:val="0012723E"/>
    <w:rsid w:val="00131AB6"/>
    <w:rsid w:val="001663FB"/>
    <w:rsid w:val="00183370"/>
    <w:rsid w:val="00185ED5"/>
    <w:rsid w:val="001A21A9"/>
    <w:rsid w:val="001A5E8D"/>
    <w:rsid w:val="001B2F42"/>
    <w:rsid w:val="001C3A30"/>
    <w:rsid w:val="001D2001"/>
    <w:rsid w:val="001D6ED1"/>
    <w:rsid w:val="0022226D"/>
    <w:rsid w:val="002371E9"/>
    <w:rsid w:val="002549FF"/>
    <w:rsid w:val="00261EB2"/>
    <w:rsid w:val="00263B19"/>
    <w:rsid w:val="00290FDA"/>
    <w:rsid w:val="002C17C9"/>
    <w:rsid w:val="002C6920"/>
    <w:rsid w:val="002C7DBB"/>
    <w:rsid w:val="002E1D0E"/>
    <w:rsid w:val="002F037B"/>
    <w:rsid w:val="002F3855"/>
    <w:rsid w:val="0030248F"/>
    <w:rsid w:val="00306B0D"/>
    <w:rsid w:val="00310CA4"/>
    <w:rsid w:val="003113CF"/>
    <w:rsid w:val="003326FA"/>
    <w:rsid w:val="00350787"/>
    <w:rsid w:val="00355987"/>
    <w:rsid w:val="00360EF0"/>
    <w:rsid w:val="00361918"/>
    <w:rsid w:val="0036540D"/>
    <w:rsid w:val="0037180A"/>
    <w:rsid w:val="00372D78"/>
    <w:rsid w:val="00386FA5"/>
    <w:rsid w:val="003873AE"/>
    <w:rsid w:val="003962E8"/>
    <w:rsid w:val="003A417E"/>
    <w:rsid w:val="003B01AD"/>
    <w:rsid w:val="003B478D"/>
    <w:rsid w:val="003C033E"/>
    <w:rsid w:val="003C6794"/>
    <w:rsid w:val="003C723E"/>
    <w:rsid w:val="003D7CF6"/>
    <w:rsid w:val="004066BA"/>
    <w:rsid w:val="004126F5"/>
    <w:rsid w:val="00425753"/>
    <w:rsid w:val="004263B3"/>
    <w:rsid w:val="004263F7"/>
    <w:rsid w:val="0042759C"/>
    <w:rsid w:val="00430BBE"/>
    <w:rsid w:val="004453C2"/>
    <w:rsid w:val="00453453"/>
    <w:rsid w:val="0045359D"/>
    <w:rsid w:val="0045451A"/>
    <w:rsid w:val="00462C7E"/>
    <w:rsid w:val="00471768"/>
    <w:rsid w:val="004765AE"/>
    <w:rsid w:val="00483AE6"/>
    <w:rsid w:val="004A33AC"/>
    <w:rsid w:val="004A7DE3"/>
    <w:rsid w:val="004B2C90"/>
    <w:rsid w:val="004B4DB9"/>
    <w:rsid w:val="004B72C7"/>
    <w:rsid w:val="004C6F89"/>
    <w:rsid w:val="004E1171"/>
    <w:rsid w:val="004E1812"/>
    <w:rsid w:val="004E58E8"/>
    <w:rsid w:val="004E6E66"/>
    <w:rsid w:val="004F3A16"/>
    <w:rsid w:val="00507694"/>
    <w:rsid w:val="00522689"/>
    <w:rsid w:val="00540290"/>
    <w:rsid w:val="005655C9"/>
    <w:rsid w:val="005724A2"/>
    <w:rsid w:val="00574CE8"/>
    <w:rsid w:val="00592C7E"/>
    <w:rsid w:val="00594977"/>
    <w:rsid w:val="005A3F9F"/>
    <w:rsid w:val="005C1025"/>
    <w:rsid w:val="005C6754"/>
    <w:rsid w:val="005D39A4"/>
    <w:rsid w:val="005D5D29"/>
    <w:rsid w:val="005E3244"/>
    <w:rsid w:val="005E4435"/>
    <w:rsid w:val="005F17E9"/>
    <w:rsid w:val="00607224"/>
    <w:rsid w:val="006132DE"/>
    <w:rsid w:val="006277FB"/>
    <w:rsid w:val="00652255"/>
    <w:rsid w:val="00676317"/>
    <w:rsid w:val="00682E08"/>
    <w:rsid w:val="0068731F"/>
    <w:rsid w:val="00693AB7"/>
    <w:rsid w:val="006971BB"/>
    <w:rsid w:val="006E2BE8"/>
    <w:rsid w:val="006E75E6"/>
    <w:rsid w:val="006F04FD"/>
    <w:rsid w:val="006F6BDD"/>
    <w:rsid w:val="00733AC7"/>
    <w:rsid w:val="00736DFB"/>
    <w:rsid w:val="007462E3"/>
    <w:rsid w:val="00750B05"/>
    <w:rsid w:val="00761219"/>
    <w:rsid w:val="00774D02"/>
    <w:rsid w:val="007A72EA"/>
    <w:rsid w:val="007B43D1"/>
    <w:rsid w:val="007C681B"/>
    <w:rsid w:val="007C72A6"/>
    <w:rsid w:val="007E59C8"/>
    <w:rsid w:val="007F14CB"/>
    <w:rsid w:val="00815E14"/>
    <w:rsid w:val="0086218D"/>
    <w:rsid w:val="00865299"/>
    <w:rsid w:val="008746D2"/>
    <w:rsid w:val="0089082A"/>
    <w:rsid w:val="008A0B01"/>
    <w:rsid w:val="008A1C29"/>
    <w:rsid w:val="008C36BC"/>
    <w:rsid w:val="008C5CA9"/>
    <w:rsid w:val="008D583C"/>
    <w:rsid w:val="008F23DE"/>
    <w:rsid w:val="00901A2D"/>
    <w:rsid w:val="0091266B"/>
    <w:rsid w:val="00914280"/>
    <w:rsid w:val="0091432D"/>
    <w:rsid w:val="009278DE"/>
    <w:rsid w:val="00936875"/>
    <w:rsid w:val="009549B7"/>
    <w:rsid w:val="00955595"/>
    <w:rsid w:val="0095578A"/>
    <w:rsid w:val="0096441F"/>
    <w:rsid w:val="009A6627"/>
    <w:rsid w:val="009A7161"/>
    <w:rsid w:val="009C2585"/>
    <w:rsid w:val="009D5A3E"/>
    <w:rsid w:val="009E0D18"/>
    <w:rsid w:val="009F3762"/>
    <w:rsid w:val="00A040C7"/>
    <w:rsid w:val="00A203A0"/>
    <w:rsid w:val="00A40D17"/>
    <w:rsid w:val="00A50CF1"/>
    <w:rsid w:val="00A61D09"/>
    <w:rsid w:val="00A71067"/>
    <w:rsid w:val="00A75DD9"/>
    <w:rsid w:val="00A77751"/>
    <w:rsid w:val="00A8604D"/>
    <w:rsid w:val="00AC03A6"/>
    <w:rsid w:val="00AD68E9"/>
    <w:rsid w:val="00AD782A"/>
    <w:rsid w:val="00AE6C55"/>
    <w:rsid w:val="00AF46EC"/>
    <w:rsid w:val="00B10801"/>
    <w:rsid w:val="00B3197F"/>
    <w:rsid w:val="00B33FA4"/>
    <w:rsid w:val="00B56F40"/>
    <w:rsid w:val="00B57591"/>
    <w:rsid w:val="00B575AE"/>
    <w:rsid w:val="00B64801"/>
    <w:rsid w:val="00B72013"/>
    <w:rsid w:val="00B777F7"/>
    <w:rsid w:val="00B80DB3"/>
    <w:rsid w:val="00B829CC"/>
    <w:rsid w:val="00B83300"/>
    <w:rsid w:val="00BB3AA8"/>
    <w:rsid w:val="00BB7D3F"/>
    <w:rsid w:val="00BC4262"/>
    <w:rsid w:val="00BC78D4"/>
    <w:rsid w:val="00BD0548"/>
    <w:rsid w:val="00BD2723"/>
    <w:rsid w:val="00BF042C"/>
    <w:rsid w:val="00C03684"/>
    <w:rsid w:val="00C04C48"/>
    <w:rsid w:val="00C131C0"/>
    <w:rsid w:val="00C31CFD"/>
    <w:rsid w:val="00C5157C"/>
    <w:rsid w:val="00C57A90"/>
    <w:rsid w:val="00C64DD0"/>
    <w:rsid w:val="00C659F0"/>
    <w:rsid w:val="00C75CEA"/>
    <w:rsid w:val="00C8365B"/>
    <w:rsid w:val="00CA1923"/>
    <w:rsid w:val="00CB4707"/>
    <w:rsid w:val="00CC3DD4"/>
    <w:rsid w:val="00CE1397"/>
    <w:rsid w:val="00CF0C36"/>
    <w:rsid w:val="00CF5456"/>
    <w:rsid w:val="00CF5985"/>
    <w:rsid w:val="00CF742E"/>
    <w:rsid w:val="00D060BC"/>
    <w:rsid w:val="00D14609"/>
    <w:rsid w:val="00D15CFC"/>
    <w:rsid w:val="00D36B6F"/>
    <w:rsid w:val="00D41047"/>
    <w:rsid w:val="00D462B5"/>
    <w:rsid w:val="00D547FD"/>
    <w:rsid w:val="00D62666"/>
    <w:rsid w:val="00D66D69"/>
    <w:rsid w:val="00D74C97"/>
    <w:rsid w:val="00D76381"/>
    <w:rsid w:val="00D831DF"/>
    <w:rsid w:val="00DB19A8"/>
    <w:rsid w:val="00DB48B0"/>
    <w:rsid w:val="00DC4A62"/>
    <w:rsid w:val="00DD19D4"/>
    <w:rsid w:val="00DE1668"/>
    <w:rsid w:val="00DE16B9"/>
    <w:rsid w:val="00DE2408"/>
    <w:rsid w:val="00DF6B84"/>
    <w:rsid w:val="00E0598B"/>
    <w:rsid w:val="00E10E44"/>
    <w:rsid w:val="00E26450"/>
    <w:rsid w:val="00E31040"/>
    <w:rsid w:val="00E44DF8"/>
    <w:rsid w:val="00E6023E"/>
    <w:rsid w:val="00E6739F"/>
    <w:rsid w:val="00E7377D"/>
    <w:rsid w:val="00E73A50"/>
    <w:rsid w:val="00E90832"/>
    <w:rsid w:val="00EB1F0E"/>
    <w:rsid w:val="00EB259B"/>
    <w:rsid w:val="00EC157C"/>
    <w:rsid w:val="00EC436B"/>
    <w:rsid w:val="00EC4CB3"/>
    <w:rsid w:val="00EC7A75"/>
    <w:rsid w:val="00ED1286"/>
    <w:rsid w:val="00EF02FE"/>
    <w:rsid w:val="00EF2DA4"/>
    <w:rsid w:val="00F0178D"/>
    <w:rsid w:val="00F12E10"/>
    <w:rsid w:val="00F3314B"/>
    <w:rsid w:val="00F34A3D"/>
    <w:rsid w:val="00F442B2"/>
    <w:rsid w:val="00F4790B"/>
    <w:rsid w:val="00F54EAA"/>
    <w:rsid w:val="00F74152"/>
    <w:rsid w:val="00F85AEE"/>
    <w:rsid w:val="00F86E75"/>
    <w:rsid w:val="00F91272"/>
    <w:rsid w:val="00F9172A"/>
    <w:rsid w:val="00F95F9E"/>
    <w:rsid w:val="00F96563"/>
    <w:rsid w:val="00F97E32"/>
    <w:rsid w:val="00FB255A"/>
    <w:rsid w:val="00FB7ED1"/>
    <w:rsid w:val="00FB7F67"/>
    <w:rsid w:val="00FE559B"/>
    <w:rsid w:val="00FE56D2"/>
    <w:rsid w:val="00FE632D"/>
    <w:rsid w:val="00FF6534"/>
    <w:rsid w:val="01080010"/>
    <w:rsid w:val="01D03FEC"/>
    <w:rsid w:val="01D159D9"/>
    <w:rsid w:val="01ED243B"/>
    <w:rsid w:val="01ED35F8"/>
    <w:rsid w:val="02224966"/>
    <w:rsid w:val="029E3B84"/>
    <w:rsid w:val="033476DA"/>
    <w:rsid w:val="039F5C2C"/>
    <w:rsid w:val="03DA560A"/>
    <w:rsid w:val="051766DB"/>
    <w:rsid w:val="05477548"/>
    <w:rsid w:val="05D8789C"/>
    <w:rsid w:val="0638548F"/>
    <w:rsid w:val="069B7C5A"/>
    <w:rsid w:val="070865B3"/>
    <w:rsid w:val="07354ECC"/>
    <w:rsid w:val="07511000"/>
    <w:rsid w:val="07702649"/>
    <w:rsid w:val="08260CF9"/>
    <w:rsid w:val="086B7063"/>
    <w:rsid w:val="088B2B53"/>
    <w:rsid w:val="089413C5"/>
    <w:rsid w:val="09415B9F"/>
    <w:rsid w:val="095C419A"/>
    <w:rsid w:val="097C2114"/>
    <w:rsid w:val="09FA59E7"/>
    <w:rsid w:val="0A360134"/>
    <w:rsid w:val="0A9F631F"/>
    <w:rsid w:val="0BF719CD"/>
    <w:rsid w:val="0BFD72E7"/>
    <w:rsid w:val="0C252B5A"/>
    <w:rsid w:val="0C562ECC"/>
    <w:rsid w:val="0C9940FF"/>
    <w:rsid w:val="0D021275"/>
    <w:rsid w:val="0D9A7649"/>
    <w:rsid w:val="0DC26D27"/>
    <w:rsid w:val="0E0504A3"/>
    <w:rsid w:val="0E75128A"/>
    <w:rsid w:val="0F4815CC"/>
    <w:rsid w:val="0F512394"/>
    <w:rsid w:val="101616EC"/>
    <w:rsid w:val="111C0FF9"/>
    <w:rsid w:val="116471C6"/>
    <w:rsid w:val="139570A7"/>
    <w:rsid w:val="13B70FE9"/>
    <w:rsid w:val="140D6837"/>
    <w:rsid w:val="14360E9D"/>
    <w:rsid w:val="143C28E4"/>
    <w:rsid w:val="15653932"/>
    <w:rsid w:val="158942BB"/>
    <w:rsid w:val="16414F1E"/>
    <w:rsid w:val="167429F4"/>
    <w:rsid w:val="16A43115"/>
    <w:rsid w:val="16CC5B36"/>
    <w:rsid w:val="16E81710"/>
    <w:rsid w:val="176A2F62"/>
    <w:rsid w:val="18486CB8"/>
    <w:rsid w:val="18757D21"/>
    <w:rsid w:val="18BD66CD"/>
    <w:rsid w:val="1A1E20F6"/>
    <w:rsid w:val="1A1F4F6D"/>
    <w:rsid w:val="1AA17DB9"/>
    <w:rsid w:val="1B5F06EB"/>
    <w:rsid w:val="1CCE45CD"/>
    <w:rsid w:val="1D596D36"/>
    <w:rsid w:val="1DB52396"/>
    <w:rsid w:val="1DDE1448"/>
    <w:rsid w:val="1E3A67FD"/>
    <w:rsid w:val="1E5B2A7B"/>
    <w:rsid w:val="20095B14"/>
    <w:rsid w:val="202B0267"/>
    <w:rsid w:val="205C1174"/>
    <w:rsid w:val="21D23C17"/>
    <w:rsid w:val="229D1CE8"/>
    <w:rsid w:val="22C837C6"/>
    <w:rsid w:val="231B68C4"/>
    <w:rsid w:val="23552ECF"/>
    <w:rsid w:val="243C0C96"/>
    <w:rsid w:val="254C263C"/>
    <w:rsid w:val="25B51410"/>
    <w:rsid w:val="25EB3281"/>
    <w:rsid w:val="25F83E42"/>
    <w:rsid w:val="26423EFF"/>
    <w:rsid w:val="26C7259C"/>
    <w:rsid w:val="27BA1B7C"/>
    <w:rsid w:val="27C03033"/>
    <w:rsid w:val="297F6DFB"/>
    <w:rsid w:val="2A7677D7"/>
    <w:rsid w:val="2AA167CD"/>
    <w:rsid w:val="2B45236F"/>
    <w:rsid w:val="2C36248E"/>
    <w:rsid w:val="2C9A7D53"/>
    <w:rsid w:val="2CE81886"/>
    <w:rsid w:val="2D621927"/>
    <w:rsid w:val="2E025831"/>
    <w:rsid w:val="2E0E786C"/>
    <w:rsid w:val="2ED91A45"/>
    <w:rsid w:val="2EFF65BF"/>
    <w:rsid w:val="2FBE547D"/>
    <w:rsid w:val="302837E4"/>
    <w:rsid w:val="306D20D8"/>
    <w:rsid w:val="3073000C"/>
    <w:rsid w:val="308D44B8"/>
    <w:rsid w:val="30EF4E77"/>
    <w:rsid w:val="318C2365"/>
    <w:rsid w:val="31D56DAD"/>
    <w:rsid w:val="328F037F"/>
    <w:rsid w:val="32EB639B"/>
    <w:rsid w:val="33000108"/>
    <w:rsid w:val="33741DC8"/>
    <w:rsid w:val="33B11EC4"/>
    <w:rsid w:val="34711A93"/>
    <w:rsid w:val="35B4328A"/>
    <w:rsid w:val="35CE2568"/>
    <w:rsid w:val="35FA51FE"/>
    <w:rsid w:val="361A101F"/>
    <w:rsid w:val="36570620"/>
    <w:rsid w:val="36E44291"/>
    <w:rsid w:val="37086371"/>
    <w:rsid w:val="3A8E5140"/>
    <w:rsid w:val="3B0A280C"/>
    <w:rsid w:val="3B125EF8"/>
    <w:rsid w:val="3BA76AE1"/>
    <w:rsid w:val="3DA11C79"/>
    <w:rsid w:val="3DD36518"/>
    <w:rsid w:val="3DEE185B"/>
    <w:rsid w:val="3E184547"/>
    <w:rsid w:val="3E237685"/>
    <w:rsid w:val="3EA94203"/>
    <w:rsid w:val="3F4E171F"/>
    <w:rsid w:val="40AF71A3"/>
    <w:rsid w:val="40C73D23"/>
    <w:rsid w:val="40D65290"/>
    <w:rsid w:val="40EC3714"/>
    <w:rsid w:val="410811A1"/>
    <w:rsid w:val="414964D1"/>
    <w:rsid w:val="41684212"/>
    <w:rsid w:val="44791099"/>
    <w:rsid w:val="45CF0E9E"/>
    <w:rsid w:val="45E80663"/>
    <w:rsid w:val="461448F7"/>
    <w:rsid w:val="465A498A"/>
    <w:rsid w:val="46926864"/>
    <w:rsid w:val="484F7B35"/>
    <w:rsid w:val="485A6652"/>
    <w:rsid w:val="48A069BA"/>
    <w:rsid w:val="48AE3800"/>
    <w:rsid w:val="48E36176"/>
    <w:rsid w:val="4993613B"/>
    <w:rsid w:val="49B07B17"/>
    <w:rsid w:val="4A703499"/>
    <w:rsid w:val="4A9B4753"/>
    <w:rsid w:val="4AB744D3"/>
    <w:rsid w:val="4BE354F9"/>
    <w:rsid w:val="4BE51D09"/>
    <w:rsid w:val="4DD816AB"/>
    <w:rsid w:val="4DEE12CE"/>
    <w:rsid w:val="4E6A7DDF"/>
    <w:rsid w:val="4F1B62EC"/>
    <w:rsid w:val="4F1E6B4A"/>
    <w:rsid w:val="4F20135E"/>
    <w:rsid w:val="50B14EA5"/>
    <w:rsid w:val="51DB6FAB"/>
    <w:rsid w:val="520F2542"/>
    <w:rsid w:val="52EE1E9C"/>
    <w:rsid w:val="539D6415"/>
    <w:rsid w:val="53D57E72"/>
    <w:rsid w:val="53F34F30"/>
    <w:rsid w:val="54952865"/>
    <w:rsid w:val="54B84CAA"/>
    <w:rsid w:val="55366F69"/>
    <w:rsid w:val="55982951"/>
    <w:rsid w:val="577566ED"/>
    <w:rsid w:val="58026A51"/>
    <w:rsid w:val="58B71C90"/>
    <w:rsid w:val="591B69A8"/>
    <w:rsid w:val="5A107B8D"/>
    <w:rsid w:val="5A3263A9"/>
    <w:rsid w:val="5A42464D"/>
    <w:rsid w:val="5A532664"/>
    <w:rsid w:val="5AFE2E05"/>
    <w:rsid w:val="5B2C0540"/>
    <w:rsid w:val="5BBA70AF"/>
    <w:rsid w:val="5BF53B92"/>
    <w:rsid w:val="5DD603EC"/>
    <w:rsid w:val="5E77294A"/>
    <w:rsid w:val="5EE63775"/>
    <w:rsid w:val="5F010883"/>
    <w:rsid w:val="5FBA25E4"/>
    <w:rsid w:val="5FBA4E4C"/>
    <w:rsid w:val="600F468F"/>
    <w:rsid w:val="60470972"/>
    <w:rsid w:val="608719BA"/>
    <w:rsid w:val="60DE449B"/>
    <w:rsid w:val="60E0450D"/>
    <w:rsid w:val="61040EA5"/>
    <w:rsid w:val="616854FA"/>
    <w:rsid w:val="635C7308"/>
    <w:rsid w:val="63B8642B"/>
    <w:rsid w:val="657A6729"/>
    <w:rsid w:val="657F402D"/>
    <w:rsid w:val="65C62AAF"/>
    <w:rsid w:val="6644669D"/>
    <w:rsid w:val="66A2129D"/>
    <w:rsid w:val="67990F2E"/>
    <w:rsid w:val="679E4A51"/>
    <w:rsid w:val="68A97E8F"/>
    <w:rsid w:val="68EA26DC"/>
    <w:rsid w:val="69757189"/>
    <w:rsid w:val="6A476406"/>
    <w:rsid w:val="6A5E641B"/>
    <w:rsid w:val="6A737633"/>
    <w:rsid w:val="6BB53802"/>
    <w:rsid w:val="6C04239A"/>
    <w:rsid w:val="6C486736"/>
    <w:rsid w:val="6DC40886"/>
    <w:rsid w:val="6DF731D4"/>
    <w:rsid w:val="6E2E75B8"/>
    <w:rsid w:val="6F276057"/>
    <w:rsid w:val="6FAB56DD"/>
    <w:rsid w:val="6FD95F01"/>
    <w:rsid w:val="701D0998"/>
    <w:rsid w:val="707779B5"/>
    <w:rsid w:val="711235A4"/>
    <w:rsid w:val="712F18C4"/>
    <w:rsid w:val="71332ADA"/>
    <w:rsid w:val="718944C6"/>
    <w:rsid w:val="7235034F"/>
    <w:rsid w:val="72D17DDC"/>
    <w:rsid w:val="7378622F"/>
    <w:rsid w:val="754F0C44"/>
    <w:rsid w:val="76184CB6"/>
    <w:rsid w:val="76440617"/>
    <w:rsid w:val="77602C17"/>
    <w:rsid w:val="77E761FD"/>
    <w:rsid w:val="77FE42B6"/>
    <w:rsid w:val="78485F58"/>
    <w:rsid w:val="793C4517"/>
    <w:rsid w:val="798D56F0"/>
    <w:rsid w:val="7A04724F"/>
    <w:rsid w:val="7AA95265"/>
    <w:rsid w:val="7AD70054"/>
    <w:rsid w:val="7B41207C"/>
    <w:rsid w:val="7CE02C47"/>
    <w:rsid w:val="7D193810"/>
    <w:rsid w:val="7D267D83"/>
    <w:rsid w:val="7D7A2C5C"/>
    <w:rsid w:val="7E4872DB"/>
    <w:rsid w:val="7F07588C"/>
    <w:rsid w:val="7F582C6A"/>
    <w:rsid w:val="7FD718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华文仿宋" w:cs="Times New Roman"/>
      <w:kern w:val="2"/>
      <w:sz w:val="32"/>
      <w:szCs w:val="24"/>
      <w:lang w:val="en-US" w:eastAsia="zh-CN" w:bidi="ar-SA"/>
    </w:rPr>
  </w:style>
  <w:style w:type="paragraph" w:styleId="2">
    <w:name w:val="heading 1"/>
    <w:basedOn w:val="1"/>
    <w:next w:val="1"/>
    <w:qFormat/>
    <w:uiPriority w:val="0"/>
    <w:pPr>
      <w:numPr>
        <w:ilvl w:val="0"/>
        <w:numId w:val="1"/>
      </w:numPr>
      <w:overflowPunct w:val="0"/>
      <w:autoSpaceDE w:val="0"/>
      <w:autoSpaceDN w:val="0"/>
      <w:adjustRightInd w:val="0"/>
      <w:spacing w:before="60" w:after="60" w:line="360" w:lineRule="auto"/>
      <w:textAlignment w:val="baseline"/>
      <w:outlineLvl w:val="0"/>
    </w:pPr>
    <w:rPr>
      <w:rFonts w:ascii="Arial" w:hAnsi="Arial" w:eastAsia="黑体"/>
      <w:spacing w:val="-10"/>
      <w:kern w:val="20"/>
      <w:sz w:val="32"/>
      <w:szCs w:val="2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napToGrid w:val="0"/>
      <w:spacing w:line="300" w:lineRule="auto"/>
      <w:ind w:firstLine="200" w:firstLineChars="200"/>
    </w:pPr>
    <w:rPr>
      <w:rFonts w:ascii="仿宋_GB2312" w:eastAsia="仿宋_GB2312"/>
      <w:sz w:val="28"/>
    </w:rPr>
  </w:style>
  <w:style w:type="paragraph" w:styleId="4">
    <w:name w:val="Document Map"/>
    <w:basedOn w:val="1"/>
    <w:link w:val="19"/>
    <w:semiHidden/>
    <w:unhideWhenUsed/>
    <w:qFormat/>
    <w:uiPriority w:val="99"/>
    <w:rPr>
      <w:rFonts w:ascii="宋体" w:eastAsia="宋体"/>
      <w:sz w:val="18"/>
      <w:szCs w:val="18"/>
    </w:rPr>
  </w:style>
  <w:style w:type="paragraph" w:styleId="5">
    <w:name w:val="annotation text"/>
    <w:basedOn w:val="1"/>
    <w:link w:val="21"/>
    <w:unhideWhenUsed/>
    <w:qFormat/>
    <w:uiPriority w:val="0"/>
    <w:pPr>
      <w:jc w:val="left"/>
    </w:pPr>
  </w:style>
  <w:style w:type="paragraph" w:styleId="6">
    <w:name w:val="Body Text Indent"/>
    <w:basedOn w:val="1"/>
    <w:next w:val="7"/>
    <w:qFormat/>
    <w:uiPriority w:val="0"/>
    <w:pPr>
      <w:adjustRightInd w:val="0"/>
      <w:spacing w:line="360" w:lineRule="auto"/>
      <w:ind w:firstLine="480" w:firstLineChars="200"/>
    </w:pPr>
    <w:rPr>
      <w:bCs/>
      <w:sz w:val="24"/>
    </w:rPr>
  </w:style>
  <w:style w:type="paragraph" w:customStyle="1" w:styleId="7">
    <w:name w:val="表格编号"/>
    <w:basedOn w:val="1"/>
    <w:next w:val="8"/>
    <w:qFormat/>
    <w:uiPriority w:val="0"/>
    <w:pPr>
      <w:spacing w:line="60" w:lineRule="atLeast"/>
      <w:jc w:val="left"/>
    </w:pPr>
    <w:rPr>
      <w:spacing w:val="10"/>
      <w:kern w:val="0"/>
      <w:szCs w:val="21"/>
    </w:rPr>
  </w:style>
  <w:style w:type="paragraph" w:customStyle="1" w:styleId="8">
    <w:name w:val="表格文字"/>
    <w:basedOn w:val="3"/>
    <w:next w:val="1"/>
    <w:qFormat/>
    <w:uiPriority w:val="0"/>
    <w:pPr>
      <w:jc w:val="center"/>
    </w:pPr>
  </w:style>
  <w:style w:type="paragraph" w:styleId="9">
    <w:name w:val="Balloon Text"/>
    <w:basedOn w:val="1"/>
    <w:link w:val="20"/>
    <w:semiHidden/>
    <w:unhideWhenUsed/>
    <w:qFormat/>
    <w:uiPriority w:val="99"/>
    <w:rPr>
      <w:sz w:val="18"/>
      <w:szCs w:val="18"/>
    </w:rPr>
  </w:style>
  <w:style w:type="paragraph" w:styleId="10">
    <w:name w:val="footer"/>
    <w:basedOn w:val="1"/>
    <w:link w:val="18"/>
    <w:semiHidden/>
    <w:unhideWhenUsed/>
    <w:qFormat/>
    <w:uiPriority w:val="99"/>
    <w:pPr>
      <w:tabs>
        <w:tab w:val="center" w:pos="4153"/>
        <w:tab w:val="right" w:pos="8306"/>
      </w:tabs>
      <w:snapToGrid w:val="0"/>
      <w:jc w:val="left"/>
    </w:pPr>
    <w:rPr>
      <w:sz w:val="18"/>
      <w:szCs w:val="18"/>
    </w:rPr>
  </w:style>
  <w:style w:type="paragraph" w:styleId="11">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5"/>
    <w:next w:val="5"/>
    <w:link w:val="22"/>
    <w:semiHidden/>
    <w:unhideWhenUsed/>
    <w:qFormat/>
    <w:uiPriority w:val="99"/>
    <w:rPr>
      <w:b/>
      <w:bCs/>
    </w:rPr>
  </w:style>
  <w:style w:type="paragraph" w:styleId="13">
    <w:name w:val="Body Text First Indent 2"/>
    <w:basedOn w:val="6"/>
    <w:next w:val="1"/>
    <w:qFormat/>
    <w:uiPriority w:val="0"/>
    <w:pPr>
      <w:adjustRightInd/>
      <w:ind w:left="675" w:firstLine="0" w:firstLineChars="0"/>
    </w:pPr>
    <w:rPr>
      <w:rFonts w:ascii="宋体"/>
      <w:bCs w:val="0"/>
      <w:sz w:val="28"/>
      <w:szCs w:val="20"/>
    </w:rPr>
  </w:style>
  <w:style w:type="character" w:styleId="16">
    <w:name w:val="annotation reference"/>
    <w:basedOn w:val="15"/>
    <w:semiHidden/>
    <w:unhideWhenUsed/>
    <w:qFormat/>
    <w:uiPriority w:val="99"/>
    <w:rPr>
      <w:sz w:val="21"/>
      <w:szCs w:val="21"/>
    </w:rPr>
  </w:style>
  <w:style w:type="character" w:customStyle="1" w:styleId="17">
    <w:name w:val="页眉 Char"/>
    <w:basedOn w:val="15"/>
    <w:link w:val="11"/>
    <w:semiHidden/>
    <w:qFormat/>
    <w:uiPriority w:val="99"/>
    <w:rPr>
      <w:rFonts w:ascii="Times New Roman" w:hAnsi="Times New Roman" w:eastAsia="华文仿宋" w:cs="Times New Roman"/>
      <w:sz w:val="18"/>
      <w:szCs w:val="18"/>
    </w:rPr>
  </w:style>
  <w:style w:type="character" w:customStyle="1" w:styleId="18">
    <w:name w:val="页脚 Char"/>
    <w:basedOn w:val="15"/>
    <w:link w:val="10"/>
    <w:semiHidden/>
    <w:qFormat/>
    <w:uiPriority w:val="99"/>
    <w:rPr>
      <w:rFonts w:ascii="Times New Roman" w:hAnsi="Times New Roman" w:eastAsia="华文仿宋" w:cs="Times New Roman"/>
      <w:sz w:val="18"/>
      <w:szCs w:val="18"/>
    </w:rPr>
  </w:style>
  <w:style w:type="character" w:customStyle="1" w:styleId="19">
    <w:name w:val="文档结构图 Char"/>
    <w:basedOn w:val="15"/>
    <w:link w:val="4"/>
    <w:semiHidden/>
    <w:qFormat/>
    <w:uiPriority w:val="99"/>
    <w:rPr>
      <w:rFonts w:ascii="宋体" w:hAnsi="Times New Roman" w:eastAsia="宋体" w:cs="Times New Roman"/>
      <w:sz w:val="18"/>
      <w:szCs w:val="18"/>
    </w:rPr>
  </w:style>
  <w:style w:type="character" w:customStyle="1" w:styleId="20">
    <w:name w:val="批注框文本 Char"/>
    <w:basedOn w:val="15"/>
    <w:link w:val="9"/>
    <w:semiHidden/>
    <w:qFormat/>
    <w:uiPriority w:val="99"/>
    <w:rPr>
      <w:rFonts w:ascii="Times New Roman" w:hAnsi="Times New Roman" w:eastAsia="华文仿宋" w:cs="Times New Roman"/>
      <w:sz w:val="18"/>
      <w:szCs w:val="18"/>
    </w:rPr>
  </w:style>
  <w:style w:type="character" w:customStyle="1" w:styleId="21">
    <w:name w:val="批注文字 Char"/>
    <w:basedOn w:val="15"/>
    <w:link w:val="5"/>
    <w:qFormat/>
    <w:uiPriority w:val="0"/>
    <w:rPr>
      <w:rFonts w:ascii="Times New Roman" w:hAnsi="Times New Roman" w:eastAsia="华文仿宋" w:cs="Times New Roman"/>
      <w:sz w:val="32"/>
      <w:szCs w:val="24"/>
    </w:rPr>
  </w:style>
  <w:style w:type="character" w:customStyle="1" w:styleId="22">
    <w:name w:val="批注主题 Char"/>
    <w:basedOn w:val="21"/>
    <w:link w:val="12"/>
    <w:semiHidden/>
    <w:qFormat/>
    <w:uiPriority w:val="99"/>
    <w:rPr>
      <w:rFonts w:ascii="Times New Roman" w:hAnsi="Times New Roman" w:eastAsia="华文仿宋" w:cs="Times New Roman"/>
      <w:b/>
      <w:bCs/>
      <w:sz w:val="32"/>
      <w:szCs w:val="24"/>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225</Words>
  <Characters>1286</Characters>
  <Lines>10</Lines>
  <Paragraphs>3</Paragraphs>
  <TotalTime>14</TotalTime>
  <ScaleCrop>false</ScaleCrop>
  <LinksUpToDate>false</LinksUpToDate>
  <CharactersWithSpaces>1508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2018-05-17T02:57:00Z</dcterms:created>
  <dc:creator>AutoBVT</dc:creator>
  <cp:lastModifiedBy>周国宏（周文）</cp:lastModifiedBy>
  <cp:lastPrinted>2020-12-05T02:16:00Z</cp:lastPrinted>
  <dcterms:modified xsi:type="dcterms:W3CDTF">2021-01-28T07:58:49Z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