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40"/>
        </w:tabs>
        <w:spacing w:line="560" w:lineRule="exact"/>
        <w:jc w:val="both"/>
        <w:rPr>
          <w:rFonts w:ascii="仿宋_GB2312" w:eastAsia="仿宋_GB2312"/>
          <w:b/>
          <w:bCs/>
          <w:color w:val="000000"/>
          <w:sz w:val="36"/>
          <w:szCs w:val="36"/>
        </w:rPr>
      </w:pPr>
      <w:r>
        <w:rPr>
          <w:rFonts w:hint="eastAsia" w:ascii="仿宋_GB2312" w:eastAsia="仿宋_GB2312"/>
          <w:color w:val="000000" w:themeColor="text1"/>
          <w:sz w:val="24"/>
        </w:rPr>
        <w:t xml:space="preserve">                         </w:t>
      </w:r>
    </w:p>
    <w:p>
      <w:pPr>
        <w:spacing w:line="360" w:lineRule="auto"/>
        <w:jc w:val="center"/>
        <w:rPr>
          <w:rFonts w:eastAsia="黑体"/>
          <w:sz w:val="36"/>
          <w:szCs w:val="36"/>
        </w:rPr>
      </w:pPr>
      <w:r>
        <w:rPr>
          <w:rFonts w:hint="eastAsia" w:eastAsia="黑体"/>
          <w:sz w:val="36"/>
          <w:szCs w:val="36"/>
        </w:rPr>
        <w:t>关于</w:t>
      </w:r>
      <w:r>
        <w:rPr>
          <w:rFonts w:hint="eastAsia" w:eastAsia="黑体"/>
          <w:sz w:val="36"/>
          <w:szCs w:val="36"/>
          <w:lang w:eastAsia="zh-CN"/>
        </w:rPr>
        <w:t>益阳市城市建设投资运营集团有限责任公司益阳市赫山区凤山路工</w:t>
      </w:r>
      <w:bookmarkStart w:id="0" w:name="_GoBack"/>
      <w:bookmarkEnd w:id="0"/>
      <w:r>
        <w:rPr>
          <w:rFonts w:hint="eastAsia" w:eastAsia="黑体"/>
          <w:sz w:val="36"/>
          <w:szCs w:val="36"/>
          <w:lang w:eastAsia="zh-CN"/>
        </w:rPr>
        <w:t>程项目</w:t>
      </w:r>
      <w:r>
        <w:rPr>
          <w:rFonts w:hint="eastAsia" w:eastAsia="黑体"/>
          <w:sz w:val="36"/>
          <w:szCs w:val="36"/>
        </w:rPr>
        <w:t>环境影响</w:t>
      </w:r>
      <w:r>
        <w:rPr>
          <w:rFonts w:hint="eastAsia" w:eastAsia="黑体"/>
          <w:sz w:val="36"/>
          <w:szCs w:val="36"/>
          <w:lang w:eastAsia="zh-CN"/>
        </w:rPr>
        <w:t>报告表</w:t>
      </w:r>
      <w:r>
        <w:rPr>
          <w:rFonts w:hint="eastAsia" w:eastAsia="黑体"/>
          <w:sz w:val="36"/>
          <w:szCs w:val="36"/>
        </w:rPr>
        <w:t>的批复</w:t>
      </w:r>
    </w:p>
    <w:p>
      <w:pPr>
        <w:spacing w:line="560" w:lineRule="exact"/>
        <w:rPr>
          <w:rFonts w:ascii="仿宋_GB2312" w:hAnsi="黑体" w:eastAsia="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Cs w:val="32"/>
        </w:rPr>
      </w:pPr>
      <w:r>
        <w:rPr>
          <w:rFonts w:hint="eastAsia" w:ascii="仿宋_GB2312" w:eastAsia="仿宋_GB2312"/>
          <w:szCs w:val="32"/>
          <w:lang w:eastAsia="zh-CN"/>
        </w:rPr>
        <w:t>益阳市城市建设投资运营集团有限责任公司</w:t>
      </w:r>
      <w:r>
        <w:rPr>
          <w:rFonts w:hint="eastAsia" w:ascii="仿宋_GB2312" w:eastAsia="仿宋_GB231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你单位呈报的由湖南方瑞节能环保咨询有限公司编制的《</w:t>
      </w:r>
      <w:r>
        <w:rPr>
          <w:rFonts w:hint="eastAsia" w:ascii="仿宋_GB2312" w:eastAsia="仿宋_GB2312"/>
          <w:color w:val="000000"/>
          <w:spacing w:val="4"/>
          <w:szCs w:val="32"/>
          <w:lang w:eastAsia="zh-CN"/>
        </w:rPr>
        <w:t>益阳市赫山区凤山路工程项目环境影响报告表</w:t>
      </w:r>
      <w:r>
        <w:rPr>
          <w:rFonts w:hint="eastAsia" w:ascii="仿宋_GB2312" w:eastAsia="仿宋_GB2312"/>
          <w:color w:val="000000"/>
          <w:spacing w:val="4"/>
          <w:szCs w:val="32"/>
        </w:rPr>
        <w:t>》收悉。经审查，</w:t>
      </w:r>
      <w:r>
        <w:rPr>
          <w:rFonts w:hint="eastAsia" w:ascii="仿宋_GB2312" w:eastAsia="仿宋_GB2312"/>
          <w:color w:val="000000"/>
          <w:spacing w:val="4"/>
          <w:szCs w:val="32"/>
          <w:lang w:eastAsia="zh-CN"/>
        </w:rPr>
        <w:t>批复</w:t>
      </w:r>
      <w:r>
        <w:rPr>
          <w:rFonts w:hint="eastAsia" w:ascii="仿宋_GB2312" w:eastAsia="仿宋_GB2312"/>
          <w:color w:val="000000"/>
          <w:spacing w:val="4"/>
          <w:szCs w:val="32"/>
        </w:rPr>
        <w:t>如下：</w:t>
      </w:r>
    </w:p>
    <w:p>
      <w:pPr>
        <w:numPr>
          <w:ilvl w:val="0"/>
          <w:numId w:val="1"/>
        </w:numPr>
        <w:spacing w:line="560" w:lineRule="exact"/>
        <w:ind w:firstLine="656" w:firstLineChars="200"/>
        <w:rPr>
          <w:rFonts w:ascii="仿宋_GB2312" w:eastAsia="仿宋_GB2312"/>
          <w:color w:val="000000"/>
          <w:spacing w:val="4"/>
          <w:szCs w:val="32"/>
        </w:rPr>
      </w:pPr>
      <w:r>
        <w:rPr>
          <w:rFonts w:hint="eastAsia" w:ascii="仿宋_GB2312" w:hAnsi="Times New Roman" w:eastAsia="仿宋_GB2312" w:cs="Times New Roman"/>
          <w:color w:val="000000"/>
          <w:spacing w:val="4"/>
          <w:szCs w:val="32"/>
          <w:lang w:eastAsia="zh-CN"/>
        </w:rPr>
        <w:t>益阳市城市建设投资运营集团有限责任公司在益阳市赫山区凤山路，</w:t>
      </w:r>
      <w:r>
        <w:rPr>
          <w:rFonts w:hint="eastAsia" w:ascii="仿宋_GB2312" w:hAnsi="Times New Roman" w:eastAsia="仿宋_GB2312" w:cs="Times New Roman"/>
          <w:color w:val="000000"/>
          <w:spacing w:val="4"/>
          <w:szCs w:val="32"/>
          <w:lang w:val="en-US" w:eastAsia="zh-CN"/>
        </w:rPr>
        <w:t>西起团圆南路，东至银城大道</w:t>
      </w:r>
      <w:r>
        <w:rPr>
          <w:rFonts w:hint="eastAsia" w:ascii="仿宋_GB2312" w:hAnsi="Times New Roman" w:eastAsia="仿宋_GB2312" w:cs="Times New Roman"/>
          <w:color w:val="000000"/>
          <w:spacing w:val="4"/>
          <w:szCs w:val="32"/>
          <w:lang w:eastAsia="zh-CN"/>
        </w:rPr>
        <w:t>建设益阳市赫山区凤山路工程项目</w:t>
      </w:r>
      <w:r>
        <w:rPr>
          <w:rFonts w:hint="eastAsia" w:ascii="仿宋_GB2312" w:hAnsi="Times New Roman" w:eastAsia="仿宋_GB2312" w:cs="Times New Roman"/>
          <w:color w:val="000000"/>
          <w:spacing w:val="4"/>
          <w:szCs w:val="32"/>
        </w:rPr>
        <w:t>，道路全长</w:t>
      </w:r>
      <w:r>
        <w:rPr>
          <w:rFonts w:hint="eastAsia" w:ascii="仿宋_GB2312" w:hAnsi="Times New Roman" w:eastAsia="仿宋_GB2312" w:cs="Times New Roman"/>
          <w:color w:val="000000"/>
          <w:spacing w:val="4"/>
          <w:szCs w:val="32"/>
          <w:lang w:val="en-US" w:eastAsia="zh-CN"/>
        </w:rPr>
        <w:t>758.016</w:t>
      </w:r>
      <w:r>
        <w:rPr>
          <w:rFonts w:hint="eastAsia" w:ascii="仿宋_GB2312" w:hAnsi="Times New Roman" w:eastAsia="仿宋_GB2312" w:cs="Times New Roman"/>
          <w:color w:val="000000"/>
          <w:spacing w:val="4"/>
          <w:szCs w:val="32"/>
          <w:lang w:eastAsia="zh-CN"/>
        </w:rPr>
        <w:t>m</w:t>
      </w:r>
      <w:r>
        <w:rPr>
          <w:rFonts w:hint="eastAsia" w:ascii="仿宋_GB2312" w:hAnsi="Times New Roman" w:eastAsia="仿宋_GB2312" w:cs="Times New Roman"/>
          <w:color w:val="000000"/>
          <w:spacing w:val="4"/>
          <w:szCs w:val="32"/>
        </w:rPr>
        <w:t>，</w:t>
      </w:r>
      <w:r>
        <w:rPr>
          <w:rFonts w:hint="eastAsia" w:ascii="仿宋_GB2312" w:hAnsi="Times New Roman" w:eastAsia="仿宋_GB2312" w:cs="Times New Roman"/>
          <w:color w:val="000000"/>
          <w:spacing w:val="4"/>
          <w:szCs w:val="32"/>
          <w:lang w:eastAsia="zh-CN"/>
        </w:rPr>
        <w:t>机动车道</w:t>
      </w:r>
      <w:r>
        <w:rPr>
          <w:rFonts w:hint="eastAsia" w:ascii="仿宋_GB2312" w:hAnsi="Times New Roman" w:eastAsia="仿宋_GB2312" w:cs="Times New Roman"/>
          <w:color w:val="000000"/>
          <w:spacing w:val="4"/>
          <w:szCs w:val="32"/>
          <w:lang w:val="en-US" w:eastAsia="zh-CN"/>
        </w:rPr>
        <w:t>15m，绿化分隔带5m，非机动车道10m，人行道10m，路肩1m。道路等级为城市次干路，计算行车速度为40km/h，双向四车道，路面类型采用水泥混凝土路面，设计荷载采用公路-Ⅰ级，标准轴载BZZ-100，路面设计使用年限为30年</w:t>
      </w:r>
      <w:r>
        <w:rPr>
          <w:rFonts w:hint="eastAsia" w:ascii="仿宋_GB2312" w:hAnsi="Times New Roman" w:eastAsia="仿宋_GB2312" w:cs="Times New Roman"/>
          <w:color w:val="000000"/>
          <w:spacing w:val="4"/>
          <w:szCs w:val="32"/>
          <w:lang w:eastAsia="zh-CN"/>
        </w:rPr>
        <w:t>。</w:t>
      </w:r>
      <w:r>
        <w:rPr>
          <w:rFonts w:hint="eastAsia" w:ascii="仿宋_GB2312" w:hAnsi="Times New Roman" w:eastAsia="仿宋_GB2312" w:cs="Times New Roman"/>
          <w:color w:val="000000"/>
          <w:spacing w:val="4"/>
          <w:szCs w:val="32"/>
        </w:rPr>
        <w:t>项目符合国家产业政策，选址合理。根据</w:t>
      </w:r>
      <w:r>
        <w:rPr>
          <w:rFonts w:hint="eastAsia" w:ascii="仿宋_GB2312" w:hAnsi="Times New Roman" w:eastAsia="仿宋_GB2312" w:cs="Times New Roman"/>
          <w:color w:val="000000"/>
          <w:spacing w:val="4"/>
          <w:szCs w:val="32"/>
          <w:lang w:eastAsia="zh-CN"/>
        </w:rPr>
        <w:t>报告</w:t>
      </w:r>
      <w:r>
        <w:rPr>
          <w:rFonts w:hint="eastAsia" w:ascii="仿宋_GB2312" w:eastAsia="仿宋_GB2312" w:cs="Times New Roman"/>
          <w:color w:val="000000"/>
          <w:spacing w:val="4"/>
          <w:szCs w:val="32"/>
          <w:lang w:eastAsia="zh-CN"/>
        </w:rPr>
        <w:t>表</w:t>
      </w:r>
      <w:r>
        <w:rPr>
          <w:rFonts w:hint="eastAsia" w:ascii="仿宋_GB2312" w:hAnsi="Times New Roman" w:eastAsia="仿宋_GB2312" w:cs="Times New Roman"/>
          <w:color w:val="000000"/>
          <w:spacing w:val="4"/>
          <w:szCs w:val="32"/>
        </w:rPr>
        <w:t>的分析结论及专家意见，在建设单位认真落实</w:t>
      </w:r>
      <w:r>
        <w:rPr>
          <w:rFonts w:hint="eastAsia" w:ascii="仿宋_GB2312" w:hAnsi="Times New Roman" w:eastAsia="仿宋_GB2312" w:cs="Times New Roman"/>
          <w:color w:val="000000"/>
          <w:spacing w:val="4"/>
          <w:szCs w:val="32"/>
          <w:lang w:eastAsia="zh-CN"/>
        </w:rPr>
        <w:t>报告</w:t>
      </w:r>
      <w:r>
        <w:rPr>
          <w:rFonts w:hint="eastAsia" w:ascii="仿宋_GB2312" w:eastAsia="仿宋_GB2312" w:cs="Times New Roman"/>
          <w:color w:val="000000"/>
          <w:spacing w:val="4"/>
          <w:szCs w:val="32"/>
          <w:lang w:eastAsia="zh-CN"/>
        </w:rPr>
        <w:t>表</w:t>
      </w:r>
      <w:r>
        <w:rPr>
          <w:rFonts w:hint="eastAsia" w:ascii="仿宋_GB2312" w:hAnsi="Times New Roman" w:eastAsia="仿宋_GB2312" w:cs="Times New Roman"/>
          <w:color w:val="000000"/>
          <w:spacing w:val="4"/>
          <w:szCs w:val="32"/>
        </w:rPr>
        <w:t>提出的各</w:t>
      </w:r>
      <w:r>
        <w:rPr>
          <w:rFonts w:hint="eastAsia" w:ascii="仿宋_GB2312" w:eastAsia="仿宋_GB2312"/>
          <w:color w:val="000000"/>
          <w:spacing w:val="4"/>
          <w:szCs w:val="32"/>
        </w:rPr>
        <w:t>项污染防治和风险防范措施，确保外排污染物稳定达标</w:t>
      </w:r>
      <w:r>
        <w:rPr>
          <w:rFonts w:hint="eastAsia" w:ascii="仿宋_GB2312" w:hAnsi="仿宋_GB2312" w:eastAsia="仿宋_GB2312" w:cs="仿宋_GB2312"/>
          <w:szCs w:val="32"/>
        </w:rPr>
        <w:t>、环境风险可控的前提下</w:t>
      </w:r>
      <w:r>
        <w:rPr>
          <w:rFonts w:hint="eastAsia" w:ascii="仿宋_GB2312" w:eastAsia="仿宋_GB2312"/>
          <w:color w:val="000000"/>
          <w:spacing w:val="4"/>
          <w:szCs w:val="32"/>
        </w:rPr>
        <w:t>，从环境保护角度分析，我局同意该</w:t>
      </w:r>
      <w:r>
        <w:rPr>
          <w:rFonts w:hint="eastAsia" w:ascii="仿宋_GB2312" w:eastAsia="仿宋_GB2312"/>
          <w:bCs/>
          <w:color w:val="000000"/>
          <w:spacing w:val="4"/>
          <w:szCs w:val="32"/>
        </w:rPr>
        <w:t>项目</w:t>
      </w:r>
      <w:r>
        <w:rPr>
          <w:rFonts w:hint="eastAsia" w:ascii="仿宋_GB2312" w:eastAsia="仿宋_GB2312"/>
          <w:color w:val="000000"/>
          <w:spacing w:val="4"/>
          <w:szCs w:val="32"/>
        </w:rPr>
        <w:t>的选址并建设。</w:t>
      </w:r>
    </w:p>
    <w:p>
      <w:pPr>
        <w:spacing w:line="560" w:lineRule="exact"/>
        <w:ind w:firstLine="656" w:firstLineChars="200"/>
        <w:rPr>
          <w:rFonts w:ascii="仿宋_GB2312" w:eastAsia="仿宋_GB2312"/>
          <w:color w:val="000000"/>
          <w:spacing w:val="4"/>
          <w:szCs w:val="32"/>
        </w:rPr>
      </w:pPr>
      <w:r>
        <w:rPr>
          <w:rFonts w:hint="eastAsia" w:ascii="仿宋_GB2312" w:eastAsia="仿宋_GB2312"/>
          <w:color w:val="000000"/>
          <w:spacing w:val="4"/>
          <w:szCs w:val="32"/>
        </w:rPr>
        <w:t>二、建设单位在工程设计、建设和运营过程中，必须严格按照</w:t>
      </w:r>
      <w:r>
        <w:rPr>
          <w:rFonts w:hint="eastAsia" w:ascii="仿宋_GB2312" w:eastAsia="仿宋_GB2312"/>
          <w:color w:val="000000"/>
          <w:spacing w:val="4"/>
          <w:szCs w:val="32"/>
          <w:lang w:eastAsia="zh-CN"/>
        </w:rPr>
        <w:t>报告表</w:t>
      </w:r>
      <w:r>
        <w:rPr>
          <w:rFonts w:hint="eastAsia" w:ascii="仿宋_GB2312" w:eastAsia="仿宋_GB2312"/>
          <w:color w:val="000000"/>
          <w:spacing w:val="4"/>
          <w:szCs w:val="32"/>
        </w:rPr>
        <w:t>要求落实各项污染防治措施，并着重做好如下工作：</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（一）施工期</w:t>
      </w:r>
    </w:p>
    <w:p>
      <w:pPr>
        <w:spacing w:line="560" w:lineRule="exact"/>
        <w:ind w:firstLine="656" w:firstLineChars="200"/>
        <w:rPr>
          <w:rFonts w:hint="eastAsia" w:ascii="仿宋_GB2312" w:eastAsia="仿宋_GB2312"/>
          <w:color w:val="000000"/>
          <w:spacing w:val="4"/>
          <w:szCs w:val="32"/>
        </w:rPr>
      </w:pPr>
      <w:r>
        <w:rPr>
          <w:rFonts w:hint="eastAsia" w:ascii="仿宋_GB2312" w:eastAsia="仿宋_GB2312"/>
          <w:color w:val="000000"/>
          <w:spacing w:val="4"/>
          <w:szCs w:val="32"/>
        </w:rPr>
        <w:t>项目为补办环评，项目已</w:t>
      </w:r>
      <w:r>
        <w:rPr>
          <w:rFonts w:hint="eastAsia" w:ascii="仿宋_GB2312" w:eastAsia="仿宋_GB2312"/>
          <w:color w:val="000000"/>
          <w:spacing w:val="4"/>
          <w:szCs w:val="32"/>
          <w:lang w:eastAsia="zh-CN"/>
        </w:rPr>
        <w:t>于</w:t>
      </w:r>
      <w:r>
        <w:rPr>
          <w:rFonts w:hint="eastAsia" w:ascii="仿宋_GB2312" w:eastAsia="仿宋_GB2312"/>
          <w:color w:val="000000"/>
          <w:spacing w:val="4"/>
          <w:szCs w:val="32"/>
          <w:lang w:val="en-US" w:eastAsia="zh-CN"/>
        </w:rPr>
        <w:t>2017年</w:t>
      </w:r>
      <w:r>
        <w:rPr>
          <w:rFonts w:hint="eastAsia" w:ascii="仿宋_GB2312" w:eastAsia="仿宋_GB2312"/>
          <w:color w:val="000000"/>
          <w:spacing w:val="4"/>
          <w:szCs w:val="32"/>
        </w:rPr>
        <w:t>建成，施工建设所产生的扬尘和噪声污染、施工期施工人员产生和排放的施工废水和生活污水对周边环境影响已消失；建筑垃圾和剥离土均已处置完毕，水土流失得到了控制</w:t>
      </w:r>
      <w:r>
        <w:rPr>
          <w:rFonts w:hint="eastAsia" w:ascii="仿宋_GB2312" w:eastAsia="仿宋_GB2312"/>
          <w:color w:val="000000"/>
          <w:spacing w:val="4"/>
          <w:szCs w:val="32"/>
          <w:lang w:eastAsia="zh-CN"/>
        </w:rPr>
        <w:t>、周边已绿化完毕</w:t>
      </w:r>
      <w:r>
        <w:rPr>
          <w:rFonts w:hint="eastAsia" w:ascii="仿宋_GB2312" w:eastAsia="仿宋_GB2312"/>
          <w:color w:val="000000"/>
          <w:spacing w:val="4"/>
          <w:szCs w:val="32"/>
        </w:rPr>
        <w:t>。</w:t>
      </w:r>
      <w:r>
        <w:rPr>
          <w:rFonts w:hint="eastAsia" w:ascii="仿宋_GB2312" w:eastAsia="仿宋_GB2312"/>
          <w:color w:val="000000"/>
          <w:spacing w:val="4"/>
          <w:szCs w:val="32"/>
          <w:lang w:eastAsia="zh-CN"/>
        </w:rPr>
        <w:t>根据现场勘察，项目建成运营至今，施工期无遗留环境问题，无环保投诉事件发生。</w:t>
      </w:r>
    </w:p>
    <w:p>
      <w:pPr>
        <w:pStyle w:val="4"/>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（二）营运期</w:t>
      </w:r>
    </w:p>
    <w:p>
      <w:pPr>
        <w:ind w:firstLine="640" w:firstLineChars="200"/>
        <w:rPr>
          <w:rFonts w:hint="eastAsia"/>
          <w:lang w:val="en-US" w:eastAsia="zh-CN"/>
        </w:rPr>
      </w:pPr>
      <w:r>
        <w:rPr>
          <w:rFonts w:hint="eastAsia"/>
          <w:lang w:val="en-US" w:eastAsia="zh-CN"/>
        </w:rPr>
        <w:t>1、做好项目大气污染防治工作。运营期颗粒物执行《大气污染物综合排放标准》（GB16297-2012）表2中无组织排放监控浓度限值。</w:t>
      </w:r>
    </w:p>
    <w:p>
      <w:pPr>
        <w:pStyle w:val="4"/>
        <w:rPr>
          <w:rFonts w:hint="eastAsia"/>
          <w:lang w:val="en-US" w:eastAsia="zh-CN"/>
        </w:rPr>
      </w:pPr>
      <w:r>
        <w:rPr>
          <w:rFonts w:hint="eastAsia"/>
          <w:lang w:val="en-US" w:eastAsia="zh-CN"/>
        </w:rPr>
        <w:t>2、营运期实行雨污分流，雨水经雨水管网排放至资江，项目本身营运期无废水产生，建设有污水管网，项目周边产生废水经污水管网后进入益阳市城东污水处理厂处理。</w:t>
      </w:r>
    </w:p>
    <w:p>
      <w:pPr>
        <w:ind w:firstLine="640" w:firstLineChars="200"/>
        <w:rPr>
          <w:rFonts w:ascii="仿宋_GB2312" w:eastAsia="仿宋_GB2312"/>
          <w:color w:val="000000"/>
          <w:spacing w:val="4"/>
          <w:szCs w:val="32"/>
        </w:rPr>
      </w:pPr>
      <w:r>
        <w:rPr>
          <w:rFonts w:hint="default"/>
          <w:lang w:val="en-US" w:eastAsia="zh-CN"/>
        </w:rPr>
        <w:t>3、</w:t>
      </w:r>
      <w:r>
        <w:rPr>
          <w:rFonts w:hint="eastAsia"/>
          <w:lang w:val="en-US" w:eastAsia="zh-CN"/>
        </w:rPr>
        <w:t>加强对固体废物的分类管理控制。按照“无害化、资源化、减量化”的原则，做好固废的分类收集、暂存、安全处置和综合利用工作。生活垃圾由当地环卫部门负责清运处置，禁止乱堆乱弃，执行《生活垃圾焚烧污染控制标准》（GB18485-2014）；</w:t>
      </w:r>
    </w:p>
    <w:p>
      <w:pPr>
        <w:spacing w:line="560" w:lineRule="exact"/>
        <w:ind w:firstLine="656" w:firstLineChars="200"/>
        <w:rPr>
          <w:rFonts w:ascii="仿宋_GB2312" w:eastAsia="仿宋_GB2312"/>
        </w:rPr>
      </w:pPr>
      <w:r>
        <w:rPr>
          <w:rFonts w:hint="eastAsia" w:ascii="仿宋_GB2312" w:eastAsia="仿宋_GB2312"/>
          <w:color w:val="000000"/>
          <w:spacing w:val="4"/>
          <w:szCs w:val="32"/>
        </w:rPr>
        <w:t>三、</w:t>
      </w:r>
      <w:r>
        <w:rPr>
          <w:rFonts w:hint="eastAsia" w:ascii="仿宋_GB2312" w:eastAsia="仿宋_GB2312"/>
          <w:color w:val="000000"/>
          <w:spacing w:val="4"/>
          <w:szCs w:val="32"/>
          <w:lang w:eastAsia="zh-CN"/>
        </w:rPr>
        <w:t>益阳市赫山区凤山路工程项目</w:t>
      </w:r>
      <w:r>
        <w:rPr>
          <w:rFonts w:hint="eastAsia" w:ascii="仿宋_GB2312" w:eastAsia="仿宋_GB2312"/>
          <w:color w:val="000000"/>
          <w:spacing w:val="4"/>
          <w:szCs w:val="32"/>
        </w:rPr>
        <w:t>在本次环评审批后，须严格按照《</w:t>
      </w:r>
      <w:r>
        <w:rPr>
          <w:rFonts w:hint="eastAsia" w:ascii="仿宋_GB2312" w:eastAsia="仿宋_GB2312"/>
          <w:color w:val="000000"/>
          <w:spacing w:val="4"/>
          <w:szCs w:val="32"/>
          <w:lang w:eastAsia="zh-CN"/>
        </w:rPr>
        <w:t>报告表</w:t>
      </w:r>
      <w:r>
        <w:rPr>
          <w:rFonts w:hint="eastAsia" w:ascii="仿宋_GB2312" w:eastAsia="仿宋_GB2312"/>
          <w:color w:val="000000"/>
          <w:spacing w:val="4"/>
          <w:szCs w:val="32"/>
        </w:rPr>
        <w:t>》的内容和批复要求落实各项污染防治措施</w:t>
      </w:r>
      <w:r>
        <w:rPr>
          <w:rFonts w:hint="eastAsia" w:ascii="仿宋_GB2312" w:eastAsia="仿宋_GB2312"/>
          <w:lang w:val="en-US" w:eastAsia="zh-CN"/>
        </w:rPr>
        <w:t>。</w:t>
      </w:r>
    </w:p>
    <w:p>
      <w:pPr>
        <w:spacing w:line="560" w:lineRule="exact"/>
        <w:ind w:firstLine="640" w:firstLineChars="200"/>
        <w:jc w:val="right"/>
        <w:rPr>
          <w:rFonts w:ascii="仿宋_GB2312" w:eastAsia="仿宋_GB2312"/>
          <w:color w:val="FF0000"/>
        </w:rPr>
      </w:pPr>
      <w:r>
        <w:rPr>
          <w:rFonts w:hint="eastAsia" w:ascii="仿宋_GB2312" w:eastAsia="仿宋_GB2312"/>
        </w:rPr>
        <w:t xml:space="preserve">                       益阳市生态环境局</w:t>
      </w:r>
      <w:r>
        <w:rPr>
          <w:rFonts w:hint="eastAsia" w:ascii="仿宋_GB2312" w:eastAsia="仿宋_GB2312"/>
          <w:color w:val="FF0000"/>
        </w:rPr>
        <w:t xml:space="preserve">                                 </w:t>
      </w:r>
      <w:r>
        <w:rPr>
          <w:rFonts w:hint="eastAsia" w:ascii="仿宋_GB2312" w:eastAsia="仿宋_GB2312"/>
          <w:lang w:val="en-US" w:eastAsia="zh-CN"/>
        </w:rPr>
        <w:t>2020</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lang w:val="en-US" w:eastAsia="zh-CN"/>
        </w:rPr>
        <w:t xml:space="preserve">  </w:t>
      </w:r>
      <w:r>
        <w:rPr>
          <w:rFonts w:hint="eastAsia" w:ascii="仿宋_GB2312" w:eastAsia="仿宋_GB2312"/>
        </w:rPr>
        <w:t>日</w:t>
      </w:r>
    </w:p>
    <w:p>
      <w:pPr>
        <w:spacing w:line="560" w:lineRule="exact"/>
        <w:ind w:firstLine="640" w:firstLineChars="200"/>
        <w:jc w:val="right"/>
        <w:rPr>
          <w:rFonts w:ascii="仿宋_GB2312" w:eastAsia="仿宋_GB2312"/>
          <w:color w:val="FF0000"/>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8EAEC"/>
    <w:multiLevelType w:val="singleLevel"/>
    <w:tmpl w:val="7478EA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22226D"/>
    <w:rsid w:val="002371E9"/>
    <w:rsid w:val="002549FF"/>
    <w:rsid w:val="00261EB2"/>
    <w:rsid w:val="00263B19"/>
    <w:rsid w:val="00290FDA"/>
    <w:rsid w:val="002C17C9"/>
    <w:rsid w:val="002C7DBB"/>
    <w:rsid w:val="002E1D0E"/>
    <w:rsid w:val="002F3855"/>
    <w:rsid w:val="0030248F"/>
    <w:rsid w:val="00306B0D"/>
    <w:rsid w:val="00310CA4"/>
    <w:rsid w:val="003113CF"/>
    <w:rsid w:val="003326FA"/>
    <w:rsid w:val="00350787"/>
    <w:rsid w:val="00355987"/>
    <w:rsid w:val="00360EF0"/>
    <w:rsid w:val="0036540D"/>
    <w:rsid w:val="0037180A"/>
    <w:rsid w:val="00372D78"/>
    <w:rsid w:val="00386FA5"/>
    <w:rsid w:val="003873AE"/>
    <w:rsid w:val="003962E8"/>
    <w:rsid w:val="003A3A37"/>
    <w:rsid w:val="003A417E"/>
    <w:rsid w:val="003B01AD"/>
    <w:rsid w:val="003B478D"/>
    <w:rsid w:val="003C033E"/>
    <w:rsid w:val="003C0B3E"/>
    <w:rsid w:val="003C6794"/>
    <w:rsid w:val="003C723E"/>
    <w:rsid w:val="003D7CF6"/>
    <w:rsid w:val="004126F5"/>
    <w:rsid w:val="00425753"/>
    <w:rsid w:val="004263B3"/>
    <w:rsid w:val="004263F7"/>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812"/>
    <w:rsid w:val="004E58E8"/>
    <w:rsid w:val="004E6E66"/>
    <w:rsid w:val="004F3A16"/>
    <w:rsid w:val="00507694"/>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82E08"/>
    <w:rsid w:val="0068731F"/>
    <w:rsid w:val="00693AB7"/>
    <w:rsid w:val="006971BB"/>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78A"/>
    <w:rsid w:val="0096441F"/>
    <w:rsid w:val="009A6627"/>
    <w:rsid w:val="009A7161"/>
    <w:rsid w:val="009C2585"/>
    <w:rsid w:val="009D5A3E"/>
    <w:rsid w:val="009E0D18"/>
    <w:rsid w:val="009F3762"/>
    <w:rsid w:val="00A040C7"/>
    <w:rsid w:val="00A40D17"/>
    <w:rsid w:val="00A50CF1"/>
    <w:rsid w:val="00A61D09"/>
    <w:rsid w:val="00A71067"/>
    <w:rsid w:val="00A75DD9"/>
    <w:rsid w:val="00A77751"/>
    <w:rsid w:val="00A8604D"/>
    <w:rsid w:val="00AC03A6"/>
    <w:rsid w:val="00AE6C55"/>
    <w:rsid w:val="00AF46EC"/>
    <w:rsid w:val="00B10801"/>
    <w:rsid w:val="00B3197F"/>
    <w:rsid w:val="00B33FA4"/>
    <w:rsid w:val="00B56F40"/>
    <w:rsid w:val="00B57591"/>
    <w:rsid w:val="00B64801"/>
    <w:rsid w:val="00B72013"/>
    <w:rsid w:val="00B777F7"/>
    <w:rsid w:val="00B80DB3"/>
    <w:rsid w:val="00B829CC"/>
    <w:rsid w:val="00B83300"/>
    <w:rsid w:val="00BB23D5"/>
    <w:rsid w:val="00BB7D3F"/>
    <w:rsid w:val="00BC4262"/>
    <w:rsid w:val="00BC78D4"/>
    <w:rsid w:val="00BD0548"/>
    <w:rsid w:val="00BD2723"/>
    <w:rsid w:val="00BF042C"/>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14609"/>
    <w:rsid w:val="00D15CFC"/>
    <w:rsid w:val="00D36B6F"/>
    <w:rsid w:val="00D41047"/>
    <w:rsid w:val="00D462B5"/>
    <w:rsid w:val="00D547FD"/>
    <w:rsid w:val="00D62666"/>
    <w:rsid w:val="00D66D69"/>
    <w:rsid w:val="00D74C97"/>
    <w:rsid w:val="00D831DF"/>
    <w:rsid w:val="00DB19A8"/>
    <w:rsid w:val="00DB48B0"/>
    <w:rsid w:val="00DD19D4"/>
    <w:rsid w:val="00DE1668"/>
    <w:rsid w:val="00DE16B9"/>
    <w:rsid w:val="00DE2408"/>
    <w:rsid w:val="00DF6B84"/>
    <w:rsid w:val="00E0598B"/>
    <w:rsid w:val="00E10E44"/>
    <w:rsid w:val="00E26450"/>
    <w:rsid w:val="00E31040"/>
    <w:rsid w:val="00E44DF8"/>
    <w:rsid w:val="00E6023E"/>
    <w:rsid w:val="00E7377D"/>
    <w:rsid w:val="00E73A50"/>
    <w:rsid w:val="00E90832"/>
    <w:rsid w:val="00EB1F0E"/>
    <w:rsid w:val="00EB259B"/>
    <w:rsid w:val="00EC157C"/>
    <w:rsid w:val="00EC436B"/>
    <w:rsid w:val="00EC4CB3"/>
    <w:rsid w:val="00EC7A75"/>
    <w:rsid w:val="00ED1286"/>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40849CC"/>
    <w:rsid w:val="046E7782"/>
    <w:rsid w:val="068B2A42"/>
    <w:rsid w:val="06A7115C"/>
    <w:rsid w:val="092A09E4"/>
    <w:rsid w:val="093E24E0"/>
    <w:rsid w:val="09FC7026"/>
    <w:rsid w:val="0BEC6030"/>
    <w:rsid w:val="0CB36146"/>
    <w:rsid w:val="0CD301CA"/>
    <w:rsid w:val="0E2F295D"/>
    <w:rsid w:val="0FF64AA4"/>
    <w:rsid w:val="11A601E5"/>
    <w:rsid w:val="12B5649D"/>
    <w:rsid w:val="18790575"/>
    <w:rsid w:val="191208FE"/>
    <w:rsid w:val="199D4718"/>
    <w:rsid w:val="1BEF38CC"/>
    <w:rsid w:val="1EA5219C"/>
    <w:rsid w:val="1EE04CC5"/>
    <w:rsid w:val="226F2730"/>
    <w:rsid w:val="26194B26"/>
    <w:rsid w:val="26377A65"/>
    <w:rsid w:val="2CFD7922"/>
    <w:rsid w:val="31342D05"/>
    <w:rsid w:val="32393F80"/>
    <w:rsid w:val="3392577E"/>
    <w:rsid w:val="33E51F8F"/>
    <w:rsid w:val="33FC6B8A"/>
    <w:rsid w:val="347F48C6"/>
    <w:rsid w:val="38F21D81"/>
    <w:rsid w:val="411C1E8C"/>
    <w:rsid w:val="4194014A"/>
    <w:rsid w:val="466637DA"/>
    <w:rsid w:val="48707892"/>
    <w:rsid w:val="4A2D2E48"/>
    <w:rsid w:val="4BD039C9"/>
    <w:rsid w:val="531E343F"/>
    <w:rsid w:val="5343354A"/>
    <w:rsid w:val="54737456"/>
    <w:rsid w:val="55775F97"/>
    <w:rsid w:val="5FEE45DC"/>
    <w:rsid w:val="5FF550F6"/>
    <w:rsid w:val="60376ECA"/>
    <w:rsid w:val="60FE05BB"/>
    <w:rsid w:val="62290153"/>
    <w:rsid w:val="624A4F35"/>
    <w:rsid w:val="62D82F68"/>
    <w:rsid w:val="66466DBE"/>
    <w:rsid w:val="66E85E08"/>
    <w:rsid w:val="71167EE7"/>
    <w:rsid w:val="734B7E6E"/>
    <w:rsid w:val="74D60C71"/>
    <w:rsid w:val="77A811C1"/>
    <w:rsid w:val="77A94B6D"/>
    <w:rsid w:val="77B43742"/>
    <w:rsid w:val="77C642A1"/>
    <w:rsid w:val="7ECD1F26"/>
    <w:rsid w:val="7F6949C3"/>
    <w:rsid w:val="7FEF3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qFormat/>
    <w:uiPriority w:val="99"/>
    <w:pPr>
      <w:spacing w:after="120" w:afterLines="0"/>
      <w:ind w:left="420" w:leftChars="200"/>
    </w:pPr>
    <w:rPr>
      <w:szCs w:val="24"/>
    </w:rPr>
  </w:style>
  <w:style w:type="paragraph" w:styleId="4">
    <w:name w:val="Normal Indent"/>
    <w:basedOn w:val="1"/>
    <w:next w:val="1"/>
    <w:qFormat/>
    <w:uiPriority w:val="0"/>
    <w:pPr>
      <w:ind w:firstLine="420" w:firstLineChars="200"/>
    </w:pPr>
  </w:style>
  <w:style w:type="paragraph" w:styleId="5">
    <w:name w:val="Document Map"/>
    <w:basedOn w:val="1"/>
    <w:link w:val="19"/>
    <w:semiHidden/>
    <w:unhideWhenUsed/>
    <w:qFormat/>
    <w:uiPriority w:val="99"/>
    <w:rPr>
      <w:rFonts w:ascii="宋体" w:eastAsia="宋体"/>
      <w:sz w:val="18"/>
      <w:szCs w:val="18"/>
    </w:rPr>
  </w:style>
  <w:style w:type="paragraph" w:styleId="6">
    <w:name w:val="annotation text"/>
    <w:basedOn w:val="1"/>
    <w:link w:val="21"/>
    <w:unhideWhenUsed/>
    <w:qFormat/>
    <w:uiPriority w:val="0"/>
    <w:pPr>
      <w:jc w:val="left"/>
    </w:pPr>
  </w:style>
  <w:style w:type="paragraph" w:styleId="7">
    <w:name w:val="Body Text"/>
    <w:basedOn w:val="1"/>
    <w:next w:val="8"/>
    <w:unhideWhenUsed/>
    <w:qFormat/>
    <w:uiPriority w:val="0"/>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1"/>
      <w:szCs w:val="21"/>
    </w:rPr>
  </w:style>
  <w:style w:type="paragraph" w:styleId="9">
    <w:name w:val="Balloon Text"/>
    <w:basedOn w:val="1"/>
    <w:link w:val="20"/>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2"/>
    <w:semiHidden/>
    <w:unhideWhenUsed/>
    <w:qFormat/>
    <w:uiPriority w:val="99"/>
    <w:rPr>
      <w:b/>
      <w:bCs/>
    </w:rPr>
  </w:style>
  <w:style w:type="paragraph" w:styleId="13">
    <w:name w:val="Body Text First Indent"/>
    <w:basedOn w:val="7"/>
    <w:next w:val="1"/>
    <w:unhideWhenUsed/>
    <w:qFormat/>
    <w:uiPriority w:val="99"/>
    <w:pPr>
      <w:adjustRightInd w:val="0"/>
      <w:snapToGrid w:val="0"/>
      <w:spacing w:line="360" w:lineRule="auto"/>
      <w:ind w:firstLine="200" w:firstLineChars="200"/>
    </w:pPr>
    <w:rPr>
      <w:sz w:val="24"/>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1"/>
    <w:semiHidden/>
    <w:qFormat/>
    <w:uiPriority w:val="99"/>
    <w:rPr>
      <w:rFonts w:ascii="Times New Roman" w:hAnsi="Times New Roman" w:eastAsia="华文仿宋" w:cs="Times New Roman"/>
      <w:sz w:val="18"/>
      <w:szCs w:val="18"/>
    </w:rPr>
  </w:style>
  <w:style w:type="character" w:customStyle="1" w:styleId="18">
    <w:name w:val="页脚 Char"/>
    <w:basedOn w:val="15"/>
    <w:link w:val="10"/>
    <w:semiHidden/>
    <w:qFormat/>
    <w:uiPriority w:val="99"/>
    <w:rPr>
      <w:rFonts w:ascii="Times New Roman" w:hAnsi="Times New Roman" w:eastAsia="华文仿宋" w:cs="Times New Roman"/>
      <w:sz w:val="18"/>
      <w:szCs w:val="18"/>
    </w:rPr>
  </w:style>
  <w:style w:type="character" w:customStyle="1" w:styleId="19">
    <w:name w:val="文档结构图 Char"/>
    <w:basedOn w:val="15"/>
    <w:link w:val="5"/>
    <w:semiHidden/>
    <w:qFormat/>
    <w:uiPriority w:val="99"/>
    <w:rPr>
      <w:rFonts w:ascii="宋体" w:hAnsi="Times New Roman" w:eastAsia="宋体" w:cs="Times New Roman"/>
      <w:sz w:val="18"/>
      <w:szCs w:val="18"/>
    </w:rPr>
  </w:style>
  <w:style w:type="character" w:customStyle="1" w:styleId="20">
    <w:name w:val="批注框文本 Char"/>
    <w:basedOn w:val="15"/>
    <w:link w:val="9"/>
    <w:semiHidden/>
    <w:qFormat/>
    <w:uiPriority w:val="99"/>
    <w:rPr>
      <w:rFonts w:ascii="Times New Roman" w:hAnsi="Times New Roman" w:eastAsia="华文仿宋" w:cs="Times New Roman"/>
      <w:sz w:val="18"/>
      <w:szCs w:val="18"/>
    </w:rPr>
  </w:style>
  <w:style w:type="character" w:customStyle="1" w:styleId="21">
    <w:name w:val="批注文字 Char"/>
    <w:basedOn w:val="15"/>
    <w:link w:val="6"/>
    <w:qFormat/>
    <w:uiPriority w:val="0"/>
    <w:rPr>
      <w:rFonts w:ascii="Times New Roman" w:hAnsi="Times New Roman" w:eastAsia="华文仿宋" w:cs="Times New Roman"/>
      <w:sz w:val="32"/>
      <w:szCs w:val="24"/>
    </w:rPr>
  </w:style>
  <w:style w:type="character" w:customStyle="1" w:styleId="22">
    <w:name w:val="批注主题 Char"/>
    <w:basedOn w:val="21"/>
    <w:link w:val="12"/>
    <w:semiHidden/>
    <w:qFormat/>
    <w:uiPriority w:val="99"/>
    <w:rPr>
      <w:rFonts w:ascii="Times New Roman" w:hAnsi="Times New Roman" w:eastAsia="华文仿宋" w:cs="Times New Roman"/>
      <w:b/>
      <w:bCs/>
      <w:sz w:val="32"/>
      <w:szCs w:val="24"/>
    </w:rPr>
  </w:style>
  <w:style w:type="paragraph" w:styleId="23">
    <w:name w:val="List Paragraph"/>
    <w:basedOn w:val="1"/>
    <w:qFormat/>
    <w:uiPriority w:val="34"/>
    <w:pPr>
      <w:ind w:firstLine="420" w:firstLineChars="200"/>
    </w:pPr>
  </w:style>
  <w:style w:type="paragraph" w:customStyle="1" w:styleId="24">
    <w:name w:val="表文字"/>
    <w:basedOn w:val="1"/>
    <w:qFormat/>
    <w:uiPriority w:val="0"/>
    <w:pPr>
      <w:overflowPunct w:val="0"/>
      <w:autoSpaceDE w:val="0"/>
      <w:autoSpaceDN w:val="0"/>
      <w:spacing w:line="240" w:lineRule="atLeast"/>
      <w:jc w:val="center"/>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199</Words>
  <Characters>1139</Characters>
  <Lines>9</Lines>
  <Paragraphs>2</Paragraphs>
  <TotalTime>3</TotalTime>
  <ScaleCrop>false</ScaleCrop>
  <LinksUpToDate>false</LinksUpToDate>
  <CharactersWithSpaces>1336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走马。</cp:lastModifiedBy>
  <cp:lastPrinted>2020-01-07T06:20:00Z</cp:lastPrinted>
  <dcterms:modified xsi:type="dcterms:W3CDTF">2020-12-28T08:01:33Z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