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cs="Times New Roman"/>
          <w:sz w:val="24"/>
          <w:szCs w:val="24"/>
        </w:rPr>
      </w:pPr>
    </w:p>
    <w:p>
      <w:pPr>
        <w:spacing w:line="240" w:lineRule="auto"/>
        <w:jc w:val="center"/>
        <w:rPr>
          <w:rFonts w:ascii="Times New Roman" w:hAnsi="Times New Roman" w:eastAsia="方正小标宋简体" w:cs="Times New Roman"/>
          <w:sz w:val="24"/>
          <w:szCs w:val="24"/>
        </w:rPr>
      </w:pPr>
    </w:p>
    <w:p>
      <w:pPr>
        <w:spacing w:line="240" w:lineRule="auto"/>
        <w:jc w:val="right"/>
        <w:rPr>
          <w:rFonts w:ascii="Times New Roman" w:hAnsi="Times New Roman" w:eastAsia="仿宋_GB2312"/>
          <w:color w:val="auto"/>
          <w:spacing w:val="-20"/>
          <w:sz w:val="30"/>
          <w:szCs w:val="30"/>
        </w:rPr>
      </w:pPr>
      <w:r>
        <w:rPr>
          <w:rFonts w:ascii="Times New Roman" w:hAnsi="Times New Roman" w:eastAsia="宋体"/>
          <w:color w:val="auto"/>
          <w:sz w:val="28"/>
          <w:szCs w:val="28"/>
        </w:rPr>
        <w:t>益环资审</w:t>
      </w:r>
      <w:r>
        <w:rPr>
          <w:rFonts w:hint="eastAsia" w:eastAsia="宋体"/>
          <w:color w:val="auto"/>
          <w:sz w:val="28"/>
          <w:szCs w:val="28"/>
          <w:lang w:val="en-US" w:eastAsia="zh-CN"/>
        </w:rPr>
        <w:t>[</w:t>
      </w:r>
      <w:r>
        <w:rPr>
          <w:rFonts w:ascii="Times New Roman" w:hAnsi="Times New Roman" w:eastAsia="宋体"/>
          <w:color w:val="auto"/>
          <w:sz w:val="28"/>
          <w:szCs w:val="28"/>
        </w:rPr>
        <w:t>20</w:t>
      </w:r>
      <w:r>
        <w:rPr>
          <w:rFonts w:hint="eastAsia" w:ascii="Times New Roman" w:hAnsi="Times New Roman" w:eastAsia="宋体"/>
          <w:color w:val="auto"/>
          <w:sz w:val="28"/>
          <w:szCs w:val="28"/>
        </w:rPr>
        <w:t>20</w:t>
      </w:r>
      <w:r>
        <w:rPr>
          <w:rFonts w:hint="eastAsia" w:eastAsia="宋体"/>
          <w:color w:val="auto"/>
          <w:sz w:val="28"/>
          <w:szCs w:val="28"/>
          <w:lang w:val="en-US" w:eastAsia="zh-CN"/>
        </w:rPr>
        <w:t>]35</w:t>
      </w:r>
      <w:r>
        <w:rPr>
          <w:rFonts w:ascii="Times New Roman" w:hAnsi="Times New Roman" w:eastAsia="宋体"/>
          <w:color w:val="auto"/>
          <w:sz w:val="28"/>
          <w:szCs w:val="28"/>
        </w:rPr>
        <w:t>号</w:t>
      </w:r>
    </w:p>
    <w:p>
      <w:pPr>
        <w:tabs>
          <w:tab w:val="left" w:pos="1021"/>
        </w:tabs>
        <w:spacing w:after="0" w:line="240" w:lineRule="auto"/>
        <w:jc w:val="center"/>
        <w:rPr>
          <w:rFonts w:ascii="Times New Roman" w:hAnsi="Times New Roman" w:eastAsia="黑体"/>
          <w:b/>
          <w:sz w:val="44"/>
          <w:szCs w:val="44"/>
        </w:rPr>
      </w:pPr>
      <w:r>
        <w:rPr>
          <w:rFonts w:ascii="Times New Roman" w:hAnsi="Times New Roman" w:eastAsia="黑体"/>
          <w:b/>
          <w:sz w:val="44"/>
          <w:szCs w:val="44"/>
        </w:rPr>
        <w:t>关于</w:t>
      </w:r>
      <w:r>
        <w:rPr>
          <w:rFonts w:hint="eastAsia" w:eastAsia="黑体"/>
          <w:b/>
          <w:sz w:val="44"/>
          <w:szCs w:val="44"/>
          <w:lang w:eastAsia="zh-CN"/>
        </w:rPr>
        <w:t>湖南东方神韵置业有限责任公司云梦方舟产业新城项目（一期）</w:t>
      </w:r>
      <w:r>
        <w:rPr>
          <w:rFonts w:ascii="Times New Roman" w:hAnsi="Times New Roman" w:eastAsia="黑体"/>
          <w:b/>
          <w:sz w:val="44"/>
          <w:szCs w:val="44"/>
        </w:rPr>
        <w:t>环境影响报告表的批复</w:t>
      </w:r>
    </w:p>
    <w:p>
      <w:pPr>
        <w:spacing w:line="240" w:lineRule="auto"/>
        <w:jc w:val="both"/>
        <w:rPr>
          <w:rFonts w:ascii="Times New Roman" w:hAnsi="Times New Roman" w:eastAsia="仿宋_GB2312"/>
          <w:sz w:val="32"/>
          <w:szCs w:val="32"/>
        </w:rPr>
      </w:pPr>
    </w:p>
    <w:p>
      <w:pPr>
        <w:spacing w:after="0" w:line="240" w:lineRule="auto"/>
        <w:rPr>
          <w:rFonts w:hint="eastAsia" w:ascii="仿宋" w:hAnsi="仿宋" w:eastAsia="仿宋" w:cs="仿宋"/>
          <w:sz w:val="32"/>
          <w:szCs w:val="32"/>
        </w:rPr>
      </w:pPr>
      <w:r>
        <w:rPr>
          <w:rFonts w:hint="eastAsia" w:ascii="仿宋" w:hAnsi="仿宋" w:eastAsia="仿宋" w:cs="仿宋"/>
          <w:sz w:val="32"/>
          <w:szCs w:val="32"/>
          <w:lang w:eastAsia="zh-CN"/>
        </w:rPr>
        <w:t>湖南东方神韵置业有限责任公司</w:t>
      </w:r>
      <w:r>
        <w:rPr>
          <w:rFonts w:hint="eastAsia" w:ascii="仿宋" w:hAnsi="仿宋" w:eastAsia="仿宋" w:cs="仿宋"/>
          <w:sz w:val="32"/>
          <w:szCs w:val="32"/>
        </w:rPr>
        <w:t>：</w:t>
      </w:r>
    </w:p>
    <w:p>
      <w:pPr>
        <w:spacing w:after="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你单位呈报的《</w:t>
      </w:r>
      <w:r>
        <w:rPr>
          <w:rFonts w:hint="eastAsia" w:ascii="仿宋" w:hAnsi="仿宋" w:eastAsia="仿宋" w:cs="仿宋"/>
          <w:sz w:val="32"/>
          <w:szCs w:val="32"/>
          <w:lang w:eastAsia="zh-CN"/>
        </w:rPr>
        <w:t>湖南东方神韵置业有限责任公司云梦方舟产业新城项目（一期）</w:t>
      </w:r>
      <w:r>
        <w:rPr>
          <w:rFonts w:hint="eastAsia" w:ascii="仿宋" w:hAnsi="仿宋" w:eastAsia="仿宋" w:cs="仿宋"/>
          <w:sz w:val="32"/>
          <w:szCs w:val="32"/>
        </w:rPr>
        <w:t>环境影响报告表》（以下简称《报告表》）及相关资料收悉。经研究，批复如下：</w:t>
      </w:r>
    </w:p>
    <w:p>
      <w:pPr>
        <w:numPr>
          <w:ilvl w:val="0"/>
          <w:numId w:val="1"/>
        </w:num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湖南东方神韵置业有限责任公司拟投资</w:t>
      </w:r>
      <w:r>
        <w:rPr>
          <w:rFonts w:hint="default" w:ascii="仿宋" w:hAnsi="仿宋" w:eastAsia="仿宋" w:cs="仿宋"/>
          <w:sz w:val="32"/>
          <w:szCs w:val="32"/>
          <w:lang w:eastAsia="zh-CN"/>
        </w:rPr>
        <w:t>197804</w:t>
      </w:r>
      <w:r>
        <w:rPr>
          <w:rFonts w:hint="eastAsia" w:ascii="仿宋" w:hAnsi="仿宋" w:eastAsia="仿宋" w:cs="仿宋"/>
          <w:sz w:val="32"/>
          <w:szCs w:val="32"/>
          <w:lang w:eastAsia="zh-CN"/>
        </w:rPr>
        <w:t>万元选址于</w:t>
      </w:r>
      <w:r>
        <w:rPr>
          <w:rFonts w:hint="default" w:ascii="仿宋" w:hAnsi="仿宋" w:eastAsia="仿宋" w:cs="仿宋"/>
          <w:sz w:val="32"/>
          <w:szCs w:val="32"/>
          <w:lang w:eastAsia="zh-CN"/>
        </w:rPr>
        <w:t>益阳市资阳区长春镇龙凤港村、紫薇村、幸福村、乡渔场</w:t>
      </w:r>
      <w:r>
        <w:rPr>
          <w:rFonts w:hint="eastAsia" w:ascii="仿宋" w:hAnsi="仿宋" w:eastAsia="仿宋" w:cs="仿宋"/>
          <w:sz w:val="32"/>
          <w:szCs w:val="32"/>
          <w:lang w:eastAsia="zh-CN"/>
        </w:rPr>
        <w:t>开展云梦方舟产业新城项目（一期），项目总占地面积87634.4平方米，主要建设内容为益沅一级公路西侧的住宅小区（包括</w:t>
      </w:r>
      <w:r>
        <w:rPr>
          <w:rFonts w:hint="eastAsia" w:ascii="仿宋" w:hAnsi="仿宋" w:eastAsia="仿宋" w:cs="仿宋"/>
          <w:sz w:val="32"/>
          <w:szCs w:val="32"/>
          <w:lang w:val="en-US" w:eastAsia="zh-CN"/>
        </w:rPr>
        <w:t>10栋高层住宅、</w:t>
      </w:r>
      <w:r>
        <w:rPr>
          <w:rFonts w:hint="eastAsia" w:cs="Times New Roman"/>
          <w:lang w:val="en-US" w:eastAsia="zh-CN"/>
        </w:rPr>
        <w:t>1栋门卫及1栋联合大堂</w:t>
      </w:r>
      <w:r>
        <w:rPr>
          <w:rFonts w:hint="eastAsia" w:ascii="仿宋" w:hAnsi="仿宋" w:eastAsia="仿宋" w:cs="仿宋"/>
          <w:sz w:val="32"/>
          <w:szCs w:val="32"/>
          <w:lang w:eastAsia="zh-CN"/>
        </w:rPr>
        <w:t>）和东侧的奥特莱斯商业广场并配套建设相应的环保设施。</w:t>
      </w:r>
    </w:p>
    <w:p>
      <w:pPr>
        <w:numPr>
          <w:ilvl w:val="0"/>
          <w:numId w:val="1"/>
        </w:num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项目符合国家产业政策，选址可行。根据湖南欣森宏景环境评估有限公</w:t>
      </w:r>
      <w:r>
        <w:rPr>
          <w:rFonts w:hint="eastAsia" w:ascii="仿宋" w:hAnsi="仿宋" w:eastAsia="仿宋" w:cs="仿宋"/>
          <w:sz w:val="32"/>
          <w:szCs w:val="32"/>
        </w:rPr>
        <w:t>司编制的《报告表》分析结论以及专家组评审意见，在建设单位切实落实《报告表》提出的各项污染防治和风险防范措施，确保污染物达标排放的前提下，从环境保护的角度分析，我局同意</w:t>
      </w:r>
      <w:r>
        <w:rPr>
          <w:rFonts w:hint="eastAsia" w:ascii="仿宋" w:hAnsi="仿宋" w:eastAsia="仿宋" w:cs="仿宋"/>
          <w:sz w:val="32"/>
          <w:szCs w:val="32"/>
          <w:lang w:eastAsia="zh-CN"/>
        </w:rPr>
        <w:t>湖南东方神韵置业有限责任公司云梦方舟产业新城项目（一期）</w:t>
      </w:r>
      <w:r>
        <w:rPr>
          <w:rFonts w:hint="eastAsia" w:ascii="仿宋" w:hAnsi="仿宋" w:eastAsia="仿宋" w:cs="仿宋"/>
          <w:sz w:val="32"/>
          <w:szCs w:val="32"/>
        </w:rPr>
        <w:t>的选址并建设。</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、建设单位在工程设计、建设和运营管理中，必须严格执行环保“三同时”制度，逐条落实《报告表》提出的各项污染防治和风险防范措施,确保各污染物达标排放，并着重做好以下工作：</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完善环境管理制度，配备专职或兼职环保人员，建立健全污染防治设施运行管理台账，确保各项污染防治设施的正常运行，各类污染物稳定达标排放</w:t>
      </w:r>
      <w:r>
        <w:rPr>
          <w:rFonts w:hint="eastAsia" w:ascii="仿宋" w:hAnsi="仿宋" w:eastAsia="仿宋" w:cs="仿宋"/>
          <w:sz w:val="32"/>
          <w:szCs w:val="32"/>
        </w:rPr>
        <w:t>。</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（二）做好项目废水污染防治工作。按“雨污分流”的原则建设排水系统，认真落实《报告表》提出的废水处理方案。</w:t>
      </w:r>
      <w:r>
        <w:rPr>
          <w:rFonts w:hint="eastAsia" w:ascii="仿宋" w:hAnsi="仿宋" w:eastAsia="仿宋" w:cs="仿宋"/>
          <w:sz w:val="32"/>
          <w:szCs w:val="32"/>
          <w:lang w:eastAsia="zh-CN"/>
        </w:rPr>
        <w:t>项目施工期产生的施工废水应经过施工场地的临时沉淀池进行沉淀处理后回用于施工；</w:t>
      </w:r>
      <w:r>
        <w:rPr>
          <w:rFonts w:hint="eastAsia" w:ascii="仿宋" w:hAnsi="仿宋" w:eastAsia="仿宋" w:cs="仿宋"/>
          <w:sz w:val="32"/>
          <w:szCs w:val="32"/>
        </w:rPr>
        <w:t>营运期产生的</w:t>
      </w:r>
      <w:r>
        <w:rPr>
          <w:rFonts w:hint="eastAsia" w:ascii="仿宋" w:hAnsi="仿宋" w:eastAsia="仿宋" w:cs="仿宋"/>
          <w:sz w:val="32"/>
          <w:szCs w:val="32"/>
          <w:lang w:eastAsia="zh-CN"/>
        </w:rPr>
        <w:t>生活污水经隔油池与化粪池</w:t>
      </w:r>
      <w:r>
        <w:rPr>
          <w:rFonts w:hint="eastAsia" w:ascii="仿宋" w:hAnsi="仿宋" w:eastAsia="仿宋" w:cs="仿宋"/>
          <w:sz w:val="32"/>
          <w:szCs w:val="32"/>
        </w:rPr>
        <w:t>处理</w:t>
      </w:r>
      <w:r>
        <w:rPr>
          <w:rFonts w:hint="eastAsia" w:ascii="仿宋" w:hAnsi="仿宋" w:eastAsia="仿宋" w:cs="仿宋"/>
          <w:sz w:val="32"/>
          <w:szCs w:val="32"/>
          <w:lang w:eastAsia="zh-CN"/>
        </w:rPr>
        <w:t>后达到</w:t>
      </w:r>
      <w:r>
        <w:rPr>
          <w:rFonts w:hint="eastAsia" w:ascii="仿宋" w:hAnsi="仿宋" w:eastAsia="仿宋" w:cs="仿宋"/>
          <w:sz w:val="32"/>
          <w:szCs w:val="32"/>
        </w:rPr>
        <w:t>《</w:t>
      </w:r>
      <w:r>
        <w:rPr>
          <w:rFonts w:hint="eastAsia" w:ascii="仿宋" w:hAnsi="仿宋" w:eastAsia="仿宋" w:cs="仿宋"/>
          <w:sz w:val="32"/>
          <w:szCs w:val="32"/>
          <w:lang w:eastAsia="zh-CN"/>
        </w:rPr>
        <w:t>污水综合</w:t>
      </w:r>
      <w:r>
        <w:rPr>
          <w:rFonts w:hint="eastAsia" w:ascii="仿宋" w:hAnsi="仿宋" w:eastAsia="仿宋" w:cs="仿宋"/>
          <w:sz w:val="32"/>
          <w:szCs w:val="32"/>
        </w:rPr>
        <w:t>排放标准》（GB</w:t>
      </w:r>
      <w:r>
        <w:rPr>
          <w:rFonts w:hint="eastAsia" w:ascii="仿宋" w:hAnsi="仿宋" w:eastAsia="仿宋" w:cs="仿宋"/>
          <w:sz w:val="32"/>
          <w:szCs w:val="32"/>
          <w:lang w:val="en-US" w:eastAsia="zh-CN"/>
        </w:rPr>
        <w:t>8978-1996</w:t>
      </w:r>
      <w:r>
        <w:rPr>
          <w:rFonts w:hint="eastAsia" w:ascii="仿宋" w:hAnsi="仿宋" w:eastAsia="仿宋" w:cs="仿宋"/>
          <w:sz w:val="32"/>
          <w:szCs w:val="32"/>
        </w:rPr>
        <w:t>）表</w:t>
      </w:r>
      <w:r>
        <w:rPr>
          <w:rFonts w:hint="eastAsia" w:ascii="仿宋" w:hAnsi="仿宋" w:eastAsia="仿宋" w:cs="仿宋"/>
          <w:sz w:val="32"/>
          <w:szCs w:val="32"/>
          <w:lang w:val="en-US" w:eastAsia="zh-CN"/>
        </w:rPr>
        <w:t>4</w:t>
      </w:r>
      <w:r>
        <w:rPr>
          <w:rFonts w:hint="eastAsia" w:ascii="仿宋" w:hAnsi="仿宋" w:eastAsia="仿宋" w:cs="仿宋"/>
          <w:sz w:val="32"/>
          <w:szCs w:val="32"/>
        </w:rPr>
        <w:t>中的</w:t>
      </w:r>
      <w:r>
        <w:rPr>
          <w:rFonts w:hint="eastAsia" w:ascii="仿宋" w:hAnsi="仿宋" w:eastAsia="仿宋" w:cs="仿宋"/>
          <w:sz w:val="32"/>
          <w:szCs w:val="32"/>
          <w:lang w:eastAsia="zh-CN"/>
        </w:rPr>
        <w:t>三</w:t>
      </w:r>
      <w:r>
        <w:rPr>
          <w:rFonts w:hint="eastAsia" w:ascii="仿宋" w:hAnsi="仿宋" w:eastAsia="仿宋" w:cs="仿宋"/>
          <w:sz w:val="32"/>
          <w:szCs w:val="32"/>
        </w:rPr>
        <w:t>级标准</w:t>
      </w:r>
      <w:r>
        <w:rPr>
          <w:rFonts w:hint="eastAsia" w:ascii="仿宋" w:hAnsi="仿宋" w:eastAsia="仿宋" w:cs="仿宋"/>
          <w:sz w:val="32"/>
          <w:szCs w:val="32"/>
          <w:lang w:eastAsia="zh-CN"/>
        </w:rPr>
        <w:t>后依托云梦方舟现有的污水提升泵引至食品加工园污水处理厂进行</w:t>
      </w:r>
      <w:r>
        <w:rPr>
          <w:rFonts w:hint="eastAsia" w:ascii="仿宋" w:hAnsi="仿宋" w:eastAsia="仿宋" w:cs="仿宋"/>
          <w:sz w:val="32"/>
          <w:szCs w:val="32"/>
        </w:rPr>
        <w:t>深度处理后达标排放。</w:t>
      </w:r>
    </w:p>
    <w:p>
      <w:pPr>
        <w:spacing w:after="0"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（三）做好项目大气污染防治工作。</w:t>
      </w:r>
      <w:r>
        <w:rPr>
          <w:rFonts w:hint="eastAsia" w:ascii="仿宋" w:hAnsi="仿宋" w:eastAsia="仿宋" w:cs="仿宋"/>
          <w:sz w:val="32"/>
          <w:szCs w:val="32"/>
          <w:lang w:eastAsia="zh-CN"/>
        </w:rPr>
        <w:t>应切实做好施工期粉尘的防治措施，在施工场地内严格按照</w:t>
      </w:r>
      <w:r>
        <w:rPr>
          <w:rFonts w:hint="default" w:ascii="仿宋" w:hAnsi="仿宋" w:eastAsia="仿宋" w:cs="仿宋"/>
          <w:sz w:val="32"/>
          <w:szCs w:val="32"/>
          <w:lang w:eastAsia="zh-CN"/>
        </w:rPr>
        <w:t>《益阳市扬尘污染防治条例》</w:t>
      </w:r>
      <w:r>
        <w:rPr>
          <w:rFonts w:hint="eastAsia" w:ascii="仿宋" w:hAnsi="仿宋" w:eastAsia="仿宋" w:cs="仿宋"/>
          <w:sz w:val="32"/>
          <w:szCs w:val="32"/>
          <w:lang w:eastAsia="zh-CN"/>
        </w:rPr>
        <w:t>中的相关要求做好洒水抑尘、车辆冲洗和建筑材料密闭输送等措施，确保粉尘满足《</w:t>
      </w:r>
      <w:r>
        <w:rPr>
          <w:rFonts w:hint="default" w:ascii="仿宋" w:hAnsi="仿宋" w:eastAsia="仿宋" w:cs="仿宋"/>
          <w:sz w:val="32"/>
          <w:szCs w:val="32"/>
          <w:lang w:eastAsia="zh-CN"/>
        </w:rPr>
        <w:t>大气污染物综合排放标准》（GB16297-1996）表2中无组织排放监控浓度限值</w:t>
      </w:r>
      <w:r>
        <w:rPr>
          <w:rFonts w:hint="eastAsia" w:ascii="仿宋" w:hAnsi="仿宋" w:eastAsia="仿宋" w:cs="仿宋"/>
          <w:sz w:val="32"/>
          <w:szCs w:val="32"/>
          <w:lang w:eastAsia="zh-CN"/>
        </w:rPr>
        <w:t>。项目竣工后的使用期做好垃圾收集站的密封措施，确保恶臭满足</w:t>
      </w:r>
      <w:r>
        <w:rPr>
          <w:rFonts w:hint="eastAsia" w:ascii="仿宋" w:hAnsi="仿宋" w:eastAsia="仿宋" w:cs="仿宋"/>
          <w:sz w:val="32"/>
          <w:szCs w:val="32"/>
          <w:lang w:val="en-US" w:eastAsia="zh-CN"/>
        </w:rPr>
        <w:t>《恶臭污染物排放标准》（GB14554-93）的相应限值；居民的厨房油烟废气应满足</w:t>
      </w:r>
      <w:r>
        <w:rPr>
          <w:rFonts w:hint="default" w:ascii="仿宋" w:hAnsi="仿宋" w:eastAsia="仿宋" w:cs="仿宋"/>
          <w:sz w:val="32"/>
          <w:szCs w:val="32"/>
          <w:lang w:eastAsia="zh-CN"/>
        </w:rPr>
        <w:t>《饮食业油烟排放标准（试行）》（GB18483-2001）中的最高允许排放浓度值（2mg/m</w:t>
      </w:r>
      <w:r>
        <w:rPr>
          <w:rFonts w:hint="default" w:ascii="仿宋" w:hAnsi="仿宋" w:eastAsia="仿宋" w:cs="仿宋"/>
          <w:sz w:val="32"/>
          <w:szCs w:val="32"/>
          <w:vertAlign w:val="superscript"/>
          <w:lang w:eastAsia="zh-CN"/>
        </w:rPr>
        <w:t>3</w:t>
      </w:r>
      <w:r>
        <w:rPr>
          <w:rFonts w:hint="default" w:ascii="仿宋" w:hAnsi="仿宋" w:eastAsia="仿宋" w:cs="仿宋"/>
          <w:sz w:val="32"/>
          <w:szCs w:val="32"/>
          <w:lang w:eastAsia="zh-CN"/>
        </w:rPr>
        <w:t>）</w:t>
      </w:r>
      <w:r>
        <w:rPr>
          <w:rFonts w:hint="eastAsia" w:ascii="仿宋" w:hAnsi="仿宋" w:eastAsia="仿宋" w:cs="仿宋"/>
          <w:sz w:val="32"/>
          <w:szCs w:val="32"/>
          <w:lang w:eastAsia="zh-CN"/>
        </w:rPr>
        <w:t>。</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（四）做好项目噪声污染防治工作。通过优化平面布局，选用低噪声设备，同时加强设备维护，并采取减振、隔声等措施，</w:t>
      </w:r>
      <w:r>
        <w:rPr>
          <w:rFonts w:hint="eastAsia" w:ascii="仿宋" w:hAnsi="仿宋" w:eastAsia="仿宋" w:cs="仿宋"/>
          <w:sz w:val="32"/>
          <w:szCs w:val="32"/>
          <w:lang w:eastAsia="zh-CN"/>
        </w:rPr>
        <w:t>确保</w:t>
      </w:r>
      <w:r>
        <w:rPr>
          <w:rFonts w:hint="default" w:ascii="仿宋" w:hAnsi="仿宋" w:eastAsia="仿宋" w:cs="仿宋"/>
          <w:sz w:val="32"/>
          <w:szCs w:val="32"/>
        </w:rPr>
        <w:t>施工期噪声执行《建筑施工厂界环境噪声排放标准》（GB12523-2011）限值</w:t>
      </w:r>
      <w:r>
        <w:rPr>
          <w:rFonts w:hint="eastAsia" w:ascii="仿宋" w:hAnsi="仿宋" w:eastAsia="仿宋" w:cs="仿宋"/>
          <w:sz w:val="32"/>
          <w:szCs w:val="32"/>
          <w:lang w:eastAsia="zh-CN"/>
        </w:rPr>
        <w:t>；</w:t>
      </w:r>
      <w:r>
        <w:rPr>
          <w:rFonts w:hint="default" w:ascii="仿宋" w:hAnsi="仿宋" w:eastAsia="仿宋" w:cs="仿宋"/>
          <w:sz w:val="32"/>
          <w:szCs w:val="32"/>
        </w:rPr>
        <w:t>运营期噪声</w:t>
      </w:r>
      <w:r>
        <w:rPr>
          <w:rFonts w:hint="default" w:ascii="仿宋" w:hAnsi="仿宋" w:eastAsia="仿宋" w:cs="仿宋"/>
          <w:sz w:val="32"/>
          <w:szCs w:val="32"/>
          <w:lang w:eastAsia="zh-CN"/>
        </w:rPr>
        <w:t>住宅区与商业区靠近益沅公路的</w:t>
      </w:r>
      <w:r>
        <w:rPr>
          <w:rFonts w:hint="default" w:ascii="仿宋" w:hAnsi="仿宋" w:eastAsia="仿宋" w:cs="仿宋"/>
          <w:sz w:val="32"/>
          <w:szCs w:val="32"/>
        </w:rPr>
        <w:t>35m红线范围内执行《社会生活环境噪声排放标准》（GB22337-2008）中的4类标准，其他区域执行2类标准。</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（五）加强对固体废物的分类管理控制。按要求设置</w:t>
      </w:r>
      <w:r>
        <w:rPr>
          <w:rFonts w:hint="eastAsia" w:ascii="仿宋" w:hAnsi="仿宋" w:eastAsia="仿宋" w:cs="仿宋"/>
          <w:sz w:val="32"/>
          <w:szCs w:val="32"/>
          <w:lang w:eastAsia="zh-CN"/>
        </w:rPr>
        <w:t>好垃圾收集站，每天应及时清理生活垃圾，并</w:t>
      </w:r>
      <w:r>
        <w:rPr>
          <w:rFonts w:hint="eastAsia" w:ascii="仿宋" w:hAnsi="仿宋" w:eastAsia="仿宋" w:cs="仿宋"/>
          <w:sz w:val="32"/>
          <w:szCs w:val="32"/>
        </w:rPr>
        <w:t>由环卫部门统一</w:t>
      </w:r>
      <w:r>
        <w:rPr>
          <w:rFonts w:hint="eastAsia" w:ascii="仿宋" w:hAnsi="仿宋" w:eastAsia="仿宋" w:cs="仿宋"/>
          <w:sz w:val="32"/>
          <w:szCs w:val="32"/>
          <w:lang w:eastAsia="zh-CN"/>
        </w:rPr>
        <w:t>清运</w:t>
      </w:r>
      <w:r>
        <w:rPr>
          <w:rFonts w:hint="eastAsia" w:ascii="仿宋" w:hAnsi="仿宋" w:eastAsia="仿宋" w:cs="仿宋"/>
          <w:sz w:val="32"/>
          <w:szCs w:val="32"/>
        </w:rPr>
        <w:t>，禁止乱堆乱放，随意外排。</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三、本项目的性质、规模、地点或者污染防治措施等发生重大变化时，应当重新向环保部门进行环评报批。</w:t>
      </w:r>
    </w:p>
    <w:p>
      <w:pPr>
        <w:spacing w:after="0"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、项目批复后，按《建设项目环境保护管理条例》的有关规定，及时办理项目竣工环保验收手续。</w:t>
      </w:r>
      <w:r>
        <w:rPr>
          <w:rFonts w:hint="eastAsia" w:ascii="仿宋" w:hAnsi="仿宋" w:eastAsia="仿宋" w:cs="仿宋"/>
          <w:sz w:val="32"/>
          <w:szCs w:val="32"/>
          <w:lang w:eastAsia="zh-CN"/>
        </w:rPr>
        <w:t>益阳市生态环境保护综合行政执法支</w:t>
      </w:r>
      <w:bookmarkStart w:id="0" w:name="_GoBack"/>
      <w:bookmarkEnd w:id="0"/>
      <w:r>
        <w:rPr>
          <w:rFonts w:hint="eastAsia" w:ascii="仿宋" w:hAnsi="仿宋" w:eastAsia="仿宋" w:cs="仿宋"/>
          <w:sz w:val="32"/>
          <w:szCs w:val="32"/>
          <w:lang w:eastAsia="zh-CN"/>
        </w:rPr>
        <w:t>队资阳大队和益阳市生态环境局资阳分局负责该项目“三同时”现场监督检查和日常环境管理。</w:t>
      </w:r>
    </w:p>
    <w:p>
      <w:pPr>
        <w:spacing w:line="240" w:lineRule="auto"/>
        <w:rPr>
          <w:rFonts w:ascii="Times New Roman" w:hAnsi="Times New Roman"/>
        </w:rPr>
      </w:pPr>
      <w:r>
        <w:rPr>
          <w:rFonts w:ascii="Times New Roman" w:hAnsi="Times New Roman"/>
        </w:rPr>
        <w:t xml:space="preserve">                </w:t>
      </w:r>
    </w:p>
    <w:p>
      <w:pPr>
        <w:spacing w:line="240" w:lineRule="auto"/>
        <w:ind w:firstLine="320" w:firstLineChars="100"/>
        <w:jc w:val="both"/>
        <w:rPr>
          <w:rFonts w:ascii="Times New Roman" w:hAnsi="Times New Roman" w:eastAsia="仿宋_GB2312"/>
          <w:sz w:val="32"/>
          <w:szCs w:val="32"/>
        </w:rPr>
      </w:pPr>
    </w:p>
    <w:p>
      <w:pPr>
        <w:spacing w:after="0" w:line="240" w:lineRule="auto"/>
        <w:jc w:val="right"/>
        <w:rPr>
          <w:rFonts w:ascii="仿宋" w:hAnsi="仿宋" w:eastAsia="仿宋" w:cs="仿宋"/>
          <w:sz w:val="32"/>
          <w:szCs w:val="32"/>
        </w:rPr>
      </w:pPr>
      <w:r>
        <w:rPr>
          <w:rFonts w:ascii="仿宋" w:hAnsi="仿宋" w:eastAsia="仿宋" w:cs="仿宋"/>
          <w:sz w:val="32"/>
          <w:szCs w:val="32"/>
        </w:rPr>
        <w:t xml:space="preserve">益阳市生态环境局资阳分局                            </w:t>
      </w:r>
    </w:p>
    <w:p>
      <w:pPr>
        <w:spacing w:after="0" w:line="240" w:lineRule="auto"/>
        <w:ind w:firstLine="640" w:firstLineChars="200"/>
        <w:jc w:val="both"/>
        <w:rPr>
          <w:rFonts w:ascii="仿宋" w:hAnsi="仿宋" w:eastAsia="仿宋" w:cs="仿宋"/>
          <w:sz w:val="32"/>
          <w:szCs w:val="32"/>
        </w:rPr>
      </w:pPr>
      <w:r>
        <w:rPr>
          <w:rFonts w:ascii="仿宋" w:hAnsi="仿宋" w:eastAsia="仿宋" w:cs="仿宋"/>
          <w:sz w:val="32"/>
          <w:szCs w:val="32"/>
        </w:rPr>
        <w:t xml:space="preserve">                            20</w:t>
      </w:r>
      <w:r>
        <w:rPr>
          <w:rFonts w:hint="eastAsia" w:ascii="仿宋" w:hAnsi="仿宋" w:eastAsia="仿宋" w:cs="仿宋"/>
          <w:sz w:val="32"/>
          <w:szCs w:val="32"/>
        </w:rPr>
        <w:t>20</w:t>
      </w:r>
      <w:r>
        <w:rPr>
          <w:rFonts w:ascii="仿宋" w:hAnsi="仿宋" w:eastAsia="仿宋" w:cs="仿宋"/>
          <w:sz w:val="32"/>
          <w:szCs w:val="32"/>
        </w:rPr>
        <w:t>年</w:t>
      </w:r>
      <w:r>
        <w:rPr>
          <w:rFonts w:hint="eastAsia" w:ascii="仿宋" w:hAnsi="仿宋" w:eastAsia="仿宋" w:cs="仿宋"/>
          <w:sz w:val="32"/>
          <w:szCs w:val="32"/>
          <w:lang w:val="en-US" w:eastAsia="zh-CN"/>
        </w:rPr>
        <w:t>12</w:t>
      </w:r>
      <w:r>
        <w:rPr>
          <w:rFonts w:ascii="仿宋" w:hAnsi="仿宋" w:eastAsia="仿宋" w:cs="仿宋"/>
          <w:sz w:val="32"/>
          <w:szCs w:val="32"/>
        </w:rPr>
        <w:t>月</w:t>
      </w:r>
      <w:r>
        <w:rPr>
          <w:rFonts w:hint="eastAsia" w:ascii="仿宋" w:hAnsi="仿宋" w:eastAsia="仿宋" w:cs="仿宋"/>
          <w:sz w:val="32"/>
          <w:szCs w:val="32"/>
          <w:lang w:val="en-US" w:eastAsia="zh-CN"/>
        </w:rPr>
        <w:t>25</w:t>
      </w:r>
      <w:r>
        <w:rPr>
          <w:rFonts w:ascii="仿宋" w:hAnsi="仿宋" w:eastAsia="仿宋" w:cs="仿宋"/>
          <w:sz w:val="32"/>
          <w:szCs w:val="32"/>
        </w:rPr>
        <w:t>日</w:t>
      </w:r>
    </w:p>
    <w:p>
      <w:pPr>
        <w:spacing w:line="240" w:lineRule="auto"/>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F9E2"/>
    <w:multiLevelType w:val="singleLevel"/>
    <w:tmpl w:val="69E3F9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82384"/>
    <w:rsid w:val="0EEF4BCF"/>
    <w:rsid w:val="23BC4CEB"/>
    <w:rsid w:val="28506E12"/>
    <w:rsid w:val="2AF14181"/>
    <w:rsid w:val="47EC3DBE"/>
    <w:rsid w:val="6739404F"/>
    <w:rsid w:val="67EE0651"/>
    <w:rsid w:val="79882384"/>
    <w:rsid w:val="7EC3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985"/>
      </w:tabs>
      <w:spacing w:after="120" w:afterLines="0"/>
      <w:ind w:left="420" w:leftChars="200" w:firstLine="420" w:firstLineChars="200"/>
    </w:pPr>
    <w:rPr>
      <w:sz w:val="21"/>
    </w:rPr>
  </w:style>
  <w:style w:type="paragraph" w:styleId="3">
    <w:name w:val="Body Text Indent"/>
    <w:basedOn w:val="1"/>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2020-11-09T00:54:00Z</dcterms:created>
  <dc:creator>巧</dc:creator>
  <cp:lastModifiedBy>Administrator</cp:lastModifiedBy>
  <dcterms:modified xsi:type="dcterms:W3CDTF">2020-12-29T03:18:09Z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