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00" w:lineRule="exact"/>
        <w:jc w:val="center"/>
        <w:rPr>
          <w:rFonts w:ascii="宋体" w:hAnsi="宋体"/>
          <w:bCs/>
          <w:sz w:val="32"/>
          <w:szCs w:val="32"/>
        </w:rPr>
      </w:pPr>
    </w:p>
    <w:p>
      <w:pPr>
        <w:pStyle w:val="2"/>
        <w:spacing w:line="500" w:lineRule="exact"/>
        <w:jc w:val="center"/>
        <w:rPr>
          <w:rFonts w:ascii="仿宋_GB2312" w:eastAsia="仿宋_GB2312"/>
          <w:spacing w:val="-20"/>
        </w:rPr>
      </w:pPr>
    </w:p>
    <w:p>
      <w:pPr>
        <w:pStyle w:val="2"/>
        <w:spacing w:line="500" w:lineRule="exact"/>
        <w:jc w:val="center"/>
        <w:rPr>
          <w:rFonts w:ascii="仿宋_GB2312" w:eastAsia="仿宋_GB2312"/>
          <w:spacing w:val="-20"/>
        </w:rPr>
      </w:pPr>
    </w:p>
    <w:p>
      <w:pPr>
        <w:spacing w:after="0" w:line="540" w:lineRule="exact"/>
        <w:jc w:val="right"/>
        <w:rPr>
          <w:rFonts w:ascii="仿宋" w:hAnsi="仿宋" w:eastAsia="仿宋" w:cs="Times New Roman"/>
          <w:kern w:val="2"/>
          <w:sz w:val="32"/>
          <w:szCs w:val="32"/>
        </w:rPr>
      </w:pPr>
      <w:bookmarkStart w:id="0" w:name="_GoBack"/>
      <w:r>
        <w:rPr>
          <w:rFonts w:hint="eastAsia" w:ascii="仿宋" w:hAnsi="仿宋" w:eastAsia="仿宋" w:cs="Times New Roman"/>
          <w:kern w:val="2"/>
          <w:sz w:val="32"/>
          <w:szCs w:val="32"/>
        </w:rPr>
        <w:t>益环审(表)〔2020〕</w:t>
      </w:r>
      <w:r>
        <w:rPr>
          <w:rFonts w:hint="eastAsia" w:ascii="仿宋" w:hAnsi="仿宋" w:eastAsia="仿宋" w:cs="Times New Roman"/>
          <w:kern w:val="2"/>
          <w:sz w:val="32"/>
          <w:szCs w:val="32"/>
          <w:lang w:val="en-US" w:eastAsia="zh-CN"/>
        </w:rPr>
        <w:t>144</w:t>
      </w:r>
      <w:r>
        <w:rPr>
          <w:rFonts w:hint="eastAsia" w:ascii="仿宋" w:hAnsi="仿宋" w:eastAsia="仿宋" w:cs="Times New Roman"/>
          <w:kern w:val="2"/>
          <w:sz w:val="32"/>
          <w:szCs w:val="32"/>
        </w:rPr>
        <w:t>号</w:t>
      </w:r>
      <w:bookmarkEnd w:id="0"/>
    </w:p>
    <w:p>
      <w:pPr>
        <w:tabs>
          <w:tab w:val="left" w:pos="1021"/>
        </w:tabs>
        <w:spacing w:after="0" w:line="64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益阳市生态环境局</w:t>
      </w:r>
    </w:p>
    <w:p>
      <w:pPr>
        <w:tabs>
          <w:tab w:val="left" w:pos="1021"/>
        </w:tabs>
        <w:spacing w:after="0" w:line="64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关于益阳市资阳区晶盛新能源有限公司</w:t>
      </w:r>
    </w:p>
    <w:p>
      <w:pPr>
        <w:tabs>
          <w:tab w:val="left" w:pos="1021"/>
        </w:tabs>
        <w:spacing w:after="0" w:line="640" w:lineRule="exact"/>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益阳资阳先锋湖平价上网50MWp</w:t>
      </w:r>
    </w:p>
    <w:p>
      <w:pPr>
        <w:tabs>
          <w:tab w:val="left" w:pos="1021"/>
        </w:tabs>
        <w:spacing w:after="0" w:line="64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渔光互补光伏项目环境影响报告表的</w:t>
      </w:r>
    </w:p>
    <w:p>
      <w:pPr>
        <w:tabs>
          <w:tab w:val="left" w:pos="1021"/>
        </w:tabs>
        <w:spacing w:after="0" w:line="64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批复</w:t>
      </w:r>
    </w:p>
    <w:p>
      <w:pPr>
        <w:spacing w:after="0" w:line="560" w:lineRule="exact"/>
        <w:jc w:val="both"/>
        <w:rPr>
          <w:rFonts w:ascii="仿宋" w:hAnsi="仿宋" w:eastAsia="仿宋" w:cs="Times New Roman"/>
          <w:kern w:val="2"/>
          <w:sz w:val="32"/>
          <w:szCs w:val="32"/>
        </w:rPr>
      </w:pPr>
    </w:p>
    <w:p>
      <w:pPr>
        <w:spacing w:after="0" w:line="560" w:lineRule="exact"/>
        <w:jc w:val="both"/>
        <w:rPr>
          <w:rFonts w:ascii="仿宋" w:hAnsi="仿宋" w:eastAsia="仿宋"/>
          <w:sz w:val="32"/>
          <w:szCs w:val="32"/>
        </w:rPr>
      </w:pPr>
      <w:r>
        <w:rPr>
          <w:rFonts w:hint="eastAsia" w:ascii="仿宋" w:hAnsi="仿宋" w:eastAsia="仿宋" w:cs="Times New Roman"/>
          <w:kern w:val="2"/>
          <w:sz w:val="32"/>
          <w:szCs w:val="32"/>
        </w:rPr>
        <w:t>益阳市资阳区晶盛新能源有限公司：</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sz w:val="32"/>
          <w:szCs w:val="32"/>
        </w:rPr>
        <w:t>你公司呈报的《关于申请批复&lt;</w:t>
      </w:r>
      <w:r>
        <w:rPr>
          <w:rFonts w:hint="eastAsia" w:ascii="仿宋" w:hAnsi="仿宋" w:eastAsia="仿宋" w:cs="Times New Roman"/>
          <w:kern w:val="2"/>
          <w:sz w:val="32"/>
          <w:szCs w:val="32"/>
        </w:rPr>
        <w:t>益阳市资阳区晶盛新能源有限公司</w:t>
      </w:r>
      <w:r>
        <w:rPr>
          <w:rFonts w:hint="eastAsia" w:ascii="仿宋" w:hAnsi="仿宋" w:eastAsia="仿宋" w:cs="Times New Roman"/>
          <w:sz w:val="32"/>
          <w:szCs w:val="32"/>
        </w:rPr>
        <w:t>益阳资阳先锋湖平价上网50MWp渔光互补光伏项目</w:t>
      </w:r>
      <w:r>
        <w:rPr>
          <w:rFonts w:hint="eastAsia" w:ascii="仿宋" w:hAnsi="仿宋" w:eastAsia="仿宋" w:cs="Times New Roman"/>
          <w:kern w:val="2"/>
          <w:sz w:val="32"/>
          <w:szCs w:val="32"/>
        </w:rPr>
        <w:t>环境影响报告表&gt;的报告》、益阳市生态环境局资阳分局的预审意见及相关材料收悉。经审查、研究，批复如下：</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一、益阳市资阳区晶盛新能源有限公司拟投资</w:t>
      </w:r>
      <w:r>
        <w:rPr>
          <w:rFonts w:ascii="仿宋" w:hAnsi="仿宋" w:eastAsia="仿宋" w:cs="Times New Roman"/>
          <w:kern w:val="2"/>
          <w:sz w:val="32"/>
          <w:szCs w:val="32"/>
        </w:rPr>
        <w:t>18136.18</w:t>
      </w:r>
      <w:r>
        <w:rPr>
          <w:rFonts w:hint="eastAsia" w:ascii="仿宋" w:hAnsi="仿宋" w:eastAsia="仿宋" w:cs="Times New Roman"/>
          <w:kern w:val="2"/>
          <w:sz w:val="32"/>
          <w:szCs w:val="32"/>
        </w:rPr>
        <w:t>万元，在</w:t>
      </w:r>
      <w:r>
        <w:rPr>
          <w:rFonts w:ascii="仿宋" w:hAnsi="仿宋" w:eastAsia="仿宋" w:cs="Times New Roman"/>
          <w:kern w:val="2"/>
          <w:sz w:val="32"/>
          <w:szCs w:val="32"/>
        </w:rPr>
        <w:t>益阳市</w:t>
      </w:r>
      <w:r>
        <w:rPr>
          <w:rFonts w:hint="eastAsia" w:ascii="仿宋" w:hAnsi="仿宋" w:eastAsia="仿宋" w:cs="Times New Roman"/>
          <w:kern w:val="2"/>
          <w:sz w:val="32"/>
          <w:szCs w:val="32"/>
        </w:rPr>
        <w:t>资</w:t>
      </w:r>
      <w:r>
        <w:rPr>
          <w:rFonts w:ascii="仿宋" w:hAnsi="仿宋" w:eastAsia="仿宋" w:cs="Times New Roman"/>
          <w:kern w:val="2"/>
          <w:sz w:val="32"/>
          <w:szCs w:val="32"/>
        </w:rPr>
        <w:t>阳区</w:t>
      </w:r>
      <w:r>
        <w:rPr>
          <w:rFonts w:hint="eastAsia" w:ascii="仿宋" w:hAnsi="仿宋" w:eastAsia="仿宋" w:cs="Times New Roman"/>
          <w:kern w:val="2"/>
          <w:sz w:val="32"/>
          <w:szCs w:val="32"/>
        </w:rPr>
        <w:t>长春</w:t>
      </w:r>
      <w:r>
        <w:rPr>
          <w:rFonts w:ascii="仿宋" w:hAnsi="仿宋" w:eastAsia="仿宋" w:cs="Times New Roman"/>
          <w:kern w:val="2"/>
          <w:sz w:val="32"/>
          <w:szCs w:val="32"/>
        </w:rPr>
        <w:t>镇租用</w:t>
      </w:r>
      <w:r>
        <w:rPr>
          <w:rFonts w:hint="eastAsia" w:ascii="仿宋" w:hAnsi="仿宋" w:eastAsia="仿宋" w:cs="Times New Roman"/>
          <w:kern w:val="2"/>
          <w:sz w:val="32"/>
          <w:szCs w:val="32"/>
        </w:rPr>
        <w:t>先锋</w:t>
      </w:r>
      <w:r>
        <w:rPr>
          <w:rFonts w:ascii="仿宋" w:hAnsi="仿宋" w:eastAsia="仿宋" w:cs="Times New Roman"/>
          <w:kern w:val="2"/>
          <w:sz w:val="32"/>
          <w:szCs w:val="32"/>
        </w:rPr>
        <w:t>湖</w:t>
      </w:r>
      <w:r>
        <w:rPr>
          <w:rFonts w:hint="eastAsia" w:ascii="仿宋" w:hAnsi="仿宋" w:eastAsia="仿宋" w:cs="Times New Roman"/>
          <w:kern w:val="2"/>
          <w:sz w:val="32"/>
          <w:szCs w:val="32"/>
        </w:rPr>
        <w:t>水面</w:t>
      </w:r>
      <w:r>
        <w:rPr>
          <w:rFonts w:ascii="仿宋" w:hAnsi="仿宋" w:eastAsia="仿宋" w:cs="Times New Roman"/>
          <w:kern w:val="2"/>
          <w:sz w:val="32"/>
          <w:szCs w:val="32"/>
        </w:rPr>
        <w:t>，</w:t>
      </w:r>
      <w:r>
        <w:rPr>
          <w:rFonts w:hint="eastAsia" w:ascii="仿宋" w:hAnsi="仿宋" w:eastAsia="仿宋" w:cs="Times New Roman"/>
          <w:kern w:val="2"/>
          <w:sz w:val="32"/>
          <w:szCs w:val="32"/>
        </w:rPr>
        <w:t xml:space="preserve">                                                                                                                                                          </w:t>
      </w:r>
      <w:r>
        <w:rPr>
          <w:rFonts w:ascii="仿宋" w:hAnsi="仿宋" w:eastAsia="仿宋" w:cs="Times New Roman"/>
          <w:kern w:val="2"/>
          <w:sz w:val="32"/>
          <w:szCs w:val="32"/>
        </w:rPr>
        <w:t>采用</w:t>
      </w:r>
      <w:r>
        <w:rPr>
          <w:rFonts w:hint="eastAsia" w:ascii="仿宋" w:hAnsi="仿宋" w:eastAsia="仿宋" w:cs="Times New Roman"/>
          <w:kern w:val="2"/>
          <w:sz w:val="32"/>
          <w:szCs w:val="32"/>
        </w:rPr>
        <w:t>固定倾角安装方式</w:t>
      </w:r>
      <w:r>
        <w:rPr>
          <w:rFonts w:ascii="仿宋" w:hAnsi="仿宋" w:eastAsia="仿宋" w:cs="Times New Roman"/>
          <w:kern w:val="2"/>
          <w:sz w:val="32"/>
          <w:szCs w:val="32"/>
        </w:rPr>
        <w:t>，</w:t>
      </w:r>
      <w:r>
        <w:rPr>
          <w:rFonts w:hint="eastAsia" w:ascii="仿宋" w:hAnsi="仿宋" w:eastAsia="仿宋" w:cs="Times New Roman"/>
          <w:kern w:val="2"/>
          <w:sz w:val="32"/>
          <w:szCs w:val="32"/>
        </w:rPr>
        <w:t>建设</w:t>
      </w:r>
      <w:r>
        <w:rPr>
          <w:rFonts w:hint="eastAsia" w:ascii="仿宋" w:hAnsi="仿宋" w:eastAsia="仿宋" w:cs="Times New Roman"/>
          <w:sz w:val="32"/>
          <w:szCs w:val="32"/>
        </w:rPr>
        <w:t>益阳资阳先锋湖平价上网50MWp渔光互补光伏项目</w:t>
      </w:r>
      <w:r>
        <w:rPr>
          <w:rFonts w:hint="eastAsia" w:ascii="仿宋" w:hAnsi="仿宋" w:eastAsia="仿宋" w:cs="Times New Roman"/>
          <w:kern w:val="2"/>
          <w:sz w:val="32"/>
          <w:szCs w:val="32"/>
        </w:rPr>
        <w:t>。项目占地</w:t>
      </w:r>
      <w:r>
        <w:rPr>
          <w:rFonts w:ascii="仿宋" w:hAnsi="仿宋" w:eastAsia="仿宋" w:cs="Times New Roman"/>
          <w:kern w:val="2"/>
          <w:sz w:val="32"/>
          <w:szCs w:val="32"/>
        </w:rPr>
        <w:t>53.67</w:t>
      </w:r>
      <w:r>
        <w:rPr>
          <w:rFonts w:hint="eastAsia" w:ascii="仿宋" w:hAnsi="仿宋" w:eastAsia="仿宋" w:cs="Times New Roman"/>
          <w:kern w:val="2"/>
          <w:sz w:val="32"/>
          <w:szCs w:val="32"/>
        </w:rPr>
        <w:t>万m</w:t>
      </w:r>
      <w:r>
        <w:rPr>
          <w:rFonts w:hint="eastAsia" w:ascii="仿宋" w:hAnsi="仿宋" w:eastAsia="仿宋" w:cs="Times New Roman"/>
          <w:kern w:val="2"/>
          <w:sz w:val="32"/>
          <w:szCs w:val="32"/>
          <w:vertAlign w:val="superscript"/>
        </w:rPr>
        <w:t>2</w:t>
      </w:r>
      <w:r>
        <w:rPr>
          <w:rFonts w:ascii="仿宋" w:hAnsi="仿宋" w:eastAsia="仿宋" w:cs="Times New Roman"/>
          <w:kern w:val="2"/>
          <w:sz w:val="32"/>
          <w:szCs w:val="32"/>
        </w:rPr>
        <w:t>（其中水域面积53.28</w:t>
      </w:r>
      <w:r>
        <w:rPr>
          <w:rFonts w:hint="eastAsia" w:ascii="仿宋" w:hAnsi="仿宋" w:eastAsia="仿宋" w:cs="Times New Roman"/>
          <w:kern w:val="2"/>
          <w:sz w:val="32"/>
          <w:szCs w:val="32"/>
        </w:rPr>
        <w:t>万m</w:t>
      </w:r>
      <w:r>
        <w:rPr>
          <w:rFonts w:hint="eastAsia" w:ascii="仿宋" w:hAnsi="仿宋" w:eastAsia="仿宋" w:cs="Times New Roman"/>
          <w:kern w:val="2"/>
          <w:sz w:val="32"/>
          <w:szCs w:val="32"/>
          <w:vertAlign w:val="superscript"/>
        </w:rPr>
        <w:t>2</w:t>
      </w:r>
      <w:r>
        <w:rPr>
          <w:rFonts w:ascii="仿宋" w:hAnsi="仿宋" w:eastAsia="仿宋" w:cs="Times New Roman"/>
          <w:kern w:val="2"/>
          <w:sz w:val="32"/>
          <w:szCs w:val="32"/>
        </w:rPr>
        <w:t>）</w:t>
      </w:r>
      <w:r>
        <w:rPr>
          <w:rFonts w:hint="eastAsia" w:ascii="仿宋" w:hAnsi="仿宋" w:eastAsia="仿宋" w:cs="Times New Roman"/>
          <w:kern w:val="2"/>
          <w:sz w:val="32"/>
          <w:szCs w:val="32"/>
        </w:rPr>
        <w:t>，主要建设内容包括在湖面安装13个3.85MW方阵，每个方阵由318串太阳电池组串单元并联而成，每个光伏组串由24块505Wp晶硅电池组件串联组成，配套建设1座110kV升压站及线路接入系统。</w:t>
      </w:r>
      <w:r>
        <w:rPr>
          <w:rFonts w:ascii="仿宋" w:hAnsi="仿宋" w:eastAsia="仿宋" w:cs="Times New Roman"/>
          <w:kern w:val="2"/>
          <w:sz w:val="32"/>
          <w:szCs w:val="32"/>
        </w:rPr>
        <w:t>光伏发电系统</w:t>
      </w:r>
      <w:r>
        <w:rPr>
          <w:rFonts w:hint="eastAsia" w:ascii="仿宋" w:hAnsi="仿宋" w:eastAsia="仿宋" w:cs="Times New Roman"/>
          <w:kern w:val="2"/>
          <w:sz w:val="32"/>
          <w:szCs w:val="32"/>
        </w:rPr>
        <w:t>主要</w:t>
      </w:r>
      <w:r>
        <w:rPr>
          <w:rFonts w:ascii="仿宋" w:hAnsi="仿宋" w:eastAsia="仿宋" w:cs="Times New Roman"/>
          <w:kern w:val="2"/>
          <w:sz w:val="32"/>
          <w:szCs w:val="32"/>
        </w:rPr>
        <w:t>包括光伏电池组件、组件支架、支架驱动及控制系统、支架基础、汇流箱、升压变电设备及基础、集电线路、升压站设备及基础和场内道路等</w:t>
      </w:r>
      <w:r>
        <w:rPr>
          <w:rFonts w:hint="eastAsia" w:ascii="仿宋" w:hAnsi="仿宋" w:eastAsia="仿宋" w:cs="Times New Roman"/>
          <w:kern w:val="2"/>
          <w:sz w:val="32"/>
          <w:szCs w:val="32"/>
        </w:rPr>
        <w:t>，项目总装机容量50MWp。</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项目符合国家产业政策，并取得益阳市资阳区人民政府“关于推进先锋湖渔光互补光伏发电项目建设专题会议纪要”（益资府阅〔2020〕16号）支持项目建设。根据湖南宝宜工程技术有限公司编制的环评报告表的分析结论和益阳市生态环境局资阳分局的预审意见，在建设单位认真落实报告表和本批复提出的各项生态环境保护措施，确保各项污染物稳定达标排放和湖水水质达标的前提下，我局原则同意益阳市资阳区晶盛新能源有限公司</w:t>
      </w:r>
      <w:r>
        <w:rPr>
          <w:rFonts w:hint="eastAsia" w:ascii="仿宋" w:hAnsi="仿宋" w:eastAsia="仿宋" w:cs="Times New Roman"/>
          <w:sz w:val="32"/>
          <w:szCs w:val="32"/>
        </w:rPr>
        <w:t>益阳资阳先锋湖平价上网50MWp渔光互补光伏项目</w:t>
      </w:r>
      <w:r>
        <w:rPr>
          <w:rFonts w:hint="eastAsia" w:ascii="仿宋" w:hAnsi="仿宋" w:eastAsia="仿宋" w:cs="Times New Roman"/>
          <w:kern w:val="2"/>
          <w:sz w:val="32"/>
          <w:szCs w:val="32"/>
        </w:rPr>
        <w:t>的选址并建设。</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二、你公司在工程设计、建设和运营管理中，必须切实落实环评提出的各项污染防治和风险防范措施要求，着重做好以下工作：</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（一）严格履行建设单位的环保主体责任，加强环境管理。建立环保规章制度和岗位责任制，配备专职或兼职环保管理人员，制定环境风险事故应急预案，落实事故应急防范措施，切实防范各类事故环境风险。</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（二）进一步对项目建设规模和设计安装方案进行论证，保障</w:t>
      </w:r>
      <w:r>
        <w:rPr>
          <w:rFonts w:ascii="仿宋" w:hAnsi="仿宋" w:eastAsia="仿宋" w:cs="Times New Roman"/>
          <w:kern w:val="2"/>
          <w:sz w:val="32"/>
          <w:szCs w:val="32"/>
        </w:rPr>
        <w:t>光伏方阵之间留有足够的光照空间</w:t>
      </w:r>
      <w:r>
        <w:rPr>
          <w:rFonts w:hint="eastAsia" w:ascii="仿宋" w:hAnsi="仿宋" w:eastAsia="仿宋" w:cs="Times New Roman"/>
          <w:kern w:val="2"/>
          <w:sz w:val="32"/>
          <w:szCs w:val="32"/>
        </w:rPr>
        <w:t>，确保先锋湖水生生态安全。</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（三）结合先锋湖水体保护、修复和当地农村环境综合整治，做好施工期的各项环境保护工作。</w:t>
      </w:r>
      <w:r>
        <w:rPr>
          <w:rFonts w:ascii="仿宋" w:hAnsi="仿宋" w:eastAsia="仿宋" w:cs="Times New Roman"/>
          <w:kern w:val="2"/>
          <w:sz w:val="32"/>
          <w:szCs w:val="32"/>
        </w:rPr>
        <w:t>施工过程中产生的扬尘、废气、废水、噪声、建筑垃圾及其固体废弃物</w:t>
      </w:r>
      <w:r>
        <w:rPr>
          <w:rFonts w:hint="eastAsia" w:ascii="仿宋" w:hAnsi="仿宋" w:eastAsia="仿宋" w:cs="Times New Roman"/>
          <w:kern w:val="2"/>
          <w:sz w:val="32"/>
          <w:szCs w:val="32"/>
        </w:rPr>
        <w:t>须严格按照环评报告提出的污染防治措施要求认真执行，减少项目建设对周边居民的环境影响，切实改善生态环境质量。</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（四）做好项目营运期的生态环境保护工作。光伏组件表面清洗不得使用影响湖水水质的清洗剂等；</w:t>
      </w:r>
      <w:r>
        <w:rPr>
          <w:rFonts w:ascii="仿宋" w:hAnsi="仿宋" w:eastAsia="仿宋" w:cs="Times New Roman"/>
          <w:kern w:val="2"/>
          <w:sz w:val="32"/>
          <w:szCs w:val="32"/>
        </w:rPr>
        <w:t>员</w:t>
      </w:r>
      <w:r>
        <w:rPr>
          <w:rFonts w:hint="eastAsia" w:ascii="仿宋" w:hAnsi="仿宋" w:eastAsia="仿宋" w:cs="Times New Roman"/>
          <w:kern w:val="2"/>
          <w:sz w:val="32"/>
          <w:szCs w:val="32"/>
        </w:rPr>
        <w:t>工</w:t>
      </w:r>
      <w:r>
        <w:rPr>
          <w:rFonts w:ascii="仿宋" w:hAnsi="仿宋" w:eastAsia="仿宋" w:cs="Times New Roman"/>
          <w:kern w:val="2"/>
          <w:sz w:val="32"/>
          <w:szCs w:val="32"/>
        </w:rPr>
        <w:t>生活污水经升压站污水一体化设施处理后用于周边</w:t>
      </w:r>
      <w:r>
        <w:rPr>
          <w:rFonts w:hint="eastAsia" w:ascii="仿宋" w:hAnsi="仿宋" w:eastAsia="仿宋" w:cs="Times New Roman"/>
          <w:kern w:val="2"/>
          <w:sz w:val="32"/>
          <w:szCs w:val="32"/>
        </w:rPr>
        <w:t>农田</w:t>
      </w:r>
      <w:r>
        <w:rPr>
          <w:rFonts w:ascii="仿宋" w:hAnsi="仿宋" w:eastAsia="仿宋" w:cs="Times New Roman"/>
          <w:kern w:val="2"/>
          <w:sz w:val="32"/>
          <w:szCs w:val="32"/>
        </w:rPr>
        <w:t>施肥，综合利用不外排</w:t>
      </w:r>
      <w:r>
        <w:rPr>
          <w:rFonts w:hint="eastAsia" w:ascii="仿宋" w:hAnsi="仿宋" w:eastAsia="仿宋" w:cs="Times New Roman"/>
          <w:kern w:val="2"/>
          <w:sz w:val="32"/>
          <w:szCs w:val="32"/>
        </w:rPr>
        <w:t>；废太阳能电池组件，退役蓄电池、变压器发生事故时泄漏的废变压器油等须严格按照</w:t>
      </w:r>
      <w:r>
        <w:rPr>
          <w:rFonts w:ascii="仿宋" w:hAnsi="仿宋" w:eastAsia="仿宋" w:cs="Times New Roman"/>
          <w:kern w:val="2"/>
          <w:sz w:val="32"/>
          <w:szCs w:val="32"/>
        </w:rPr>
        <w:t>《危险废物贮存污染控制标准》（GB18597-2001）及其修改单的要求进行临时贮存，</w:t>
      </w:r>
      <w:r>
        <w:rPr>
          <w:rFonts w:hint="eastAsia" w:ascii="仿宋" w:hAnsi="仿宋" w:eastAsia="仿宋" w:cs="Times New Roman"/>
          <w:kern w:val="2"/>
          <w:sz w:val="32"/>
          <w:szCs w:val="32"/>
        </w:rPr>
        <w:t>交有资质的单位进行处置，生活垃圾交由当地环卫部门处置；升压站变压器噪声采取措施确保厂界噪声达到《工业企业厂界环境噪声排放标准》（GB12348-2008）2类标准要求。</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（五）本项目涉及电磁辐射环境影响必须另行环评和报批。</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（六）项目服务期满后，公司</w:t>
      </w:r>
      <w:r>
        <w:rPr>
          <w:rFonts w:ascii="仿宋" w:hAnsi="仿宋" w:eastAsia="仿宋" w:cs="Times New Roman"/>
          <w:kern w:val="2"/>
          <w:sz w:val="32"/>
          <w:szCs w:val="32"/>
        </w:rPr>
        <w:t>需对电池组件及支架、变压器等全部进行拆除，恢复原貌。</w:t>
      </w:r>
    </w:p>
    <w:p>
      <w:pPr>
        <w:spacing w:after="0" w:line="560" w:lineRule="exact"/>
        <w:ind w:firstLine="480" w:firstLineChars="15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（七）你单位在未取得全部审批手续之前，不得实质性动工建设。</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三、项目建成后，按《建设项目环境保护管理条例》的有关规定，及时办理项目竣工环保验收手续，益阳市生态环境局资阳分局负责项目建设期间的“三同时”现场监督检查和日常环境管理。</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四、你公司须在收到本批复后 15 个工作日内，将本批复及项目环评报告表送益阳市生态环境局资阳分局。 </w:t>
      </w:r>
    </w:p>
    <w:p>
      <w:pPr>
        <w:spacing w:after="0" w:line="560" w:lineRule="exact"/>
        <w:ind w:firstLine="5280" w:firstLineChars="1650"/>
        <w:jc w:val="both"/>
        <w:rPr>
          <w:rFonts w:hint="eastAsia" w:ascii="仿宋" w:hAnsi="仿宋" w:eastAsia="仿宋" w:cs="Times New Roman"/>
          <w:kern w:val="2"/>
          <w:sz w:val="32"/>
          <w:szCs w:val="32"/>
        </w:rPr>
      </w:pPr>
    </w:p>
    <w:p>
      <w:pPr>
        <w:spacing w:after="0" w:line="560" w:lineRule="exact"/>
        <w:ind w:firstLine="5280" w:firstLineChars="1650"/>
        <w:jc w:val="both"/>
        <w:rPr>
          <w:rFonts w:hint="eastAsia" w:ascii="仿宋" w:hAnsi="仿宋" w:eastAsia="仿宋" w:cs="Times New Roman"/>
          <w:kern w:val="2"/>
          <w:sz w:val="32"/>
          <w:szCs w:val="32"/>
        </w:rPr>
      </w:pPr>
    </w:p>
    <w:p>
      <w:pPr>
        <w:spacing w:after="0" w:line="560" w:lineRule="exact"/>
        <w:ind w:firstLine="5280" w:firstLineChars="1650"/>
        <w:jc w:val="both"/>
        <w:rPr>
          <w:rFonts w:hint="eastAsia" w:ascii="仿宋" w:hAnsi="仿宋" w:eastAsia="仿宋" w:cs="Times New Roman"/>
          <w:kern w:val="2"/>
          <w:sz w:val="32"/>
          <w:szCs w:val="32"/>
        </w:rPr>
      </w:pPr>
    </w:p>
    <w:p>
      <w:pPr>
        <w:spacing w:after="0" w:line="560" w:lineRule="exact"/>
        <w:ind w:firstLine="5280" w:firstLineChars="1650"/>
        <w:jc w:val="both"/>
        <w:rPr>
          <w:rFonts w:ascii="仿宋" w:hAnsi="仿宋" w:eastAsia="仿宋" w:cs="Times New Roman"/>
          <w:kern w:val="2"/>
          <w:sz w:val="32"/>
          <w:szCs w:val="32"/>
        </w:rPr>
      </w:pPr>
      <w:r>
        <w:rPr>
          <w:rFonts w:hint="eastAsia" w:ascii="仿宋" w:hAnsi="仿宋" w:eastAsia="仿宋" w:cs="Times New Roman"/>
          <w:kern w:val="2"/>
          <w:sz w:val="32"/>
          <w:szCs w:val="32"/>
        </w:rPr>
        <w:t>益阳市生态环境局</w:t>
      </w:r>
    </w:p>
    <w:p>
      <w:pPr>
        <w:spacing w:after="0" w:line="560" w:lineRule="exact"/>
        <w:ind w:firstLine="5280" w:firstLineChars="1650"/>
        <w:jc w:val="both"/>
        <w:rPr>
          <w:rFonts w:ascii="仿宋" w:hAnsi="仿宋" w:eastAsia="仿宋" w:cs="Times New Roman"/>
          <w:kern w:val="2"/>
          <w:sz w:val="32"/>
          <w:szCs w:val="32"/>
        </w:rPr>
      </w:pPr>
      <w:r>
        <w:rPr>
          <w:rFonts w:hint="eastAsia" w:ascii="仿宋" w:hAnsi="仿宋" w:eastAsia="仿宋" w:cs="Times New Roman"/>
          <w:kern w:val="2"/>
          <w:sz w:val="32"/>
          <w:szCs w:val="32"/>
        </w:rPr>
        <w:t>2020年</w:t>
      </w:r>
      <w:r>
        <w:rPr>
          <w:rFonts w:hint="eastAsia" w:ascii="仿宋" w:hAnsi="仿宋" w:eastAsia="仿宋" w:cs="Times New Roman"/>
          <w:kern w:val="2"/>
          <w:sz w:val="32"/>
          <w:szCs w:val="32"/>
          <w:lang w:val="en-US" w:eastAsia="zh-CN"/>
        </w:rPr>
        <w:t>11</w:t>
      </w:r>
      <w:r>
        <w:rPr>
          <w:rFonts w:hint="eastAsia" w:ascii="仿宋" w:hAnsi="仿宋" w:eastAsia="仿宋" w:cs="Times New Roman"/>
          <w:kern w:val="2"/>
          <w:sz w:val="32"/>
          <w:szCs w:val="32"/>
        </w:rPr>
        <w:t>月</w:t>
      </w:r>
      <w:r>
        <w:rPr>
          <w:rFonts w:hint="eastAsia" w:ascii="仿宋" w:hAnsi="仿宋" w:eastAsia="仿宋" w:cs="Times New Roman"/>
          <w:kern w:val="2"/>
          <w:sz w:val="32"/>
          <w:szCs w:val="32"/>
          <w:lang w:val="en-US" w:eastAsia="zh-CN"/>
        </w:rPr>
        <w:t>27</w:t>
      </w:r>
      <w:r>
        <w:rPr>
          <w:rFonts w:hint="eastAsia" w:ascii="仿宋" w:hAnsi="仿宋" w:eastAsia="仿宋" w:cs="Times New Roman"/>
          <w:kern w:val="2"/>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4A9D"/>
    <w:rsid w:val="000831CE"/>
    <w:rsid w:val="000903DA"/>
    <w:rsid w:val="0009683E"/>
    <w:rsid w:val="000B5BF0"/>
    <w:rsid w:val="000C63D8"/>
    <w:rsid w:val="001219A4"/>
    <w:rsid w:val="0014477D"/>
    <w:rsid w:val="001778CB"/>
    <w:rsid w:val="002036AF"/>
    <w:rsid w:val="002376C9"/>
    <w:rsid w:val="00251D78"/>
    <w:rsid w:val="00277DE9"/>
    <w:rsid w:val="002D651C"/>
    <w:rsid w:val="002E6A35"/>
    <w:rsid w:val="00323B43"/>
    <w:rsid w:val="00350900"/>
    <w:rsid w:val="003D37D8"/>
    <w:rsid w:val="003E6262"/>
    <w:rsid w:val="00426133"/>
    <w:rsid w:val="004358AB"/>
    <w:rsid w:val="00464211"/>
    <w:rsid w:val="0047410B"/>
    <w:rsid w:val="00491CB0"/>
    <w:rsid w:val="004B42B4"/>
    <w:rsid w:val="004C0E42"/>
    <w:rsid w:val="004C7740"/>
    <w:rsid w:val="00513AE1"/>
    <w:rsid w:val="005319FB"/>
    <w:rsid w:val="00561048"/>
    <w:rsid w:val="006E31F7"/>
    <w:rsid w:val="0071168E"/>
    <w:rsid w:val="007279FD"/>
    <w:rsid w:val="00780749"/>
    <w:rsid w:val="0078791E"/>
    <w:rsid w:val="007975BD"/>
    <w:rsid w:val="00815A60"/>
    <w:rsid w:val="00842136"/>
    <w:rsid w:val="0084431C"/>
    <w:rsid w:val="008451E5"/>
    <w:rsid w:val="00865509"/>
    <w:rsid w:val="008A3A55"/>
    <w:rsid w:val="008B7726"/>
    <w:rsid w:val="008F0604"/>
    <w:rsid w:val="008F1E82"/>
    <w:rsid w:val="00957F67"/>
    <w:rsid w:val="009839F6"/>
    <w:rsid w:val="009E291C"/>
    <w:rsid w:val="009F04F0"/>
    <w:rsid w:val="00A034D1"/>
    <w:rsid w:val="00A216EE"/>
    <w:rsid w:val="00A30DEB"/>
    <w:rsid w:val="00A62C91"/>
    <w:rsid w:val="00AA1704"/>
    <w:rsid w:val="00AF14E0"/>
    <w:rsid w:val="00B20946"/>
    <w:rsid w:val="00B474D2"/>
    <w:rsid w:val="00B900C4"/>
    <w:rsid w:val="00BD7584"/>
    <w:rsid w:val="00BF7816"/>
    <w:rsid w:val="00C03337"/>
    <w:rsid w:val="00C157A7"/>
    <w:rsid w:val="00C5782F"/>
    <w:rsid w:val="00C91B76"/>
    <w:rsid w:val="00C95F7B"/>
    <w:rsid w:val="00CD609A"/>
    <w:rsid w:val="00D31119"/>
    <w:rsid w:val="00D31D50"/>
    <w:rsid w:val="00DA3E63"/>
    <w:rsid w:val="00E23102"/>
    <w:rsid w:val="00E30C33"/>
    <w:rsid w:val="00E34CFC"/>
    <w:rsid w:val="00EE697D"/>
    <w:rsid w:val="00F0513B"/>
    <w:rsid w:val="00F07554"/>
    <w:rsid w:val="00F23E55"/>
    <w:rsid w:val="00F352CA"/>
    <w:rsid w:val="00F4326A"/>
    <w:rsid w:val="00FC08F1"/>
    <w:rsid w:val="00FC6B53"/>
    <w:rsid w:val="036D52C7"/>
    <w:rsid w:val="091E5841"/>
    <w:rsid w:val="11225A49"/>
    <w:rsid w:val="15F859D6"/>
    <w:rsid w:val="171C17D2"/>
    <w:rsid w:val="1F1B381B"/>
    <w:rsid w:val="29C46012"/>
    <w:rsid w:val="2A2F7418"/>
    <w:rsid w:val="36333DB4"/>
    <w:rsid w:val="3C0E10D7"/>
    <w:rsid w:val="3D012EBC"/>
    <w:rsid w:val="3DAA48C5"/>
    <w:rsid w:val="3E891117"/>
    <w:rsid w:val="40A144C5"/>
    <w:rsid w:val="46582A8D"/>
    <w:rsid w:val="533F6AEB"/>
    <w:rsid w:val="54F031C7"/>
    <w:rsid w:val="5B466E86"/>
    <w:rsid w:val="634F54F8"/>
    <w:rsid w:val="66CA7644"/>
    <w:rsid w:val="6D156535"/>
    <w:rsid w:val="7FDE6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pPr>
      <w:spacing w:after="0"/>
    </w:pPr>
    <w:rPr>
      <w:sz w:val="18"/>
      <w:szCs w:val="18"/>
    </w:rPr>
  </w:style>
  <w:style w:type="paragraph" w:styleId="5">
    <w:name w:val="footer"/>
    <w:basedOn w:val="1"/>
    <w:link w:val="11"/>
    <w:unhideWhenUsed/>
    <w:qFormat/>
    <w:uiPriority w:val="99"/>
    <w:pPr>
      <w:tabs>
        <w:tab w:val="center" w:pos="4153"/>
        <w:tab w:val="right" w:pos="8306"/>
      </w:tabs>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ahoma" w:hAnsi="Tahoma"/>
      <w:sz w:val="18"/>
      <w:szCs w:val="18"/>
    </w:rPr>
  </w:style>
  <w:style w:type="character" w:customStyle="1" w:styleId="11">
    <w:name w:val="页脚 Char"/>
    <w:basedOn w:val="9"/>
    <w:link w:val="5"/>
    <w:qFormat/>
    <w:uiPriority w:val="99"/>
    <w:rPr>
      <w:rFonts w:ascii="Tahoma" w:hAnsi="Tahoma"/>
      <w:sz w:val="18"/>
      <w:szCs w:val="18"/>
    </w:rPr>
  </w:style>
  <w:style w:type="character" w:customStyle="1" w:styleId="12">
    <w:name w:val="正文文本 Char"/>
    <w:basedOn w:val="9"/>
    <w:link w:val="2"/>
    <w:qFormat/>
    <w:uiPriority w:val="0"/>
    <w:rPr>
      <w:rFonts w:ascii="Times New Roman" w:hAnsi="Times New Roman" w:eastAsia="宋体" w:cs="Times New Roman"/>
      <w:kern w:val="2"/>
      <w:sz w:val="21"/>
      <w:szCs w:val="24"/>
    </w:rPr>
  </w:style>
  <w:style w:type="paragraph" w:customStyle="1" w:styleId="13">
    <w:name w:val="正文 Char Char"/>
    <w:qFormat/>
    <w:uiPriority w:val="0"/>
    <w:pPr>
      <w:adjustRightInd w:val="0"/>
      <w:snapToGrid w:val="0"/>
      <w:spacing w:line="360" w:lineRule="auto"/>
      <w:ind w:firstLine="200" w:firstLineChars="200"/>
    </w:pPr>
    <w:rPr>
      <w:rFonts w:ascii="宋体" w:hAnsi="宋体" w:eastAsia="宋体" w:cs="Times New Roman"/>
      <w:sz w:val="24"/>
      <w:lang w:val="en-US" w:eastAsia="zh-CN" w:bidi="ar-SA"/>
    </w:rPr>
  </w:style>
  <w:style w:type="paragraph" w:customStyle="1" w:styleId="14">
    <w:name w:val="报告文本"/>
    <w:qFormat/>
    <w:uiPriority w:val="0"/>
    <w:pPr>
      <w:widowControl w:val="0"/>
      <w:spacing w:line="360" w:lineRule="auto"/>
      <w:ind w:firstLine="480" w:firstLineChars="200"/>
      <w:jc w:val="both"/>
    </w:pPr>
    <w:rPr>
      <w:rFonts w:ascii="Times New Roman" w:hAnsi="Times New Roman" w:eastAsiaTheme="minorEastAsia" w:cstheme="minorBidi"/>
      <w:kern w:val="2"/>
      <w:sz w:val="24"/>
      <w:szCs w:val="22"/>
      <w:lang w:val="en-US" w:eastAsia="zh-CN" w:bidi="ar-SA"/>
    </w:rPr>
  </w:style>
  <w:style w:type="character" w:customStyle="1" w:styleId="15">
    <w:name w:val="日期 Char"/>
    <w:basedOn w:val="9"/>
    <w:link w:val="3"/>
    <w:semiHidden/>
    <w:qFormat/>
    <w:uiPriority w:val="99"/>
    <w:rPr>
      <w:rFonts w:ascii="Tahoma" w:hAnsi="Tahoma"/>
      <w:sz w:val="22"/>
      <w:szCs w:val="22"/>
    </w:rPr>
  </w:style>
  <w:style w:type="character" w:customStyle="1" w:styleId="16">
    <w:name w:val="批注框文本 Char"/>
    <w:basedOn w:val="9"/>
    <w:link w:val="4"/>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256</Words>
  <Characters>1461</Characters>
  <Lines>12</Lines>
  <Paragraphs>3</Paragraphs>
  <TotalTime>11</TotalTime>
  <ScaleCrop>false</ScaleCrop>
  <LinksUpToDate>false</LinksUpToDate>
  <CharactersWithSpaces>1714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2020-11-23T04:38:00Z</dcterms:created>
  <dc:creator>Administrator</dc:creator>
  <cp:lastModifiedBy>哎哟</cp:lastModifiedBy>
  <cp:lastPrinted>2020-11-27T06:20:00Z</cp:lastPrinted>
  <dcterms:modified xsi:type="dcterms:W3CDTF">2020-11-27T07:13:35Z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