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auto"/>
          <w:szCs w:val="32"/>
        </w:rPr>
      </w:pPr>
      <w:r>
        <w:rPr>
          <w:rFonts w:hint="eastAsia" w:ascii="仿宋_GB2312" w:eastAsia="仿宋_GB2312"/>
          <w:color w:val="auto"/>
          <w:sz w:val="28"/>
          <w:szCs w:val="28"/>
        </w:rPr>
        <w:t>益环高审[2020]3</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号</w:t>
      </w:r>
    </w:p>
    <w:p>
      <w:pPr>
        <w:tabs>
          <w:tab w:val="left" w:pos="6240"/>
        </w:tabs>
        <w:spacing w:line="560" w:lineRule="exact"/>
        <w:jc w:val="righ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eastAsia="黑体"/>
          <w:w w:val="96"/>
          <w:sz w:val="44"/>
          <w:szCs w:val="44"/>
        </w:rPr>
      </w:pPr>
      <w:r>
        <w:rPr>
          <w:rFonts w:hint="eastAsia" w:ascii="方正小标宋简体" w:hAnsi="方正小标宋简体" w:eastAsia="方正小标宋简体" w:cs="方正小标宋简体"/>
          <w:b w:val="0"/>
          <w:bCs w:val="0"/>
          <w:w w:val="96"/>
          <w:sz w:val="44"/>
          <w:szCs w:val="44"/>
        </w:rPr>
        <w:t>关于</w:t>
      </w:r>
      <w:bookmarkStart w:id="0" w:name="_Hlk41641100"/>
      <w:r>
        <w:rPr>
          <w:rFonts w:hint="eastAsia" w:ascii="方正小标宋简体" w:hAnsi="方正小标宋简体" w:eastAsia="方正小标宋简体" w:cs="方正小标宋简体"/>
          <w:b w:val="0"/>
          <w:bCs w:val="0"/>
          <w:w w:val="96"/>
          <w:sz w:val="44"/>
          <w:szCs w:val="44"/>
        </w:rPr>
        <w:t>湖南金博碳素股份有限公司先进碳基复合材料产能扩建项目二</w:t>
      </w:r>
      <w:bookmarkStart w:id="1" w:name="_GoBack"/>
      <w:bookmarkEnd w:id="1"/>
      <w:r>
        <w:rPr>
          <w:rFonts w:hint="eastAsia" w:ascii="方正小标宋简体" w:hAnsi="方正小标宋简体" w:eastAsia="方正小标宋简体" w:cs="方正小标宋简体"/>
          <w:b w:val="0"/>
          <w:bCs w:val="0"/>
          <w:w w:val="96"/>
          <w:sz w:val="44"/>
          <w:szCs w:val="44"/>
        </w:rPr>
        <w:t>期环境影响报告表</w:t>
      </w:r>
      <w:bookmarkEnd w:id="0"/>
      <w:r>
        <w:rPr>
          <w:rFonts w:hint="eastAsia" w:ascii="方正小标宋简体" w:hAnsi="方正小标宋简体" w:eastAsia="方正小标宋简体" w:cs="方正小标宋简体"/>
          <w:b w:val="0"/>
          <w:bCs w:val="0"/>
          <w:w w:val="96"/>
          <w:sz w:val="44"/>
          <w:szCs w:val="44"/>
        </w:rPr>
        <w:t>的批复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pacing w:val="4"/>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Cs w:val="32"/>
          <w:lang w:eastAsia="zh-CN"/>
        </w:rPr>
      </w:pPr>
      <w:r>
        <w:rPr>
          <w:rFonts w:hint="eastAsia" w:ascii="仿宋_GB2312" w:hAnsi="仿宋_GB2312" w:eastAsia="仿宋_GB2312" w:cs="仿宋_GB2312"/>
          <w:b w:val="0"/>
          <w:bCs w:val="0"/>
          <w:color w:val="auto"/>
          <w:spacing w:val="4"/>
          <w:szCs w:val="32"/>
        </w:rPr>
        <w:t>湖南金博碳素股份有限公司</w:t>
      </w:r>
      <w:r>
        <w:rPr>
          <w:rFonts w:hint="eastAsia" w:ascii="仿宋_GB2312" w:hAnsi="仿宋_GB2312" w:eastAsia="仿宋_GB2312" w:cs="仿宋_GB2312"/>
          <w:b w:val="0"/>
          <w:bCs w:val="0"/>
          <w:color w:val="auto"/>
          <w:spacing w:val="4"/>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pacing w:val="4"/>
          <w:szCs w:val="32"/>
        </w:rPr>
        <w:t>你</w:t>
      </w:r>
      <w:r>
        <w:rPr>
          <w:rFonts w:hint="eastAsia" w:ascii="仿宋_GB2312" w:hAnsi="仿宋_GB2312" w:eastAsia="仿宋_GB2312" w:cs="仿宋_GB2312"/>
          <w:bCs/>
          <w:color w:val="auto"/>
          <w:szCs w:val="32"/>
        </w:rPr>
        <w:t>公司</w:t>
      </w:r>
      <w:r>
        <w:rPr>
          <w:rFonts w:hint="eastAsia" w:ascii="仿宋_GB2312" w:hAnsi="仿宋_GB2312" w:eastAsia="仿宋_GB2312" w:cs="仿宋_GB2312"/>
          <w:b w:val="0"/>
          <w:bCs w:val="0"/>
          <w:color w:val="auto"/>
          <w:spacing w:val="4"/>
          <w:szCs w:val="32"/>
        </w:rPr>
        <w:t>呈报的《湖南金博碳素股份有限公司先进碳基复合材料产能扩建项目二期环境影响报告表</w:t>
      </w:r>
      <w:r>
        <w:rPr>
          <w:rFonts w:hint="eastAsia" w:ascii="仿宋_GB2312" w:hAnsi="仿宋_GB2312" w:eastAsia="仿宋_GB2312" w:cs="仿宋_GB2312"/>
          <w:bCs/>
          <w:color w:val="auto"/>
          <w:szCs w:val="32"/>
        </w:rPr>
        <w:t>》</w:t>
      </w:r>
      <w:r>
        <w:rPr>
          <w:rFonts w:hint="eastAsia" w:ascii="仿宋_GB2312" w:hAnsi="仿宋_GB2312" w:eastAsia="仿宋_GB2312" w:cs="仿宋_GB2312"/>
          <w:color w:val="auto"/>
          <w:szCs w:val="32"/>
        </w:rPr>
        <w:t>及相关附件收悉。经研究，批复如下：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Cs/>
          <w:color w:val="auto"/>
          <w:szCs w:val="32"/>
        </w:rPr>
        <w:t>你公司</w:t>
      </w:r>
      <w:r>
        <w:rPr>
          <w:rFonts w:hint="eastAsia" w:ascii="仿宋_GB2312" w:hAnsi="仿宋_GB2312" w:eastAsia="仿宋_GB2312" w:cs="仿宋_GB2312"/>
          <w:bCs/>
          <w:color w:val="auto"/>
          <w:spacing w:val="4"/>
          <w:szCs w:val="32"/>
        </w:rPr>
        <w:t>拟</w:t>
      </w:r>
      <w:r>
        <w:rPr>
          <w:rFonts w:hint="eastAsia" w:ascii="仿宋_GB2312" w:hAnsi="仿宋_GB2312" w:eastAsia="仿宋_GB2312" w:cs="仿宋_GB2312"/>
          <w:color w:val="auto"/>
          <w:spacing w:val="4"/>
          <w:szCs w:val="32"/>
        </w:rPr>
        <w:t>投资</w:t>
      </w:r>
      <w:r>
        <w:rPr>
          <w:rFonts w:hint="eastAsia" w:ascii="仿宋_GB2312" w:hAnsi="仿宋_GB2312" w:eastAsia="仿宋_GB2312" w:cs="仿宋_GB2312"/>
          <w:color w:val="auto"/>
          <w:szCs w:val="32"/>
        </w:rPr>
        <w:t>38077.68</w:t>
      </w:r>
      <w:r>
        <w:rPr>
          <w:rFonts w:hint="eastAsia" w:ascii="仿宋_GB2312" w:hAnsi="仿宋_GB2312" w:eastAsia="仿宋_GB2312" w:cs="仿宋_GB2312"/>
          <w:color w:val="auto"/>
          <w:spacing w:val="4"/>
          <w:szCs w:val="32"/>
        </w:rPr>
        <w:t>万元</w:t>
      </w:r>
      <w:r>
        <w:rPr>
          <w:rFonts w:hint="eastAsia" w:ascii="仿宋_GB2312" w:hAnsi="仿宋_GB2312" w:eastAsia="仿宋_GB2312" w:cs="仿宋_GB2312"/>
          <w:color w:val="auto"/>
          <w:szCs w:val="32"/>
        </w:rPr>
        <w:t>在益阳高新区东部产业园银城大道以东、鑫兴嘉德科技有限公司项目以南、如舟路以西、鱼形山路以北</w:t>
      </w:r>
      <w:r>
        <w:rPr>
          <w:rFonts w:hint="eastAsia" w:ascii="仿宋_GB2312" w:hAnsi="仿宋_GB2312" w:eastAsia="仿宋_GB2312" w:cs="仿宋_GB2312"/>
          <w:color w:val="auto"/>
          <w:szCs w:val="32"/>
          <w:lang w:eastAsia="zh-CN"/>
        </w:rPr>
        <w:t>实施</w:t>
      </w:r>
      <w:r>
        <w:rPr>
          <w:rFonts w:hint="eastAsia" w:ascii="仿宋_GB2312" w:hAnsi="仿宋_GB2312" w:eastAsia="仿宋_GB2312" w:cs="仿宋_GB2312"/>
          <w:b w:val="0"/>
          <w:bCs w:val="0"/>
          <w:color w:val="auto"/>
          <w:spacing w:val="4"/>
          <w:szCs w:val="32"/>
        </w:rPr>
        <w:t>先进碳基复合材料产能扩建项目二期</w:t>
      </w:r>
      <w:r>
        <w:rPr>
          <w:rFonts w:hint="eastAsia" w:ascii="仿宋_GB2312" w:hAnsi="仿宋_GB2312" w:eastAsia="仿宋_GB2312" w:cs="仿宋_GB2312"/>
          <w:b w:val="0"/>
          <w:bCs w:val="0"/>
          <w:color w:val="auto"/>
          <w:spacing w:val="4"/>
          <w:szCs w:val="32"/>
          <w:lang w:eastAsia="zh-CN"/>
        </w:rPr>
        <w:t>建设。项目总用地面积</w:t>
      </w:r>
      <w:r>
        <w:rPr>
          <w:rFonts w:hint="eastAsia" w:ascii="仿宋_GB2312" w:hAnsi="仿宋_GB2312" w:eastAsia="仿宋_GB2312" w:cs="仿宋_GB2312"/>
          <w:color w:val="auto"/>
          <w:szCs w:val="32"/>
        </w:rPr>
        <w:t>52484.03</w:t>
      </w:r>
      <w:r>
        <w:rPr>
          <w:rFonts w:hint="eastAsia" w:ascii="仿宋_GB2312" w:hAnsi="仿宋_GB2312" w:eastAsia="仿宋_GB2312" w:cs="仿宋_GB2312"/>
          <w:color w:val="auto"/>
          <w:szCs w:val="32"/>
          <w:lang w:eastAsia="zh-CN"/>
        </w:rPr>
        <w:t>平方米</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eastAsia="zh-CN"/>
        </w:rPr>
        <w:t>其中新增用地</w:t>
      </w:r>
      <w:r>
        <w:rPr>
          <w:rFonts w:hint="eastAsia" w:ascii="仿宋_GB2312" w:hAnsi="仿宋_GB2312" w:eastAsia="仿宋_GB2312" w:cs="仿宋_GB2312"/>
          <w:color w:val="auto"/>
          <w:szCs w:val="32"/>
          <w:lang w:val="en-US" w:eastAsia="zh-CN"/>
        </w:rPr>
        <w:t>19101.73平方米，新增碳基复合材料产能350吨/年，改扩建后整体产能达到550吨/年。项目</w:t>
      </w:r>
      <w:r>
        <w:rPr>
          <w:rFonts w:hint="eastAsia" w:ascii="仿宋_GB2312" w:hAnsi="仿宋_GB2312" w:eastAsia="仿宋_GB2312" w:cs="仿宋_GB2312"/>
          <w:color w:val="auto"/>
          <w:spacing w:val="0"/>
          <w:sz w:val="32"/>
          <w:szCs w:val="32"/>
          <w:lang w:val="en-US" w:eastAsia="zh-CN"/>
        </w:rPr>
        <w:t>用地</w:t>
      </w:r>
      <w:r>
        <w:rPr>
          <w:rFonts w:hint="eastAsia" w:ascii="仿宋_GB2312" w:hAnsi="仿宋_GB2312" w:eastAsia="仿宋_GB2312" w:cs="仿宋_GB2312"/>
          <w:color w:val="auto"/>
          <w:szCs w:val="32"/>
          <w:lang w:val="en-US" w:eastAsia="zh-CN"/>
        </w:rPr>
        <w:t>内分区设置</w:t>
      </w:r>
      <w:r>
        <w:rPr>
          <w:rFonts w:hint="eastAsia" w:ascii="仿宋_GB2312" w:hAnsi="仿宋_GB2312" w:eastAsia="仿宋_GB2312" w:cs="仿宋_GB2312"/>
        </w:rPr>
        <w:t>热处理车间</w:t>
      </w:r>
      <w:r>
        <w:rPr>
          <w:rFonts w:hint="eastAsia" w:ascii="仿宋_GB2312" w:hAnsi="仿宋_GB2312" w:eastAsia="仿宋_GB2312" w:cs="仿宋_GB2312"/>
          <w:lang w:eastAsia="zh-CN"/>
        </w:rPr>
        <w:t>、</w:t>
      </w:r>
      <w:r>
        <w:rPr>
          <w:rFonts w:hint="eastAsia" w:ascii="仿宋_GB2312" w:hAnsi="仿宋_GB2312" w:eastAsia="仿宋_GB2312" w:cs="仿宋_GB2312"/>
        </w:rPr>
        <w:t>预制体</w:t>
      </w:r>
      <w:r>
        <w:rPr>
          <w:rFonts w:hint="eastAsia" w:ascii="仿宋_GB2312" w:hAnsi="仿宋_GB2312" w:eastAsia="仿宋_GB2312" w:cs="仿宋_GB2312"/>
          <w:lang w:eastAsia="zh-CN"/>
        </w:rPr>
        <w:t>车间、</w:t>
      </w:r>
      <w:r>
        <w:rPr>
          <w:rFonts w:hint="eastAsia" w:ascii="仿宋_GB2312" w:hAnsi="仿宋_GB2312" w:eastAsia="仿宋_GB2312" w:cs="仿宋_GB2312"/>
        </w:rPr>
        <w:t>机加工车间</w:t>
      </w:r>
      <w:r>
        <w:rPr>
          <w:rFonts w:hint="eastAsia" w:ascii="仿宋_GB2312" w:hAnsi="仿宋_GB2312" w:eastAsia="仿宋_GB2312" w:cs="仿宋_GB2312"/>
          <w:color w:val="auto"/>
          <w:szCs w:val="32"/>
          <w:lang w:val="en-US" w:eastAsia="zh-CN"/>
        </w:rPr>
        <w:t>、研发中心、</w:t>
      </w:r>
      <w:r>
        <w:rPr>
          <w:rFonts w:hint="eastAsia" w:ascii="仿宋_GB2312" w:hAnsi="仿宋_GB2312" w:eastAsia="仿宋_GB2312" w:cs="仿宋_GB2312"/>
          <w:color w:val="auto"/>
          <w:u w:val="none"/>
        </w:rPr>
        <w:t>办公楼</w:t>
      </w:r>
      <w:r>
        <w:rPr>
          <w:rFonts w:hint="eastAsia" w:ascii="仿宋_GB2312" w:hAnsi="仿宋_GB2312" w:eastAsia="仿宋_GB2312" w:cs="仿宋_GB2312"/>
          <w:color w:val="auto"/>
          <w:spacing w:val="4"/>
          <w:szCs w:val="32"/>
          <w:lang w:eastAsia="zh-CN"/>
        </w:rPr>
        <w:t>、宿舍楼、食堂</w:t>
      </w:r>
      <w:r>
        <w:rPr>
          <w:rFonts w:hint="eastAsia" w:ascii="仿宋_GB2312" w:hAnsi="仿宋_GB2312" w:eastAsia="仿宋_GB2312" w:cs="仿宋_GB2312"/>
          <w:color w:val="auto"/>
          <w:spacing w:val="0"/>
          <w:sz w:val="32"/>
          <w:szCs w:val="32"/>
          <w:lang w:eastAsia="zh-CN"/>
        </w:rPr>
        <w:t>及</w:t>
      </w:r>
      <w:r>
        <w:rPr>
          <w:rFonts w:hint="eastAsia" w:ascii="仿宋_GB2312" w:hAnsi="仿宋_GB2312" w:eastAsia="仿宋_GB2312" w:cs="仿宋_GB2312"/>
          <w:color w:val="auto"/>
          <w:spacing w:val="0"/>
          <w:sz w:val="32"/>
          <w:szCs w:val="32"/>
          <w:lang w:val="en-US" w:eastAsia="zh-CN"/>
        </w:rPr>
        <w:t>给排水、供配电、环保等相关公用辅助工程。项目建设符合国家产</w:t>
      </w:r>
      <w:r>
        <w:rPr>
          <w:rFonts w:hint="eastAsia" w:ascii="仿宋_GB2312" w:hAnsi="仿宋_GB2312" w:eastAsia="仿宋_GB2312" w:cs="仿宋_GB2312"/>
          <w:color w:val="000000"/>
          <w:spacing w:val="0"/>
          <w:sz w:val="32"/>
          <w:szCs w:val="32"/>
          <w:lang w:val="en-US" w:eastAsia="zh-CN"/>
        </w:rPr>
        <w:t>业政策和</w:t>
      </w:r>
      <w:r>
        <w:rPr>
          <w:rFonts w:hint="eastAsia" w:ascii="仿宋_GB2312" w:hAnsi="仿宋_GB2312" w:eastAsia="仿宋_GB2312" w:cs="仿宋_GB2312"/>
          <w:color w:val="000000"/>
          <w:spacing w:val="0"/>
          <w:sz w:val="32"/>
          <w:szCs w:val="32"/>
        </w:rPr>
        <w:t>益阳高新区东部产业园</w:t>
      </w:r>
      <w:r>
        <w:rPr>
          <w:rFonts w:hint="eastAsia" w:ascii="仿宋_GB2312" w:hAnsi="仿宋_GB2312" w:eastAsia="仿宋_GB2312" w:cs="仿宋_GB2312"/>
          <w:color w:val="000000"/>
          <w:spacing w:val="0"/>
          <w:sz w:val="32"/>
          <w:szCs w:val="32"/>
          <w:lang w:val="en-US" w:eastAsia="zh-CN"/>
        </w:rPr>
        <w:t>选址用地规划要求</w:t>
      </w:r>
      <w:r>
        <w:rPr>
          <w:rFonts w:hint="eastAsia" w:ascii="仿宋_GB2312" w:hAnsi="仿宋_GB2312" w:eastAsia="仿宋_GB2312" w:cs="仿宋_GB2312"/>
          <w:color w:val="000000"/>
          <w:spacing w:val="0"/>
          <w:sz w:val="32"/>
          <w:szCs w:val="32"/>
        </w:rPr>
        <w:t>。根</w:t>
      </w:r>
      <w:r>
        <w:rPr>
          <w:rFonts w:hint="eastAsia" w:ascii="仿宋_GB2312" w:hAnsi="仿宋_GB2312" w:eastAsia="仿宋_GB2312" w:cs="仿宋_GB2312"/>
          <w:color w:val="auto"/>
          <w:spacing w:val="0"/>
          <w:sz w:val="32"/>
          <w:szCs w:val="32"/>
          <w:lang w:val="en-US" w:eastAsia="zh-CN"/>
        </w:rPr>
        <w:t>据湖南宏晟环保技术研究院有限公司编</w:t>
      </w:r>
      <w:r>
        <w:rPr>
          <w:rFonts w:hint="eastAsia" w:ascii="仿宋_GB2312" w:hAnsi="仿宋_GB2312" w:eastAsia="仿宋_GB2312" w:cs="仿宋_GB2312"/>
          <w:color w:val="000000"/>
          <w:spacing w:val="0"/>
          <w:sz w:val="32"/>
          <w:szCs w:val="32"/>
          <w:lang w:eastAsia="zh-CN"/>
        </w:rPr>
        <w:t>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建设单位在项目设计、建设和营运期间，必须严格执行环保“三同时”制度，按照环评报告表要求落实各项污染防治措施，并着重做好如下工作：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pacing w:val="0"/>
          <w:sz w:val="32"/>
          <w:szCs w:val="32"/>
          <w:lang w:val="en-US" w:eastAsia="zh-CN"/>
        </w:rPr>
        <w:t>做好项目大气污染防治工作。加强车间通风换气，CVD沉积炉废气经管道自然冷却</w:t>
      </w:r>
      <w:r>
        <w:rPr>
          <w:rFonts w:hint="eastAsia"/>
          <w:color w:val="000000"/>
          <w:szCs w:val="21"/>
          <w:lang w:eastAsia="zh-CN"/>
        </w:rPr>
        <w:t>后</w:t>
      </w:r>
      <w:r>
        <w:rPr>
          <w:rFonts w:hint="eastAsia" w:ascii="仿宋_GB2312" w:eastAsia="仿宋_GB2312"/>
          <w:color w:val="auto"/>
          <w:spacing w:val="4"/>
          <w:szCs w:val="32"/>
          <w:lang w:eastAsia="zh-CN"/>
        </w:rPr>
        <w:t>经</w:t>
      </w:r>
      <w:r>
        <w:rPr>
          <w:rFonts w:hint="eastAsia" w:ascii="仿宋_GB2312" w:eastAsia="仿宋_GB2312"/>
          <w:color w:val="auto"/>
          <w:spacing w:val="4"/>
          <w:szCs w:val="32"/>
        </w:rPr>
        <w:t>15米高排气筒排放</w:t>
      </w:r>
      <w:r>
        <w:rPr>
          <w:rFonts w:hint="eastAsia" w:ascii="仿宋_GB2312" w:hAnsi="仿宋_GB2312" w:eastAsia="仿宋_GB2312" w:cs="仿宋_GB2312"/>
          <w:color w:val="000000"/>
          <w:spacing w:val="0"/>
          <w:sz w:val="32"/>
          <w:szCs w:val="32"/>
          <w:lang w:val="en-US" w:eastAsia="zh-CN"/>
        </w:rPr>
        <w:t>，机加工粉尘经</w:t>
      </w:r>
      <w:r>
        <w:rPr>
          <w:rFonts w:hint="eastAsia" w:ascii="仿宋_GB2312" w:hAnsi="仿宋_GB2312" w:eastAsia="仿宋_GB2312" w:cs="仿宋_GB2312"/>
          <w:spacing w:val="4"/>
          <w:szCs w:val="32"/>
        </w:rPr>
        <w:t>布袋除尘器</w:t>
      </w:r>
      <w:r>
        <w:rPr>
          <w:rFonts w:hint="eastAsia" w:ascii="仿宋_GB2312" w:hAnsi="仿宋_GB2312" w:eastAsia="仿宋_GB2312" w:cs="仿宋_GB2312"/>
          <w:color w:val="000000"/>
          <w:spacing w:val="0"/>
          <w:sz w:val="32"/>
          <w:szCs w:val="32"/>
          <w:lang w:val="en-US" w:eastAsia="zh-CN"/>
        </w:rPr>
        <w:t>处理后通过15米高排气筒排放，确保外排污染物满足《大气污染物综合排放标准》（GB16297-1996）表2中二级标准及无组织排放监控浓度限值要求；食堂油烟经油烟净化装置处理达到《饮食业油烟排放标准（试行）》（GB18483-2001）要求后高空排放，油烟排气筒的高度、位置等具体要求按照《饮食业环境保护技术规范》（HJ554-2010）的规定执行。</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做好项目水污染防治工作。</w:t>
      </w:r>
      <w:r>
        <w:rPr>
          <w:rFonts w:hint="eastAsia" w:ascii="仿宋_GB2312" w:hAnsi="仿宋_GB2312" w:eastAsia="仿宋_GB2312" w:cs="仿宋_GB2312"/>
          <w:color w:val="000000"/>
          <w:spacing w:val="4"/>
          <w:szCs w:val="32"/>
        </w:rPr>
        <w:t>厂区排水必须实行雨污分流，认真落实</w:t>
      </w:r>
      <w:r>
        <w:rPr>
          <w:rFonts w:hint="eastAsia" w:ascii="仿宋_GB2312" w:hAnsi="仿宋_GB2312" w:eastAsia="仿宋_GB2312" w:cs="仿宋_GB2312"/>
          <w:szCs w:val="32"/>
        </w:rPr>
        <w:t>报告表</w:t>
      </w:r>
      <w:r>
        <w:rPr>
          <w:rFonts w:hint="eastAsia" w:ascii="仿宋_GB2312" w:hAnsi="仿宋_GB2312" w:eastAsia="仿宋_GB2312" w:cs="仿宋_GB2312"/>
          <w:color w:val="000000"/>
          <w:spacing w:val="4"/>
          <w:szCs w:val="32"/>
        </w:rPr>
        <w:t>提出的废水处理方案。食堂废水经隔油池处理后和生活污水一起进入化粪池处理，</w:t>
      </w:r>
      <w:r>
        <w:rPr>
          <w:rFonts w:hint="eastAsia" w:ascii="仿宋_GB2312" w:hAnsi="仿宋_GB2312" w:eastAsia="仿宋_GB2312" w:cs="仿宋_GB2312"/>
          <w:color w:val="000000"/>
          <w:spacing w:val="4"/>
          <w:szCs w:val="32"/>
          <w:lang w:eastAsia="zh-CN"/>
        </w:rPr>
        <w:t>确保预处理后的废水</w:t>
      </w:r>
      <w:r>
        <w:rPr>
          <w:rFonts w:hint="eastAsia" w:ascii="仿宋_GB2312" w:hAnsi="仿宋_GB2312" w:eastAsia="仿宋_GB2312" w:cs="仿宋_GB2312"/>
          <w:color w:val="000000"/>
          <w:spacing w:val="4"/>
          <w:szCs w:val="32"/>
        </w:rPr>
        <w:t>达到《污水综合排放标准》（GB8978-1996）表4中三级标准后经园区污水管网排入益阳</w:t>
      </w:r>
      <w:r>
        <w:rPr>
          <w:rFonts w:hint="eastAsia" w:ascii="仿宋_GB2312" w:hAnsi="仿宋_GB2312" w:eastAsia="仿宋_GB2312" w:cs="仿宋_GB2312"/>
          <w:color w:val="000000"/>
          <w:spacing w:val="4"/>
          <w:szCs w:val="32"/>
          <w:lang w:eastAsia="zh-CN"/>
        </w:rPr>
        <w:t>市</w:t>
      </w:r>
      <w:r>
        <w:rPr>
          <w:rFonts w:hint="eastAsia" w:ascii="仿宋_GB2312" w:hAnsi="仿宋_GB2312" w:eastAsia="仿宋_GB2312" w:cs="仿宋_GB2312"/>
          <w:color w:val="000000"/>
          <w:spacing w:val="4"/>
          <w:szCs w:val="32"/>
        </w:rPr>
        <w:t>东部新</w:t>
      </w:r>
      <w:r>
        <w:rPr>
          <w:rFonts w:hint="eastAsia" w:ascii="仿宋_GB2312" w:hAnsi="仿宋_GB2312" w:eastAsia="仿宋_GB2312" w:cs="仿宋_GB2312"/>
          <w:color w:val="auto"/>
          <w:spacing w:val="4"/>
          <w:szCs w:val="32"/>
        </w:rPr>
        <w:t>区污水处理厂进行深度处理</w:t>
      </w:r>
      <w:r>
        <w:rPr>
          <w:rFonts w:hint="eastAsia" w:ascii="仿宋_GB2312" w:hAnsi="仿宋_GB2312" w:eastAsia="仿宋_GB2312" w:cs="仿宋_GB2312"/>
          <w:color w:val="auto"/>
          <w:spacing w:val="4"/>
          <w:szCs w:val="32"/>
          <w:lang w:eastAsia="zh-CN"/>
        </w:rPr>
        <w:t>；</w:t>
      </w:r>
      <w:r>
        <w:rPr>
          <w:rFonts w:hint="eastAsia" w:ascii="仿宋_GB2312" w:hAnsi="仿宋_GB2312" w:eastAsia="仿宋_GB2312" w:cs="仿宋_GB2312"/>
          <w:color w:val="auto"/>
          <w:spacing w:val="4"/>
          <w:szCs w:val="32"/>
        </w:rPr>
        <w:t>设备冷却</w:t>
      </w:r>
      <w:r>
        <w:rPr>
          <w:rFonts w:hint="eastAsia" w:ascii="仿宋_GB2312" w:hAnsi="仿宋_GB2312" w:eastAsia="仿宋_GB2312" w:cs="仿宋_GB2312"/>
          <w:color w:val="auto"/>
          <w:spacing w:val="4"/>
          <w:szCs w:val="32"/>
          <w:lang w:eastAsia="zh-CN"/>
        </w:rPr>
        <w:t>用</w:t>
      </w:r>
      <w:r>
        <w:rPr>
          <w:rFonts w:hint="eastAsia" w:ascii="仿宋_GB2312" w:hAnsi="仿宋_GB2312" w:eastAsia="仿宋_GB2312" w:cs="仿宋_GB2312"/>
          <w:color w:val="auto"/>
          <w:spacing w:val="4"/>
          <w:szCs w:val="32"/>
        </w:rPr>
        <w:t>水经收集后循环使用，不外排。</w:t>
      </w:r>
    </w:p>
    <w:p>
      <w:pPr>
        <w:pStyle w:val="4"/>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（三）做好项目噪声污染防治工作。</w:t>
      </w:r>
      <w:r>
        <w:rPr>
          <w:rFonts w:hint="eastAsia" w:ascii="仿宋_GB2312" w:hAnsi="仿宋_GB2312" w:eastAsia="仿宋_GB2312" w:cs="仿宋_GB2312"/>
          <w:color w:val="auto"/>
          <w:szCs w:val="32"/>
        </w:rPr>
        <w:t>落实环评报告</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color w:val="auto"/>
          <w:szCs w:val="32"/>
        </w:rPr>
        <w:t>提出的噪声防治措施，合理优化总平面布局，并从优化设备的选型、减震、消声、隔声和合理安排设备作业时间等方面做好噪声污染控制工作，确保厂界噪声达到《工业企业厂界环境噪声排放标准》（GB12348-2008）中3类区标准要求</w:t>
      </w:r>
      <w:r>
        <w:rPr>
          <w:rFonts w:hint="eastAsia" w:ascii="仿宋_GB2312" w:hAnsi="仿宋_GB2312" w:eastAsia="仿宋_GB2312" w:cs="仿宋_GB2312"/>
          <w:color w:val="auto"/>
          <w:spacing w:val="4"/>
          <w:szCs w:val="32"/>
        </w:rPr>
        <w:t>。</w:t>
      </w:r>
    </w:p>
    <w:p>
      <w:pPr>
        <w:pStyle w:val="4"/>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（四）</w:t>
      </w:r>
      <w:r>
        <w:rPr>
          <w:rFonts w:hint="eastAsia" w:ascii="仿宋_GB2312" w:hAnsi="仿宋_GB2312" w:eastAsia="仿宋_GB2312" w:cs="仿宋_GB2312"/>
          <w:color w:val="auto"/>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_GB2312" w:hAnsi="仿宋_GB2312" w:eastAsia="仿宋_GB2312" w:cs="仿宋_GB2312"/>
          <w:color w:val="auto"/>
          <w:kern w:val="0"/>
          <w:szCs w:val="32"/>
        </w:rPr>
        <w:t>生活垃圾收集后交给地方环卫部门处理；</w:t>
      </w:r>
      <w:r>
        <w:rPr>
          <w:rFonts w:hint="eastAsia" w:ascii="仿宋_GB2312" w:hAnsi="仿宋_GB2312" w:eastAsia="仿宋_GB2312" w:cs="仿宋_GB2312"/>
          <w:spacing w:val="4"/>
          <w:szCs w:val="32"/>
        </w:rPr>
        <w:t>半成品机加工过程中产生的边角料</w:t>
      </w:r>
      <w:r>
        <w:rPr>
          <w:rFonts w:hint="eastAsia" w:ascii="仿宋_GB2312" w:hAnsi="仿宋_GB2312" w:eastAsia="仿宋_GB2312" w:cs="仿宋_GB2312"/>
          <w:spacing w:val="4"/>
          <w:szCs w:val="32"/>
          <w:lang w:eastAsia="zh-CN"/>
        </w:rPr>
        <w:t>、</w:t>
      </w:r>
      <w:r>
        <w:rPr>
          <w:rFonts w:hint="eastAsia" w:ascii="仿宋_GB2312" w:hAnsi="仿宋_GB2312" w:eastAsia="仿宋_GB2312" w:cs="仿宋_GB2312"/>
          <w:spacing w:val="4"/>
          <w:szCs w:val="32"/>
        </w:rPr>
        <w:t>少量碳渣</w:t>
      </w:r>
      <w:r>
        <w:rPr>
          <w:rFonts w:hint="eastAsia" w:ascii="仿宋_GB2312" w:hAnsi="仿宋_GB2312" w:eastAsia="仿宋_GB2312" w:cs="仿宋_GB2312"/>
          <w:spacing w:val="4"/>
          <w:szCs w:val="32"/>
          <w:lang w:eastAsia="zh-CN"/>
        </w:rPr>
        <w:t>、</w:t>
      </w:r>
      <w:r>
        <w:rPr>
          <w:rFonts w:hint="eastAsia" w:ascii="仿宋_GB2312" w:hAnsi="仿宋_GB2312" w:eastAsia="仿宋_GB2312" w:cs="仿宋_GB2312"/>
          <w:spacing w:val="4"/>
          <w:szCs w:val="32"/>
        </w:rPr>
        <w:t>布袋除尘器收集的粉尘</w:t>
      </w:r>
      <w:r>
        <w:rPr>
          <w:rFonts w:hint="eastAsia" w:ascii="仿宋_GB2312" w:hAnsi="仿宋_GB2312" w:eastAsia="仿宋_GB2312" w:cs="仿宋_GB2312"/>
          <w:color w:val="000000"/>
          <w:spacing w:val="4"/>
          <w:szCs w:val="32"/>
          <w:lang w:eastAsia="zh-CN"/>
        </w:rPr>
        <w:t>等</w:t>
      </w:r>
      <w:r>
        <w:rPr>
          <w:rFonts w:hint="eastAsia" w:ascii="仿宋_GB2312" w:hAnsi="仿宋_GB2312" w:eastAsia="仿宋_GB2312" w:cs="仿宋_GB2312"/>
          <w:color w:val="auto"/>
          <w:szCs w:val="32"/>
        </w:rPr>
        <w:t>为一般工业固废，经分类收集贮存后</w:t>
      </w:r>
      <w:r>
        <w:rPr>
          <w:rFonts w:hint="eastAsia" w:ascii="仿宋_GB2312" w:hAnsi="仿宋_GB2312" w:eastAsia="仿宋_GB2312" w:cs="仿宋_GB2312"/>
          <w:spacing w:val="4"/>
          <w:szCs w:val="32"/>
        </w:rPr>
        <w:t>部分回收利用</w:t>
      </w:r>
      <w:r>
        <w:rPr>
          <w:rFonts w:hint="eastAsia" w:ascii="仿宋_GB2312" w:hAnsi="仿宋_GB2312" w:eastAsia="仿宋_GB2312" w:cs="仿宋_GB2312"/>
          <w:spacing w:val="4"/>
          <w:szCs w:val="32"/>
          <w:lang w:eastAsia="zh-CN"/>
        </w:rPr>
        <w:t>，其它</w:t>
      </w:r>
      <w:r>
        <w:rPr>
          <w:rFonts w:hint="eastAsia" w:ascii="仿宋_GB2312" w:hAnsi="仿宋_GB2312" w:eastAsia="仿宋_GB2312" w:cs="仿宋_GB2312"/>
          <w:color w:val="auto"/>
          <w:szCs w:val="32"/>
        </w:rPr>
        <w:t>外售综合利用；</w:t>
      </w:r>
      <w:r>
        <w:rPr>
          <w:rFonts w:hint="eastAsia" w:ascii="仿宋_GB2312" w:hAnsi="仿宋_GB2312" w:eastAsia="仿宋_GB2312" w:cs="仿宋_GB2312"/>
          <w:color w:val="000000"/>
          <w:spacing w:val="4"/>
          <w:szCs w:val="32"/>
          <w:lang w:eastAsia="zh-CN"/>
        </w:rPr>
        <w:t>废机油及机油桶</w:t>
      </w:r>
      <w:r>
        <w:rPr>
          <w:rFonts w:hint="eastAsia" w:ascii="仿宋_GB2312" w:hAnsi="仿宋_GB2312" w:eastAsia="仿宋_GB2312" w:cs="仿宋_GB2312"/>
          <w:color w:val="auto"/>
          <w:spacing w:val="4"/>
          <w:szCs w:val="32"/>
          <w:lang w:eastAsia="zh-CN"/>
        </w:rPr>
        <w:t>、</w:t>
      </w:r>
      <w:r>
        <w:rPr>
          <w:rFonts w:hint="eastAsia" w:ascii="仿宋_GB2312" w:hAnsi="仿宋_GB2312" w:eastAsia="仿宋_GB2312" w:cs="仿宋_GB2312"/>
          <w:color w:val="auto"/>
          <w:spacing w:val="0"/>
          <w:szCs w:val="32"/>
        </w:rPr>
        <w:t>含油废抹布</w:t>
      </w:r>
      <w:r>
        <w:rPr>
          <w:rFonts w:hint="eastAsia" w:ascii="仿宋_GB2312" w:hAnsi="仿宋_GB2312" w:eastAsia="仿宋_GB2312" w:cs="仿宋_GB2312"/>
          <w:color w:val="auto"/>
          <w:spacing w:val="0"/>
          <w:szCs w:val="32"/>
          <w:lang w:eastAsia="zh-CN"/>
        </w:rPr>
        <w:t>和废手套</w:t>
      </w:r>
      <w:r>
        <w:rPr>
          <w:rFonts w:hint="eastAsia" w:ascii="仿宋_GB2312" w:hAnsi="仿宋_GB2312" w:eastAsia="仿宋_GB2312" w:cs="仿宋_GB2312"/>
          <w:color w:val="auto"/>
          <w:spacing w:val="0"/>
          <w:sz w:val="32"/>
          <w:szCs w:val="32"/>
        </w:rPr>
        <w:t>等危险废物</w:t>
      </w:r>
      <w:r>
        <w:rPr>
          <w:rFonts w:hint="eastAsia" w:ascii="仿宋_GB2312" w:hAnsi="仿宋_GB2312" w:eastAsia="仿宋_GB2312" w:cs="仿宋_GB2312"/>
          <w:color w:val="auto"/>
          <w:kern w:val="0"/>
          <w:szCs w:val="32"/>
        </w:rPr>
        <w:t>应送危废暂存间分类贮存，定期外委有危废处置资质单位处理。</w:t>
      </w:r>
    </w:p>
    <w:p>
      <w:pPr>
        <w:keepNext w:val="0"/>
        <w:keepLines w:val="0"/>
        <w:pageBreakBefore w:val="0"/>
        <w:widowControl/>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pacing w:val="4"/>
          <w:szCs w:val="32"/>
        </w:rPr>
        <w:t>（五）</w:t>
      </w:r>
      <w:r>
        <w:rPr>
          <w:rFonts w:hint="eastAsia" w:ascii="仿宋_GB2312" w:hAnsi="仿宋_GB2312" w:eastAsia="仿宋_GB2312" w:cs="仿宋_GB2312"/>
          <w:color w:val="auto"/>
          <w:szCs w:val="32"/>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三、</w:t>
      </w:r>
      <w:r>
        <w:rPr>
          <w:rFonts w:hint="eastAsia" w:ascii="仿宋_GB2312" w:hAnsi="仿宋_GB2312" w:eastAsia="仿宋_GB2312" w:cs="仿宋_GB2312"/>
          <w:color w:val="auto"/>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auto"/>
          <w:spacing w:val="4"/>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益阳市生态环境局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2020年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3175"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6"/>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15pt;mso-position-horizontal:outside;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BjslxZ+wEAAAQEAAAOAAAAAAAAAAEAIAAAAB8BAABkcnMvZTJvRG9jLnhtbFBL&#10;BQYAAAAABgAGAFkBAACMBQAAAAA=&#10;">
              <v:fill on="f" focussize="0,0"/>
              <v:stroke on="f"/>
              <v:imagedata o:title=""/>
              <o:lock v:ext="edit" aspectratio="f"/>
              <v:textbox inset="0mm,0mm,0mm,0mm" style="mso-fit-shape-to-text:t;">
                <w:txbxContent>
                  <w:p>
                    <w:pPr>
                      <w:pStyle w:val="6"/>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42834"/>
    <w:multiLevelType w:val="singleLevel"/>
    <w:tmpl w:val="A2442834"/>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282C6C8"/>
    <w:multiLevelType w:val="singleLevel"/>
    <w:tmpl w:val="7282C6C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453C2"/>
    <w:rsid w:val="00453453"/>
    <w:rsid w:val="0045359D"/>
    <w:rsid w:val="0045451A"/>
    <w:rsid w:val="00455A6D"/>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61A3"/>
    <w:rsid w:val="006E2BE8"/>
    <w:rsid w:val="006E75E6"/>
    <w:rsid w:val="006F04FD"/>
    <w:rsid w:val="006F6BDD"/>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A565AC"/>
    <w:rsid w:val="01D03FEC"/>
    <w:rsid w:val="01ED35F8"/>
    <w:rsid w:val="02186671"/>
    <w:rsid w:val="021E513A"/>
    <w:rsid w:val="02270E21"/>
    <w:rsid w:val="02E5367F"/>
    <w:rsid w:val="033476DA"/>
    <w:rsid w:val="037538F9"/>
    <w:rsid w:val="04ED6839"/>
    <w:rsid w:val="064444CA"/>
    <w:rsid w:val="070865B3"/>
    <w:rsid w:val="0832755E"/>
    <w:rsid w:val="09E070C5"/>
    <w:rsid w:val="09FA59E7"/>
    <w:rsid w:val="0BF719CD"/>
    <w:rsid w:val="0C562ECC"/>
    <w:rsid w:val="0F86206E"/>
    <w:rsid w:val="0FF07FC3"/>
    <w:rsid w:val="109A3ADF"/>
    <w:rsid w:val="13DA1C5D"/>
    <w:rsid w:val="13E31472"/>
    <w:rsid w:val="140D6837"/>
    <w:rsid w:val="14360E9D"/>
    <w:rsid w:val="167429F4"/>
    <w:rsid w:val="16E81710"/>
    <w:rsid w:val="17226248"/>
    <w:rsid w:val="181E5164"/>
    <w:rsid w:val="18B8732A"/>
    <w:rsid w:val="1A1F4F6D"/>
    <w:rsid w:val="1B5E446E"/>
    <w:rsid w:val="1BE96FC3"/>
    <w:rsid w:val="1CE020E0"/>
    <w:rsid w:val="1D941A55"/>
    <w:rsid w:val="1DDE1448"/>
    <w:rsid w:val="1E5848E4"/>
    <w:rsid w:val="1F6054C4"/>
    <w:rsid w:val="1FFC5DB1"/>
    <w:rsid w:val="20095B14"/>
    <w:rsid w:val="20862E06"/>
    <w:rsid w:val="22365D4B"/>
    <w:rsid w:val="231E1A29"/>
    <w:rsid w:val="26423EFF"/>
    <w:rsid w:val="26C7259C"/>
    <w:rsid w:val="27BA1B7C"/>
    <w:rsid w:val="28901F03"/>
    <w:rsid w:val="292C5AD7"/>
    <w:rsid w:val="29C73B2E"/>
    <w:rsid w:val="2C014183"/>
    <w:rsid w:val="2C36248E"/>
    <w:rsid w:val="2C9F6C26"/>
    <w:rsid w:val="2F852E4A"/>
    <w:rsid w:val="2FBE547D"/>
    <w:rsid w:val="302837E4"/>
    <w:rsid w:val="31B911ED"/>
    <w:rsid w:val="32782469"/>
    <w:rsid w:val="3470545F"/>
    <w:rsid w:val="34711A93"/>
    <w:rsid w:val="359C2591"/>
    <w:rsid w:val="36E44291"/>
    <w:rsid w:val="38A869F5"/>
    <w:rsid w:val="38F66195"/>
    <w:rsid w:val="3A582307"/>
    <w:rsid w:val="3A94225F"/>
    <w:rsid w:val="3D147B7B"/>
    <w:rsid w:val="3DD36518"/>
    <w:rsid w:val="3E237685"/>
    <w:rsid w:val="3F4E171F"/>
    <w:rsid w:val="3F8E6E0D"/>
    <w:rsid w:val="3F92279E"/>
    <w:rsid w:val="3FC408E9"/>
    <w:rsid w:val="3FE2629D"/>
    <w:rsid w:val="403D1582"/>
    <w:rsid w:val="425E62F8"/>
    <w:rsid w:val="45134199"/>
    <w:rsid w:val="45E80663"/>
    <w:rsid w:val="461E2176"/>
    <w:rsid w:val="46421B84"/>
    <w:rsid w:val="484F7B35"/>
    <w:rsid w:val="49386227"/>
    <w:rsid w:val="493E2AE8"/>
    <w:rsid w:val="49862A6E"/>
    <w:rsid w:val="4993613B"/>
    <w:rsid w:val="49B07B17"/>
    <w:rsid w:val="4A9B4753"/>
    <w:rsid w:val="4BE51D09"/>
    <w:rsid w:val="4C846C29"/>
    <w:rsid w:val="4CDE1A57"/>
    <w:rsid w:val="4DC51DCF"/>
    <w:rsid w:val="4FA93F8F"/>
    <w:rsid w:val="4FDF580A"/>
    <w:rsid w:val="50D3572C"/>
    <w:rsid w:val="51DB6FAB"/>
    <w:rsid w:val="52886CEA"/>
    <w:rsid w:val="52A10F3A"/>
    <w:rsid w:val="52D7628E"/>
    <w:rsid w:val="53412FF4"/>
    <w:rsid w:val="54952865"/>
    <w:rsid w:val="56410B56"/>
    <w:rsid w:val="57F110C0"/>
    <w:rsid w:val="58813B3F"/>
    <w:rsid w:val="5ACB6AF7"/>
    <w:rsid w:val="5B2C0540"/>
    <w:rsid w:val="5CDC4F8C"/>
    <w:rsid w:val="5D3E1692"/>
    <w:rsid w:val="5F010883"/>
    <w:rsid w:val="5F395830"/>
    <w:rsid w:val="5FBA4E4C"/>
    <w:rsid w:val="60536B06"/>
    <w:rsid w:val="60EB4166"/>
    <w:rsid w:val="61040EA5"/>
    <w:rsid w:val="616854FA"/>
    <w:rsid w:val="61942B8C"/>
    <w:rsid w:val="646352A4"/>
    <w:rsid w:val="64FB7500"/>
    <w:rsid w:val="650C0974"/>
    <w:rsid w:val="697E3B08"/>
    <w:rsid w:val="6A476406"/>
    <w:rsid w:val="6A737633"/>
    <w:rsid w:val="6BB40992"/>
    <w:rsid w:val="6BB53802"/>
    <w:rsid w:val="6C5D37DD"/>
    <w:rsid w:val="6DE200EF"/>
    <w:rsid w:val="6DF731D4"/>
    <w:rsid w:val="6F536A2B"/>
    <w:rsid w:val="6FAB56DD"/>
    <w:rsid w:val="702654E8"/>
    <w:rsid w:val="711235A4"/>
    <w:rsid w:val="71332ADA"/>
    <w:rsid w:val="728A7A39"/>
    <w:rsid w:val="72D17DDC"/>
    <w:rsid w:val="76184CB6"/>
    <w:rsid w:val="77447370"/>
    <w:rsid w:val="78714F38"/>
    <w:rsid w:val="79CF2D8A"/>
    <w:rsid w:val="7C3B11E5"/>
    <w:rsid w:val="7C535D72"/>
    <w:rsid w:val="7D5B54A4"/>
    <w:rsid w:val="7D955459"/>
    <w:rsid w:val="7DB00C74"/>
    <w:rsid w:val="7E1F2C32"/>
    <w:rsid w:val="7F0D5C16"/>
    <w:rsid w:val="7F3C48F5"/>
    <w:rsid w:val="7FF614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6"/>
    <w:unhideWhenUsed/>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semiHidden/>
    <w:qFormat/>
    <w:uiPriority w:val="99"/>
    <w:rPr>
      <w:rFonts w:ascii="Times New Roman" w:hAnsi="Times New Roman" w:eastAsia="华文仿宋" w:cs="Times New Roman"/>
      <w:sz w:val="18"/>
      <w:szCs w:val="18"/>
    </w:rPr>
  </w:style>
  <w:style w:type="character" w:customStyle="1" w:styleId="13">
    <w:name w:val="页脚 字符"/>
    <w:basedOn w:val="10"/>
    <w:link w:val="6"/>
    <w:semiHidden/>
    <w:qFormat/>
    <w:uiPriority w:val="99"/>
    <w:rPr>
      <w:rFonts w:ascii="Times New Roman" w:hAnsi="Times New Roman" w:eastAsia="华文仿宋" w:cs="Times New Roman"/>
      <w:sz w:val="18"/>
      <w:szCs w:val="18"/>
    </w:rPr>
  </w:style>
  <w:style w:type="character" w:customStyle="1" w:styleId="14">
    <w:name w:val="文档结构图 字符"/>
    <w:basedOn w:val="10"/>
    <w:link w:val="3"/>
    <w:semiHidden/>
    <w:qFormat/>
    <w:uiPriority w:val="99"/>
    <w:rPr>
      <w:rFonts w:ascii="宋体" w:hAnsi="Times New Roman" w:eastAsia="宋体" w:cs="Times New Roman"/>
      <w:sz w:val="18"/>
      <w:szCs w:val="18"/>
    </w:rPr>
  </w:style>
  <w:style w:type="character" w:customStyle="1" w:styleId="15">
    <w:name w:val="批注框文本 字符"/>
    <w:basedOn w:val="10"/>
    <w:link w:val="5"/>
    <w:semiHidden/>
    <w:qFormat/>
    <w:uiPriority w:val="99"/>
    <w:rPr>
      <w:rFonts w:ascii="Times New Roman" w:hAnsi="Times New Roman" w:eastAsia="华文仿宋" w:cs="Times New Roman"/>
      <w:sz w:val="18"/>
      <w:szCs w:val="18"/>
    </w:rPr>
  </w:style>
  <w:style w:type="character" w:customStyle="1" w:styleId="16">
    <w:name w:val="批注文字 字符"/>
    <w:basedOn w:val="10"/>
    <w:link w:val="4"/>
    <w:qFormat/>
    <w:uiPriority w:val="0"/>
    <w:rPr>
      <w:rFonts w:ascii="Times New Roman" w:hAnsi="Times New Roman" w:eastAsia="华文仿宋" w:cs="Times New Roman"/>
      <w:sz w:val="32"/>
      <w:szCs w:val="24"/>
    </w:rPr>
  </w:style>
  <w:style w:type="character" w:customStyle="1" w:styleId="17">
    <w:name w:val="批注主题 字符"/>
    <w:basedOn w:val="16"/>
    <w:link w:val="8"/>
    <w:semiHidden/>
    <w:qFormat/>
    <w:uiPriority w:val="99"/>
    <w:rPr>
      <w:rFonts w:ascii="Times New Roman" w:hAnsi="Times New Roman" w:eastAsia="华文仿宋" w:cs="Times New Roman"/>
      <w:b/>
      <w:bCs/>
      <w:sz w:val="32"/>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1197</Characters>
  <Lines>9</Lines>
  <Paragraphs>2</Paragraphs>
  <TotalTime>47</TotalTime>
  <ScaleCrop>false</ScaleCrop>
  <LinksUpToDate>false</LinksUpToDate>
  <CharactersWithSpaces>1404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2020-08-03T02:27:00Z</dcterms:created>
  <dc:creator>AutoBVT</dc:creator>
  <cp:lastModifiedBy>七夜</cp:lastModifiedBy>
  <cp:lastPrinted>2020-11-06T03:40:32Z</cp:lastPrinted>
  <dcterms:modified xsi:type="dcterms:W3CDTF">2020-11-06T03:49:19Z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