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20" w:lineRule="exact"/>
        <w:jc w:val="center"/>
        <w:rPr>
          <w:rFonts w:ascii="宋体" w:hAnsi="宋体"/>
          <w:bCs/>
          <w:sz w:val="32"/>
          <w:szCs w:val="32"/>
        </w:rPr>
      </w:pPr>
    </w:p>
    <w:p>
      <w:pPr>
        <w:pStyle w:val="2"/>
        <w:spacing w:line="520" w:lineRule="exact"/>
        <w:jc w:val="center"/>
        <w:rPr>
          <w:rFonts w:ascii="仿宋_GB2312" w:eastAsia="仿宋_GB2312"/>
          <w:spacing w:val="-20"/>
        </w:rPr>
      </w:pPr>
    </w:p>
    <w:p>
      <w:pPr>
        <w:pStyle w:val="2"/>
        <w:spacing w:line="520" w:lineRule="exact"/>
        <w:jc w:val="center"/>
        <w:rPr>
          <w:rFonts w:ascii="仿宋_GB2312" w:eastAsia="仿宋_GB2312"/>
          <w:spacing w:val="-20"/>
        </w:rPr>
      </w:pPr>
    </w:p>
    <w:p>
      <w:pPr>
        <w:pStyle w:val="2"/>
        <w:spacing w:line="520" w:lineRule="exact"/>
        <w:jc w:val="right"/>
        <w:rPr>
          <w:rFonts w:ascii="仿宋" w:hAnsi="仿宋" w:eastAsia="仿宋"/>
          <w:sz w:val="32"/>
          <w:szCs w:val="32"/>
        </w:rPr>
      </w:pPr>
      <w:r>
        <w:rPr>
          <w:rFonts w:hint="eastAsia" w:ascii="仿宋_GB2312" w:eastAsia="仿宋_GB2312"/>
          <w:spacing w:val="-20"/>
        </w:rPr>
        <w:t xml:space="preserve">                            </w:t>
      </w:r>
      <w:r>
        <w:rPr>
          <w:rFonts w:hint="eastAsia" w:ascii="宋体" w:hAnsi="宋体"/>
          <w:spacing w:val="-20"/>
        </w:rPr>
        <w:t xml:space="preserve">                        </w:t>
      </w:r>
      <w:bookmarkStart w:id="5" w:name="_GoBack"/>
      <w:bookmarkEnd w:id="5"/>
      <w:r>
        <w:rPr>
          <w:rFonts w:hint="eastAsia" w:ascii="仿宋" w:hAnsi="仿宋" w:eastAsia="仿宋"/>
          <w:sz w:val="32"/>
          <w:szCs w:val="32"/>
        </w:rPr>
        <w:t>益环审(表)〔2020〕135号</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关于湖南朋飞食品有限公司</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年生产加工300吨腐乳、70吨腊八豆</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建设项目环境影响报告表的批复</w:t>
      </w:r>
    </w:p>
    <w:p>
      <w:pPr>
        <w:spacing w:after="0" w:line="540" w:lineRule="exact"/>
        <w:jc w:val="both"/>
        <w:rPr>
          <w:rFonts w:ascii="仿宋" w:hAnsi="仿宋" w:eastAsia="仿宋" w:cs="Times New Roman"/>
          <w:sz w:val="32"/>
          <w:szCs w:val="32"/>
        </w:rPr>
      </w:pPr>
    </w:p>
    <w:p>
      <w:pPr>
        <w:spacing w:after="0" w:line="540" w:lineRule="exact"/>
        <w:jc w:val="both"/>
        <w:rPr>
          <w:rFonts w:ascii="仿宋" w:hAnsi="仿宋" w:eastAsia="仿宋"/>
          <w:sz w:val="32"/>
          <w:szCs w:val="32"/>
        </w:rPr>
      </w:pPr>
      <w:r>
        <w:rPr>
          <w:rFonts w:hint="eastAsia" w:ascii="仿宋" w:hAnsi="仿宋" w:eastAsia="仿宋" w:cs="Times New Roman"/>
          <w:sz w:val="32"/>
          <w:szCs w:val="32"/>
        </w:rPr>
        <w:t>湖南朋飞食品</w:t>
      </w:r>
      <w:r>
        <w:rPr>
          <w:rFonts w:ascii="仿宋" w:hAnsi="仿宋" w:eastAsia="仿宋" w:cs="Times New Roman"/>
          <w:sz w:val="32"/>
          <w:szCs w:val="32"/>
        </w:rPr>
        <w:t>有限公司</w:t>
      </w:r>
      <w:r>
        <w:rPr>
          <w:rFonts w:hint="eastAsia" w:ascii="仿宋" w:hAnsi="仿宋" w:eastAsia="仿宋"/>
          <w:sz w:val="32"/>
          <w:szCs w:val="32"/>
        </w:rPr>
        <w:t>：</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你公司呈报的《关于请求对&lt;湖南朋飞食品</w:t>
      </w:r>
      <w:r>
        <w:rPr>
          <w:rFonts w:ascii="仿宋" w:hAnsi="仿宋" w:eastAsia="仿宋"/>
          <w:sz w:val="32"/>
          <w:szCs w:val="32"/>
        </w:rPr>
        <w:t>有限公司</w:t>
      </w:r>
      <w:r>
        <w:rPr>
          <w:rFonts w:hint="eastAsia" w:ascii="仿宋" w:hAnsi="仿宋" w:eastAsia="仿宋"/>
          <w:sz w:val="32"/>
          <w:szCs w:val="32"/>
        </w:rPr>
        <w:t>年生产</w:t>
      </w:r>
      <w:r>
        <w:rPr>
          <w:rFonts w:ascii="仿宋" w:hAnsi="仿宋" w:eastAsia="仿宋"/>
          <w:sz w:val="32"/>
          <w:szCs w:val="32"/>
        </w:rPr>
        <w:t>加工</w:t>
      </w:r>
      <w:r>
        <w:rPr>
          <w:rFonts w:hint="eastAsia" w:ascii="仿宋" w:hAnsi="仿宋" w:eastAsia="仿宋"/>
          <w:sz w:val="32"/>
          <w:szCs w:val="32"/>
        </w:rPr>
        <w:t>300吨腐乳、70吨腊八豆</w:t>
      </w:r>
      <w:r>
        <w:rPr>
          <w:rFonts w:ascii="仿宋" w:hAnsi="仿宋" w:eastAsia="仿宋"/>
          <w:sz w:val="32"/>
          <w:szCs w:val="32"/>
        </w:rPr>
        <w:t>建设项目</w:t>
      </w:r>
      <w:r>
        <w:rPr>
          <w:rFonts w:hint="eastAsia" w:ascii="仿宋" w:hAnsi="仿宋" w:eastAsia="仿宋"/>
          <w:sz w:val="32"/>
          <w:szCs w:val="32"/>
        </w:rPr>
        <w:t>环境影响报告表&gt;进行审批的报告》、益阳市生态环境局南县分局的预审意见及相关材料收悉。经审查、研究，批复如下：</w:t>
      </w:r>
    </w:p>
    <w:p>
      <w:pPr>
        <w:pStyle w:val="2"/>
        <w:spacing w:after="0" w:line="540" w:lineRule="exact"/>
        <w:ind w:firstLine="640"/>
        <w:rPr>
          <w:rFonts w:ascii="仿宋" w:hAnsi="仿宋" w:eastAsia="仿宋"/>
          <w:sz w:val="32"/>
          <w:szCs w:val="32"/>
        </w:rPr>
      </w:pPr>
      <w:r>
        <w:rPr>
          <w:rFonts w:hint="eastAsia" w:ascii="仿宋" w:hAnsi="仿宋" w:eastAsia="仿宋"/>
          <w:sz w:val="32"/>
          <w:szCs w:val="32"/>
        </w:rPr>
        <w:t>一、湖南朋飞食品</w:t>
      </w:r>
      <w:r>
        <w:rPr>
          <w:rFonts w:ascii="仿宋" w:hAnsi="仿宋" w:eastAsia="仿宋"/>
          <w:sz w:val="32"/>
          <w:szCs w:val="32"/>
        </w:rPr>
        <w:t>有限公司拟投资</w:t>
      </w:r>
      <w:r>
        <w:rPr>
          <w:rFonts w:hint="eastAsia" w:ascii="仿宋" w:hAnsi="仿宋" w:eastAsia="仿宋"/>
          <w:sz w:val="32"/>
          <w:szCs w:val="32"/>
        </w:rPr>
        <w:t>1000万元，租赁</w:t>
      </w:r>
      <w:r>
        <w:rPr>
          <w:rFonts w:ascii="仿宋" w:hAnsi="仿宋" w:eastAsia="仿宋"/>
          <w:sz w:val="32"/>
          <w:szCs w:val="32"/>
        </w:rPr>
        <w:t>南县经济开发区</w:t>
      </w:r>
      <w:r>
        <w:rPr>
          <w:rFonts w:hint="eastAsia" w:ascii="仿宋" w:hAnsi="仿宋" w:eastAsia="仿宋"/>
          <w:sz w:val="32"/>
          <w:szCs w:val="32"/>
        </w:rPr>
        <w:t>食品</w:t>
      </w:r>
      <w:r>
        <w:rPr>
          <w:rFonts w:ascii="仿宋" w:hAnsi="仿宋" w:eastAsia="仿宋"/>
          <w:sz w:val="32"/>
          <w:szCs w:val="32"/>
        </w:rPr>
        <w:t>产业园</w:t>
      </w:r>
      <w:r>
        <w:rPr>
          <w:rFonts w:hint="eastAsia" w:ascii="仿宋" w:hAnsi="仿宋" w:eastAsia="仿宋"/>
          <w:sz w:val="32"/>
          <w:szCs w:val="32"/>
        </w:rPr>
        <w:t>标</w:t>
      </w:r>
      <w:r>
        <w:rPr>
          <w:rFonts w:hint="eastAsia" w:ascii="仿宋" w:hAnsi="仿宋" w:eastAsia="仿宋"/>
          <w:spacing w:val="8"/>
          <w:sz w:val="32"/>
          <w:szCs w:val="32"/>
        </w:rPr>
        <w:t>准化厂房第4号栋的第二层2020</w:t>
      </w:r>
      <w:r>
        <w:rPr>
          <w:rFonts w:hint="eastAsia" w:ascii="仿宋" w:hAnsi="仿宋" w:eastAsia="仿宋"/>
          <w:sz w:val="32"/>
          <w:szCs w:val="32"/>
        </w:rPr>
        <w:t xml:space="preserve"> m</w:t>
      </w:r>
      <w:r>
        <w:rPr>
          <w:rFonts w:hint="eastAsia" w:ascii="仿宋" w:hAnsi="仿宋" w:eastAsia="仿宋"/>
          <w:sz w:val="32"/>
          <w:szCs w:val="32"/>
          <w:vertAlign w:val="superscript"/>
        </w:rPr>
        <w:t>2</w:t>
      </w:r>
      <w:r>
        <w:rPr>
          <w:rFonts w:hint="eastAsia" w:ascii="仿宋" w:hAnsi="仿宋" w:eastAsia="仿宋"/>
          <w:spacing w:val="8"/>
          <w:sz w:val="32"/>
          <w:szCs w:val="32"/>
        </w:rPr>
        <w:t>，建设</w:t>
      </w:r>
      <w:r>
        <w:rPr>
          <w:rFonts w:hint="eastAsia" w:ascii="仿宋" w:hAnsi="仿宋" w:eastAsia="仿宋"/>
          <w:sz w:val="32"/>
          <w:szCs w:val="32"/>
        </w:rPr>
        <w:t>年生产</w:t>
      </w:r>
      <w:r>
        <w:rPr>
          <w:rFonts w:ascii="仿宋" w:hAnsi="仿宋" w:eastAsia="仿宋"/>
          <w:sz w:val="32"/>
          <w:szCs w:val="32"/>
        </w:rPr>
        <w:t>加工</w:t>
      </w:r>
      <w:r>
        <w:rPr>
          <w:rFonts w:hint="eastAsia" w:ascii="仿宋" w:hAnsi="仿宋" w:eastAsia="仿宋"/>
          <w:sz w:val="32"/>
          <w:szCs w:val="32"/>
        </w:rPr>
        <w:t>300吨腐乳、70吨腊八豆</w:t>
      </w:r>
      <w:r>
        <w:rPr>
          <w:rFonts w:ascii="仿宋" w:hAnsi="仿宋" w:eastAsia="仿宋"/>
          <w:sz w:val="32"/>
          <w:szCs w:val="32"/>
        </w:rPr>
        <w:t>项目</w:t>
      </w:r>
      <w:r>
        <w:rPr>
          <w:rFonts w:hint="eastAsia" w:ascii="仿宋" w:hAnsi="仿宋" w:eastAsia="仿宋"/>
          <w:sz w:val="32"/>
          <w:szCs w:val="32"/>
        </w:rPr>
        <w:t>。</w:t>
      </w:r>
      <w:r>
        <w:rPr>
          <w:rFonts w:ascii="仿宋" w:hAnsi="仿宋" w:eastAsia="仿宋"/>
          <w:sz w:val="32"/>
          <w:szCs w:val="32"/>
        </w:rPr>
        <w:t>项目</w:t>
      </w:r>
      <w:r>
        <w:rPr>
          <w:rFonts w:hint="eastAsia" w:ascii="仿宋" w:hAnsi="仿宋" w:eastAsia="仿宋"/>
          <w:sz w:val="32"/>
          <w:szCs w:val="32"/>
        </w:rPr>
        <w:t>主要建设内容包括豆制品加工间、配料及拌料间、发酵间、包装车间等</w:t>
      </w:r>
      <w:r>
        <w:rPr>
          <w:rFonts w:ascii="仿宋" w:hAnsi="仿宋" w:eastAsia="仿宋"/>
          <w:sz w:val="32"/>
          <w:szCs w:val="32"/>
        </w:rPr>
        <w:t>组成</w:t>
      </w:r>
      <w:r>
        <w:rPr>
          <w:rFonts w:hint="eastAsia" w:ascii="仿宋" w:hAnsi="仿宋" w:eastAsia="仿宋"/>
          <w:sz w:val="32"/>
          <w:szCs w:val="32"/>
        </w:rPr>
        <w:t>，配套建设办公室、检验室、原辅材料及成品仓库、锅炉1台（0.3t/h燃生物质锅炉）、</w:t>
      </w:r>
      <w:r>
        <w:rPr>
          <w:rFonts w:ascii="仿宋" w:hAnsi="仿宋" w:eastAsia="仿宋"/>
          <w:kern w:val="0"/>
          <w:sz w:val="32"/>
          <w:szCs w:val="32"/>
        </w:rPr>
        <w:t>储运工程</w:t>
      </w:r>
      <w:r>
        <w:rPr>
          <w:rFonts w:hint="eastAsia" w:ascii="仿宋" w:hAnsi="仿宋" w:eastAsia="仿宋"/>
          <w:kern w:val="0"/>
          <w:sz w:val="32"/>
          <w:szCs w:val="32"/>
        </w:rPr>
        <w:t>、</w:t>
      </w:r>
      <w:r>
        <w:rPr>
          <w:rFonts w:ascii="仿宋" w:hAnsi="仿宋" w:eastAsia="仿宋"/>
          <w:kern w:val="0"/>
          <w:sz w:val="32"/>
          <w:szCs w:val="32"/>
        </w:rPr>
        <w:t>环保工程</w:t>
      </w:r>
      <w:r>
        <w:rPr>
          <w:rFonts w:hint="eastAsia" w:ascii="仿宋" w:hAnsi="仿宋" w:eastAsia="仿宋"/>
          <w:sz w:val="32"/>
          <w:szCs w:val="32"/>
        </w:rPr>
        <w:t>及其他公用辅助设施。</w:t>
      </w:r>
    </w:p>
    <w:p>
      <w:pPr>
        <w:pStyle w:val="2"/>
        <w:spacing w:after="0" w:line="540" w:lineRule="exact"/>
        <w:ind w:firstLine="640"/>
        <w:rPr>
          <w:rFonts w:ascii="仿宋" w:hAnsi="仿宋" w:eastAsia="仿宋"/>
          <w:sz w:val="32"/>
          <w:szCs w:val="32"/>
        </w:rPr>
      </w:pPr>
      <w:r>
        <w:rPr>
          <w:rFonts w:hint="eastAsia" w:ascii="仿宋" w:hAnsi="仿宋" w:eastAsia="仿宋"/>
          <w:sz w:val="32"/>
          <w:szCs w:val="32"/>
        </w:rPr>
        <w:t>项目符合国家产业政策和南县经开区相关规划要求，选址可行。根据山东睿福环境科技有限责任公司编制的环评报告表的分析结论和益阳市生态环境局南县分局的预审意见，在建设单位认真落实报告表和本批复提出的各项生态环境保护措施，确保各项污染物稳定达标排放的前提下，我局原则同意湖南朋飞食品</w:t>
      </w:r>
      <w:r>
        <w:rPr>
          <w:rFonts w:ascii="仿宋" w:hAnsi="仿宋" w:eastAsia="仿宋"/>
          <w:sz w:val="32"/>
          <w:szCs w:val="32"/>
        </w:rPr>
        <w:t>有限公司</w:t>
      </w:r>
      <w:r>
        <w:rPr>
          <w:rFonts w:hint="eastAsia" w:ascii="仿宋" w:hAnsi="仿宋" w:eastAsia="仿宋"/>
          <w:sz w:val="32"/>
          <w:szCs w:val="32"/>
        </w:rPr>
        <w:t>年生产</w:t>
      </w:r>
      <w:r>
        <w:rPr>
          <w:rFonts w:ascii="仿宋" w:hAnsi="仿宋" w:eastAsia="仿宋"/>
          <w:sz w:val="32"/>
          <w:szCs w:val="32"/>
        </w:rPr>
        <w:t>加工</w:t>
      </w:r>
      <w:r>
        <w:rPr>
          <w:rFonts w:hint="eastAsia" w:ascii="仿宋" w:hAnsi="仿宋" w:eastAsia="仿宋"/>
          <w:sz w:val="32"/>
          <w:szCs w:val="32"/>
        </w:rPr>
        <w:t>300吨腐乳、70吨腊八豆</w:t>
      </w:r>
      <w:r>
        <w:rPr>
          <w:rFonts w:ascii="仿宋" w:hAnsi="仿宋" w:eastAsia="仿宋"/>
          <w:sz w:val="32"/>
          <w:szCs w:val="32"/>
        </w:rPr>
        <w:t>建设项目</w:t>
      </w:r>
      <w:r>
        <w:rPr>
          <w:rFonts w:hint="eastAsia" w:ascii="仿宋" w:hAnsi="仿宋" w:eastAsia="仿宋"/>
          <w:sz w:val="32"/>
          <w:szCs w:val="32"/>
        </w:rPr>
        <w:t>的选址并建设。</w:t>
      </w:r>
    </w:p>
    <w:p>
      <w:pPr>
        <w:pStyle w:val="2"/>
        <w:spacing w:after="0" w:line="540" w:lineRule="exact"/>
        <w:ind w:firstLine="640" w:firstLineChars="200"/>
        <w:rPr>
          <w:rFonts w:ascii="仿宋" w:hAnsi="仿宋" w:eastAsia="仿宋"/>
          <w:spacing w:val="-6"/>
          <w:sz w:val="32"/>
          <w:szCs w:val="32"/>
        </w:rPr>
      </w:pPr>
      <w:r>
        <w:rPr>
          <w:rFonts w:hint="eastAsia" w:ascii="仿宋" w:hAnsi="仿宋" w:eastAsia="仿宋"/>
          <w:sz w:val="32"/>
          <w:szCs w:val="32"/>
        </w:rPr>
        <w:t>二、你公司在工程设计、建设和运营管理中，必须切实落实环评提出的各项污染防治和风险防范措施要求，着重做好以下工作：</w:t>
      </w:r>
    </w:p>
    <w:p>
      <w:pPr>
        <w:spacing w:after="0" w:line="560" w:lineRule="exact"/>
        <w:ind w:firstLine="480" w:firstLineChars="150"/>
        <w:jc w:val="both"/>
        <w:rPr>
          <w:rFonts w:ascii="仿宋" w:hAnsi="仿宋" w:eastAsia="仿宋"/>
          <w:sz w:val="32"/>
          <w:szCs w:val="32"/>
        </w:rPr>
      </w:pPr>
      <w:r>
        <w:rPr>
          <w:rFonts w:hint="eastAsia" w:ascii="仿宋" w:hAnsi="仿宋" w:eastAsia="仿宋" w:cs="Times New Roman"/>
          <w:kern w:val="2"/>
          <w:sz w:val="32"/>
          <w:szCs w:val="32"/>
        </w:rPr>
        <w:t>（一）</w:t>
      </w:r>
      <w:r>
        <w:rPr>
          <w:rFonts w:hint="eastAsia" w:ascii="仿宋" w:hAnsi="仿宋" w:eastAsia="仿宋"/>
          <w:sz w:val="32"/>
          <w:szCs w:val="32"/>
        </w:rPr>
        <w:t>严格履行建设单位的环保主体责任，加强环境管理。建立环保规章制度和岗位责任制，配备专职环保管理人员，定期对污染处理设施进行检查和维护，确保环保设施稳定正常运行和污染物的稳定达标排放。制定环境风险事故应急预案，落实事故应急防范措施，切实防范各类事故环境风险。</w:t>
      </w:r>
    </w:p>
    <w:p>
      <w:pPr>
        <w:pStyle w:val="2"/>
        <w:spacing w:after="0" w:line="540" w:lineRule="exact"/>
        <w:ind w:firstLine="480" w:firstLineChars="150"/>
        <w:rPr>
          <w:rFonts w:ascii="仿宋" w:hAnsi="仿宋" w:eastAsia="仿宋"/>
          <w:sz w:val="32"/>
          <w:szCs w:val="32"/>
        </w:rPr>
      </w:pPr>
      <w:r>
        <w:rPr>
          <w:rFonts w:hint="eastAsia" w:ascii="仿宋" w:hAnsi="仿宋" w:eastAsia="仿宋"/>
          <w:sz w:val="32"/>
          <w:szCs w:val="32"/>
        </w:rPr>
        <w:t>（二）落实废气污染防治措施。本项目须加强车间通风，设置换气扇及时扩散异味，减轻大气环境影响；锅炉烟气须采取布袋除尘器处理，外排</w:t>
      </w:r>
      <w:r>
        <w:rPr>
          <w:rFonts w:hint="eastAsia" w:ascii="仿宋" w:hAnsi="仿宋" w:eastAsia="仿宋"/>
          <w:bCs/>
          <w:sz w:val="32"/>
          <w:szCs w:val="32"/>
        </w:rPr>
        <w:t>废气须满足</w:t>
      </w:r>
      <w:r>
        <w:rPr>
          <w:rFonts w:hint="eastAsia" w:ascii="仿宋" w:hAnsi="仿宋" w:eastAsia="仿宋"/>
          <w:sz w:val="32"/>
          <w:szCs w:val="32"/>
        </w:rPr>
        <w:t>《锅炉大气污染物排放标准》(GB13271-2014)中表3 的特别排放限值要求，经20米高的排气筒排放。</w:t>
      </w:r>
      <w:r>
        <w:rPr>
          <w:rFonts w:ascii="仿宋" w:hAnsi="仿宋" w:eastAsia="仿宋"/>
          <w:sz w:val="32"/>
          <w:szCs w:val="32"/>
        </w:rPr>
        <w:t xml:space="preserve"> </w:t>
      </w:r>
    </w:p>
    <w:p>
      <w:pPr>
        <w:spacing w:after="0" w:line="540" w:lineRule="exact"/>
        <w:ind w:firstLine="480" w:firstLineChars="150"/>
        <w:jc w:val="both"/>
        <w:rPr>
          <w:rFonts w:ascii="仿宋" w:hAnsi="仿宋" w:eastAsia="仿宋"/>
          <w:sz w:val="32"/>
          <w:szCs w:val="32"/>
          <w:lang w:val="en-GB"/>
        </w:rPr>
      </w:pPr>
      <w:r>
        <w:rPr>
          <w:rFonts w:hint="eastAsia" w:ascii="仿宋" w:hAnsi="仿宋" w:eastAsia="仿宋"/>
          <w:sz w:val="32"/>
          <w:szCs w:val="32"/>
        </w:rPr>
        <w:t>（三）落实废水污染防治措施。本项目生产产生的废水依托南县经济开发区食品产业园一期工程综合废水处理工程进行</w:t>
      </w:r>
      <w:r>
        <w:rPr>
          <w:rFonts w:hint="eastAsia" w:ascii="仿宋" w:hAnsi="仿宋" w:eastAsia="仿宋" w:cs="Times New Roman"/>
          <w:sz w:val="32"/>
          <w:szCs w:val="32"/>
        </w:rPr>
        <w:t>处理，通过园区污水管网排入南县第二污水处理厂进行深度处理。</w:t>
      </w:r>
      <w:r>
        <w:rPr>
          <w:rFonts w:hint="eastAsia" w:ascii="仿宋" w:hAnsi="仿宋" w:eastAsia="仿宋"/>
          <w:sz w:val="32"/>
          <w:szCs w:val="32"/>
        </w:rPr>
        <w:t>员工生活污水经化粪池处理后通过园区污水管网进入</w:t>
      </w:r>
      <w:r>
        <w:rPr>
          <w:rFonts w:ascii="仿宋" w:hAnsi="仿宋" w:eastAsia="仿宋" w:cs="Times New Roman"/>
          <w:sz w:val="32"/>
          <w:szCs w:val="32"/>
        </w:rPr>
        <w:t>南县第二污水处理厂</w:t>
      </w:r>
      <w:r>
        <w:rPr>
          <w:rFonts w:hint="eastAsia" w:ascii="仿宋" w:hAnsi="仿宋" w:eastAsia="仿宋"/>
          <w:sz w:val="32"/>
          <w:szCs w:val="32"/>
          <w:lang w:val="en-GB"/>
        </w:rPr>
        <w:t>深度处理。</w:t>
      </w:r>
    </w:p>
    <w:p>
      <w:pPr>
        <w:spacing w:after="0" w:line="540" w:lineRule="exact"/>
        <w:ind w:firstLine="480" w:firstLineChars="150"/>
        <w:jc w:val="both"/>
        <w:rPr>
          <w:rFonts w:ascii="仿宋" w:hAnsi="仿宋" w:eastAsia="仿宋"/>
          <w:sz w:val="32"/>
          <w:szCs w:val="32"/>
        </w:rPr>
      </w:pPr>
      <w:r>
        <w:rPr>
          <w:rFonts w:hint="eastAsia" w:ascii="仿宋" w:hAnsi="仿宋" w:eastAsia="仿宋"/>
          <w:sz w:val="32"/>
          <w:szCs w:val="32"/>
        </w:rPr>
        <w:t>（四）落实噪声污染防治措施。对各项高噪声设备采取有效的隔声降噪减振措施，确保厂界噪声符合《工业企业厂界环境噪声排放标准》（GB12348—2008）中3类标准限值要求。</w:t>
      </w:r>
    </w:p>
    <w:p>
      <w:pPr>
        <w:spacing w:after="0" w:line="540" w:lineRule="exact"/>
        <w:ind w:firstLine="480" w:firstLineChars="150"/>
        <w:jc w:val="both"/>
        <w:rPr>
          <w:rFonts w:ascii="仿宋" w:hAnsi="仿宋" w:eastAsia="仿宋"/>
          <w:sz w:val="32"/>
          <w:szCs w:val="32"/>
        </w:rPr>
      </w:pPr>
      <w:r>
        <w:rPr>
          <w:rFonts w:hint="eastAsia" w:ascii="仿宋" w:hAnsi="仿宋" w:eastAsia="仿宋"/>
          <w:sz w:val="32"/>
          <w:szCs w:val="32"/>
        </w:rPr>
        <w:t>（五）落实固体废物污染防治措施。生产固体废弃物（劣豆、豆渣等）收集后及时外售用于有机肥综合利用；废包装袋与生活垃圾统一收集至垃圾暂存库后，及时交由当地环卫部门处置。</w:t>
      </w:r>
    </w:p>
    <w:p>
      <w:pPr>
        <w:spacing w:after="0" w:line="540" w:lineRule="exact"/>
        <w:ind w:firstLine="480" w:firstLineChars="150"/>
        <w:jc w:val="both"/>
        <w:rPr>
          <w:rFonts w:ascii="仿宋" w:hAnsi="仿宋" w:eastAsia="仿宋"/>
          <w:sz w:val="32"/>
          <w:szCs w:val="32"/>
        </w:rPr>
      </w:pPr>
      <w:r>
        <w:rPr>
          <w:rFonts w:hint="eastAsia" w:ascii="仿宋" w:hAnsi="仿宋" w:eastAsia="仿宋"/>
          <w:sz w:val="32"/>
          <w:szCs w:val="32"/>
        </w:rPr>
        <w:t>（六）本项目污染物总量控制指标为：COD≤</w:t>
      </w:r>
      <w:r>
        <w:rPr>
          <w:rFonts w:ascii="仿宋" w:hAnsi="仿宋" w:eastAsia="仿宋"/>
          <w:sz w:val="32"/>
          <w:szCs w:val="32"/>
        </w:rPr>
        <w:t>0.</w:t>
      </w:r>
      <w:r>
        <w:rPr>
          <w:rFonts w:hint="eastAsia" w:ascii="仿宋" w:hAnsi="仿宋" w:eastAsia="仿宋"/>
          <w:sz w:val="32"/>
          <w:szCs w:val="32"/>
        </w:rPr>
        <w:t>109t/a</w:t>
      </w:r>
      <w:bookmarkStart w:id="0" w:name="_Toc225402048"/>
      <w:bookmarkEnd w:id="0"/>
      <w:bookmarkStart w:id="1" w:name="_Toc225481844"/>
      <w:bookmarkEnd w:id="1"/>
      <w:bookmarkStart w:id="2" w:name="_Toc202930935"/>
      <w:bookmarkEnd w:id="2"/>
      <w:bookmarkStart w:id="3" w:name="_Toc225402049"/>
      <w:bookmarkEnd w:id="3"/>
      <w:bookmarkStart w:id="4" w:name="_Toc225481845"/>
      <w:bookmarkEnd w:id="4"/>
      <w:r>
        <w:rPr>
          <w:rFonts w:hint="eastAsia" w:ascii="仿宋" w:hAnsi="仿宋" w:eastAsia="仿宋"/>
          <w:sz w:val="32"/>
          <w:szCs w:val="32"/>
        </w:rPr>
        <w:t>，NH</w:t>
      </w:r>
      <w:r>
        <w:rPr>
          <w:rFonts w:hint="eastAsia" w:ascii="仿宋" w:hAnsi="仿宋" w:eastAsia="仿宋"/>
          <w:sz w:val="32"/>
          <w:szCs w:val="32"/>
          <w:vertAlign w:val="subscript"/>
        </w:rPr>
        <w:t>3</w:t>
      </w:r>
      <w:r>
        <w:rPr>
          <w:rFonts w:hint="eastAsia" w:ascii="仿宋" w:hAnsi="仿宋" w:eastAsia="仿宋"/>
          <w:sz w:val="32"/>
          <w:szCs w:val="32"/>
        </w:rPr>
        <w:t>-N≤</w:t>
      </w:r>
      <w:r>
        <w:rPr>
          <w:rFonts w:ascii="仿宋" w:hAnsi="仿宋" w:eastAsia="仿宋"/>
          <w:sz w:val="32"/>
          <w:szCs w:val="32"/>
        </w:rPr>
        <w:t>0.</w:t>
      </w:r>
      <w:r>
        <w:rPr>
          <w:rFonts w:hint="eastAsia" w:ascii="仿宋" w:hAnsi="仿宋" w:eastAsia="仿宋"/>
          <w:sz w:val="32"/>
          <w:szCs w:val="32"/>
        </w:rPr>
        <w:t>011t/a；SO</w:t>
      </w:r>
      <w:r>
        <w:rPr>
          <w:rFonts w:hint="eastAsia" w:ascii="仿宋" w:hAnsi="仿宋" w:eastAsia="仿宋"/>
          <w:sz w:val="32"/>
          <w:szCs w:val="32"/>
          <w:vertAlign w:val="subscript"/>
        </w:rPr>
        <w:t>2</w:t>
      </w:r>
      <w:r>
        <w:rPr>
          <w:rFonts w:hint="eastAsia" w:ascii="仿宋" w:hAnsi="仿宋" w:eastAsia="仿宋"/>
          <w:sz w:val="32"/>
          <w:szCs w:val="32"/>
        </w:rPr>
        <w:t>≤0.111t/a ，NOx≤0.133t/a。总量指标纳入益阳市生态环境局南县分局的总量管理。</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三、项目批复后，须按照《固定污染源排污许可分类管理名录》(2019年版)和《排污许可管理办法（试行）》（环保部令第48号）的要求及时办理排污许可相关手续。同时，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益阳市生态环境局南县分局</w:t>
      </w:r>
      <w:r>
        <w:rPr>
          <w:rFonts w:hint="eastAsia" w:ascii="仿宋" w:hAnsi="仿宋" w:eastAsia="仿宋"/>
          <w:sz w:val="32"/>
          <w:szCs w:val="32"/>
        </w:rPr>
        <w:t>负责项目建设期间的“三同时”现场监督检查和日常环境管理。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个工作日内，将本批复及项目环评报告表送</w:t>
      </w:r>
      <w:r>
        <w:rPr>
          <w:rFonts w:hint="eastAsia" w:ascii="仿宋" w:hAnsi="仿宋" w:eastAsia="仿宋"/>
          <w:bCs/>
          <w:sz w:val="32"/>
          <w:szCs w:val="32"/>
        </w:rPr>
        <w:t>益阳市生态环境局南县分局</w:t>
      </w:r>
      <w:r>
        <w:rPr>
          <w:rFonts w:hint="eastAsia" w:ascii="仿宋" w:hAnsi="仿宋" w:eastAsia="仿宋"/>
          <w:sz w:val="32"/>
          <w:szCs w:val="32"/>
          <w:lang w:val="en-GB"/>
        </w:rPr>
        <w:t>。</w:t>
      </w:r>
    </w:p>
    <w:p>
      <w:pPr>
        <w:spacing w:after="0" w:line="540" w:lineRule="exact"/>
        <w:ind w:firstLine="800" w:firstLineChars="250"/>
        <w:jc w:val="both"/>
        <w:textAlignment w:val="baseline"/>
        <w:rPr>
          <w:rFonts w:ascii="仿宋" w:hAnsi="仿宋" w:eastAsia="仿宋"/>
          <w:sz w:val="32"/>
          <w:szCs w:val="32"/>
        </w:rPr>
      </w:pPr>
      <w:r>
        <w:rPr>
          <w:rFonts w:hint="eastAsia" w:ascii="仿宋" w:hAnsi="仿宋" w:eastAsia="仿宋"/>
          <w:sz w:val="32"/>
          <w:szCs w:val="32"/>
        </w:rPr>
        <w:t xml:space="preserve">                            </w:t>
      </w:r>
    </w:p>
    <w:p>
      <w:pPr>
        <w:spacing w:after="0" w:line="540" w:lineRule="exact"/>
        <w:ind w:firstLine="800" w:firstLineChars="250"/>
        <w:jc w:val="both"/>
        <w:textAlignment w:val="baseline"/>
        <w:rPr>
          <w:rFonts w:ascii="仿宋" w:hAnsi="仿宋" w:eastAsia="仿宋"/>
          <w:sz w:val="32"/>
          <w:szCs w:val="32"/>
        </w:rPr>
      </w:pPr>
    </w:p>
    <w:p>
      <w:pPr>
        <w:tabs>
          <w:tab w:val="left" w:pos="5465"/>
        </w:tabs>
        <w:spacing w:after="0" w:line="540" w:lineRule="exact"/>
        <w:ind w:firstLine="800" w:firstLineChars="250"/>
        <w:jc w:val="both"/>
        <w:textAlignment w:val="baseline"/>
        <w:rPr>
          <w:rFonts w:ascii="仿宋" w:hAnsi="仿宋" w:eastAsia="仿宋"/>
          <w:sz w:val="32"/>
          <w:szCs w:val="32"/>
        </w:rPr>
      </w:pPr>
      <w:r>
        <w:rPr>
          <w:rFonts w:ascii="仿宋" w:hAnsi="仿宋" w:eastAsia="仿宋"/>
          <w:sz w:val="32"/>
          <w:szCs w:val="32"/>
        </w:rPr>
        <w:tab/>
      </w:r>
    </w:p>
    <w:p>
      <w:pPr>
        <w:tabs>
          <w:tab w:val="left" w:pos="5465"/>
        </w:tabs>
        <w:spacing w:after="0" w:line="540" w:lineRule="exact"/>
        <w:ind w:firstLine="5600" w:firstLineChars="1750"/>
        <w:jc w:val="both"/>
        <w:textAlignment w:val="baseline"/>
        <w:rPr>
          <w:rFonts w:ascii="仿宋" w:hAnsi="仿宋" w:eastAsia="仿宋"/>
          <w:sz w:val="32"/>
          <w:szCs w:val="32"/>
        </w:rPr>
      </w:pPr>
      <w:r>
        <w:rPr>
          <w:rFonts w:ascii="仿宋" w:hAnsi="仿宋" w:eastAsia="仿宋"/>
          <w:sz w:val="32"/>
          <w:szCs w:val="32"/>
        </w:rPr>
        <w:t>益阳市生态环境局</w:t>
      </w:r>
    </w:p>
    <w:p>
      <w:pPr>
        <w:spacing w:after="0" w:line="540" w:lineRule="exact"/>
        <w:ind w:firstLine="5440" w:firstLineChars="1700"/>
        <w:jc w:val="both"/>
        <w:textAlignment w:val="baseline"/>
        <w:rPr>
          <w:rFonts w:ascii="仿宋" w:hAnsi="仿宋" w:eastAsia="仿宋"/>
          <w:sz w:val="32"/>
          <w:szCs w:val="32"/>
        </w:rPr>
      </w:pPr>
      <w:r>
        <w:rPr>
          <w:rFonts w:hint="eastAsia" w:ascii="仿宋" w:hAnsi="仿宋" w:eastAsia="仿宋"/>
          <w:sz w:val="32"/>
          <w:szCs w:val="32"/>
        </w:rPr>
        <w:t xml:space="preserve"> 2020年11月9日</w:t>
      </w:r>
    </w:p>
    <w:p>
      <w:pPr>
        <w:spacing w:after="0"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59B8"/>
    <w:rsid w:val="000A5C54"/>
    <w:rsid w:val="000B12CA"/>
    <w:rsid w:val="00104FAD"/>
    <w:rsid w:val="00174ACF"/>
    <w:rsid w:val="00187EFD"/>
    <w:rsid w:val="001D5DC6"/>
    <w:rsid w:val="00213B5E"/>
    <w:rsid w:val="0021516C"/>
    <w:rsid w:val="0024192D"/>
    <w:rsid w:val="00280C73"/>
    <w:rsid w:val="003126AB"/>
    <w:rsid w:val="00323B43"/>
    <w:rsid w:val="003D37D8"/>
    <w:rsid w:val="00402E7C"/>
    <w:rsid w:val="004075BE"/>
    <w:rsid w:val="00426133"/>
    <w:rsid w:val="0043298E"/>
    <w:rsid w:val="004358AB"/>
    <w:rsid w:val="00483456"/>
    <w:rsid w:val="004A25A2"/>
    <w:rsid w:val="004B7DCB"/>
    <w:rsid w:val="004E7C27"/>
    <w:rsid w:val="00531499"/>
    <w:rsid w:val="005755D2"/>
    <w:rsid w:val="005A456A"/>
    <w:rsid w:val="005B0DD3"/>
    <w:rsid w:val="005B1FAD"/>
    <w:rsid w:val="005B6F74"/>
    <w:rsid w:val="005D61C7"/>
    <w:rsid w:val="005E1DD7"/>
    <w:rsid w:val="005E2338"/>
    <w:rsid w:val="0063588F"/>
    <w:rsid w:val="00655FFF"/>
    <w:rsid w:val="006B7DE6"/>
    <w:rsid w:val="007C41E9"/>
    <w:rsid w:val="007E2178"/>
    <w:rsid w:val="007F275C"/>
    <w:rsid w:val="00816949"/>
    <w:rsid w:val="0082046D"/>
    <w:rsid w:val="00835050"/>
    <w:rsid w:val="00847452"/>
    <w:rsid w:val="00875896"/>
    <w:rsid w:val="00881806"/>
    <w:rsid w:val="008A2A78"/>
    <w:rsid w:val="008A442D"/>
    <w:rsid w:val="008B7726"/>
    <w:rsid w:val="008D1257"/>
    <w:rsid w:val="008F5351"/>
    <w:rsid w:val="00907302"/>
    <w:rsid w:val="00913878"/>
    <w:rsid w:val="00934E60"/>
    <w:rsid w:val="0095727A"/>
    <w:rsid w:val="0096267A"/>
    <w:rsid w:val="0097552F"/>
    <w:rsid w:val="00995935"/>
    <w:rsid w:val="009963B1"/>
    <w:rsid w:val="00997B4E"/>
    <w:rsid w:val="009A2ECD"/>
    <w:rsid w:val="009B4B26"/>
    <w:rsid w:val="009B7347"/>
    <w:rsid w:val="009D0249"/>
    <w:rsid w:val="009D44F1"/>
    <w:rsid w:val="00A47D64"/>
    <w:rsid w:val="00AF21D3"/>
    <w:rsid w:val="00B34D37"/>
    <w:rsid w:val="00B67562"/>
    <w:rsid w:val="00BA5B76"/>
    <w:rsid w:val="00BF1307"/>
    <w:rsid w:val="00C444C5"/>
    <w:rsid w:val="00CA53CF"/>
    <w:rsid w:val="00CB090C"/>
    <w:rsid w:val="00D26C95"/>
    <w:rsid w:val="00D31D50"/>
    <w:rsid w:val="00D462CC"/>
    <w:rsid w:val="00D52C96"/>
    <w:rsid w:val="00DC666D"/>
    <w:rsid w:val="00E2063A"/>
    <w:rsid w:val="00E753A4"/>
    <w:rsid w:val="00E84284"/>
    <w:rsid w:val="00EF37AC"/>
    <w:rsid w:val="00F22346"/>
    <w:rsid w:val="00F34A30"/>
    <w:rsid w:val="00F43315"/>
    <w:rsid w:val="00F60C68"/>
    <w:rsid w:val="00F82B70"/>
    <w:rsid w:val="00F83FE0"/>
    <w:rsid w:val="00F86017"/>
    <w:rsid w:val="00FE3608"/>
    <w:rsid w:val="00FF6B02"/>
    <w:rsid w:val="0560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semiHidden/>
    <w:unhideWhenUsed/>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uiPriority w:val="0"/>
    <w:rPr>
      <w:rFonts w:ascii="Times New Roman" w:hAnsi="Times New Roman" w:eastAsia="宋体" w:cs="Times New Roman"/>
      <w:kern w:val="2"/>
      <w:sz w:val="21"/>
      <w:szCs w:val="24"/>
    </w:rPr>
  </w:style>
  <w:style w:type="character" w:customStyle="1" w:styleId="11">
    <w:name w:val="正文文本缩进 Char"/>
    <w:basedOn w:val="7"/>
    <w:link w:val="3"/>
    <w:semiHidden/>
    <w:qFormat/>
    <w:uiPriority w:val="0"/>
    <w:rPr>
      <w:rFonts w:ascii="Times New Roman" w:hAnsi="Times New Roman" w:eastAsia="仿宋_GB2312"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230</Words>
  <Characters>1315</Characters>
  <Lines>10</Lines>
  <Paragraphs>3</Paragraphs>
  <TotalTime>383</TotalTime>
  <ScaleCrop>false</ScaleCrop>
  <LinksUpToDate>false</LinksUpToDate>
  <CharactersWithSpaces>1542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2020-10-26T05:00:00Z</cp:lastPrinted>
  <dcterms:modified xsi:type="dcterms:W3CDTF">2020-11-09T07:14:36Z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