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b/>
          <w:sz w:val="24"/>
        </w:rPr>
      </w:pPr>
    </w:p>
    <w:p>
      <w:pPr>
        <w:snapToGrid w:val="0"/>
        <w:jc w:val="center"/>
        <w:rPr>
          <w:b/>
          <w:sz w:val="24"/>
        </w:rPr>
      </w:pPr>
    </w:p>
    <w:p>
      <w:pPr>
        <w:snapToGrid w:val="0"/>
        <w:jc w:val="center"/>
        <w:rPr>
          <w:b/>
          <w:sz w:val="24"/>
        </w:rPr>
      </w:pPr>
    </w:p>
    <w:p>
      <w:pPr>
        <w:snapToGrid w:val="0"/>
        <w:jc w:val="center"/>
        <w:rPr>
          <w:b/>
          <w:sz w:val="24"/>
        </w:rPr>
      </w:pPr>
    </w:p>
    <w:p>
      <w:pPr>
        <w:snapToGrid w:val="0"/>
        <w:jc w:val="center"/>
        <w:rPr>
          <w:b/>
          <w:sz w:val="24"/>
        </w:rPr>
      </w:pPr>
    </w:p>
    <w:p>
      <w:pPr>
        <w:tabs>
          <w:tab w:val="left" w:pos="6240"/>
        </w:tabs>
        <w:spacing w:line="560" w:lineRule="exact"/>
        <w:jc w:val="righ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益环</w:t>
      </w:r>
      <w:r>
        <w:rPr>
          <w:rFonts w:hint="eastAsia" w:ascii="仿宋_GB2312"/>
          <w:color w:val="auto"/>
          <w:sz w:val="28"/>
          <w:szCs w:val="28"/>
          <w:lang w:eastAsia="zh-CN"/>
        </w:rPr>
        <w:t>赫</w:t>
      </w:r>
      <w:r>
        <w:rPr>
          <w:rFonts w:hint="eastAsia" w:ascii="仿宋_GB2312" w:eastAsia="仿宋_GB2312"/>
          <w:color w:val="auto"/>
          <w:sz w:val="28"/>
          <w:szCs w:val="28"/>
        </w:rPr>
        <w:t>审</w:t>
      </w:r>
      <w:r>
        <w:rPr>
          <w:rFonts w:hint="eastAsia" w:ascii="仿宋_GB2312"/>
          <w:color w:val="auto"/>
          <w:sz w:val="28"/>
          <w:szCs w:val="28"/>
          <w:lang w:eastAsia="zh-CN"/>
        </w:rPr>
        <w:t>（表）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[2020</w:t>
      </w:r>
      <w:r>
        <w:rPr>
          <w:rFonts w:hint="eastAsia" w:ascii="仿宋_GB2312" w:eastAsia="仿宋_GB2312"/>
          <w:color w:val="auto"/>
          <w:sz w:val="28"/>
          <w:szCs w:val="28"/>
        </w:rPr>
        <w:t>]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47</w:t>
      </w:r>
      <w:r>
        <w:rPr>
          <w:rFonts w:hint="eastAsia" w:ascii="仿宋_GB2312" w:eastAsia="仿宋_GB2312"/>
          <w:color w:val="auto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《湖南中涌石化有限公司益阳奥林加油站建设项目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环境影响报告表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的批复</w:t>
      </w:r>
    </w:p>
    <w:p>
      <w:pPr>
        <w:spacing w:line="560" w:lineRule="exact"/>
        <w:rPr>
          <w:rFonts w:ascii="仿宋_GB2312" w:hAnsi="黑体" w:eastAsia="仿宋_GB2312"/>
          <w:color w:val="000000"/>
          <w:sz w:val="36"/>
          <w:szCs w:val="36"/>
        </w:rPr>
      </w:pP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湖南中涌石化有限公司益阳奥林加油站</w:t>
      </w:r>
      <w:r>
        <w:rPr>
          <w:rFonts w:hint="eastAsia" w:ascii="仿宋_GB2312"/>
          <w:szCs w:val="32"/>
        </w:rPr>
        <w:t>：</w:t>
      </w:r>
    </w:p>
    <w:p>
      <w:pPr>
        <w:spacing w:line="560" w:lineRule="exact"/>
        <w:ind w:firstLine="656" w:firstLineChars="200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Cs w:val="32"/>
        </w:rPr>
        <w:t>你</w:t>
      </w:r>
      <w:r>
        <w:rPr>
          <w:rFonts w:hint="eastAsia" w:ascii="仿宋_GB2312" w:hAnsi="仿宋_GB2312" w:cs="仿宋_GB2312"/>
          <w:bCs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Cs/>
          <w:szCs w:val="32"/>
        </w:rPr>
        <w:t>呈报的《</w:t>
      </w:r>
      <w:r>
        <w:rPr>
          <w:rFonts w:hint="eastAsia" w:ascii="仿宋_GB2312" w:hAnsi="仿宋_GB2312" w:cs="仿宋_GB2312"/>
          <w:bCs/>
          <w:szCs w:val="32"/>
          <w:lang w:eastAsia="zh-CN"/>
        </w:rPr>
        <w:t>湖南中涌石化有限公司益阳奥林加油站建设项目</w:t>
      </w:r>
      <w:r>
        <w:rPr>
          <w:rFonts w:hint="eastAsia" w:ascii="仿宋_GB2312" w:hAnsi="仿宋_GB2312" w:eastAsia="仿宋_GB2312" w:cs="仿宋_GB2312"/>
          <w:bCs/>
          <w:szCs w:val="32"/>
        </w:rPr>
        <w:t>环境影响报告表》</w:t>
      </w:r>
      <w:r>
        <w:rPr>
          <w:rFonts w:hint="eastAsia" w:ascii="仿宋_GB2312" w:hAnsi="仿宋_GB2312" w:cs="仿宋_GB2312"/>
          <w:bCs/>
          <w:szCs w:val="32"/>
          <w:lang w:eastAsia="zh-CN"/>
        </w:rPr>
        <w:t>（以下简称《报告表》）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及相关附件收悉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。经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，批复如下：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湖南中涌石化有限公司益阳奥林加油站位于</w:t>
      </w:r>
      <w:r>
        <w:rPr>
          <w:rFonts w:hint="eastAsia" w:ascii="仿宋_GB2312" w:hAnsi="Times New Roman" w:cs="Times New Roman"/>
          <w:szCs w:val="32"/>
          <w:lang w:val="en-US" w:eastAsia="zh-CN"/>
        </w:rPr>
        <w:t>益阳市赫山区衡龙桥镇桐子岭村319国道东侧，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总</w:t>
      </w:r>
      <w:r>
        <w:rPr>
          <w:rFonts w:hint="eastAsia" w:ascii="仿宋" w:hAnsi="仿宋" w:eastAsia="仿宋" w:cs="仿宋"/>
          <w:kern w:val="0"/>
          <w:sz w:val="32"/>
          <w:szCs w:val="32"/>
        </w:rPr>
        <w:t>投资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占地面积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lang w:val="en-US" w:eastAsia="zh-CN"/>
        </w:rPr>
        <w:t>1893</w:t>
      </w:r>
      <w:r>
        <w:rPr>
          <w:rFonts w:hint="eastAsia" w:ascii="仿宋" w:hAnsi="仿宋" w:eastAsia="仿宋" w:cs="仿宋"/>
          <w:kern w:val="0"/>
          <w:sz w:val="32"/>
          <w:szCs w:val="32"/>
        </w:rPr>
        <w:t>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设置1座罩棚、1个站房（含营业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房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办公室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等）、埋地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卧式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油罐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个，配套供电、给排水等工程建设。</w:t>
      </w:r>
      <w:r>
        <w:rPr>
          <w:rFonts w:hint="eastAsia" w:ascii="仿宋" w:hAnsi="仿宋" w:eastAsia="仿宋" w:cs="宋体"/>
          <w:sz w:val="32"/>
          <w:szCs w:val="32"/>
        </w:rPr>
        <w:t>项目符合国家产业政策，</w:t>
      </w:r>
      <w:r>
        <w:rPr>
          <w:rFonts w:hint="eastAsia" w:ascii="仿宋" w:hAnsi="仿宋" w:eastAsia="仿宋" w:cs="宋体"/>
          <w:spacing w:val="8"/>
          <w:sz w:val="32"/>
          <w:szCs w:val="32"/>
        </w:rPr>
        <w:t>选址可行</w:t>
      </w:r>
      <w:r>
        <w:rPr>
          <w:rFonts w:hint="eastAsia" w:ascii="仿宋" w:hAnsi="仿宋" w:eastAsia="仿宋" w:cs="宋体"/>
          <w:spacing w:val="8"/>
          <w:sz w:val="32"/>
          <w:szCs w:val="32"/>
          <w:lang w:eastAsia="zh-CN"/>
        </w:rPr>
        <w:t>。</w:t>
      </w:r>
      <w:r>
        <w:rPr>
          <w:rFonts w:hint="eastAsia" w:ascii="仿宋_GB2312"/>
          <w:color w:val="000000"/>
          <w:szCs w:val="32"/>
          <w:lang w:eastAsia="zh-CN"/>
        </w:rPr>
        <w:t>原则上</w:t>
      </w:r>
      <w:r>
        <w:rPr>
          <w:rFonts w:hint="eastAsia" w:ascii="仿宋_GB2312"/>
          <w:szCs w:val="32"/>
        </w:rPr>
        <w:t>同意</w:t>
      </w:r>
      <w:r>
        <w:rPr>
          <w:rFonts w:hint="eastAsia" w:ascii="仿宋_GB2312"/>
          <w:szCs w:val="32"/>
          <w:lang w:eastAsia="zh-CN"/>
        </w:rPr>
        <w:t>《报告表》的基本内容、所作结论和建议以及专家组评审意见。</w:t>
      </w:r>
      <w:r>
        <w:rPr>
          <w:rFonts w:hint="eastAsia" w:ascii="仿宋" w:hAnsi="仿宋" w:eastAsia="仿宋"/>
          <w:kern w:val="0"/>
          <w:sz w:val="32"/>
          <w:szCs w:val="32"/>
        </w:rPr>
        <w:t>在建设单位认真落实环评报告表提出的污染防治和生态保护措施，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确保外排污染物稳定达标的前提下，从环保的角度分析，我局同意项目按报告表所列的建设方案、规模、工艺、环保措施等的建设。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/>
          <w:color w:val="000000"/>
          <w:spacing w:val="4"/>
          <w:szCs w:val="32"/>
        </w:rPr>
      </w:pPr>
      <w:r>
        <w:rPr>
          <w:rFonts w:hint="eastAsia" w:ascii="仿宋_GB2312" w:hAnsi="Times New Roman" w:cs="Times New Roman"/>
          <w:szCs w:val="32"/>
          <w:lang w:eastAsia="zh-CN"/>
        </w:rPr>
        <w:t>二、建设单位在工程设计、建设和运</w:t>
      </w:r>
      <w:r>
        <w:rPr>
          <w:rFonts w:hint="eastAsia" w:ascii="仿宋_GB2312"/>
          <w:spacing w:val="4"/>
          <w:szCs w:val="32"/>
        </w:rPr>
        <w:t>营过程中，必须</w:t>
      </w:r>
      <w:r>
        <w:rPr>
          <w:rFonts w:hint="eastAsia" w:ascii="仿宋_GB2312"/>
          <w:spacing w:val="4"/>
          <w:szCs w:val="32"/>
          <w:lang w:eastAsia="zh-CN"/>
        </w:rPr>
        <w:t>全面落实《</w:t>
      </w:r>
      <w:r>
        <w:rPr>
          <w:rFonts w:hint="eastAsia" w:ascii="仿宋_GB2312"/>
          <w:spacing w:val="4"/>
          <w:szCs w:val="32"/>
        </w:rPr>
        <w:t>报告表</w:t>
      </w:r>
      <w:r>
        <w:rPr>
          <w:rFonts w:hint="eastAsia" w:ascii="仿宋_GB2312"/>
          <w:spacing w:val="4"/>
          <w:szCs w:val="32"/>
          <w:lang w:eastAsia="zh-CN"/>
        </w:rPr>
        <w:t>》提出的各项污染防治和风险防范措施，</w:t>
      </w:r>
      <w:r>
        <w:rPr>
          <w:rFonts w:hint="eastAsia" w:ascii="仿宋_GB2312"/>
          <w:spacing w:val="4"/>
          <w:szCs w:val="32"/>
        </w:rPr>
        <w:t>并着重做好如下工</w:t>
      </w:r>
      <w:r>
        <w:rPr>
          <w:rFonts w:hint="eastAsia" w:ascii="仿宋_GB2312"/>
          <w:color w:val="000000"/>
          <w:spacing w:val="4"/>
          <w:szCs w:val="32"/>
        </w:rPr>
        <w:t>作：</w:t>
      </w:r>
    </w:p>
    <w:p>
      <w:pPr>
        <w:spacing w:line="560" w:lineRule="exact"/>
        <w:ind w:left="160" w:leftChars="50" w:firstLine="492" w:firstLineChars="150"/>
        <w:rPr>
          <w:rFonts w:hint="eastAsia" w:ascii="仿宋_GB2312"/>
          <w:color w:val="000000"/>
          <w:spacing w:val="4"/>
          <w:szCs w:val="32"/>
          <w:lang w:eastAsia="zh-CN"/>
        </w:rPr>
      </w:pPr>
      <w:r>
        <w:rPr>
          <w:rFonts w:hint="eastAsia" w:ascii="仿宋_GB2312"/>
          <w:color w:val="000000"/>
          <w:spacing w:val="4"/>
          <w:szCs w:val="32"/>
          <w:lang w:eastAsia="zh-CN"/>
        </w:rPr>
        <w:t>（一）、加强环境管理，建立环境管理机构，配备专职或兼职环保管理人员，完善环境管理的各项规章制度及应急事故处理措施，定期对“三废”治理设施、应急处理设施进行维护和检查，确保各项污染物达标排放和环境安全。</w:t>
      </w:r>
    </w:p>
    <w:p>
      <w:pPr>
        <w:spacing w:line="560" w:lineRule="exact"/>
        <w:ind w:firstLine="656" w:firstLineChars="200"/>
        <w:rPr>
          <w:rFonts w:hint="eastAsia" w:ascii="宋体" w:hAnsi="宋体" w:cs="Times New Roman"/>
          <w:color w:val="000000"/>
          <w:szCs w:val="21"/>
          <w:lang w:val="en-US" w:eastAsia="zh-CN"/>
        </w:rPr>
      </w:pPr>
      <w:r>
        <w:rPr>
          <w:rFonts w:hint="eastAsia" w:ascii="仿宋_GB2312"/>
          <w:color w:val="000000"/>
          <w:spacing w:val="4"/>
          <w:szCs w:val="32"/>
          <w:lang w:eastAsia="zh-CN"/>
        </w:rPr>
        <w:t>（二）、</w:t>
      </w:r>
      <w:r>
        <w:rPr>
          <w:rFonts w:hint="eastAsia" w:ascii="仿宋_GB2312"/>
          <w:color w:val="000000"/>
          <w:spacing w:val="4"/>
          <w:szCs w:val="32"/>
        </w:rPr>
        <w:t>做好项目大气污染防治工作</w:t>
      </w:r>
      <w:r>
        <w:rPr>
          <w:rFonts w:hint="eastAsia" w:ascii="宋体" w:hAnsi="宋体" w:cs="Times New Roman"/>
          <w:color w:val="000000"/>
          <w:szCs w:val="21"/>
        </w:rPr>
        <w:t>。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采用地埋式储油罐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烃类气体通过油气回收装置处理，营运过程中加强管理，认真严格操作，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车辆进出加油站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lang w:eastAsia="zh-CN"/>
        </w:rPr>
        <w:t>管理，确保外排污染物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满足《大气污染物综合排放标准》（GB16297-1996）表2标准，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lang w:eastAsia="zh-CN"/>
        </w:rPr>
        <w:t>且满足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《加油站大气污染物排放标准》（GB20952-2007）中的油气控制浓度限值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lang w:eastAsia="zh-CN"/>
        </w:rPr>
        <w:t>要求。</w:t>
      </w:r>
    </w:p>
    <w:p>
      <w:pPr>
        <w:spacing w:line="560" w:lineRule="exact"/>
        <w:ind w:firstLine="640" w:firstLineChars="200"/>
        <w:rPr>
          <w:rFonts w:ascii="宋体" w:hAnsi="宋体"/>
          <w:szCs w:val="21"/>
        </w:rPr>
      </w:pPr>
      <w:r>
        <w:rPr>
          <w:rFonts w:hint="eastAsia" w:ascii="宋体" w:hAnsi="宋体" w:cs="Times New Roman"/>
          <w:color w:val="000000"/>
          <w:szCs w:val="21"/>
          <w:lang w:eastAsia="zh-CN"/>
        </w:rPr>
        <w:t>（三）、</w:t>
      </w:r>
      <w:r>
        <w:rPr>
          <w:rFonts w:hint="eastAsia" w:ascii="宋体" w:hAnsi="宋体" w:cs="Times New Roman"/>
          <w:color w:val="000000"/>
          <w:szCs w:val="21"/>
        </w:rPr>
        <w:t>做好项目水污染防治工作。生活污水通过</w:t>
      </w:r>
      <w:r>
        <w:rPr>
          <w:rFonts w:hint="eastAsia" w:ascii="宋体" w:hAnsi="宋体"/>
          <w:szCs w:val="21"/>
        </w:rPr>
        <w:t>化粪池处理</w:t>
      </w:r>
      <w:r>
        <w:rPr>
          <w:rFonts w:hint="eastAsia" w:ascii="宋体" w:hAnsi="宋体"/>
          <w:szCs w:val="21"/>
          <w:lang w:eastAsia="zh-CN"/>
        </w:rPr>
        <w:t>后用做周边农肥，不外排</w:t>
      </w:r>
      <w:r>
        <w:rPr>
          <w:rFonts w:ascii="宋体" w:hAnsi="宋体"/>
          <w:szCs w:val="21"/>
        </w:rPr>
        <w:t>。</w:t>
      </w:r>
    </w:p>
    <w:p>
      <w:pPr>
        <w:spacing w:line="560" w:lineRule="exact"/>
        <w:ind w:firstLine="656" w:firstLineChars="200"/>
        <w:rPr>
          <w:rFonts w:ascii="仿宋_GB2312"/>
          <w:szCs w:val="32"/>
        </w:rPr>
      </w:pPr>
      <w:r>
        <w:rPr>
          <w:rFonts w:hint="eastAsia" w:ascii="仿宋_GB2312"/>
          <w:color w:val="000000"/>
          <w:spacing w:val="4"/>
          <w:szCs w:val="32"/>
          <w:lang w:eastAsia="zh-CN"/>
        </w:rPr>
        <w:t>（四）、</w:t>
      </w:r>
      <w:r>
        <w:rPr>
          <w:rFonts w:hint="eastAsia" w:ascii="仿宋_GB2312"/>
          <w:color w:val="000000"/>
          <w:spacing w:val="4"/>
          <w:szCs w:val="32"/>
        </w:rPr>
        <w:t>做好项目噪声污染防治工作。通过优化平面布局，</w:t>
      </w:r>
      <w:r>
        <w:rPr>
          <w:rFonts w:hint="eastAsia" w:ascii="仿宋_GB2312"/>
          <w:szCs w:val="32"/>
        </w:rPr>
        <w:t>采取减振、隔声，加强设备维护等</w:t>
      </w:r>
      <w:r>
        <w:rPr>
          <w:rFonts w:hint="eastAsia" w:ascii="仿宋_GB2312"/>
          <w:bCs/>
          <w:szCs w:val="32"/>
        </w:rPr>
        <w:t>措施</w:t>
      </w:r>
      <w:r>
        <w:rPr>
          <w:rFonts w:hint="eastAsia" w:ascii="仿宋_GB2312"/>
          <w:szCs w:val="32"/>
        </w:rPr>
        <w:t>，确保项目营运期间厂界噪声达到《工业企业厂界环境噪声排放标准》（GB12348-2008）中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类标准要求。</w:t>
      </w:r>
    </w:p>
    <w:p>
      <w:pPr>
        <w:spacing w:line="560" w:lineRule="exact"/>
        <w:ind w:firstLine="656" w:firstLineChars="200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/>
          <w:color w:val="000000"/>
          <w:spacing w:val="4"/>
          <w:szCs w:val="32"/>
          <w:lang w:eastAsia="zh-CN"/>
        </w:rPr>
        <w:t>（五）、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加强对固体废物的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分类管理控制。按照“无害化、资源化、减量化”的原则，做好工程固废的分类收集、暂存、安全处置和综合利用工作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含油抹布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手套、隔油池油泥、油罐清洗出的清罐废液、废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渣属于危险废物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，应交有相应资质的单位进行处理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；生活垃圾分类收集后委托当地环卫部门统一清运，禁止乱堆乱弃。</w:t>
      </w:r>
    </w:p>
    <w:p>
      <w:pPr>
        <w:spacing w:line="560" w:lineRule="exact"/>
        <w:ind w:firstLine="656" w:firstLineChars="200"/>
        <w:rPr>
          <w:rFonts w:ascii="仿宋_GB2312"/>
          <w:color w:val="000000"/>
          <w:spacing w:val="4"/>
          <w:szCs w:val="32"/>
        </w:rPr>
      </w:pPr>
      <w:r>
        <w:rPr>
          <w:rFonts w:hint="eastAsia" w:ascii="仿宋_GB2312" w:hAnsi="仿宋_GB2312" w:cs="仿宋_GB2312"/>
          <w:color w:val="000000"/>
          <w:spacing w:val="4"/>
          <w:szCs w:val="32"/>
          <w:lang w:eastAsia="zh-CN"/>
        </w:rPr>
        <w:t>三、本项目的性质、规模、地点或者污染防治措施等发生重大变化时，应当重新向环保部门进行环评报批。</w:t>
      </w:r>
    </w:p>
    <w:p>
      <w:pPr>
        <w:spacing w:line="560" w:lineRule="exact"/>
        <w:ind w:firstLine="656" w:firstLineChars="200"/>
        <w:rPr>
          <w:rFonts w:hint="eastAsia" w:ascii="仿宋_GB2312" w:hAnsi="仿宋_GB2312" w:cs="仿宋_GB2312"/>
          <w:color w:val="000000"/>
          <w:spacing w:val="0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pacing w:val="4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pacing w:val="4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szCs w:val="32"/>
        </w:rPr>
        <w:t>建设</w:t>
      </w:r>
      <w:r>
        <w:rPr>
          <w:rFonts w:hint="eastAsia" w:ascii="仿宋_GB2312" w:hAnsi="仿宋_GB2312" w:eastAsia="仿宋_GB2312" w:cs="仿宋_GB2312"/>
          <w:color w:val="000000"/>
          <w:spacing w:val="0"/>
          <w:szCs w:val="32"/>
          <w:lang w:eastAsia="zh-CN"/>
        </w:rPr>
        <w:t>单位</w:t>
      </w:r>
      <w:r>
        <w:rPr>
          <w:rFonts w:hint="eastAsia" w:ascii="仿宋_GB2312" w:hAnsi="仿宋_GB2312" w:cs="仿宋_GB2312"/>
          <w:color w:val="000000"/>
          <w:spacing w:val="0"/>
          <w:szCs w:val="32"/>
          <w:lang w:eastAsia="zh-CN"/>
        </w:rPr>
        <w:t>在本次环评审批手续后，应严格按照《报告表》的内容和批复落实各项污染防治措施，项目建成后，应按规定程序及时进行竣工环境保护验收。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pacing w:val="0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pacing w:val="0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pacing w:val="0"/>
          <w:szCs w:val="32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color w:val="000000"/>
          <w:szCs w:val="32"/>
          <w:lang w:eastAsia="zh-CN"/>
        </w:rPr>
      </w:pPr>
      <w:r>
        <w:rPr>
          <w:rFonts w:hint="eastAsia" w:ascii="仿宋_GB2312"/>
          <w:color w:val="000000"/>
          <w:szCs w:val="32"/>
        </w:rPr>
        <w:t xml:space="preserve">                        </w:t>
      </w:r>
      <w:r>
        <w:rPr>
          <w:rFonts w:hint="eastAsia" w:ascii="仿宋_GB2312"/>
          <w:color w:val="000000"/>
          <w:szCs w:val="32"/>
          <w:lang w:val="en-US" w:eastAsia="zh-CN"/>
        </w:rPr>
        <w:t xml:space="preserve">   </w:t>
      </w:r>
      <w:r>
        <w:rPr>
          <w:rFonts w:hint="eastAsia" w:ascii="仿宋_GB2312"/>
          <w:color w:val="000000"/>
          <w:szCs w:val="32"/>
        </w:rPr>
        <w:t xml:space="preserve">  益阳市生态环境局</w:t>
      </w:r>
      <w:r>
        <w:rPr>
          <w:rFonts w:hint="eastAsia" w:ascii="仿宋_GB2312"/>
          <w:color w:val="000000"/>
          <w:szCs w:val="32"/>
          <w:lang w:eastAsia="zh-CN"/>
        </w:rPr>
        <w:t>赫山分局</w:t>
      </w:r>
    </w:p>
    <w:p>
      <w:pPr>
        <w:adjustRightInd w:val="0"/>
        <w:snapToGrid w:val="0"/>
        <w:spacing w:line="560" w:lineRule="exact"/>
        <w:ind w:right="480" w:firstLine="4960" w:firstLineChars="1550"/>
        <w:jc w:val="right"/>
      </w:pPr>
      <w:r>
        <w:rPr>
          <w:rFonts w:hint="eastAsia" w:ascii="仿宋_GB2312"/>
          <w:color w:val="000000"/>
          <w:szCs w:val="32"/>
        </w:rPr>
        <w:t>20</w:t>
      </w:r>
      <w:r>
        <w:rPr>
          <w:rFonts w:hint="eastAsia" w:ascii="仿宋_GB2312"/>
          <w:color w:val="000000"/>
          <w:szCs w:val="32"/>
          <w:lang w:val="en-US" w:eastAsia="zh-CN"/>
        </w:rPr>
        <w:t>20</w:t>
      </w:r>
      <w:r>
        <w:rPr>
          <w:rFonts w:hint="eastAsia" w:ascii="仿宋_GB2312"/>
          <w:color w:val="000000"/>
          <w:szCs w:val="32"/>
        </w:rPr>
        <w:t>年</w:t>
      </w:r>
      <w:r>
        <w:rPr>
          <w:rFonts w:hint="eastAsia" w:ascii="仿宋_GB2312"/>
          <w:color w:val="000000"/>
          <w:szCs w:val="32"/>
          <w:lang w:val="en-US" w:eastAsia="zh-CN"/>
        </w:rPr>
        <w:t>10</w:t>
      </w:r>
      <w:r>
        <w:rPr>
          <w:rFonts w:hint="eastAsia" w:ascii="仿宋_GB2312"/>
          <w:color w:val="000000"/>
          <w:szCs w:val="32"/>
        </w:rPr>
        <w:t>月</w:t>
      </w:r>
      <w:r>
        <w:rPr>
          <w:rFonts w:hint="eastAsia" w:ascii="仿宋_GB2312"/>
          <w:color w:val="000000"/>
          <w:szCs w:val="32"/>
          <w:lang w:val="en-US" w:eastAsia="zh-CN"/>
        </w:rPr>
        <w:t>26</w:t>
      </w:r>
      <w:r>
        <w:rPr>
          <w:rFonts w:hint="eastAsia" w:ascii="仿宋_GB2312"/>
          <w:color w:val="000000"/>
          <w:szCs w:val="32"/>
        </w:rPr>
        <w:t>日</w:t>
      </w:r>
    </w:p>
    <w:p/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7EF5"/>
    <w:multiLevelType w:val="singleLevel"/>
    <w:tmpl w:val="39447E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9690B"/>
    <w:rsid w:val="064E0C5A"/>
    <w:rsid w:val="51051FC1"/>
    <w:rsid w:val="5C4546F3"/>
    <w:rsid w:val="7639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2020-10-23T07:08:00Z</dcterms:created>
  <dc:creator>巧</dc:creator>
  <cp:lastModifiedBy>巧</cp:lastModifiedBy>
  <dcterms:modified xsi:type="dcterms:W3CDTF">2020-10-23T07:43:13Z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