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985"/>
        </w:tabs>
        <w:spacing w:line="500" w:lineRule="exact"/>
        <w:jc w:val="center"/>
        <w:rPr>
          <w:rFonts w:ascii="宋体" w:hAnsi="宋体"/>
          <w:bCs/>
          <w:sz w:val="32"/>
          <w:szCs w:val="32"/>
        </w:rPr>
      </w:pPr>
    </w:p>
    <w:p>
      <w:pPr>
        <w:pStyle w:val="2"/>
        <w:spacing w:line="500" w:lineRule="exact"/>
        <w:jc w:val="center"/>
        <w:rPr>
          <w:rFonts w:ascii="仿宋_GB2312" w:eastAsia="仿宋_GB2312"/>
          <w:spacing w:val="-20"/>
        </w:rPr>
      </w:pPr>
    </w:p>
    <w:p>
      <w:pPr>
        <w:pStyle w:val="2"/>
        <w:spacing w:line="500" w:lineRule="exact"/>
        <w:jc w:val="center"/>
        <w:rPr>
          <w:rFonts w:ascii="仿宋_GB2312" w:eastAsia="仿宋_GB2312"/>
          <w:spacing w:val="-20"/>
        </w:rPr>
      </w:pPr>
    </w:p>
    <w:p>
      <w:pPr>
        <w:pStyle w:val="2"/>
        <w:spacing w:line="560" w:lineRule="exact"/>
        <w:jc w:val="center"/>
        <w:rPr>
          <w:rFonts w:ascii="宋体" w:hAnsi="宋体"/>
          <w:spacing w:val="-20"/>
          <w:sz w:val="30"/>
          <w:szCs w:val="30"/>
        </w:rPr>
      </w:pPr>
      <w:r>
        <w:rPr>
          <w:rFonts w:hint="eastAsia" w:ascii="宋体" w:hAnsi="宋体"/>
          <w:spacing w:val="-20"/>
          <w:sz w:val="30"/>
          <w:szCs w:val="30"/>
        </w:rPr>
        <w:t xml:space="preserve">                                    </w:t>
      </w:r>
      <w:r>
        <w:rPr>
          <w:rFonts w:hint="eastAsia" w:ascii="仿宋" w:hAnsi="仿宋" w:eastAsia="仿宋"/>
          <w:sz w:val="32"/>
          <w:szCs w:val="32"/>
        </w:rPr>
        <w:t>益环审(表)〔2020〕</w:t>
      </w:r>
      <w:r>
        <w:rPr>
          <w:rFonts w:hint="eastAsia" w:ascii="仿宋" w:hAnsi="仿宋" w:eastAsia="仿宋"/>
          <w:sz w:val="32"/>
          <w:szCs w:val="32"/>
          <w:lang w:val="en-US" w:eastAsia="zh-CN"/>
        </w:rPr>
        <w:t>91</w:t>
      </w:r>
      <w:r>
        <w:rPr>
          <w:rFonts w:hint="eastAsia" w:ascii="仿宋" w:hAnsi="仿宋" w:eastAsia="仿宋"/>
          <w:sz w:val="32"/>
          <w:szCs w:val="32"/>
        </w:rPr>
        <w:t>号</w:t>
      </w:r>
    </w:p>
    <w:p>
      <w:pPr>
        <w:tabs>
          <w:tab w:val="left" w:pos="1021"/>
        </w:tabs>
        <w:spacing w:after="0" w:line="640" w:lineRule="exact"/>
        <w:jc w:val="center"/>
        <w:rPr>
          <w:rFonts w:hint="eastAsia" w:ascii="方正小标宋简体" w:eastAsia="方正小标宋简体" w:hAnsiTheme="majorEastAsia" w:cstheme="majorEastAsia"/>
          <w:sz w:val="44"/>
          <w:szCs w:val="44"/>
          <w:lang w:eastAsia="zh-CN"/>
        </w:rPr>
      </w:pPr>
      <w:r>
        <w:rPr>
          <w:rFonts w:hint="eastAsia" w:ascii="方正小标宋简体" w:eastAsia="方正小标宋简体" w:hAnsiTheme="majorEastAsia" w:cstheme="majorEastAsia"/>
          <w:sz w:val="44"/>
          <w:szCs w:val="44"/>
          <w:lang w:eastAsia="zh-CN"/>
        </w:rPr>
        <w:t>益阳市生态环境局</w:t>
      </w:r>
    </w:p>
    <w:p>
      <w:pPr>
        <w:tabs>
          <w:tab w:val="left" w:pos="1021"/>
        </w:tabs>
        <w:spacing w:after="0" w:line="640" w:lineRule="exact"/>
        <w:jc w:val="center"/>
        <w:rPr>
          <w:rFonts w:hint="eastAsia" w:ascii="方正小标宋简体" w:eastAsia="方正小标宋简体" w:hAnsiTheme="majorEastAsia" w:cstheme="majorEastAsia"/>
          <w:sz w:val="44"/>
          <w:szCs w:val="44"/>
        </w:rPr>
      </w:pPr>
      <w:r>
        <w:rPr>
          <w:rFonts w:hint="eastAsia" w:ascii="方正小标宋简体" w:eastAsia="方正小标宋简体" w:hAnsiTheme="majorEastAsia" w:cstheme="majorEastAsia"/>
          <w:sz w:val="44"/>
          <w:szCs w:val="44"/>
        </w:rPr>
        <w:t>关于大唐华银张家界水电有限公司</w:t>
      </w:r>
    </w:p>
    <w:p>
      <w:pPr>
        <w:tabs>
          <w:tab w:val="left" w:pos="1021"/>
        </w:tabs>
        <w:spacing w:after="0" w:line="640" w:lineRule="exact"/>
        <w:jc w:val="center"/>
        <w:rPr>
          <w:rFonts w:hint="eastAsia" w:ascii="方正小标宋简体" w:eastAsia="方正小标宋简体" w:hAnsiTheme="majorEastAsia" w:cstheme="majorEastAsia"/>
          <w:sz w:val="44"/>
          <w:szCs w:val="44"/>
        </w:rPr>
      </w:pPr>
      <w:r>
        <w:rPr>
          <w:rFonts w:hint="eastAsia" w:ascii="方正小标宋简体" w:eastAsia="方正小标宋简体" w:hAnsiTheme="majorEastAsia" w:cstheme="majorEastAsia"/>
          <w:sz w:val="44"/>
          <w:szCs w:val="44"/>
        </w:rPr>
        <w:t>大唐华银资阳区张家塞乡德兴湖-洪合湖</w:t>
      </w:r>
    </w:p>
    <w:p>
      <w:pPr>
        <w:tabs>
          <w:tab w:val="left" w:pos="1021"/>
        </w:tabs>
        <w:spacing w:after="0" w:line="640" w:lineRule="exact"/>
        <w:jc w:val="center"/>
        <w:rPr>
          <w:rFonts w:hint="eastAsia" w:ascii="方正小标宋简体" w:eastAsia="方正小标宋简体" w:hAnsiTheme="majorEastAsia" w:cstheme="majorEastAsia"/>
          <w:sz w:val="44"/>
          <w:szCs w:val="44"/>
        </w:rPr>
      </w:pPr>
      <w:r>
        <w:rPr>
          <w:rFonts w:hint="eastAsia" w:ascii="方正小标宋简体" w:eastAsia="方正小标宋简体" w:hAnsiTheme="majorEastAsia" w:cstheme="majorEastAsia"/>
          <w:sz w:val="44"/>
          <w:szCs w:val="44"/>
        </w:rPr>
        <w:t>渔光互补光伏项目环境影响报告表的批复</w:t>
      </w:r>
    </w:p>
    <w:p>
      <w:pPr>
        <w:spacing w:after="0" w:line="560" w:lineRule="exact"/>
        <w:jc w:val="both"/>
        <w:rPr>
          <w:rFonts w:hint="eastAsia" w:ascii="仿宋" w:hAnsi="仿宋" w:eastAsia="仿宋" w:cs="Times New Roman"/>
          <w:kern w:val="2"/>
          <w:sz w:val="32"/>
          <w:szCs w:val="32"/>
        </w:rPr>
      </w:pPr>
    </w:p>
    <w:p>
      <w:pPr>
        <w:spacing w:after="0" w:line="560" w:lineRule="exact"/>
        <w:jc w:val="both"/>
        <w:rPr>
          <w:rFonts w:ascii="仿宋" w:hAnsi="仿宋" w:eastAsia="仿宋"/>
          <w:sz w:val="32"/>
          <w:szCs w:val="32"/>
        </w:rPr>
      </w:pPr>
      <w:r>
        <w:rPr>
          <w:rFonts w:ascii="仿宋" w:hAnsi="仿宋" w:eastAsia="仿宋" w:cs="Times New Roman"/>
          <w:kern w:val="2"/>
          <w:sz w:val="32"/>
          <w:szCs w:val="32"/>
        </w:rPr>
        <w:t>大唐华银张家界水电有限公司</w:t>
      </w:r>
      <w:r>
        <w:rPr>
          <w:rFonts w:hint="eastAsia" w:ascii="仿宋" w:hAnsi="仿宋" w:eastAsia="仿宋" w:cs="Times New Roman"/>
          <w:kern w:val="2"/>
          <w:sz w:val="32"/>
          <w:szCs w:val="32"/>
        </w:rPr>
        <w:t>：</w:t>
      </w:r>
    </w:p>
    <w:p>
      <w:pPr>
        <w:spacing w:after="0" w:line="560" w:lineRule="exact"/>
        <w:ind w:firstLine="640" w:firstLineChars="200"/>
        <w:jc w:val="both"/>
        <w:rPr>
          <w:rFonts w:ascii="仿宋" w:hAnsi="仿宋" w:eastAsia="仿宋" w:cs="Times New Roman"/>
          <w:kern w:val="2"/>
          <w:sz w:val="32"/>
          <w:szCs w:val="32"/>
        </w:rPr>
      </w:pPr>
      <w:r>
        <w:rPr>
          <w:rFonts w:hint="eastAsia" w:ascii="仿宋" w:hAnsi="仿宋" w:eastAsia="仿宋"/>
          <w:sz w:val="32"/>
          <w:szCs w:val="32"/>
        </w:rPr>
        <w:t>你公司呈报的《关于请求对&lt;</w:t>
      </w:r>
      <w:r>
        <w:rPr>
          <w:rFonts w:ascii="仿宋" w:hAnsi="仿宋" w:eastAsia="仿宋" w:cs="Times New Roman"/>
          <w:kern w:val="2"/>
          <w:sz w:val="32"/>
          <w:szCs w:val="32"/>
        </w:rPr>
        <w:t>大唐华银张家界水电有限公</w:t>
      </w:r>
      <w:r>
        <w:rPr>
          <w:rFonts w:hint="eastAsia" w:ascii="仿宋" w:hAnsi="仿宋" w:eastAsia="仿宋"/>
          <w:sz w:val="32"/>
          <w:szCs w:val="32"/>
        </w:rPr>
        <w:t>司</w:t>
      </w:r>
      <w:r>
        <w:rPr>
          <w:rFonts w:ascii="仿宋" w:hAnsi="仿宋" w:eastAsia="仿宋" w:cs="Times New Roman"/>
          <w:sz w:val="32"/>
          <w:szCs w:val="32"/>
        </w:rPr>
        <w:t>大唐华银</w:t>
      </w:r>
      <w:r>
        <w:rPr>
          <w:rFonts w:hint="eastAsia" w:ascii="仿宋" w:hAnsi="仿宋" w:eastAsia="仿宋" w:cs="Times New Roman"/>
          <w:sz w:val="32"/>
          <w:szCs w:val="32"/>
        </w:rPr>
        <w:t>资阳区张家塞乡德兴湖-洪合湖</w:t>
      </w:r>
      <w:r>
        <w:rPr>
          <w:rFonts w:ascii="仿宋" w:hAnsi="仿宋" w:eastAsia="仿宋" w:cs="Times New Roman"/>
          <w:kern w:val="2"/>
          <w:sz w:val="32"/>
          <w:szCs w:val="32"/>
        </w:rPr>
        <w:t>渔光互补光伏项目</w:t>
      </w:r>
      <w:r>
        <w:rPr>
          <w:rFonts w:hint="eastAsia" w:ascii="仿宋" w:hAnsi="仿宋" w:eastAsia="仿宋" w:cs="Times New Roman"/>
          <w:kern w:val="2"/>
          <w:sz w:val="32"/>
          <w:szCs w:val="32"/>
        </w:rPr>
        <w:t>环境影响报告表&gt;进行审批的报告》、益阳市生态环境局资阳分局的预审意见及相关材料收悉。经审查、研究，批复如下：</w:t>
      </w:r>
    </w:p>
    <w:p>
      <w:pPr>
        <w:spacing w:after="0" w:line="560" w:lineRule="exact"/>
        <w:ind w:firstLine="640" w:firstLineChars="200"/>
        <w:jc w:val="both"/>
        <w:rPr>
          <w:rFonts w:ascii="仿宋" w:hAnsi="仿宋" w:eastAsia="仿宋" w:cs="Times New Roman"/>
          <w:kern w:val="2"/>
          <w:sz w:val="32"/>
          <w:szCs w:val="32"/>
        </w:rPr>
      </w:pPr>
      <w:r>
        <w:rPr>
          <w:rFonts w:hint="eastAsia" w:ascii="仿宋" w:hAnsi="仿宋" w:eastAsia="仿宋" w:cs="Times New Roman"/>
          <w:kern w:val="2"/>
          <w:sz w:val="32"/>
          <w:szCs w:val="32"/>
        </w:rPr>
        <w:t>一、</w:t>
      </w:r>
      <w:r>
        <w:rPr>
          <w:rFonts w:ascii="仿宋" w:hAnsi="仿宋" w:eastAsia="仿宋" w:cs="Times New Roman"/>
          <w:kern w:val="2"/>
          <w:sz w:val="32"/>
          <w:szCs w:val="32"/>
        </w:rPr>
        <w:t>大唐华银张家界水电有限公</w:t>
      </w:r>
      <w:r>
        <w:rPr>
          <w:rFonts w:hint="eastAsia" w:ascii="仿宋" w:hAnsi="仿宋" w:eastAsia="仿宋" w:cs="Times New Roman"/>
          <w:kern w:val="2"/>
          <w:sz w:val="32"/>
          <w:szCs w:val="32"/>
        </w:rPr>
        <w:t>司拟投资86500万元，在</w:t>
      </w:r>
      <w:r>
        <w:rPr>
          <w:rFonts w:ascii="仿宋" w:hAnsi="仿宋" w:eastAsia="仿宋" w:cs="Times New Roman"/>
          <w:kern w:val="2"/>
          <w:sz w:val="32"/>
          <w:szCs w:val="32"/>
        </w:rPr>
        <w:t>益阳市</w:t>
      </w:r>
      <w:r>
        <w:rPr>
          <w:rFonts w:hint="eastAsia" w:ascii="仿宋" w:hAnsi="仿宋" w:eastAsia="仿宋" w:cs="Times New Roman"/>
          <w:kern w:val="2"/>
          <w:sz w:val="32"/>
          <w:szCs w:val="32"/>
        </w:rPr>
        <w:t>资</w:t>
      </w:r>
      <w:r>
        <w:rPr>
          <w:rFonts w:ascii="仿宋" w:hAnsi="仿宋" w:eastAsia="仿宋" w:cs="Times New Roman"/>
          <w:kern w:val="2"/>
          <w:sz w:val="32"/>
          <w:szCs w:val="32"/>
        </w:rPr>
        <w:t>阳区张家塞乡租用</w:t>
      </w:r>
      <w:r>
        <w:rPr>
          <w:rFonts w:hint="eastAsia" w:ascii="仿宋" w:hAnsi="仿宋" w:eastAsia="仿宋" w:cs="Times New Roman"/>
          <w:kern w:val="2"/>
          <w:sz w:val="32"/>
          <w:szCs w:val="32"/>
        </w:rPr>
        <w:t>德</w:t>
      </w:r>
      <w:r>
        <w:rPr>
          <w:rFonts w:ascii="仿宋" w:hAnsi="仿宋" w:eastAsia="仿宋" w:cs="Times New Roman"/>
          <w:kern w:val="2"/>
          <w:sz w:val="32"/>
          <w:szCs w:val="32"/>
        </w:rPr>
        <w:t>兴湖</w:t>
      </w:r>
      <w:r>
        <w:rPr>
          <w:rFonts w:hint="eastAsia" w:ascii="仿宋" w:hAnsi="仿宋" w:eastAsia="仿宋" w:cs="Times New Roman"/>
          <w:kern w:val="2"/>
          <w:sz w:val="32"/>
          <w:szCs w:val="32"/>
        </w:rPr>
        <w:t>和洪合湖可利用</w:t>
      </w:r>
      <w:r>
        <w:rPr>
          <w:rFonts w:ascii="仿宋" w:hAnsi="仿宋" w:eastAsia="仿宋" w:cs="Times New Roman"/>
          <w:kern w:val="2"/>
          <w:sz w:val="32"/>
          <w:szCs w:val="32"/>
        </w:rPr>
        <w:t>水域，采用</w:t>
      </w:r>
      <w:r>
        <w:rPr>
          <w:rFonts w:hint="eastAsia" w:ascii="仿宋" w:hAnsi="仿宋" w:eastAsia="仿宋" w:cs="Times New Roman"/>
          <w:kern w:val="2"/>
          <w:sz w:val="32"/>
          <w:szCs w:val="32"/>
        </w:rPr>
        <w:t>全</w:t>
      </w:r>
      <w:r>
        <w:rPr>
          <w:rFonts w:ascii="仿宋" w:hAnsi="仿宋" w:eastAsia="仿宋" w:cs="Times New Roman"/>
          <w:kern w:val="2"/>
          <w:sz w:val="32"/>
          <w:szCs w:val="32"/>
        </w:rPr>
        <w:t>浮箱拼接方案，</w:t>
      </w:r>
      <w:r>
        <w:rPr>
          <w:rFonts w:hint="eastAsia" w:ascii="仿宋" w:hAnsi="仿宋" w:eastAsia="仿宋" w:cs="Times New Roman"/>
          <w:kern w:val="2"/>
          <w:sz w:val="32"/>
          <w:szCs w:val="32"/>
        </w:rPr>
        <w:t>建设</w:t>
      </w:r>
      <w:r>
        <w:rPr>
          <w:rFonts w:ascii="仿宋" w:hAnsi="仿宋" w:eastAsia="仿宋" w:cs="Times New Roman"/>
          <w:kern w:val="2"/>
          <w:sz w:val="32"/>
          <w:szCs w:val="32"/>
        </w:rPr>
        <w:t>大唐华银</w:t>
      </w:r>
      <w:r>
        <w:rPr>
          <w:rFonts w:hint="eastAsia" w:ascii="仿宋" w:hAnsi="仿宋" w:eastAsia="仿宋" w:cs="Times New Roman"/>
          <w:kern w:val="2"/>
          <w:sz w:val="32"/>
          <w:szCs w:val="32"/>
        </w:rPr>
        <w:t>资阳区德兴湖-洪合湖</w:t>
      </w:r>
      <w:r>
        <w:rPr>
          <w:rFonts w:ascii="仿宋" w:hAnsi="仿宋" w:eastAsia="仿宋" w:cs="Times New Roman"/>
          <w:kern w:val="2"/>
          <w:sz w:val="32"/>
          <w:szCs w:val="32"/>
        </w:rPr>
        <w:t>渔光互补光伏项目</w:t>
      </w:r>
      <w:r>
        <w:rPr>
          <w:rFonts w:hint="eastAsia" w:ascii="仿宋" w:hAnsi="仿宋" w:eastAsia="仿宋" w:cs="Times New Roman"/>
          <w:kern w:val="2"/>
          <w:sz w:val="32"/>
          <w:szCs w:val="32"/>
        </w:rPr>
        <w:t>。项目占地91.995万平方米</w:t>
      </w:r>
      <w:r>
        <w:rPr>
          <w:rFonts w:ascii="仿宋" w:hAnsi="仿宋" w:eastAsia="仿宋" w:cs="Times New Roman"/>
          <w:kern w:val="2"/>
          <w:sz w:val="32"/>
          <w:szCs w:val="32"/>
        </w:rPr>
        <w:t>（其中水域面积</w:t>
      </w:r>
      <w:r>
        <w:rPr>
          <w:rFonts w:hint="eastAsia" w:ascii="仿宋" w:hAnsi="仿宋" w:eastAsia="仿宋" w:cs="Times New Roman"/>
          <w:kern w:val="2"/>
          <w:sz w:val="32"/>
          <w:szCs w:val="32"/>
        </w:rPr>
        <w:t>91.4万</w:t>
      </w:r>
      <w:r>
        <w:rPr>
          <w:rFonts w:ascii="仿宋" w:hAnsi="仿宋" w:eastAsia="仿宋" w:cs="Times New Roman"/>
          <w:kern w:val="2"/>
          <w:sz w:val="32"/>
          <w:szCs w:val="32"/>
        </w:rPr>
        <w:t>平方米）</w:t>
      </w:r>
      <w:r>
        <w:rPr>
          <w:rFonts w:hint="eastAsia" w:ascii="仿宋" w:hAnsi="仿宋" w:eastAsia="仿宋" w:cs="Times New Roman"/>
          <w:kern w:val="2"/>
          <w:sz w:val="32"/>
          <w:szCs w:val="32"/>
        </w:rPr>
        <w:t>，主要建设内容包括在湖面安装64个3.84384MWp的光伏发电单元（一期安装16个），每个发电单元设置8736块440Wp光伏组件，配套建设1座110kV升压站及线路接入系统。</w:t>
      </w:r>
      <w:r>
        <w:rPr>
          <w:rFonts w:ascii="仿宋" w:hAnsi="仿宋" w:eastAsia="仿宋" w:cs="Times New Roman"/>
          <w:kern w:val="2"/>
          <w:sz w:val="32"/>
          <w:szCs w:val="32"/>
        </w:rPr>
        <w:t>光伏发电系统</w:t>
      </w:r>
      <w:r>
        <w:rPr>
          <w:rFonts w:hint="eastAsia" w:ascii="仿宋" w:hAnsi="仿宋" w:eastAsia="仿宋" w:cs="Times New Roman"/>
          <w:kern w:val="2"/>
          <w:sz w:val="32"/>
          <w:szCs w:val="32"/>
        </w:rPr>
        <w:t>主要</w:t>
      </w:r>
      <w:r>
        <w:rPr>
          <w:rFonts w:ascii="仿宋" w:hAnsi="仿宋" w:eastAsia="仿宋" w:cs="Times New Roman"/>
          <w:kern w:val="2"/>
          <w:sz w:val="32"/>
          <w:szCs w:val="32"/>
        </w:rPr>
        <w:t>包括光伏电池组件、组件支架、支架驱动及控制系统、支架基础、汇流箱、升压变电设备及基础、集电线路、升压站设备及基础和场内道路等</w:t>
      </w:r>
      <w:r>
        <w:rPr>
          <w:rFonts w:hint="eastAsia" w:ascii="仿宋" w:hAnsi="仿宋" w:eastAsia="仿宋" w:cs="Times New Roman"/>
          <w:kern w:val="2"/>
          <w:sz w:val="32"/>
          <w:szCs w:val="32"/>
        </w:rPr>
        <w:t>，建设1座110KV升压变压站,项目总装机容量2</w:t>
      </w:r>
      <w:r>
        <w:rPr>
          <w:rFonts w:ascii="仿宋" w:hAnsi="仿宋" w:eastAsia="仿宋" w:cs="Times New Roman"/>
          <w:kern w:val="2"/>
          <w:sz w:val="32"/>
          <w:szCs w:val="32"/>
        </w:rPr>
        <w:t>00MW</w:t>
      </w:r>
      <w:r>
        <w:rPr>
          <w:rFonts w:hint="eastAsia" w:ascii="仿宋" w:hAnsi="仿宋" w:eastAsia="仿宋" w:cs="Times New Roman"/>
          <w:kern w:val="2"/>
          <w:sz w:val="32"/>
          <w:szCs w:val="32"/>
        </w:rPr>
        <w:t>，</w:t>
      </w:r>
      <w:r>
        <w:rPr>
          <w:rFonts w:ascii="仿宋" w:hAnsi="仿宋" w:eastAsia="仿宋" w:cs="Times New Roman"/>
          <w:kern w:val="2"/>
          <w:sz w:val="32"/>
          <w:szCs w:val="32"/>
        </w:rPr>
        <w:t>一期建设规模</w:t>
      </w:r>
      <w:r>
        <w:rPr>
          <w:rFonts w:hint="eastAsia" w:ascii="仿宋" w:hAnsi="仿宋" w:eastAsia="仿宋" w:cs="Times New Roman"/>
          <w:kern w:val="2"/>
          <w:sz w:val="32"/>
          <w:szCs w:val="32"/>
        </w:rPr>
        <w:t>50MW。</w:t>
      </w:r>
    </w:p>
    <w:p>
      <w:pPr>
        <w:spacing w:after="0" w:line="560" w:lineRule="exact"/>
        <w:ind w:firstLine="640" w:firstLineChars="200"/>
        <w:jc w:val="both"/>
        <w:rPr>
          <w:rFonts w:ascii="仿宋" w:hAnsi="仿宋" w:eastAsia="仿宋" w:cs="Times New Roman"/>
          <w:kern w:val="2"/>
          <w:sz w:val="32"/>
          <w:szCs w:val="32"/>
        </w:rPr>
      </w:pPr>
      <w:r>
        <w:rPr>
          <w:rFonts w:hint="eastAsia" w:ascii="仿宋" w:hAnsi="仿宋" w:eastAsia="仿宋" w:cs="Times New Roman"/>
          <w:kern w:val="2"/>
          <w:sz w:val="32"/>
          <w:szCs w:val="32"/>
        </w:rPr>
        <w:t>项目符合国家产业政策，选址基本可行。根据湖南</w:t>
      </w:r>
      <w:r>
        <w:rPr>
          <w:rFonts w:ascii="仿宋" w:hAnsi="仿宋" w:eastAsia="仿宋" w:cs="Times New Roman"/>
          <w:kern w:val="2"/>
          <w:sz w:val="32"/>
          <w:szCs w:val="32"/>
        </w:rPr>
        <w:t>葆华环保有限公司</w:t>
      </w:r>
      <w:r>
        <w:rPr>
          <w:rFonts w:hint="eastAsia" w:ascii="仿宋" w:hAnsi="仿宋" w:eastAsia="仿宋" w:cs="Times New Roman"/>
          <w:kern w:val="2"/>
          <w:sz w:val="32"/>
          <w:szCs w:val="32"/>
        </w:rPr>
        <w:t>编制的环评报告表的的分析结论和益阳市生态环境局资阳分局的预审意见，在建设单位认真落实报告表和本批复提出的各项生态环境保护措施，确保各项污染物稳定达标排放的前提下，从环境保护的角度分析，我局原则同意</w:t>
      </w:r>
      <w:r>
        <w:rPr>
          <w:rFonts w:ascii="仿宋" w:hAnsi="仿宋" w:eastAsia="仿宋" w:cs="Times New Roman"/>
          <w:kern w:val="2"/>
          <w:sz w:val="32"/>
          <w:szCs w:val="32"/>
        </w:rPr>
        <w:t>大唐华银张家界水电有限公</w:t>
      </w:r>
      <w:r>
        <w:rPr>
          <w:rFonts w:hint="eastAsia" w:ascii="仿宋" w:hAnsi="仿宋" w:eastAsia="仿宋" w:cs="Times New Roman"/>
          <w:kern w:val="2"/>
          <w:sz w:val="32"/>
          <w:szCs w:val="32"/>
        </w:rPr>
        <w:t>司</w:t>
      </w:r>
      <w:r>
        <w:rPr>
          <w:rFonts w:ascii="仿宋" w:hAnsi="仿宋" w:eastAsia="仿宋" w:cs="Times New Roman"/>
          <w:kern w:val="2"/>
          <w:sz w:val="32"/>
          <w:szCs w:val="32"/>
        </w:rPr>
        <w:t>大唐华银</w:t>
      </w:r>
      <w:r>
        <w:rPr>
          <w:rFonts w:hint="eastAsia" w:ascii="仿宋" w:hAnsi="仿宋" w:eastAsia="仿宋" w:cs="Times New Roman"/>
          <w:sz w:val="32"/>
          <w:szCs w:val="32"/>
        </w:rPr>
        <w:t>资阳区张家塞乡德兴湖-洪合湖</w:t>
      </w:r>
      <w:r>
        <w:rPr>
          <w:rFonts w:ascii="仿宋" w:hAnsi="仿宋" w:eastAsia="仿宋" w:cs="Times New Roman"/>
          <w:kern w:val="2"/>
          <w:sz w:val="32"/>
          <w:szCs w:val="32"/>
        </w:rPr>
        <w:t>渔光互补光伏项目</w:t>
      </w:r>
      <w:r>
        <w:rPr>
          <w:rFonts w:hint="eastAsia" w:ascii="仿宋" w:hAnsi="仿宋" w:eastAsia="仿宋" w:cs="Times New Roman"/>
          <w:kern w:val="2"/>
          <w:sz w:val="32"/>
          <w:szCs w:val="32"/>
        </w:rPr>
        <w:t>的选址并建设。</w:t>
      </w:r>
    </w:p>
    <w:p>
      <w:pPr>
        <w:spacing w:after="0" w:line="560" w:lineRule="exact"/>
        <w:ind w:firstLine="640" w:firstLineChars="200"/>
        <w:jc w:val="both"/>
        <w:rPr>
          <w:rFonts w:ascii="仿宋" w:hAnsi="仿宋" w:eastAsia="仿宋" w:cs="Times New Roman"/>
          <w:kern w:val="2"/>
          <w:sz w:val="32"/>
          <w:szCs w:val="32"/>
        </w:rPr>
      </w:pPr>
      <w:r>
        <w:rPr>
          <w:rFonts w:hint="eastAsia" w:ascii="仿宋" w:hAnsi="仿宋" w:eastAsia="仿宋" w:cs="Times New Roman"/>
          <w:kern w:val="2"/>
          <w:sz w:val="32"/>
          <w:szCs w:val="32"/>
        </w:rPr>
        <w:t>二、你公司在工程设计、建设和运营管理中，必须切实落实环评提出的各项污染防治和风险防范措施要求，着重做好以下工作：</w:t>
      </w:r>
    </w:p>
    <w:p>
      <w:pPr>
        <w:spacing w:after="0" w:line="560" w:lineRule="exact"/>
        <w:ind w:firstLine="480" w:firstLineChars="150"/>
        <w:jc w:val="both"/>
        <w:rPr>
          <w:rFonts w:ascii="仿宋" w:hAnsi="仿宋" w:eastAsia="仿宋" w:cs="Times New Roman"/>
          <w:kern w:val="2"/>
          <w:sz w:val="32"/>
          <w:szCs w:val="32"/>
        </w:rPr>
      </w:pPr>
      <w:r>
        <w:rPr>
          <w:rFonts w:hint="eastAsia" w:ascii="仿宋" w:hAnsi="仿宋" w:eastAsia="仿宋" w:cs="Times New Roman"/>
          <w:kern w:val="2"/>
          <w:sz w:val="32"/>
          <w:szCs w:val="32"/>
        </w:rPr>
        <w:t>（一）严格履行建设单位的环保主体责任，加强环境管理。建立环保规章制度和岗位责任制，配备专职或兼职环保管理人员，制定环境风险事故应急预案，落实事故应急防范措施，切实防范各类事故环境风险。</w:t>
      </w:r>
    </w:p>
    <w:p>
      <w:pPr>
        <w:spacing w:after="0" w:line="560" w:lineRule="exact"/>
        <w:ind w:firstLine="480" w:firstLineChars="150"/>
        <w:jc w:val="both"/>
        <w:rPr>
          <w:rFonts w:ascii="仿宋" w:hAnsi="仿宋" w:eastAsia="仿宋" w:cs="Times New Roman"/>
          <w:kern w:val="2"/>
          <w:sz w:val="32"/>
          <w:szCs w:val="32"/>
        </w:rPr>
      </w:pPr>
      <w:r>
        <w:rPr>
          <w:rFonts w:hint="eastAsia" w:ascii="仿宋" w:hAnsi="仿宋" w:eastAsia="仿宋" w:cs="Times New Roman"/>
          <w:kern w:val="2"/>
          <w:sz w:val="32"/>
          <w:szCs w:val="32"/>
        </w:rPr>
        <w:t>（二）进一步对项目建设规模和设计安装方案进行论证，保障</w:t>
      </w:r>
      <w:r>
        <w:rPr>
          <w:rFonts w:ascii="仿宋" w:hAnsi="仿宋" w:eastAsia="仿宋" w:cs="Times New Roman"/>
          <w:kern w:val="2"/>
          <w:sz w:val="32"/>
          <w:szCs w:val="32"/>
        </w:rPr>
        <w:t>光伏方阵之间留有足够的光照空间</w:t>
      </w:r>
      <w:r>
        <w:rPr>
          <w:rFonts w:hint="eastAsia" w:ascii="仿宋" w:hAnsi="仿宋" w:eastAsia="仿宋" w:cs="Times New Roman"/>
          <w:kern w:val="2"/>
          <w:sz w:val="32"/>
          <w:szCs w:val="32"/>
        </w:rPr>
        <w:t>，确保德兴湖和洪合湖水生生态安全。</w:t>
      </w:r>
    </w:p>
    <w:p>
      <w:pPr>
        <w:spacing w:after="0" w:line="560" w:lineRule="exact"/>
        <w:ind w:firstLine="480" w:firstLineChars="150"/>
        <w:jc w:val="both"/>
        <w:rPr>
          <w:rFonts w:ascii="仿宋" w:hAnsi="仿宋" w:eastAsia="仿宋" w:cs="Times New Roman"/>
          <w:kern w:val="2"/>
          <w:sz w:val="32"/>
          <w:szCs w:val="32"/>
        </w:rPr>
      </w:pPr>
      <w:r>
        <w:rPr>
          <w:rFonts w:hint="eastAsia" w:ascii="仿宋" w:hAnsi="仿宋" w:eastAsia="仿宋" w:cs="Times New Roman"/>
          <w:kern w:val="2"/>
          <w:sz w:val="32"/>
          <w:szCs w:val="32"/>
        </w:rPr>
        <w:t>（三）结合当地农村环境综合整治，做好施工期的各项环境保护工作。</w:t>
      </w:r>
      <w:r>
        <w:rPr>
          <w:rFonts w:ascii="仿宋" w:hAnsi="仿宋" w:eastAsia="仿宋" w:cs="Times New Roman"/>
          <w:kern w:val="2"/>
          <w:sz w:val="32"/>
          <w:szCs w:val="32"/>
        </w:rPr>
        <w:t>施工过程中产生的扬尘、废气、废水、噪声、建筑垃圾及其固体废弃物</w:t>
      </w:r>
      <w:r>
        <w:rPr>
          <w:rFonts w:hint="eastAsia" w:ascii="仿宋" w:hAnsi="仿宋" w:eastAsia="仿宋" w:cs="Times New Roman"/>
          <w:kern w:val="2"/>
          <w:sz w:val="32"/>
          <w:szCs w:val="32"/>
        </w:rPr>
        <w:t>须严格按照环评报告提出的污染防治措施要求认真执行，减少项目建设过程中对周边居民的环境影响。按照与益阳市资阳区张家塞乡人民政府签订的租赁合同，对当地农村环境同步进行综合整治，切实改善生态环境质量。</w:t>
      </w:r>
    </w:p>
    <w:p>
      <w:pPr>
        <w:spacing w:after="0" w:line="560" w:lineRule="exact"/>
        <w:ind w:firstLine="480" w:firstLineChars="150"/>
        <w:jc w:val="both"/>
        <w:rPr>
          <w:rFonts w:ascii="仿宋" w:hAnsi="仿宋" w:eastAsia="仿宋" w:cs="Times New Roman"/>
          <w:kern w:val="2"/>
          <w:sz w:val="32"/>
          <w:szCs w:val="32"/>
        </w:rPr>
      </w:pPr>
      <w:r>
        <w:rPr>
          <w:rFonts w:hint="eastAsia" w:ascii="仿宋" w:hAnsi="仿宋" w:eastAsia="仿宋" w:cs="Times New Roman"/>
          <w:kern w:val="2"/>
          <w:sz w:val="32"/>
          <w:szCs w:val="32"/>
        </w:rPr>
        <w:t>（四）做好项目营运期的生态环境保护工作。光伏组件表面清洗过程不得使用影响湖水水质的清洗剂等；</w:t>
      </w:r>
      <w:r>
        <w:rPr>
          <w:rFonts w:ascii="仿宋" w:hAnsi="仿宋" w:eastAsia="仿宋" w:cs="Times New Roman"/>
          <w:kern w:val="2"/>
          <w:sz w:val="32"/>
          <w:szCs w:val="32"/>
        </w:rPr>
        <w:t>员</w:t>
      </w:r>
      <w:r>
        <w:rPr>
          <w:rFonts w:hint="eastAsia" w:ascii="仿宋" w:hAnsi="仿宋" w:eastAsia="仿宋" w:cs="Times New Roman"/>
          <w:kern w:val="2"/>
          <w:sz w:val="32"/>
          <w:szCs w:val="32"/>
        </w:rPr>
        <w:t>工</w:t>
      </w:r>
      <w:r>
        <w:rPr>
          <w:rFonts w:ascii="仿宋" w:hAnsi="仿宋" w:eastAsia="仿宋" w:cs="Times New Roman"/>
          <w:kern w:val="2"/>
          <w:sz w:val="32"/>
          <w:szCs w:val="32"/>
        </w:rPr>
        <w:t>生活污水经升压站污水一体化设施处理后用于周边耕地施肥，综合利用不外排</w:t>
      </w:r>
      <w:r>
        <w:rPr>
          <w:rFonts w:hint="eastAsia" w:ascii="仿宋" w:hAnsi="仿宋" w:eastAsia="仿宋" w:cs="Times New Roman"/>
          <w:kern w:val="2"/>
          <w:sz w:val="32"/>
          <w:szCs w:val="32"/>
        </w:rPr>
        <w:t>；</w:t>
      </w:r>
      <w:r>
        <w:rPr>
          <w:rFonts w:ascii="仿宋" w:hAnsi="仿宋" w:eastAsia="仿宋" w:cs="Times New Roman"/>
          <w:kern w:val="2"/>
          <w:sz w:val="32"/>
          <w:szCs w:val="32"/>
        </w:rPr>
        <w:t>废太阳能电池组件</w:t>
      </w:r>
      <w:r>
        <w:rPr>
          <w:rFonts w:hint="eastAsia" w:ascii="仿宋" w:hAnsi="仿宋" w:eastAsia="仿宋" w:cs="Times New Roman"/>
          <w:kern w:val="2"/>
          <w:sz w:val="32"/>
          <w:szCs w:val="32"/>
        </w:rPr>
        <w:t>和</w:t>
      </w:r>
      <w:r>
        <w:rPr>
          <w:rFonts w:ascii="仿宋" w:hAnsi="仿宋" w:eastAsia="仿宋" w:cs="Times New Roman"/>
          <w:kern w:val="2"/>
          <w:sz w:val="32"/>
          <w:szCs w:val="32"/>
        </w:rPr>
        <w:t>废变压器油</w:t>
      </w:r>
      <w:r>
        <w:rPr>
          <w:rFonts w:hint="eastAsia" w:ascii="仿宋" w:hAnsi="仿宋" w:eastAsia="仿宋" w:cs="Times New Roman"/>
          <w:kern w:val="2"/>
          <w:sz w:val="32"/>
          <w:szCs w:val="32"/>
        </w:rPr>
        <w:t>严格按照</w:t>
      </w:r>
      <w:r>
        <w:rPr>
          <w:rFonts w:ascii="仿宋" w:hAnsi="仿宋" w:eastAsia="仿宋" w:cs="Times New Roman"/>
          <w:kern w:val="2"/>
          <w:sz w:val="32"/>
          <w:szCs w:val="32"/>
        </w:rPr>
        <w:t>《危险废物贮存污染控制标准》（GB18597-2001）及其修改单的要求进行临时贮存，</w:t>
      </w:r>
      <w:r>
        <w:rPr>
          <w:rFonts w:hint="eastAsia" w:ascii="仿宋" w:hAnsi="仿宋" w:eastAsia="仿宋" w:cs="Times New Roman"/>
          <w:kern w:val="2"/>
          <w:sz w:val="32"/>
          <w:szCs w:val="32"/>
        </w:rPr>
        <w:t>分别交原厂家和有资质的单位进行处置。</w:t>
      </w:r>
    </w:p>
    <w:p>
      <w:pPr>
        <w:spacing w:after="0" w:line="560" w:lineRule="exact"/>
        <w:ind w:firstLine="480" w:firstLineChars="150"/>
        <w:jc w:val="both"/>
        <w:rPr>
          <w:rFonts w:ascii="仿宋" w:hAnsi="仿宋" w:eastAsia="仿宋" w:cs="Times New Roman"/>
          <w:kern w:val="2"/>
          <w:sz w:val="32"/>
          <w:szCs w:val="32"/>
        </w:rPr>
      </w:pPr>
      <w:r>
        <w:rPr>
          <w:rFonts w:hint="eastAsia" w:ascii="仿宋" w:hAnsi="仿宋" w:eastAsia="仿宋" w:cs="Times New Roman"/>
          <w:kern w:val="2"/>
          <w:sz w:val="32"/>
          <w:szCs w:val="32"/>
        </w:rPr>
        <w:t>（五）本项目涉及电磁辐射环境影响必须另行环评和报批。</w:t>
      </w:r>
    </w:p>
    <w:p>
      <w:pPr>
        <w:spacing w:after="0" w:line="560" w:lineRule="exact"/>
        <w:ind w:firstLine="480" w:firstLineChars="150"/>
        <w:jc w:val="both"/>
        <w:rPr>
          <w:rFonts w:ascii="仿宋" w:hAnsi="仿宋" w:eastAsia="仿宋" w:cs="Times New Roman"/>
          <w:kern w:val="2"/>
          <w:sz w:val="32"/>
          <w:szCs w:val="32"/>
        </w:rPr>
      </w:pPr>
      <w:r>
        <w:rPr>
          <w:rFonts w:hint="eastAsia" w:ascii="仿宋" w:hAnsi="仿宋" w:eastAsia="仿宋" w:cs="Times New Roman"/>
          <w:kern w:val="2"/>
          <w:sz w:val="32"/>
          <w:szCs w:val="32"/>
        </w:rPr>
        <w:t>（六）项目服务期满后，公司</w:t>
      </w:r>
      <w:r>
        <w:rPr>
          <w:rFonts w:ascii="仿宋" w:hAnsi="仿宋" w:eastAsia="仿宋" w:cs="Times New Roman"/>
          <w:kern w:val="2"/>
          <w:sz w:val="32"/>
          <w:szCs w:val="32"/>
        </w:rPr>
        <w:t>需对电池组件及支架、变压器等全部进行拆除，恢复原貌。</w:t>
      </w:r>
    </w:p>
    <w:p>
      <w:pPr>
        <w:spacing w:after="0" w:line="560" w:lineRule="exact"/>
        <w:ind w:firstLine="640" w:firstLineChars="200"/>
        <w:jc w:val="both"/>
        <w:rPr>
          <w:rFonts w:ascii="仿宋" w:hAnsi="仿宋" w:eastAsia="仿宋" w:cs="Times New Roman"/>
          <w:kern w:val="2"/>
          <w:sz w:val="32"/>
          <w:szCs w:val="32"/>
        </w:rPr>
      </w:pPr>
      <w:r>
        <w:rPr>
          <w:rFonts w:hint="eastAsia" w:ascii="仿宋" w:hAnsi="仿宋" w:eastAsia="仿宋" w:cs="Times New Roman"/>
          <w:kern w:val="2"/>
          <w:sz w:val="32"/>
          <w:szCs w:val="32"/>
        </w:rPr>
        <w:t>三、项目建成后，按《建设项目环境保护管理条例》的有关规定，及时办理项目竣工环保验收手续，益阳市生态环境局资阳分局负责项目建设期间的“三同时”现场监督检查和日常环境管理。</w:t>
      </w:r>
    </w:p>
    <w:p>
      <w:pPr>
        <w:spacing w:after="0" w:line="560" w:lineRule="exact"/>
        <w:ind w:firstLine="640" w:firstLineChars="200"/>
        <w:jc w:val="both"/>
        <w:rPr>
          <w:rFonts w:ascii="仿宋" w:hAnsi="仿宋" w:eastAsia="仿宋" w:cs="Times New Roman"/>
          <w:kern w:val="2"/>
          <w:sz w:val="32"/>
          <w:szCs w:val="32"/>
        </w:rPr>
      </w:pPr>
      <w:r>
        <w:rPr>
          <w:rFonts w:hint="eastAsia" w:ascii="仿宋" w:hAnsi="仿宋" w:eastAsia="仿宋" w:cs="Times New Roman"/>
          <w:kern w:val="2"/>
          <w:sz w:val="32"/>
          <w:szCs w:val="32"/>
        </w:rPr>
        <w:t xml:space="preserve">四、你公司须在收到本批复后 15 个工作日内，将本批复及项目环评报告表送益阳市生态环境局资阳分局。               </w:t>
      </w:r>
    </w:p>
    <w:p>
      <w:pPr>
        <w:spacing w:after="0" w:line="560" w:lineRule="exact"/>
        <w:jc w:val="both"/>
        <w:rPr>
          <w:rFonts w:hint="eastAsia" w:ascii="仿宋" w:hAnsi="仿宋" w:eastAsia="仿宋" w:cs="Times New Roman"/>
          <w:kern w:val="2"/>
          <w:sz w:val="32"/>
          <w:szCs w:val="32"/>
        </w:rPr>
      </w:pPr>
      <w:bookmarkStart w:id="0" w:name="_GoBack"/>
      <w:bookmarkEnd w:id="0"/>
    </w:p>
    <w:p>
      <w:pPr>
        <w:spacing w:after="0" w:line="560" w:lineRule="exact"/>
        <w:ind w:firstLine="5280" w:firstLineChars="1650"/>
        <w:jc w:val="both"/>
        <w:rPr>
          <w:rFonts w:hint="eastAsia" w:ascii="仿宋" w:hAnsi="仿宋" w:eastAsia="仿宋" w:cs="Times New Roman"/>
          <w:kern w:val="2"/>
          <w:sz w:val="32"/>
          <w:szCs w:val="32"/>
        </w:rPr>
      </w:pPr>
      <w:r>
        <w:rPr>
          <w:rFonts w:hint="eastAsia" w:ascii="仿宋" w:hAnsi="仿宋" w:eastAsia="仿宋" w:cs="Times New Roman"/>
          <w:kern w:val="2"/>
          <w:sz w:val="32"/>
          <w:szCs w:val="32"/>
        </w:rPr>
        <w:t>益阳市生态环境局</w:t>
      </w:r>
    </w:p>
    <w:p>
      <w:pPr>
        <w:spacing w:after="0" w:line="560" w:lineRule="exact"/>
        <w:ind w:firstLine="5440" w:firstLineChars="1700"/>
        <w:jc w:val="both"/>
        <w:rPr>
          <w:rFonts w:ascii="仿宋" w:hAnsi="仿宋" w:eastAsia="仿宋" w:cs="Times New Roman"/>
          <w:kern w:val="2"/>
          <w:sz w:val="32"/>
          <w:szCs w:val="32"/>
        </w:rPr>
      </w:pPr>
      <w:r>
        <w:rPr>
          <w:rFonts w:hint="eastAsia" w:ascii="仿宋" w:hAnsi="仿宋" w:eastAsia="仿宋" w:cs="Times New Roman"/>
          <w:kern w:val="2"/>
          <w:sz w:val="32"/>
          <w:szCs w:val="32"/>
        </w:rPr>
        <w:t>2020年</w:t>
      </w:r>
      <w:r>
        <w:rPr>
          <w:rFonts w:hint="eastAsia" w:ascii="仿宋" w:hAnsi="仿宋" w:eastAsia="仿宋" w:cs="Times New Roman"/>
          <w:kern w:val="2"/>
          <w:sz w:val="32"/>
          <w:szCs w:val="32"/>
          <w:lang w:val="en-US" w:eastAsia="zh-CN"/>
        </w:rPr>
        <w:t>9</w:t>
      </w:r>
      <w:r>
        <w:rPr>
          <w:rFonts w:hint="eastAsia" w:ascii="仿宋" w:hAnsi="仿宋" w:eastAsia="仿宋" w:cs="Times New Roman"/>
          <w:kern w:val="2"/>
          <w:sz w:val="32"/>
          <w:szCs w:val="32"/>
        </w:rPr>
        <w:t>月</w:t>
      </w:r>
      <w:r>
        <w:rPr>
          <w:rFonts w:hint="eastAsia" w:ascii="仿宋" w:hAnsi="仿宋" w:eastAsia="仿宋" w:cs="Times New Roman"/>
          <w:kern w:val="2"/>
          <w:sz w:val="32"/>
          <w:szCs w:val="32"/>
          <w:lang w:val="en-US" w:eastAsia="zh-CN"/>
        </w:rPr>
        <w:t>8</w:t>
      </w:r>
      <w:r>
        <w:rPr>
          <w:rFonts w:hint="eastAsia" w:ascii="仿宋" w:hAnsi="仿宋" w:eastAsia="仿宋" w:cs="Times New Roman"/>
          <w:kern w:val="2"/>
          <w:sz w:val="32"/>
          <w:szCs w:val="32"/>
        </w:rPr>
        <w:t>日</w:t>
      </w: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14A9D"/>
    <w:rsid w:val="000831CE"/>
    <w:rsid w:val="000B5BF0"/>
    <w:rsid w:val="001219A4"/>
    <w:rsid w:val="0014477D"/>
    <w:rsid w:val="00323B43"/>
    <w:rsid w:val="00350900"/>
    <w:rsid w:val="003D37D8"/>
    <w:rsid w:val="00426133"/>
    <w:rsid w:val="004358AB"/>
    <w:rsid w:val="00491CB0"/>
    <w:rsid w:val="004B42B4"/>
    <w:rsid w:val="004C0E42"/>
    <w:rsid w:val="00513AE1"/>
    <w:rsid w:val="007279FD"/>
    <w:rsid w:val="007975BD"/>
    <w:rsid w:val="00842136"/>
    <w:rsid w:val="00865509"/>
    <w:rsid w:val="008A3A55"/>
    <w:rsid w:val="008B7726"/>
    <w:rsid w:val="008F1E82"/>
    <w:rsid w:val="00957F67"/>
    <w:rsid w:val="009839F6"/>
    <w:rsid w:val="00A216EE"/>
    <w:rsid w:val="00AA1704"/>
    <w:rsid w:val="00B20946"/>
    <w:rsid w:val="00B474D2"/>
    <w:rsid w:val="00C95F7B"/>
    <w:rsid w:val="00D31D50"/>
    <w:rsid w:val="00DA3E63"/>
    <w:rsid w:val="00E23102"/>
    <w:rsid w:val="00E30C33"/>
    <w:rsid w:val="00EE697D"/>
    <w:rsid w:val="00F07554"/>
    <w:rsid w:val="00F352CA"/>
    <w:rsid w:val="00F4326A"/>
    <w:rsid w:val="00FC6B53"/>
    <w:rsid w:val="036D52C7"/>
    <w:rsid w:val="11225A49"/>
    <w:rsid w:val="171C17D2"/>
    <w:rsid w:val="1F1B381B"/>
    <w:rsid w:val="2A2F7418"/>
    <w:rsid w:val="36333DB4"/>
    <w:rsid w:val="3D012EBC"/>
    <w:rsid w:val="3DAA48C5"/>
    <w:rsid w:val="40A144C5"/>
    <w:rsid w:val="46582A8D"/>
    <w:rsid w:val="533F6AEB"/>
    <w:rsid w:val="54F031C7"/>
    <w:rsid w:val="5B466E86"/>
    <w:rsid w:val="634F54F8"/>
    <w:rsid w:val="66CA7644"/>
    <w:rsid w:val="6D156535"/>
    <w:rsid w:val="7C2B33BB"/>
    <w:rsid w:val="7CA53B0A"/>
    <w:rsid w:val="7FDE66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0"/>
    <w:pPr>
      <w:widowControl w:val="0"/>
      <w:adjustRightInd/>
      <w:snapToGrid/>
      <w:spacing w:after="120"/>
      <w:jc w:val="both"/>
    </w:pPr>
    <w:rPr>
      <w:rFonts w:ascii="Times New Roman" w:hAnsi="Times New Roman" w:eastAsia="宋体" w:cs="Times New Roman"/>
      <w:kern w:val="2"/>
      <w:sz w:val="21"/>
      <w:szCs w:val="24"/>
    </w:rPr>
  </w:style>
  <w:style w:type="paragraph" w:styleId="3">
    <w:name w:val="Date"/>
    <w:basedOn w:val="1"/>
    <w:next w:val="1"/>
    <w:link w:val="14"/>
    <w:semiHidden/>
    <w:unhideWhenUsed/>
    <w:qFormat/>
    <w:uiPriority w:val="99"/>
    <w:pPr>
      <w:ind w:left="100" w:leftChars="2500"/>
    </w:pPr>
  </w:style>
  <w:style w:type="paragraph" w:styleId="4">
    <w:name w:val="footer"/>
    <w:basedOn w:val="1"/>
    <w:link w:val="10"/>
    <w:semiHidden/>
    <w:unhideWhenUsed/>
    <w:qFormat/>
    <w:uiPriority w:val="99"/>
    <w:pPr>
      <w:tabs>
        <w:tab w:val="center" w:pos="4153"/>
        <w:tab w:val="right" w:pos="8306"/>
      </w:tabs>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semiHidden/>
    <w:qFormat/>
    <w:uiPriority w:val="99"/>
    <w:rPr>
      <w:rFonts w:ascii="Tahoma" w:hAnsi="Tahoma"/>
      <w:sz w:val="18"/>
      <w:szCs w:val="18"/>
    </w:rPr>
  </w:style>
  <w:style w:type="character" w:customStyle="1" w:styleId="10">
    <w:name w:val="页脚 Char"/>
    <w:basedOn w:val="8"/>
    <w:link w:val="4"/>
    <w:semiHidden/>
    <w:qFormat/>
    <w:uiPriority w:val="99"/>
    <w:rPr>
      <w:rFonts w:ascii="Tahoma" w:hAnsi="Tahoma"/>
      <w:sz w:val="18"/>
      <w:szCs w:val="18"/>
    </w:rPr>
  </w:style>
  <w:style w:type="character" w:customStyle="1" w:styleId="11">
    <w:name w:val="正文文本 Char"/>
    <w:basedOn w:val="8"/>
    <w:link w:val="2"/>
    <w:qFormat/>
    <w:uiPriority w:val="0"/>
    <w:rPr>
      <w:rFonts w:ascii="Times New Roman" w:hAnsi="Times New Roman" w:eastAsia="宋体" w:cs="Times New Roman"/>
      <w:kern w:val="2"/>
      <w:sz w:val="21"/>
      <w:szCs w:val="24"/>
    </w:rPr>
  </w:style>
  <w:style w:type="paragraph" w:customStyle="1" w:styleId="12">
    <w:name w:val="正文 Char Char"/>
    <w:qFormat/>
    <w:uiPriority w:val="0"/>
    <w:pPr>
      <w:adjustRightInd w:val="0"/>
      <w:snapToGrid w:val="0"/>
      <w:spacing w:line="360" w:lineRule="auto"/>
      <w:ind w:firstLine="200" w:firstLineChars="200"/>
    </w:pPr>
    <w:rPr>
      <w:rFonts w:ascii="宋体" w:hAnsi="宋体" w:eastAsia="宋体" w:cs="Times New Roman"/>
      <w:sz w:val="24"/>
      <w:lang w:val="en-US" w:eastAsia="zh-CN" w:bidi="ar-SA"/>
    </w:rPr>
  </w:style>
  <w:style w:type="paragraph" w:customStyle="1" w:styleId="13">
    <w:name w:val="报告文本"/>
    <w:qFormat/>
    <w:uiPriority w:val="0"/>
    <w:pPr>
      <w:widowControl w:val="0"/>
      <w:spacing w:line="360" w:lineRule="auto"/>
      <w:ind w:firstLine="480" w:firstLineChars="200"/>
      <w:jc w:val="both"/>
    </w:pPr>
    <w:rPr>
      <w:rFonts w:ascii="Times New Roman" w:hAnsi="Times New Roman" w:eastAsiaTheme="minorEastAsia" w:cstheme="minorBidi"/>
      <w:kern w:val="2"/>
      <w:sz w:val="24"/>
      <w:szCs w:val="22"/>
      <w:lang w:val="en-US" w:eastAsia="zh-CN" w:bidi="ar-SA"/>
    </w:rPr>
  </w:style>
  <w:style w:type="character" w:customStyle="1" w:styleId="14">
    <w:name w:val="日期 Char"/>
    <w:basedOn w:val="8"/>
    <w:link w:val="3"/>
    <w:semiHidden/>
    <w:qFormat/>
    <w:uiPriority w:val="99"/>
    <w:rPr>
      <w:rFonts w:ascii="Tahoma" w:hAnsi="Tahoma"/>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222</Words>
  <Characters>1270</Characters>
  <Lines>10</Lines>
  <Paragraphs>2</Paragraphs>
  <TotalTime>44</TotalTime>
  <ScaleCrop>false</ScaleCrop>
  <LinksUpToDate>false</LinksUpToDate>
  <CharactersWithSpaces>1490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2018-02-05T03:35:00Z</dcterms:created>
  <dc:creator>Administrator</dc:creator>
  <cp:lastModifiedBy>哎哟</cp:lastModifiedBy>
  <dcterms:modified xsi:type="dcterms:W3CDTF">2020-09-08T07:06:05Z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