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20" w:lineRule="exact"/>
        <w:jc w:val="center"/>
        <w:rPr>
          <w:rFonts w:ascii="宋体" w:hAnsi="宋体"/>
          <w:bCs/>
          <w:sz w:val="32"/>
          <w:szCs w:val="32"/>
        </w:rPr>
      </w:pPr>
    </w:p>
    <w:p>
      <w:pPr>
        <w:tabs>
          <w:tab w:val="left" w:pos="5985"/>
        </w:tabs>
        <w:spacing w:line="520" w:lineRule="exact"/>
        <w:jc w:val="center"/>
        <w:rPr>
          <w:rFonts w:ascii="宋体" w:hAnsi="宋体"/>
          <w:bCs/>
          <w:sz w:val="32"/>
          <w:szCs w:val="32"/>
        </w:rPr>
      </w:pPr>
    </w:p>
    <w:p>
      <w:pPr>
        <w:pStyle w:val="2"/>
        <w:spacing w:line="520" w:lineRule="exact"/>
        <w:jc w:val="center"/>
        <w:rPr>
          <w:rFonts w:ascii="仿宋_GB2312" w:eastAsia="仿宋_GB2312"/>
          <w:spacing w:val="-20"/>
        </w:rPr>
      </w:pPr>
    </w:p>
    <w:p>
      <w:pPr>
        <w:pStyle w:val="2"/>
        <w:spacing w:line="520" w:lineRule="exact"/>
        <w:jc w:val="center"/>
        <w:rPr>
          <w:rFonts w:asciiTheme="minorEastAsia" w:hAnsiTheme="minorEastAsia" w:eastAsiaTheme="minorEastAsia"/>
          <w:spacing w:val="-20"/>
          <w:sz w:val="32"/>
          <w:szCs w:val="32"/>
        </w:rPr>
      </w:pPr>
      <w:r>
        <w:rPr>
          <w:rFonts w:hint="eastAsia" w:ascii="仿宋_GB2312" w:eastAsia="仿宋_GB2312"/>
          <w:spacing w:val="-20"/>
        </w:rPr>
        <w:t xml:space="preserve">                            </w:t>
      </w:r>
      <w:r>
        <w:rPr>
          <w:rFonts w:hint="eastAsia" w:ascii="宋体" w:hAnsi="宋体"/>
          <w:spacing w:val="-20"/>
        </w:rPr>
        <w:t xml:space="preserve">                      </w:t>
      </w:r>
      <w:r>
        <w:rPr>
          <w:rFonts w:hint="eastAsia" w:asciiTheme="minorEastAsia" w:hAnsiTheme="minorEastAsia" w:eastAsiaTheme="minorEastAsia"/>
          <w:spacing w:val="-20"/>
          <w:sz w:val="32"/>
          <w:szCs w:val="32"/>
        </w:rPr>
        <w:t xml:space="preserve">   </w:t>
      </w:r>
      <w:r>
        <w:rPr>
          <w:rFonts w:hint="eastAsia" w:ascii="仿宋" w:hAnsi="仿宋" w:eastAsia="仿宋"/>
          <w:sz w:val="32"/>
          <w:szCs w:val="32"/>
        </w:rPr>
        <w:t>益环审(表)〔2020〕90号</w:t>
      </w:r>
    </w:p>
    <w:p>
      <w:pPr>
        <w:tabs>
          <w:tab w:val="left" w:pos="5985"/>
        </w:tabs>
        <w:spacing w:after="0" w:line="64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益阳市生态环境局</w:t>
      </w:r>
    </w:p>
    <w:p>
      <w:pPr>
        <w:spacing w:after="0" w:line="640" w:lineRule="exact"/>
        <w:jc w:val="center"/>
        <w:rPr>
          <w:rFonts w:hint="eastAsia" w:ascii="方正小标宋简体" w:eastAsia="方正小标宋简体" w:hAnsiTheme="majorEastAsia"/>
          <w:sz w:val="44"/>
          <w:szCs w:val="44"/>
        </w:rPr>
      </w:pPr>
      <w:r>
        <w:rPr>
          <w:rFonts w:hint="eastAsia" w:ascii="方正小标宋简体" w:hAnsi="宋体" w:eastAsia="方正小标宋简体" w:cs="Times New Roman"/>
          <w:sz w:val="44"/>
          <w:szCs w:val="44"/>
        </w:rPr>
        <w:t>关于</w:t>
      </w:r>
      <w:r>
        <w:rPr>
          <w:rFonts w:hint="eastAsia" w:ascii="方正小标宋简体" w:eastAsia="方正小标宋简体" w:hAnsiTheme="majorEastAsia"/>
          <w:sz w:val="44"/>
          <w:szCs w:val="44"/>
        </w:rPr>
        <w:t>桃江县长盛再生资源有限公司</w:t>
      </w:r>
    </w:p>
    <w:p>
      <w:pPr>
        <w:spacing w:after="0" w:line="64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年产5万立方米混凝土砌块</w:t>
      </w:r>
      <w:r>
        <w:rPr>
          <w:rFonts w:hint="eastAsia" w:ascii="方正小标宋简体" w:hAnsi="宋体" w:eastAsia="方正小标宋简体" w:cs="Times New Roman"/>
          <w:sz w:val="44"/>
          <w:szCs w:val="44"/>
        </w:rPr>
        <w:t>项目</w:t>
      </w:r>
    </w:p>
    <w:p>
      <w:pPr>
        <w:spacing w:after="0" w:line="640" w:lineRule="exact"/>
        <w:jc w:val="center"/>
        <w:rPr>
          <w:rFonts w:hint="eastAsia" w:ascii="方正小标宋简体" w:eastAsia="方正小标宋简体" w:hAnsiTheme="majorEastAsia"/>
          <w:sz w:val="44"/>
          <w:szCs w:val="44"/>
        </w:rPr>
      </w:pPr>
      <w:r>
        <w:rPr>
          <w:rFonts w:hint="eastAsia" w:ascii="方正小标宋简体" w:hAnsi="宋体" w:eastAsia="方正小标宋简体" w:cs="Times New Roman"/>
          <w:sz w:val="44"/>
          <w:szCs w:val="44"/>
        </w:rPr>
        <w:t>环境影响报告表的批复</w:t>
      </w:r>
    </w:p>
    <w:p>
      <w:pPr>
        <w:spacing w:after="0" w:line="540" w:lineRule="exact"/>
        <w:jc w:val="both"/>
        <w:rPr>
          <w:rFonts w:ascii="仿宋" w:hAnsi="仿宋" w:eastAsia="仿宋"/>
          <w:sz w:val="32"/>
          <w:szCs w:val="32"/>
        </w:rPr>
      </w:pPr>
    </w:p>
    <w:p>
      <w:pPr>
        <w:spacing w:after="0" w:line="540" w:lineRule="exact"/>
        <w:jc w:val="both"/>
        <w:rPr>
          <w:rFonts w:ascii="仿宋" w:hAnsi="仿宋" w:eastAsia="仿宋"/>
          <w:sz w:val="32"/>
          <w:szCs w:val="32"/>
        </w:rPr>
      </w:pPr>
      <w:r>
        <w:rPr>
          <w:rFonts w:hint="eastAsia" w:ascii="仿宋" w:hAnsi="仿宋" w:eastAsia="仿宋"/>
          <w:sz w:val="32"/>
          <w:szCs w:val="32"/>
        </w:rPr>
        <w:t>桃江县长盛再生资源有限公司：</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你公司呈报的《关于请求对&lt;桃江县长盛再生资源有限公司年产5万立方米混凝土砌块项目环境影响报告表&gt;进行审批的报告</w:t>
      </w:r>
      <w:r>
        <w:rPr>
          <w:rFonts w:hint="eastAsia" w:ascii="仿宋" w:hAnsi="仿宋" w:eastAsia="仿宋"/>
          <w:bCs/>
          <w:sz w:val="32"/>
          <w:szCs w:val="32"/>
        </w:rPr>
        <w:t>》、益阳市生态环境局桃江分局的预审意见及相关材料</w:t>
      </w:r>
      <w:r>
        <w:rPr>
          <w:rFonts w:hint="eastAsia" w:ascii="仿宋" w:hAnsi="仿宋" w:eastAsia="仿宋"/>
          <w:sz w:val="32"/>
          <w:szCs w:val="32"/>
        </w:rPr>
        <w:t>收悉。经审查、研究，批复如下：</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一、桃江县长盛再生资源有限公司拟投资500万元</w:t>
      </w:r>
      <w:r>
        <w:rPr>
          <w:rFonts w:hint="eastAsia" w:ascii="仿宋" w:hAnsi="仿宋" w:eastAsia="仿宋" w:cs="Times New Roman"/>
          <w:kern w:val="2"/>
          <w:sz w:val="32"/>
          <w:szCs w:val="32"/>
        </w:rPr>
        <w:t>在益阳市桃江县灰山港镇铁矿坳村</w:t>
      </w:r>
      <w:r>
        <w:rPr>
          <w:rFonts w:hint="eastAsia" w:ascii="仿宋" w:hAnsi="仿宋" w:eastAsia="仿宋"/>
          <w:sz w:val="32"/>
          <w:szCs w:val="32"/>
        </w:rPr>
        <w:t>新建年产5万立方米混凝土砌块项目</w:t>
      </w:r>
      <w:r>
        <w:rPr>
          <w:rFonts w:hint="eastAsia" w:ascii="仿宋" w:hAnsi="仿宋" w:eastAsia="仿宋" w:cs="Times New Roman"/>
          <w:kern w:val="2"/>
          <w:sz w:val="32"/>
          <w:szCs w:val="32"/>
        </w:rPr>
        <w:t>，项目</w:t>
      </w:r>
      <w:r>
        <w:rPr>
          <w:rFonts w:ascii="仿宋" w:hAnsi="仿宋" w:eastAsia="仿宋" w:cs="Times New Roman"/>
          <w:kern w:val="2"/>
          <w:sz w:val="32"/>
          <w:szCs w:val="32"/>
        </w:rPr>
        <w:t>占地</w:t>
      </w:r>
      <w:r>
        <w:rPr>
          <w:rFonts w:hint="eastAsia" w:ascii="仿宋" w:hAnsi="仿宋" w:eastAsia="仿宋" w:cs="Times New Roman"/>
          <w:kern w:val="2"/>
          <w:sz w:val="32"/>
          <w:szCs w:val="32"/>
        </w:rPr>
        <w:t>14813.86m</w:t>
      </w:r>
      <w:r>
        <w:rPr>
          <w:rFonts w:hint="eastAsia" w:ascii="仿宋" w:hAnsi="仿宋" w:eastAsia="仿宋" w:cs="Times New Roman"/>
          <w:kern w:val="2"/>
          <w:sz w:val="32"/>
          <w:szCs w:val="32"/>
          <w:vertAlign w:val="superscript"/>
        </w:rPr>
        <w:t>2</w:t>
      </w:r>
      <w:r>
        <w:rPr>
          <w:rFonts w:ascii="仿宋" w:hAnsi="仿宋" w:eastAsia="仿宋" w:cs="Times New Roman"/>
          <w:kern w:val="2"/>
          <w:sz w:val="32"/>
          <w:szCs w:val="32"/>
        </w:rPr>
        <w:t>，主要建设内容包括制砖生产车间</w:t>
      </w:r>
      <w:r>
        <w:rPr>
          <w:rFonts w:hint="eastAsia" w:ascii="仿宋" w:hAnsi="仿宋" w:eastAsia="仿宋" w:cs="Times New Roman"/>
          <w:kern w:val="2"/>
          <w:sz w:val="32"/>
          <w:szCs w:val="32"/>
        </w:rPr>
        <w:t>1栋，安装全自动砌块成型机，年产多孔砖和标砖各2.5万立方米；</w:t>
      </w:r>
      <w:r>
        <w:rPr>
          <w:rFonts w:ascii="仿宋" w:hAnsi="仿宋" w:eastAsia="仿宋" w:cs="Times New Roman"/>
          <w:kern w:val="2"/>
          <w:sz w:val="32"/>
          <w:szCs w:val="32"/>
        </w:rPr>
        <w:t>全封闭</w:t>
      </w:r>
      <w:r>
        <w:rPr>
          <w:rFonts w:hint="eastAsia" w:ascii="仿宋" w:hAnsi="仿宋" w:eastAsia="仿宋" w:cs="Times New Roman"/>
          <w:kern w:val="2"/>
          <w:sz w:val="32"/>
          <w:szCs w:val="32"/>
        </w:rPr>
        <w:t>破碎</w:t>
      </w:r>
      <w:r>
        <w:rPr>
          <w:rFonts w:ascii="仿宋" w:hAnsi="仿宋" w:eastAsia="仿宋" w:cs="Times New Roman"/>
          <w:kern w:val="2"/>
          <w:sz w:val="32"/>
          <w:szCs w:val="32"/>
        </w:rPr>
        <w:t>生产</w:t>
      </w:r>
      <w:r>
        <w:rPr>
          <w:rFonts w:hint="eastAsia" w:ascii="仿宋" w:hAnsi="仿宋" w:eastAsia="仿宋" w:cs="Times New Roman"/>
          <w:kern w:val="2"/>
          <w:sz w:val="32"/>
          <w:szCs w:val="32"/>
        </w:rPr>
        <w:t>车间1栋，</w:t>
      </w:r>
      <w:r>
        <w:rPr>
          <w:rFonts w:hint="eastAsia" w:ascii="仿宋" w:hAnsi="仿宋" w:eastAsia="仿宋"/>
          <w:kern w:val="2"/>
          <w:sz w:val="32"/>
          <w:szCs w:val="32"/>
        </w:rPr>
        <w:t>布局1条</w:t>
      </w:r>
      <w:r>
        <w:rPr>
          <w:rFonts w:hint="eastAsia" w:ascii="仿宋" w:hAnsi="仿宋" w:eastAsia="仿宋"/>
          <w:sz w:val="32"/>
          <w:szCs w:val="32"/>
        </w:rPr>
        <w:t>建筑垃圾破碎洗砂加工生产线</w:t>
      </w:r>
      <w:r>
        <w:rPr>
          <w:rFonts w:hint="eastAsia" w:ascii="仿宋" w:hAnsi="仿宋" w:eastAsia="仿宋"/>
          <w:kern w:val="2"/>
          <w:sz w:val="32"/>
          <w:szCs w:val="32"/>
        </w:rPr>
        <w:t>，</w:t>
      </w:r>
      <w:r>
        <w:rPr>
          <w:rFonts w:hint="eastAsia" w:ascii="仿宋" w:hAnsi="仿宋" w:eastAsia="仿宋" w:cs="Times New Roman"/>
          <w:kern w:val="2"/>
          <w:sz w:val="32"/>
          <w:szCs w:val="32"/>
        </w:rPr>
        <w:t>为本项目制砖生产线提供砂石原料，配套半封闭原料堆场</w:t>
      </w:r>
      <w:r>
        <w:rPr>
          <w:rFonts w:hint="eastAsia" w:ascii="仿宋" w:hAnsi="仿宋" w:eastAsia="仿宋"/>
          <w:sz w:val="32"/>
          <w:szCs w:val="32"/>
        </w:rPr>
        <w:t>、输送廊道、水泥筒仓、办公楼、给排水、供配电以及环保工程等相关公用辅助工程。</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项目符合国家产业政策，选址基本可行。根据湖南太禹环保科技有限公司编制的环评报告表的分析结论和益阳市生态环境局桃江分局的预审意见，在建设单位切实落实报告表提出的各项污染防治和风险防范措施，确保污染物达标排放的前提下，从环境保护的角度分析，我局原则同意桃江县长盛再生资源有限公司年产5万立方米混凝土砌块项目的选址并建设。</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二、你公司在工程设计、建设和运营管理中，必须切实落实环评提出的各项污染防治和风险防范措施要求，着重做好以下工作：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cstheme="minorEastAsia"/>
          <w:sz w:val="32"/>
          <w:szCs w:val="32"/>
        </w:rPr>
        <w:t>严格履行建设单位的环保主体责任，</w:t>
      </w:r>
      <w:r>
        <w:rPr>
          <w:rFonts w:hint="eastAsia" w:ascii="仿宋" w:hAnsi="仿宋" w:eastAsia="仿宋"/>
          <w:sz w:val="32"/>
          <w:szCs w:val="32"/>
        </w:rPr>
        <w:t>加强环境管理，建立环境管理机构，配备专职或兼职环保人员，完善环境管理制度，定期对污染防治设施进行检查和维护，确保各项污染物稳定达标排放。建立健全环境管理制度，落实各项环境风险防范措施，制定行之有效的环境风险事故应急预案和切实可行的应急措施。</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（二）落实废气污染防治措施。</w:t>
      </w:r>
      <w:r>
        <w:rPr>
          <w:rFonts w:hint="eastAsia" w:ascii="仿宋" w:hAnsi="仿宋" w:eastAsia="仿宋"/>
          <w:bCs/>
          <w:sz w:val="32"/>
          <w:szCs w:val="32"/>
        </w:rPr>
        <w:t>制砂</w:t>
      </w:r>
      <w:r>
        <w:rPr>
          <w:rFonts w:hint="eastAsia" w:ascii="仿宋" w:hAnsi="仿宋" w:eastAsia="仿宋"/>
          <w:sz w:val="32"/>
          <w:szCs w:val="32"/>
        </w:rPr>
        <w:t>生产线须采取全封闭生产；原料堆场和皮带输送采用全封闭，廊道出口采取喷淋洒水抑尘；破碎及筛分工序、投料及搅拌工序须安装自动雾化喷头洒水抑尘；厂区道路硬化、运输车辆保持清洁并低速行驶、定期洒水降尘等措施，减少无组织粉尘对周边环境的影响。水泥筒仓外排废气需满足《水泥工业大气污染物排放标准》(GB4915—2013)表2的特别排放限值要求，外排无组织废气须满足《大气污染物综合排放标准》（</w:t>
      </w:r>
      <w:r>
        <w:rPr>
          <w:rFonts w:ascii="仿宋" w:hAnsi="仿宋" w:eastAsia="仿宋"/>
          <w:sz w:val="32"/>
          <w:szCs w:val="32"/>
        </w:rPr>
        <w:t>GB</w:t>
      </w:r>
      <w:r>
        <w:rPr>
          <w:rFonts w:hint="eastAsia" w:ascii="仿宋" w:hAnsi="仿宋" w:eastAsia="仿宋"/>
          <w:sz w:val="32"/>
          <w:szCs w:val="32"/>
        </w:rPr>
        <w:t>16297</w:t>
      </w:r>
      <w:r>
        <w:rPr>
          <w:rFonts w:ascii="仿宋" w:hAnsi="仿宋" w:eastAsia="仿宋"/>
          <w:sz w:val="32"/>
          <w:szCs w:val="32"/>
        </w:rPr>
        <w:t>-</w:t>
      </w:r>
      <w:r>
        <w:rPr>
          <w:rFonts w:hint="eastAsia" w:ascii="仿宋" w:hAnsi="仿宋" w:eastAsia="仿宋"/>
          <w:sz w:val="32"/>
          <w:szCs w:val="32"/>
        </w:rPr>
        <w:t>1996）表2中无组织排放监控浓度限值要求。</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三）落实废水污染防治措施。洗砂废水经沉淀、混凝、离心处理后回用于生产；厂区内雨水、地面冲洗、设备清洗及运输车辆冲洗废水必须集中收集经三级沉淀处理后用于生产，不得外排；生活污水经化粪池处理后综合利用于周围农田施肥，项目不设排污口。</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四）落实噪声污染防治措施。合理布局并对高噪声设备采取减振降噪措施，以减少噪声对周围环境的影响；场界四周要多植树木，形成绿化隔离带，使场界噪声达到《工业企业厂界环境噪声排放标准》（GB12348—2008）中的2类标准要求；严格控制作业时间，夜间（22:00-6:00）禁止作业；运输车辆要采取限速、限载、禁鸣等措施，减少噪声对周围环境的影响。</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rPr>
        <w:t>（五）落实固体废物污染防治措施。按照</w:t>
      </w:r>
      <w:r>
        <w:rPr>
          <w:rFonts w:hint="eastAsia" w:ascii="仿宋" w:hAnsi="仿宋" w:eastAsia="仿宋" w:cs="Times New Roman"/>
          <w:kern w:val="2"/>
          <w:sz w:val="32"/>
          <w:szCs w:val="32"/>
        </w:rPr>
        <w:t>《危险废物贮存污染控制标准》(GB18597－2001)及其修改单要求和《一般工业固体废物贮存、处置场污染控制标准》（GB 18599-2001）及其修改单要求做好固体废物</w:t>
      </w:r>
      <w:r>
        <w:rPr>
          <w:rFonts w:hint="eastAsia" w:ascii="仿宋" w:hAnsi="仿宋" w:eastAsia="仿宋"/>
          <w:sz w:val="32"/>
          <w:szCs w:val="32"/>
        </w:rPr>
        <w:t>分类收集、暂存、安全处置和综合利用工作，</w:t>
      </w:r>
      <w:r>
        <w:rPr>
          <w:rFonts w:ascii="仿宋" w:hAnsi="仿宋" w:eastAsia="仿宋"/>
          <w:sz w:val="32"/>
          <w:szCs w:val="32"/>
        </w:rPr>
        <w:t>废</w:t>
      </w:r>
      <w:r>
        <w:rPr>
          <w:rFonts w:hint="eastAsia" w:ascii="仿宋" w:hAnsi="仿宋" w:eastAsia="仿宋"/>
          <w:sz w:val="32"/>
          <w:szCs w:val="32"/>
        </w:rPr>
        <w:t>润滑油等危险废物按要求暂存后</w:t>
      </w:r>
      <w:r>
        <w:rPr>
          <w:rFonts w:ascii="仿宋" w:hAnsi="仿宋" w:eastAsia="仿宋"/>
          <w:sz w:val="32"/>
          <w:szCs w:val="32"/>
        </w:rPr>
        <w:t>交由有资质单位</w:t>
      </w:r>
      <w:r>
        <w:rPr>
          <w:rFonts w:hint="eastAsia" w:ascii="仿宋" w:hAnsi="仿宋" w:eastAsia="仿宋"/>
          <w:sz w:val="32"/>
          <w:szCs w:val="32"/>
        </w:rPr>
        <w:t>安全</w:t>
      </w:r>
      <w:r>
        <w:rPr>
          <w:rFonts w:ascii="仿宋" w:hAnsi="仿宋" w:eastAsia="仿宋"/>
          <w:sz w:val="32"/>
          <w:szCs w:val="32"/>
        </w:rPr>
        <w:t>处置</w:t>
      </w:r>
      <w:r>
        <w:rPr>
          <w:rFonts w:hint="eastAsia" w:ascii="仿宋" w:hAnsi="仿宋" w:eastAsia="仿宋"/>
          <w:sz w:val="32"/>
          <w:szCs w:val="32"/>
        </w:rPr>
        <w:t>；本项目收集到的粉尘、沉淀池泥砂和泥饼等分类收集后自行综合利用或外售给砖厂综合利用；废矿物油等危险废物经专用容器收集后暂存于10m</w:t>
      </w:r>
      <w:r>
        <w:rPr>
          <w:rFonts w:hint="eastAsia" w:ascii="仿宋" w:hAnsi="仿宋" w:eastAsia="仿宋"/>
          <w:sz w:val="32"/>
          <w:szCs w:val="32"/>
          <w:vertAlign w:val="superscript"/>
        </w:rPr>
        <w:t>2</w:t>
      </w:r>
      <w:r>
        <w:rPr>
          <w:rFonts w:hint="eastAsia" w:ascii="仿宋" w:hAnsi="仿宋" w:eastAsia="仿宋"/>
          <w:sz w:val="32"/>
          <w:szCs w:val="32"/>
        </w:rPr>
        <w:t>的危废暂存库，再交有资质的单位处理；</w:t>
      </w:r>
      <w:r>
        <w:rPr>
          <w:rFonts w:hint="eastAsia" w:ascii="仿宋" w:hAnsi="仿宋" w:eastAsia="仿宋"/>
          <w:kern w:val="2"/>
          <w:sz w:val="32"/>
          <w:szCs w:val="32"/>
        </w:rPr>
        <w:t>生活垃圾由当地环卫部门统一清运</w:t>
      </w:r>
      <w:r>
        <w:rPr>
          <w:rFonts w:hint="eastAsia" w:ascii="仿宋" w:hAnsi="仿宋" w:eastAsia="仿宋"/>
          <w:sz w:val="32"/>
          <w:szCs w:val="32"/>
        </w:rPr>
        <w:t>。</w:t>
      </w:r>
    </w:p>
    <w:p>
      <w:pPr>
        <w:spacing w:after="0" w:line="54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三、</w:t>
      </w:r>
      <w:r>
        <w:rPr>
          <w:rFonts w:hint="eastAsia" w:ascii="仿宋" w:hAnsi="仿宋" w:eastAsia="仿宋"/>
          <w:spacing w:val="8"/>
          <w:sz w:val="32"/>
          <w:szCs w:val="32"/>
          <w:lang w:val="en-GB"/>
        </w:rPr>
        <w:t>项目建成后，</w:t>
      </w:r>
      <w:r>
        <w:rPr>
          <w:rFonts w:hint="eastAsia" w:ascii="仿宋" w:hAnsi="仿宋" w:eastAsia="仿宋"/>
          <w:sz w:val="32"/>
          <w:szCs w:val="32"/>
        </w:rPr>
        <w:t>在启动生产之前须按照《固定污染源排污许可分类管理名录》(2019年版)的要求办理相关手续。同时，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个工作日内，将本批复及项目环评报告表送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firstLine="640" w:firstLineChars="200"/>
        <w:jc w:val="both"/>
        <w:rPr>
          <w:rFonts w:ascii="仿宋" w:hAnsi="仿宋" w:eastAsia="仿宋" w:cs="Times New Roman"/>
          <w:sz w:val="32"/>
          <w:szCs w:val="32"/>
        </w:rPr>
      </w:pP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leftChars="82" w:firstLine="5120" w:firstLineChars="1600"/>
        <w:jc w:val="both"/>
        <w:rPr>
          <w:rFonts w:ascii="仿宋" w:hAnsi="仿宋" w:eastAsia="仿宋"/>
          <w:sz w:val="32"/>
          <w:szCs w:val="32"/>
        </w:rPr>
      </w:pPr>
      <w:r>
        <w:rPr>
          <w:rFonts w:hint="eastAsia" w:ascii="仿宋" w:hAnsi="仿宋" w:eastAsia="仿宋"/>
          <w:sz w:val="32"/>
          <w:szCs w:val="32"/>
        </w:rPr>
        <w:t xml:space="preserve"> 益阳市生态环境局</w:t>
      </w:r>
    </w:p>
    <w:p>
      <w:pPr>
        <w:spacing w:after="0" w:line="540" w:lineRule="exact"/>
        <w:ind w:left="180" w:leftChars="82" w:firstLine="5280" w:firstLineChars="1650"/>
        <w:jc w:val="both"/>
        <w:rPr>
          <w:rFonts w:ascii="仿宋" w:hAnsi="仿宋" w:eastAsia="仿宋"/>
          <w:sz w:val="32"/>
          <w:szCs w:val="32"/>
        </w:rPr>
      </w:pPr>
      <w:bookmarkStart w:id="0" w:name="_GoBack"/>
      <w:r>
        <w:rPr>
          <w:rFonts w:hint="eastAsia" w:ascii="仿宋" w:hAnsi="仿宋" w:eastAsia="仿宋"/>
          <w:sz w:val="32"/>
          <w:szCs w:val="32"/>
        </w:rPr>
        <w:t xml:space="preserve"> 2020年9月7日</w:t>
      </w:r>
    </w:p>
    <w:bookmarkEnd w:id="0"/>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7E23"/>
    <w:rsid w:val="00077676"/>
    <w:rsid w:val="000C27F0"/>
    <w:rsid w:val="000F4B00"/>
    <w:rsid w:val="000F59F9"/>
    <w:rsid w:val="00115FDE"/>
    <w:rsid w:val="00192658"/>
    <w:rsid w:val="001C4421"/>
    <w:rsid w:val="002306D5"/>
    <w:rsid w:val="00264247"/>
    <w:rsid w:val="00282DD9"/>
    <w:rsid w:val="002D3D34"/>
    <w:rsid w:val="002F111F"/>
    <w:rsid w:val="00323B43"/>
    <w:rsid w:val="00336691"/>
    <w:rsid w:val="00347FBD"/>
    <w:rsid w:val="003B5916"/>
    <w:rsid w:val="003D37D8"/>
    <w:rsid w:val="00415DAF"/>
    <w:rsid w:val="00426133"/>
    <w:rsid w:val="004358AB"/>
    <w:rsid w:val="0047247B"/>
    <w:rsid w:val="00484358"/>
    <w:rsid w:val="00502B31"/>
    <w:rsid w:val="005E04A1"/>
    <w:rsid w:val="006461C2"/>
    <w:rsid w:val="00685ADD"/>
    <w:rsid w:val="006B7827"/>
    <w:rsid w:val="006E25B7"/>
    <w:rsid w:val="00711F0F"/>
    <w:rsid w:val="00733DA4"/>
    <w:rsid w:val="007347FB"/>
    <w:rsid w:val="007732ED"/>
    <w:rsid w:val="007900FF"/>
    <w:rsid w:val="00792F55"/>
    <w:rsid w:val="007C2A64"/>
    <w:rsid w:val="008301E8"/>
    <w:rsid w:val="00882099"/>
    <w:rsid w:val="00883DDD"/>
    <w:rsid w:val="00893BEB"/>
    <w:rsid w:val="00897387"/>
    <w:rsid w:val="008A21F6"/>
    <w:rsid w:val="008A49D0"/>
    <w:rsid w:val="008B7726"/>
    <w:rsid w:val="009442A6"/>
    <w:rsid w:val="00947AA0"/>
    <w:rsid w:val="00954372"/>
    <w:rsid w:val="009C61BD"/>
    <w:rsid w:val="00A475E4"/>
    <w:rsid w:val="00A62870"/>
    <w:rsid w:val="00A65061"/>
    <w:rsid w:val="00A8249E"/>
    <w:rsid w:val="00AC66AB"/>
    <w:rsid w:val="00B63818"/>
    <w:rsid w:val="00B662B6"/>
    <w:rsid w:val="00BA04A5"/>
    <w:rsid w:val="00BA0F7E"/>
    <w:rsid w:val="00BC1D98"/>
    <w:rsid w:val="00BD4BE3"/>
    <w:rsid w:val="00BE2745"/>
    <w:rsid w:val="00C71ED6"/>
    <w:rsid w:val="00CD2DAB"/>
    <w:rsid w:val="00D20C5E"/>
    <w:rsid w:val="00D2292F"/>
    <w:rsid w:val="00D30429"/>
    <w:rsid w:val="00D31D50"/>
    <w:rsid w:val="00D406C9"/>
    <w:rsid w:val="00D517EB"/>
    <w:rsid w:val="00D809BA"/>
    <w:rsid w:val="00DB311F"/>
    <w:rsid w:val="00DD7D2C"/>
    <w:rsid w:val="00E23826"/>
    <w:rsid w:val="00E57323"/>
    <w:rsid w:val="00E636C2"/>
    <w:rsid w:val="00EB758D"/>
    <w:rsid w:val="00F97504"/>
    <w:rsid w:val="7C1F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正文文本 Char"/>
    <w:basedOn w:val="6"/>
    <w:link w:val="2"/>
    <w:qFormat/>
    <w:uiPriority w:val="0"/>
    <w:rPr>
      <w:rFonts w:ascii="Times New Roman" w:hAnsi="Times New Roman" w:eastAsia="宋体" w:cs="Times New Roman"/>
      <w:kern w:val="2"/>
      <w:sz w:val="21"/>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1547</Characters>
  <Lines>12</Lines>
  <Paragraphs>3</Paragraphs>
  <TotalTime>1221</TotalTime>
  <ScaleCrop>false</ScaleCrop>
  <LinksUpToDate>false</LinksUpToDate>
  <CharactersWithSpaces>1815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2020-09-07T03:58:00Z</cp:lastPrinted>
  <dcterms:modified xsi:type="dcterms:W3CDTF">2020-09-07T07:06:01Z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