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sz w:val="36"/>
          <w:szCs w:val="36"/>
        </w:rPr>
      </w:pPr>
      <w:r>
        <w:rPr>
          <w:rFonts w:hint="eastAsia" w:eastAsia="黑体"/>
          <w:sz w:val="36"/>
          <w:szCs w:val="36"/>
        </w:rPr>
        <w:t>关于</w:t>
      </w:r>
      <w:r>
        <w:rPr>
          <w:rFonts w:hint="eastAsia" w:eastAsia="黑体"/>
          <w:sz w:val="36"/>
          <w:szCs w:val="36"/>
          <w:lang w:eastAsia="zh-CN"/>
        </w:rPr>
        <w:t>湖南金能达机电科技有限公司工程机械配件生产车间改建项目环境影响报告表</w:t>
      </w:r>
      <w:r>
        <w:rPr>
          <w:rFonts w:hint="eastAsia" w:eastAsia="黑体"/>
          <w:sz w:val="36"/>
          <w:szCs w:val="36"/>
        </w:rPr>
        <w:t>的批复</w:t>
      </w:r>
    </w:p>
    <w:p>
      <w:pPr>
        <w:spacing w:line="560" w:lineRule="exact"/>
        <w:rPr>
          <w:rFonts w:ascii="仿宋_GB2312" w:hAnsi="黑体" w:eastAsia="仿宋_GB2312"/>
          <w:color w:val="000000"/>
          <w:sz w:val="36"/>
          <w:szCs w:val="36"/>
        </w:rPr>
      </w:pPr>
    </w:p>
    <w:p>
      <w:pPr>
        <w:spacing w:line="560" w:lineRule="exact"/>
        <w:rPr>
          <w:rFonts w:hint="eastAsia" w:ascii="楷体" w:hAnsi="楷体" w:eastAsia="楷体" w:cs="楷体"/>
          <w:b/>
          <w:bCs/>
          <w:color w:val="000000"/>
          <w:spacing w:val="4"/>
          <w:szCs w:val="32"/>
          <w:lang w:eastAsia="zh-CN"/>
        </w:rPr>
      </w:pPr>
      <w:r>
        <w:rPr>
          <w:rFonts w:hint="eastAsia" w:ascii="楷体" w:hAnsi="楷体" w:eastAsia="楷体" w:cs="楷体"/>
          <w:b/>
          <w:bCs/>
          <w:color w:val="000000"/>
          <w:spacing w:val="4"/>
          <w:szCs w:val="32"/>
          <w:lang w:eastAsia="zh-CN"/>
        </w:rPr>
        <w:t>湖南金能达机电科技有限公司:</w:t>
      </w:r>
    </w:p>
    <w:p>
      <w:pPr>
        <w:spacing w:line="560" w:lineRule="exact"/>
        <w:ind w:firstLine="656" w:firstLineChars="200"/>
        <w:rPr>
          <w:rFonts w:hint="eastAsia" w:ascii="仿宋_GB2312" w:eastAsia="仿宋_GB2312"/>
          <w:color w:val="000000"/>
          <w:spacing w:val="4"/>
          <w:szCs w:val="32"/>
          <w:lang w:eastAsia="zh-CN"/>
        </w:rPr>
      </w:pPr>
      <w:r>
        <w:rPr>
          <w:rFonts w:hint="eastAsia" w:ascii="仿宋_GB2312" w:eastAsia="仿宋_GB2312"/>
          <w:color w:val="000000"/>
          <w:spacing w:val="4"/>
          <w:szCs w:val="32"/>
          <w:lang w:eastAsia="zh-CN"/>
        </w:rPr>
        <w:t>你公司呈报的《湖南金能达机电科技有限公司工程机械配件生产车间改建项目环境影响报告表》及相关附件收悉。经研究，批复如下:</w:t>
      </w:r>
    </w:p>
    <w:p>
      <w:pPr>
        <w:spacing w:line="560" w:lineRule="exact"/>
        <w:ind w:firstLine="656" w:firstLineChars="200"/>
        <w:rPr>
          <w:rFonts w:hint="eastAsia" w:ascii="仿宋_GB2312" w:eastAsia="仿宋_GB2312"/>
          <w:color w:val="000000"/>
          <w:spacing w:val="4"/>
          <w:szCs w:val="32"/>
          <w:lang w:eastAsia="zh-CN"/>
        </w:rPr>
      </w:pPr>
      <w:r>
        <w:rPr>
          <w:rFonts w:hint="eastAsia" w:ascii="仿宋_GB2312" w:eastAsia="仿宋_GB2312"/>
          <w:color w:val="000000"/>
          <w:spacing w:val="4"/>
          <w:szCs w:val="32"/>
          <w:lang w:eastAsia="zh-CN"/>
        </w:rPr>
        <w:t>你公司拟投资1000 万元在益阳高新区东部产业园现有厂房内进行改建，拆除原有的汽车零配件生产线，新建一条汽车吊副臂生产线、一条磨齿机生产线和一条齿轮精磨件生产线，年产35T汽车吊副臂2000套、80T 汽车吊副臂1000套、磨齿机30台、齿轮精磨件30000件。项目占地面积20000平方米，厂房内分区设置机械加工区、抛丸除锈区、喷涂区、办公区、原材料库、成品库及给排水、供配电、环保等相关公用辅助工程。项目建设符合国家产业政策和益阳高新区东部产业园选址用地规划要求。根据湖南润美环保科技有限公司编制的环评报告表的分析结论，在建设单位认真落实报告</w:t>
      </w:r>
    </w:p>
    <w:p>
      <w:pPr>
        <w:spacing w:line="560" w:lineRule="exact"/>
        <w:rPr>
          <w:rFonts w:hint="eastAsia" w:ascii="仿宋_GB2312" w:eastAsia="仿宋_GB2312"/>
          <w:color w:val="000000"/>
          <w:spacing w:val="4"/>
          <w:szCs w:val="32"/>
          <w:lang w:eastAsia="zh-CN"/>
        </w:rPr>
      </w:pPr>
      <w:r>
        <w:rPr>
          <w:rFonts w:hint="eastAsia" w:ascii="仿宋_GB2312" w:eastAsia="仿宋_GB2312"/>
          <w:color w:val="000000"/>
          <w:spacing w:val="4"/>
          <w:szCs w:val="32"/>
          <w:lang w:eastAsia="zh-CN"/>
        </w:rPr>
        <w:t>表提出的各项污染防治措施、确保外排污染物稳定达标的前提下，从环保的角度分析，我局同意项目按报告表所列的建设方案、规模、工艺、环保措施等在拟选地址建设。</w:t>
      </w:r>
    </w:p>
    <w:p>
      <w:pPr>
        <w:spacing w:line="560" w:lineRule="exact"/>
        <w:ind w:firstLine="656" w:firstLineChars="200"/>
        <w:rPr>
          <w:rFonts w:hint="eastAsia" w:ascii="仿宋_GB2312" w:eastAsia="仿宋_GB2312"/>
          <w:color w:val="000000"/>
          <w:spacing w:val="4"/>
          <w:szCs w:val="32"/>
          <w:lang w:eastAsia="zh-CN"/>
        </w:rPr>
      </w:pPr>
      <w:r>
        <w:rPr>
          <w:rFonts w:hint="eastAsia" w:ascii="仿宋_GB2312" w:eastAsia="仿宋_GB2312"/>
          <w:color w:val="000000"/>
          <w:spacing w:val="4"/>
          <w:szCs w:val="32"/>
          <w:lang w:eastAsia="zh-CN"/>
        </w:rPr>
        <w:t>二、建设单位在项目设计、建设和营运期间，必须严格执行环保“三同时”制度，按照环评报告表要求落实各项污染防治措施，并着重做好如下工作:</w:t>
      </w:r>
    </w:p>
    <w:p>
      <w:pPr>
        <w:spacing w:line="560" w:lineRule="exact"/>
        <w:ind w:firstLine="656" w:firstLineChars="200"/>
        <w:rPr>
          <w:rFonts w:hint="eastAsia" w:ascii="仿宋_GB2312" w:eastAsia="仿宋_GB2312"/>
          <w:color w:val="000000"/>
          <w:spacing w:val="4"/>
          <w:szCs w:val="32"/>
          <w:lang w:eastAsia="zh-CN"/>
        </w:rPr>
      </w:pPr>
      <w:r>
        <w:rPr>
          <w:rFonts w:hint="eastAsia" w:ascii="仿宋_GB2312" w:eastAsia="仿宋_GB2312"/>
          <w:color w:val="000000"/>
          <w:spacing w:val="4"/>
          <w:szCs w:val="32"/>
          <w:lang w:eastAsia="zh-CN"/>
        </w:rPr>
        <w:t>(一)做好项目大气污染防治工作，加强车间通风换气，机加工产生粉尘的工位应设置挡板、同时配备工业用集尘器进行处理，打磨工序产生的粉尘经设备自带的集气除尘系统处理，焊接烟气经移动式焊接烟尘净化器处理，抛丸工序产生的粉尘经集气装置收集后采用滤筒式除尘器处理后经15m高排气筒排放，喷涂工序采用静电喷涂工艺、产生的粉尘经集气装置收集后采用二级滤芯过滤处理后经15m高排气筒排放，确保外排污染物满足《大气污染物综合排放标准》(GB16297-1996)表2中二级标准及无组织排放监控浓度限值要求;固化炉燃烧液化石油气并配套低氮燃烧器，确保外排污染物满足《锅炉大气污染物排放标准》(GB13271-2014)表3中燃气锅炉大气污染物特别排放限值后经15m高排气筒排放;固化工序产生的有机废气经负压集气后采取“UV光氧催化+活性炭吸附”的工艺处理，确保外排污染物达到《表面涂装(汽车制造及维修)挥发性有机物、镍排放标准》(DB43/1356-2017)表1中排气简挥发性有机物排放浓度限值后经15m高排气简排放;食堂油烟应安装使用高效油烟净化处理设备，处理后达到《饮食业油烟排放标准(试行)》(GB18483- 2001)中的限值标准要求后高空排放。</w:t>
      </w:r>
    </w:p>
    <w:p>
      <w:pPr>
        <w:spacing w:line="560" w:lineRule="exact"/>
        <w:ind w:firstLine="656" w:firstLineChars="200"/>
        <w:rPr>
          <w:rFonts w:hint="eastAsia" w:ascii="仿宋_GB2312" w:eastAsia="仿宋_GB2312"/>
          <w:color w:val="000000"/>
          <w:spacing w:val="4"/>
          <w:szCs w:val="32"/>
          <w:lang w:eastAsia="zh-CN"/>
        </w:rPr>
      </w:pPr>
      <w:r>
        <w:rPr>
          <w:rFonts w:hint="eastAsia" w:ascii="仿宋_GB2312" w:eastAsia="仿宋_GB2312"/>
          <w:color w:val="000000"/>
          <w:spacing w:val="4"/>
          <w:szCs w:val="32"/>
          <w:lang w:eastAsia="zh-CN"/>
        </w:rPr>
        <w:t>(二)做好项目水污染防治工作，本项目无生产废水产生，生活污水经隔油池、化粪池处理达到《污水综合排放标准》(GB8978-1996) 表4中三级标准后经园区污水管网排入益阳市东部新区污水处理厂进行深度处理。</w:t>
      </w:r>
    </w:p>
    <w:p>
      <w:pPr>
        <w:spacing w:line="560" w:lineRule="exact"/>
        <w:ind w:firstLine="656" w:firstLineChars="200"/>
        <w:rPr>
          <w:rFonts w:hint="eastAsia" w:ascii="仿宋_GB2312" w:eastAsia="仿宋_GB2312"/>
          <w:color w:val="000000"/>
          <w:spacing w:val="4"/>
          <w:szCs w:val="32"/>
          <w:lang w:eastAsia="zh-CN"/>
        </w:rPr>
      </w:pPr>
      <w:r>
        <w:rPr>
          <w:rFonts w:hint="eastAsia" w:ascii="仿宋_GB2312" w:eastAsia="仿宋_GB2312"/>
          <w:color w:val="000000"/>
          <w:spacing w:val="4"/>
          <w:szCs w:val="32"/>
          <w:lang w:eastAsia="zh-CN"/>
        </w:rPr>
        <w:t>(三)做好项目噪声污染防治工作，落实环评报告表提出的噪声防治措施，合理优化总平面布局，并从优化设备的选</w:t>
      </w:r>
    </w:p>
    <w:p>
      <w:pPr>
        <w:spacing w:line="560" w:lineRule="exact"/>
        <w:rPr>
          <w:rFonts w:hint="eastAsia" w:ascii="仿宋_GB2312" w:eastAsia="仿宋_GB2312"/>
          <w:color w:val="000000"/>
          <w:spacing w:val="4"/>
          <w:szCs w:val="32"/>
          <w:lang w:eastAsia="zh-CN"/>
        </w:rPr>
      </w:pPr>
      <w:r>
        <w:rPr>
          <w:rFonts w:hint="eastAsia" w:ascii="仿宋_GB2312" w:eastAsia="仿宋_GB2312"/>
          <w:color w:val="000000"/>
          <w:spacing w:val="4"/>
          <w:szCs w:val="32"/>
          <w:lang w:eastAsia="zh-CN"/>
        </w:rPr>
        <w:t>型、减震、消声、隔声和合理安排设备作业时间等方面做好噪声的污染控制工作，确保厂界噪声达到《工业企业厂界环境噪声排放标准》(GB12348-2008) 中3类区标准要求。</w:t>
      </w:r>
    </w:p>
    <w:p>
      <w:pPr>
        <w:spacing w:line="560" w:lineRule="exact"/>
        <w:ind w:firstLine="656" w:firstLineChars="200"/>
        <w:rPr>
          <w:rFonts w:hint="default" w:ascii="仿宋_GB2312" w:eastAsia="仿宋_GB2312"/>
          <w:color w:val="000000"/>
          <w:spacing w:val="4"/>
          <w:szCs w:val="32"/>
          <w:lang w:val="en-US" w:eastAsia="zh-CN"/>
        </w:rPr>
      </w:pPr>
      <w:r>
        <w:rPr>
          <w:rFonts w:hint="eastAsia" w:ascii="仿宋_GB2312" w:eastAsia="仿宋_GB2312"/>
          <w:color w:val="000000"/>
          <w:spacing w:val="4"/>
          <w:szCs w:val="32"/>
          <w:lang w:eastAsia="zh-CN"/>
        </w:rPr>
        <w:t>(四) 加强对固体废物的分类管理控制，项目产生的危废和一般固废应严格分类贮存，厂区内按规范和环评提出的容量要求分别设置危废暂存库和一般固废暂存场所，其建设、运行和管理应相应分别满足《危险废物贮存污染控制标准》(GB18597-2001)及其修改单要求、《一般工业固体废物贮存、处置场污染控制标准》(CB18599-2001) 及其修改单要求。做好固体废物分类收集处置，生活垃圾收集后交给地方环卫部门处理;废焊丝、焊渣、边角废料、金属屑以及工业集尘器收集的粉尘等为一般工业固废，经分类收集贮存后外售综合利用;喷粉工序滤芯过滤收集的粉尘回用于生产;机油、切削液、乳化液及粉末涂料的废弃包装物、废活性炭、废UV灯管、落地涂料粉末，机油、废切削液，废乳化液，含油废抹布和废手套等危险废物应送危废暂存间分类贮存，定期外委有危废处置资质单位处理。</w:t>
      </w:r>
    </w:p>
    <w:p>
      <w:pPr>
        <w:spacing w:line="560" w:lineRule="exact"/>
        <w:ind w:firstLine="656" w:firstLineChars="200"/>
        <w:rPr>
          <w:rFonts w:hint="eastAsia" w:ascii="仿宋_GB2312" w:eastAsia="仿宋_GB2312"/>
          <w:color w:val="000000"/>
          <w:spacing w:val="4"/>
          <w:szCs w:val="32"/>
          <w:lang w:eastAsia="zh-CN"/>
        </w:rPr>
      </w:pPr>
      <w:r>
        <w:rPr>
          <w:rFonts w:hint="eastAsia" w:ascii="仿宋_GB2312" w:eastAsia="仿宋_GB2312"/>
          <w:color w:val="000000"/>
          <w:spacing w:val="4"/>
          <w:szCs w:val="32"/>
          <w:lang w:eastAsia="zh-CN"/>
        </w:rPr>
        <w:t>( 五)加强环境风险防范，加强环保和风险防范设施的运行管理，明确责任人，确保环保设施稳定正常运行和污染物的稳定达标排放，制定环境风险事故应急预案，落实事故应急防范措施。</w:t>
      </w:r>
    </w:p>
    <w:p>
      <w:pPr>
        <w:spacing w:line="560" w:lineRule="exact"/>
        <w:ind w:firstLine="656" w:firstLineChars="200"/>
        <w:rPr>
          <w:rFonts w:hint="eastAsia" w:ascii="仿宋_GB2312" w:eastAsia="仿宋_GB2312"/>
          <w:color w:val="000000"/>
          <w:spacing w:val="4"/>
          <w:szCs w:val="32"/>
          <w:lang w:eastAsia="zh-CN"/>
        </w:rPr>
      </w:pPr>
      <w:r>
        <w:rPr>
          <w:rFonts w:hint="eastAsia" w:ascii="仿宋_GB2312" w:eastAsia="仿宋_GB2312"/>
          <w:color w:val="000000"/>
          <w:spacing w:val="4"/>
          <w:szCs w:val="32"/>
          <w:lang w:eastAsia="zh-CN"/>
        </w:rPr>
        <w:t>(六)污染物总量控制: S0,s0. 01t/a. NO, S0. 02t/a，</w:t>
      </w:r>
    </w:p>
    <w:p>
      <w:pPr>
        <w:spacing w:line="560" w:lineRule="exact"/>
        <w:rPr>
          <w:rFonts w:hint="eastAsia" w:ascii="仿宋_GB2312" w:eastAsia="仿宋_GB2312"/>
          <w:color w:val="000000"/>
          <w:spacing w:val="4"/>
          <w:szCs w:val="32"/>
          <w:lang w:eastAsia="zh-CN"/>
        </w:rPr>
      </w:pPr>
      <w:r>
        <w:rPr>
          <w:rFonts w:hint="eastAsia" w:ascii="仿宋_GB2312" w:eastAsia="仿宋_GB2312"/>
          <w:color w:val="000000"/>
          <w:spacing w:val="4"/>
          <w:szCs w:val="32"/>
          <w:lang w:eastAsia="zh-CN"/>
        </w:rPr>
        <w:t>VOC;正0. 10t/a，总量指标纳入当地环保部门总量控制管理。</w:t>
      </w:r>
    </w:p>
    <w:p>
      <w:pPr>
        <w:spacing w:line="560" w:lineRule="exact"/>
        <w:ind w:firstLine="656" w:firstLineChars="200"/>
        <w:rPr>
          <w:rFonts w:hint="eastAsia" w:ascii="仿宋_GB2312" w:eastAsia="仿宋_GB2312"/>
          <w:color w:val="000000"/>
          <w:spacing w:val="4"/>
          <w:szCs w:val="32"/>
          <w:lang w:eastAsia="zh-CN"/>
        </w:rPr>
      </w:pPr>
      <w:r>
        <w:rPr>
          <w:rFonts w:hint="eastAsia" w:ascii="仿宋_GB2312" w:eastAsia="仿宋_GB2312"/>
          <w:color w:val="000000"/>
          <w:spacing w:val="4"/>
          <w:szCs w:val="32"/>
          <w:lang w:eastAsia="zh-CN"/>
        </w:rPr>
        <w:t>建设单位应严格执行环境保护“三同时”规定，项目环保“三同时”执行情况的监督检查和日常环境管理工作由益阳市生态环境局高新区分局和益阳市生态环境保护综合行政执法支队高新区大队具体负责。</w:t>
      </w:r>
    </w:p>
    <w:p>
      <w:pPr>
        <w:spacing w:line="560" w:lineRule="exact"/>
        <w:ind w:firstLine="656" w:firstLineChars="200"/>
        <w:rPr>
          <w:rFonts w:hint="eastAsia" w:ascii="仿宋_GB2312" w:eastAsia="仿宋_GB2312"/>
          <w:color w:val="000000"/>
          <w:spacing w:val="4"/>
          <w:szCs w:val="32"/>
          <w:lang w:eastAsia="zh-CN"/>
        </w:rPr>
      </w:pPr>
    </w:p>
    <w:p>
      <w:pPr>
        <w:spacing w:line="560" w:lineRule="exact"/>
        <w:ind w:firstLine="656" w:firstLineChars="200"/>
        <w:rPr>
          <w:rFonts w:hint="eastAsia" w:ascii="仿宋_GB2312" w:eastAsia="仿宋_GB2312"/>
          <w:color w:val="000000"/>
          <w:spacing w:val="4"/>
          <w:szCs w:val="32"/>
          <w:lang w:eastAsia="zh-CN"/>
        </w:rPr>
      </w:pPr>
    </w:p>
    <w:p>
      <w:pPr>
        <w:spacing w:line="560" w:lineRule="exact"/>
        <w:ind w:firstLine="656" w:firstLineChars="200"/>
        <w:rPr>
          <w:rFonts w:hint="eastAsia" w:ascii="仿宋_GB2312" w:eastAsia="仿宋_GB2312"/>
          <w:color w:val="000000"/>
          <w:spacing w:val="4"/>
          <w:szCs w:val="32"/>
          <w:lang w:eastAsia="zh-CN"/>
        </w:rPr>
      </w:pPr>
    </w:p>
    <w:p>
      <w:pPr>
        <w:spacing w:line="560" w:lineRule="exact"/>
        <w:ind w:firstLine="656" w:firstLineChars="200"/>
        <w:rPr>
          <w:rFonts w:hint="eastAsia" w:ascii="仿宋_GB2312" w:eastAsia="仿宋_GB2312"/>
          <w:color w:val="000000"/>
          <w:spacing w:val="4"/>
          <w:szCs w:val="32"/>
          <w:lang w:eastAsia="zh-CN"/>
        </w:rPr>
      </w:pPr>
    </w:p>
    <w:p>
      <w:pPr>
        <w:spacing w:line="560" w:lineRule="exact"/>
        <w:ind w:firstLine="656" w:firstLineChars="200"/>
        <w:rPr>
          <w:rFonts w:hint="eastAsia" w:ascii="仿宋_GB2312" w:eastAsia="仿宋_GB2312"/>
          <w:color w:val="000000"/>
          <w:spacing w:val="4"/>
          <w:szCs w:val="32"/>
          <w:lang w:eastAsia="zh-CN"/>
        </w:rPr>
      </w:pPr>
    </w:p>
    <w:p>
      <w:pPr>
        <w:spacing w:line="560" w:lineRule="exact"/>
        <w:ind w:firstLine="640" w:firstLineChars="200"/>
        <w:rPr>
          <w:rFonts w:ascii="仿宋_GB2312" w:eastAsia="仿宋_GB2312"/>
        </w:rPr>
      </w:pPr>
    </w:p>
    <w:p>
      <w:pPr>
        <w:spacing w:line="560" w:lineRule="exact"/>
        <w:ind w:firstLine="640" w:firstLineChars="200"/>
        <w:rPr>
          <w:rFonts w:hint="eastAsia" w:ascii="仿宋_GB2312" w:eastAsia="仿宋_GB2312"/>
          <w:lang w:val="en-US" w:eastAsia="zh-CN"/>
        </w:rPr>
      </w:pPr>
      <w:r>
        <w:rPr>
          <w:rFonts w:hint="eastAsia" w:ascii="仿宋_GB2312" w:eastAsia="仿宋_GB2312"/>
        </w:rPr>
        <w:t xml:space="preserve">                         益阳市生态环境局</w:t>
      </w:r>
      <w:r>
        <w:rPr>
          <w:rFonts w:hint="eastAsia" w:ascii="仿宋_GB2312" w:eastAsia="仿宋_GB2312"/>
          <w:lang w:eastAsia="zh-CN"/>
        </w:rPr>
        <w:t>赫山分局</w:t>
      </w:r>
    </w:p>
    <w:p>
      <w:pPr>
        <w:spacing w:line="560" w:lineRule="exact"/>
        <w:ind w:firstLine="640" w:firstLineChars="200"/>
        <w:rPr>
          <w:rFonts w:ascii="仿宋_GB2312" w:eastAsia="仿宋_GB2312"/>
          <w:color w:val="FF0000"/>
        </w:rPr>
      </w:pPr>
      <w:r>
        <w:rPr>
          <w:rFonts w:hint="eastAsia" w:ascii="仿宋_GB2312" w:eastAsia="仿宋_GB2312"/>
          <w:color w:val="FF0000"/>
        </w:rPr>
        <w:t xml:space="preserve">                                 </w:t>
      </w:r>
      <w:r>
        <w:rPr>
          <w:rFonts w:hint="eastAsia" w:ascii="仿宋_GB2312" w:eastAsia="仿宋_GB2312"/>
          <w:lang w:val="en-US" w:eastAsia="zh-CN"/>
        </w:rPr>
        <w:t>2020</w:t>
      </w:r>
      <w:r>
        <w:rPr>
          <w:rFonts w:hint="eastAsia" w:ascii="仿宋_GB2312" w:eastAsia="仿宋_GB2312"/>
        </w:rPr>
        <w:t>年</w:t>
      </w:r>
      <w:r>
        <w:rPr>
          <w:rFonts w:hint="eastAsia" w:ascii="仿宋_GB2312" w:eastAsia="仿宋_GB2312"/>
          <w:lang w:val="en-US" w:eastAsia="zh-CN"/>
        </w:rPr>
        <w:t xml:space="preserve">  </w:t>
      </w:r>
      <w:r>
        <w:rPr>
          <w:rFonts w:hint="eastAsia" w:ascii="仿宋_GB2312" w:eastAsia="仿宋_GB2312"/>
        </w:rPr>
        <w:t>月</w:t>
      </w:r>
      <w:r>
        <w:rPr>
          <w:rFonts w:hint="eastAsia" w:ascii="仿宋_GB2312" w:eastAsia="仿宋_GB2312"/>
          <w:lang w:val="en-US" w:eastAsia="zh-CN"/>
        </w:rPr>
        <w:t xml:space="preserve">  </w:t>
      </w:r>
      <w:r>
        <w:rPr>
          <w:rFonts w:hint="eastAsia" w:ascii="仿宋_GB2312" w:eastAsia="仿宋_GB2312"/>
        </w:rPr>
        <w:t>日</w:t>
      </w:r>
    </w:p>
    <w:p>
      <w:bookmarkStart w:id="0" w:name="_GoBack"/>
      <w:bookmarkEnd w:id="0"/>
    </w:p>
    <w:sectPr>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684D96"/>
    <w:rsid w:val="32684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华文仿宋"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2020-09-04T05:10:00Z</dcterms:created>
  <dc:creator>周国宏（周文）</dc:creator>
  <cp:lastModifiedBy>周国宏（周文）</cp:lastModifiedBy>
  <dcterms:modified xsi:type="dcterms:W3CDTF">2020-09-04T05:11:14Z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