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snapToGrid w:val="0"/>
        <w:jc w:val="center"/>
        <w:rPr>
          <w:b/>
          <w:sz w:val="24"/>
        </w:rPr>
      </w:pP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rPr>
      </w:pPr>
      <w:r>
        <w:rPr>
          <w:rFonts w:hint="eastAsia" w:ascii="仿宋_GB2312" w:eastAsia="仿宋_GB2312"/>
          <w:color w:val="000000" w:themeColor="text1"/>
          <w:sz w:val="24"/>
        </w:rPr>
        <w:t xml:space="preserve">                                        </w:t>
      </w:r>
      <w:r>
        <w:rPr>
          <w:rFonts w:hint="eastAsia" w:ascii="仿宋_GB2312" w:eastAsia="仿宋_GB2312"/>
          <w:color w:val="auto"/>
          <w:sz w:val="28"/>
          <w:szCs w:val="28"/>
        </w:rPr>
        <w:t>益环高审[2020]</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号</w:t>
      </w:r>
    </w:p>
    <w:p>
      <w:pPr>
        <w:keepNext w:val="0"/>
        <w:keepLines w:val="0"/>
        <w:pageBreakBefore w:val="0"/>
        <w:widowControl w:val="0"/>
        <w:tabs>
          <w:tab w:val="left" w:pos="6240"/>
        </w:tabs>
        <w:kinsoku/>
        <w:wordWrap/>
        <w:overflowPunct/>
        <w:topLinePunct w:val="0"/>
        <w:autoSpaceDE/>
        <w:autoSpaceDN/>
        <w:bidi w:val="0"/>
        <w:adjustRightInd/>
        <w:snapToGrid/>
        <w:spacing w:line="560" w:lineRule="exact"/>
        <w:jc w:val="righ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益阳市生态环境局</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关于湖南仨鑫铁道工程设备有限公司铁道工程设备制造建设项目环境影响报告表的批复</w:t>
      </w:r>
    </w:p>
    <w:p>
      <w:pPr>
        <w:spacing w:line="560" w:lineRule="exact"/>
        <w:rPr>
          <w:rFonts w:ascii="仿宋_GB2312" w:hAnsi="黑体" w:eastAsia="仿宋_GB2312"/>
          <w:color w:val="000000"/>
          <w:sz w:val="36"/>
          <w:szCs w:val="36"/>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Cs w:val="32"/>
        </w:rPr>
      </w:pPr>
      <w:r>
        <w:rPr>
          <w:rFonts w:hint="eastAsia" w:ascii="仿宋_GB2312" w:eastAsia="仿宋_GB2312"/>
          <w:bCs/>
          <w:szCs w:val="32"/>
        </w:rPr>
        <w:t>湖南仨鑫铁道工程设备有限公司</w:t>
      </w:r>
      <w:r>
        <w:rPr>
          <w:rFonts w:hint="eastAsia" w:ascii="仿宋_GB2312" w:eastAsia="仿宋_GB2312"/>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bCs/>
          <w:szCs w:val="32"/>
        </w:rPr>
      </w:pPr>
      <w:r>
        <w:rPr>
          <w:rFonts w:hint="eastAsia" w:ascii="仿宋_GB2312" w:eastAsia="仿宋_GB2312"/>
          <w:color w:val="000000"/>
          <w:spacing w:val="4"/>
          <w:szCs w:val="32"/>
        </w:rPr>
        <w:t>你</w:t>
      </w:r>
      <w:r>
        <w:rPr>
          <w:rFonts w:hint="eastAsia" w:ascii="仿宋_GB2312" w:eastAsia="仿宋_GB2312"/>
          <w:bCs/>
          <w:szCs w:val="32"/>
          <w:lang w:eastAsia="zh-CN"/>
        </w:rPr>
        <w:t>公司</w:t>
      </w:r>
      <w:r>
        <w:rPr>
          <w:rFonts w:hint="eastAsia" w:ascii="仿宋_GB2312" w:eastAsia="仿宋_GB2312"/>
          <w:bCs/>
          <w:szCs w:val="32"/>
        </w:rPr>
        <w:t>呈报的《湖南仨鑫铁道工程设备有限公司铁道工程设备制造建设项目环境影响报告表》</w:t>
      </w:r>
      <w:r>
        <w:rPr>
          <w:rFonts w:hint="eastAsia" w:ascii="仿宋_GB2312" w:hAnsi="仿宋_GB2312" w:eastAsia="仿宋_GB2312" w:cs="仿宋_GB2312"/>
          <w:color w:val="000000"/>
          <w:spacing w:val="0"/>
          <w:sz w:val="32"/>
          <w:szCs w:val="32"/>
          <w:lang w:val="en-US" w:eastAsia="zh-CN"/>
        </w:rPr>
        <w:t>及相关附件收悉</w:t>
      </w:r>
      <w:r>
        <w:rPr>
          <w:rFonts w:hint="eastAsia" w:ascii="仿宋_GB2312" w:hAnsi="仿宋_GB2312" w:eastAsia="仿宋_GB2312" w:cs="仿宋_GB2312"/>
          <w:color w:val="000000"/>
          <w:spacing w:val="0"/>
          <w:sz w:val="32"/>
          <w:szCs w:val="32"/>
        </w:rPr>
        <w:t>。经</w:t>
      </w:r>
      <w:r>
        <w:rPr>
          <w:rFonts w:hint="eastAsia" w:ascii="仿宋_GB2312" w:hAnsi="仿宋_GB2312" w:eastAsia="仿宋_GB2312" w:cs="仿宋_GB2312"/>
          <w:color w:val="000000"/>
          <w:spacing w:val="0"/>
          <w:sz w:val="32"/>
          <w:szCs w:val="32"/>
          <w:lang w:eastAsia="zh-CN"/>
        </w:rPr>
        <w:t>研究</w:t>
      </w:r>
      <w:r>
        <w:rPr>
          <w:rFonts w:hint="eastAsia" w:ascii="仿宋_GB2312" w:hAnsi="仿宋_GB2312" w:eastAsia="仿宋_GB2312" w:cs="仿宋_GB2312"/>
          <w:color w:val="000000"/>
          <w:spacing w:val="0"/>
          <w:sz w:val="32"/>
          <w:szCs w:val="32"/>
        </w:rPr>
        <w:t>，批复如下：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pacing w:val="4"/>
          <w:szCs w:val="32"/>
        </w:rPr>
        <w:sectPr>
          <w:headerReference r:id="rId3" w:type="default"/>
          <w:pgSz w:w="11906" w:h="16838"/>
          <w:pgMar w:top="1701" w:right="1701" w:bottom="1701" w:left="1701" w:header="851" w:footer="992" w:gutter="0"/>
          <w:pgNumType w:fmt="numberInDash"/>
          <w:cols w:space="425" w:num="1"/>
          <w:docGrid w:type="lines" w:linePitch="312" w:charSpace="0"/>
        </w:sectPr>
      </w:pPr>
      <w:r>
        <w:rPr>
          <w:rFonts w:hint="eastAsia" w:ascii="仿宋_GB2312" w:eastAsia="仿宋_GB2312"/>
          <w:bCs/>
          <w:szCs w:val="32"/>
          <w:lang w:eastAsia="zh-CN"/>
        </w:rPr>
        <w:t>你</w:t>
      </w:r>
      <w:r>
        <w:rPr>
          <w:rFonts w:hint="eastAsia" w:ascii="仿宋_GB2312" w:eastAsia="仿宋_GB2312"/>
          <w:bCs/>
          <w:szCs w:val="32"/>
        </w:rPr>
        <w:t>公司</w:t>
      </w:r>
      <w:r>
        <w:rPr>
          <w:rFonts w:hint="eastAsia" w:ascii="仿宋_GB2312" w:eastAsia="仿宋_GB2312"/>
          <w:bCs/>
          <w:color w:val="000000"/>
          <w:spacing w:val="4"/>
          <w:szCs w:val="32"/>
        </w:rPr>
        <w:t>拟</w:t>
      </w:r>
      <w:r>
        <w:rPr>
          <w:rFonts w:hint="eastAsia" w:ascii="仿宋_GB2312" w:eastAsia="仿宋_GB2312"/>
          <w:color w:val="000000"/>
          <w:spacing w:val="4"/>
          <w:szCs w:val="32"/>
        </w:rPr>
        <w:t>投资</w:t>
      </w:r>
      <w:r>
        <w:rPr>
          <w:rFonts w:hint="eastAsia" w:ascii="仿宋_GB2312" w:eastAsia="仿宋_GB2312"/>
          <w:color w:val="000000"/>
          <w:spacing w:val="4"/>
          <w:szCs w:val="32"/>
          <w:lang w:val="en-US" w:eastAsia="zh-CN"/>
        </w:rPr>
        <w:t>500</w:t>
      </w:r>
      <w:r>
        <w:rPr>
          <w:rFonts w:hint="eastAsia" w:ascii="仿宋_GB2312" w:eastAsia="仿宋_GB2312"/>
          <w:color w:val="000000"/>
          <w:spacing w:val="4"/>
          <w:szCs w:val="32"/>
        </w:rPr>
        <w:t>万元</w:t>
      </w:r>
      <w:r>
        <w:rPr>
          <w:rFonts w:hint="eastAsia" w:ascii="仿宋_GB2312" w:eastAsia="仿宋_GB2312"/>
          <w:color w:val="000000"/>
          <w:spacing w:val="4"/>
          <w:szCs w:val="32"/>
          <w:lang w:eastAsia="zh-CN"/>
        </w:rPr>
        <w:t>在</w:t>
      </w:r>
      <w:r>
        <w:rPr>
          <w:rFonts w:hint="eastAsia" w:ascii="仿宋_GB2312" w:eastAsia="仿宋_GB2312"/>
          <w:color w:val="000000"/>
          <w:spacing w:val="4"/>
          <w:szCs w:val="32"/>
        </w:rPr>
        <w:t>益阳高新区</w:t>
      </w:r>
      <w:r>
        <w:rPr>
          <w:rFonts w:hint="eastAsia" w:ascii="仿宋_GB2312" w:hAnsi="仿宋_GB2312" w:eastAsia="仿宋_GB2312" w:cs="仿宋_GB2312"/>
          <w:color w:val="000000"/>
          <w:spacing w:val="0"/>
          <w:sz w:val="32"/>
          <w:szCs w:val="32"/>
          <w:lang w:val="en-US" w:eastAsia="zh-CN"/>
        </w:rPr>
        <w:t>朝阳产业园</w:t>
      </w:r>
      <w:r>
        <w:rPr>
          <w:rFonts w:hint="eastAsia" w:ascii="仿宋_GB2312" w:hAnsi="仿宋_GB2312" w:eastAsia="仿宋_GB2312" w:cs="仿宋_GB2312"/>
          <w:color w:val="000000"/>
          <w:spacing w:val="0"/>
          <w:sz w:val="32"/>
          <w:szCs w:val="32"/>
        </w:rPr>
        <w:t>租赁</w:t>
      </w:r>
      <w:r>
        <w:rPr>
          <w:rFonts w:hint="eastAsia" w:ascii="仿宋_GB2312" w:eastAsia="仿宋_GB2312"/>
          <w:color w:val="000000"/>
          <w:spacing w:val="4"/>
          <w:szCs w:val="32"/>
          <w:lang w:val="en-US" w:eastAsia="zh-CN"/>
        </w:rPr>
        <w:t>创业园</w:t>
      </w:r>
      <w:r>
        <w:rPr>
          <w:rFonts w:hint="eastAsia" w:ascii="仿宋_GB2312" w:hAnsi="仿宋_GB2312" w:eastAsia="仿宋_GB2312" w:cs="仿宋_GB2312"/>
          <w:color w:val="000000"/>
          <w:spacing w:val="0"/>
          <w:sz w:val="32"/>
          <w:szCs w:val="32"/>
          <w:lang w:val="en-US" w:eastAsia="zh-CN"/>
        </w:rPr>
        <w:t>A1栋</w:t>
      </w:r>
      <w:r>
        <w:rPr>
          <w:rFonts w:hint="eastAsia" w:ascii="仿宋_GB2312" w:hAnsi="仿宋_GB2312" w:eastAsia="仿宋_GB2312" w:cs="仿宋_GB2312"/>
          <w:color w:val="000000"/>
          <w:spacing w:val="0"/>
          <w:sz w:val="32"/>
          <w:szCs w:val="32"/>
        </w:rPr>
        <w:t>标准化厂房</w:t>
      </w:r>
      <w:r>
        <w:rPr>
          <w:rFonts w:hint="eastAsia" w:ascii="仿宋_GB2312" w:hAnsi="仿宋_GB2312" w:eastAsia="仿宋_GB2312" w:cs="仿宋_GB2312"/>
          <w:color w:val="000000"/>
          <w:spacing w:val="0"/>
          <w:sz w:val="32"/>
          <w:szCs w:val="32"/>
          <w:lang w:val="en-US" w:eastAsia="zh-CN"/>
        </w:rPr>
        <w:t>内的东侧</w:t>
      </w:r>
      <w:r>
        <w:rPr>
          <w:rFonts w:hint="eastAsia" w:ascii="仿宋_GB2312" w:hAnsi="仿宋_GB2312" w:eastAsia="仿宋_GB2312" w:cs="仿宋_GB2312"/>
          <w:color w:val="000000"/>
          <w:spacing w:val="0"/>
          <w:sz w:val="32"/>
          <w:szCs w:val="32"/>
          <w:lang w:eastAsia="zh-CN"/>
        </w:rPr>
        <w:t>车间，</w:t>
      </w:r>
      <w:r>
        <w:rPr>
          <w:rFonts w:hint="eastAsia" w:ascii="仿宋_GB2312" w:hAnsi="仿宋_GB2312" w:eastAsia="仿宋_GB2312" w:cs="仿宋_GB2312"/>
          <w:color w:val="000000"/>
          <w:spacing w:val="0"/>
          <w:sz w:val="32"/>
          <w:szCs w:val="32"/>
          <w:lang w:val="en-US" w:eastAsia="zh-CN"/>
        </w:rPr>
        <w:t>建设一条年产500台内燃单操镐生产线、一条年产100台便携式打磨机生产线和一条年产20套小型全自动龙门吊装设备生产线。</w:t>
      </w:r>
      <w:r>
        <w:rPr>
          <w:rFonts w:hint="eastAsia" w:ascii="仿宋_GB2312" w:hAnsi="仿宋_GB2312" w:eastAsia="仿宋_GB2312" w:cs="仿宋_GB2312"/>
          <w:color w:val="000000"/>
          <w:spacing w:val="0"/>
          <w:sz w:val="32"/>
          <w:szCs w:val="32"/>
        </w:rPr>
        <w:t>项目占地面积</w:t>
      </w:r>
      <w:r>
        <w:rPr>
          <w:rFonts w:hint="eastAsia" w:ascii="仿宋_GB2312" w:hAnsi="仿宋_GB2312" w:eastAsia="仿宋_GB2312" w:cs="仿宋_GB2312"/>
          <w:color w:val="000000"/>
          <w:spacing w:val="0"/>
          <w:sz w:val="32"/>
          <w:szCs w:val="32"/>
          <w:lang w:val="en-US" w:eastAsia="zh-CN"/>
        </w:rPr>
        <w:t>700</w:t>
      </w:r>
      <w:r>
        <w:rPr>
          <w:rFonts w:hint="eastAsia" w:ascii="仿宋_GB2312" w:hAnsi="仿宋_GB2312" w:eastAsia="仿宋_GB2312" w:cs="仿宋_GB2312"/>
          <w:color w:val="000000"/>
          <w:spacing w:val="0"/>
          <w:sz w:val="32"/>
          <w:szCs w:val="32"/>
        </w:rPr>
        <w:t>平方米，</w:t>
      </w:r>
      <w:r>
        <w:rPr>
          <w:rFonts w:hint="eastAsia" w:ascii="仿宋_GB2312" w:hAnsi="仿宋_GB2312" w:eastAsia="仿宋_GB2312" w:cs="仿宋_GB2312"/>
          <w:color w:val="000000"/>
          <w:spacing w:val="0"/>
          <w:sz w:val="32"/>
          <w:szCs w:val="32"/>
          <w:lang w:eastAsia="zh-CN"/>
        </w:rPr>
        <w:t>厂房内分区设置</w:t>
      </w:r>
      <w:r>
        <w:rPr>
          <w:rFonts w:hint="eastAsia" w:ascii="仿宋_GB2312" w:hAnsi="仿宋_GB2312" w:eastAsia="仿宋_GB2312" w:cs="仿宋_GB2312"/>
          <w:color w:val="000000"/>
          <w:spacing w:val="0"/>
          <w:sz w:val="32"/>
          <w:szCs w:val="32"/>
          <w:lang w:val="en-US" w:eastAsia="zh-CN"/>
        </w:rPr>
        <w:t>生产区、原料区、办公区</w:t>
      </w:r>
      <w:r>
        <w:rPr>
          <w:rFonts w:hint="eastAsia" w:ascii="仿宋_GB2312" w:hAnsi="仿宋_GB2312" w:eastAsia="仿宋_GB2312" w:cs="仿宋_GB2312"/>
          <w:color w:val="000000"/>
          <w:spacing w:val="0"/>
          <w:sz w:val="32"/>
          <w:szCs w:val="32"/>
          <w:lang w:eastAsia="zh-CN"/>
        </w:rPr>
        <w:t>及</w:t>
      </w:r>
      <w:r>
        <w:rPr>
          <w:rFonts w:hint="eastAsia" w:ascii="仿宋_GB2312" w:hAnsi="仿宋_GB2312" w:eastAsia="仿宋_GB2312" w:cs="仿宋_GB2312"/>
          <w:color w:val="000000"/>
          <w:spacing w:val="0"/>
          <w:sz w:val="32"/>
          <w:szCs w:val="32"/>
          <w:lang w:val="en-US" w:eastAsia="zh-CN"/>
        </w:rPr>
        <w:t>给排水、供配电、环保等相关公用辅助工程。项目建设符合国家产业政策和</w:t>
      </w:r>
      <w:r>
        <w:rPr>
          <w:rFonts w:hint="eastAsia" w:ascii="仿宋_GB2312" w:hAnsi="仿宋_GB2312" w:eastAsia="仿宋_GB2312" w:cs="仿宋_GB2312"/>
          <w:color w:val="000000" w:themeColor="text1"/>
          <w:spacing w:val="0"/>
          <w:sz w:val="32"/>
          <w:szCs w:val="32"/>
          <w:lang w:val="en-US" w:eastAsia="zh-CN"/>
        </w:rPr>
        <w:t>益阳高新区朝阳产业园选</w:t>
      </w:r>
      <w:r>
        <w:rPr>
          <w:rFonts w:hint="eastAsia" w:ascii="仿宋_GB2312" w:hAnsi="仿宋_GB2312" w:eastAsia="仿宋_GB2312" w:cs="仿宋_GB2312"/>
          <w:color w:val="000000"/>
          <w:spacing w:val="0"/>
          <w:sz w:val="32"/>
          <w:szCs w:val="32"/>
          <w:lang w:val="en-US" w:eastAsia="zh-CN"/>
        </w:rPr>
        <w:t>址用地规划要求。根据湖南沐程生态环境工程有限公司</w:t>
      </w:r>
      <w:r>
        <w:rPr>
          <w:rFonts w:hint="eastAsia" w:ascii="仿宋_GB2312" w:hAnsi="仿宋_GB2312" w:eastAsia="仿宋_GB2312" w:cs="仿宋_GB2312"/>
          <w:color w:val="000000"/>
          <w:spacing w:val="0"/>
          <w:sz w:val="32"/>
          <w:szCs w:val="32"/>
          <w:lang w:eastAsia="zh-CN"/>
        </w:rPr>
        <w:t>编制</w:t>
      </w:r>
      <w:r>
        <w:rPr>
          <w:rFonts w:hint="eastAsia" w:ascii="仿宋_GB2312" w:hAnsi="仿宋_GB2312" w:eastAsia="仿宋_GB2312" w:cs="仿宋_GB2312"/>
          <w:color w:val="000000"/>
          <w:spacing w:val="0"/>
          <w:sz w:val="32"/>
          <w:szCs w:val="32"/>
          <w:lang w:val="en-US" w:eastAsia="zh-CN"/>
        </w:rPr>
        <w:t>的环评报告表的分析结论，在建设单位认真落实报告表提出的各项污染防治措施、确保外</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eastAsia="仿宋_GB2312"/>
          <w:color w:val="000000"/>
          <w:spacing w:val="4"/>
          <w:szCs w:val="32"/>
        </w:rPr>
      </w:pPr>
      <w:r>
        <w:rPr>
          <w:rFonts w:hint="eastAsia" w:ascii="仿宋_GB2312" w:hAnsi="仿宋_GB2312" w:eastAsia="仿宋_GB2312" w:cs="仿宋_GB2312"/>
          <w:color w:val="000000"/>
          <w:spacing w:val="0"/>
          <w:sz w:val="32"/>
          <w:szCs w:val="32"/>
          <w:lang w:val="en-US" w:eastAsia="zh-CN"/>
        </w:rPr>
        <w:t>排污染物稳定达标的前提下，从环保的角度分析，我局同意项目按报告表所列的建设方案、规模、工艺、环保措施等在拟选地址建设。</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ascii="仿宋_GB2312" w:eastAsia="仿宋_GB2312"/>
          <w:color w:val="000000"/>
          <w:spacing w:val="4"/>
          <w:szCs w:val="32"/>
        </w:rPr>
      </w:pPr>
      <w:r>
        <w:rPr>
          <w:rFonts w:hint="eastAsia" w:ascii="仿宋_GB2312" w:eastAsia="仿宋_GB2312"/>
          <w:color w:val="000000"/>
          <w:spacing w:val="4"/>
          <w:szCs w:val="32"/>
        </w:rPr>
        <w:t>二、</w:t>
      </w:r>
      <w:r>
        <w:rPr>
          <w:rFonts w:hint="eastAsia" w:ascii="仿宋_GB2312" w:hAnsi="仿宋_GB2312" w:eastAsia="仿宋_GB2312" w:cs="仿宋_GB2312"/>
          <w:color w:val="000000"/>
          <w:spacing w:val="0"/>
          <w:sz w:val="32"/>
          <w:szCs w:val="32"/>
        </w:rPr>
        <w:t>建设单位在项目设计、建设和营运期间，必须严格执行环保“三同时”制度，按照环评报告表要求落实各项污染防治措施，并着重做好如下工作</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hAnsi="仿宋_GB2312" w:eastAsia="仿宋_GB2312" w:cs="仿宋_GB2312"/>
          <w:color w:val="000000"/>
          <w:spacing w:val="0"/>
          <w:sz w:val="32"/>
          <w:szCs w:val="32"/>
          <w:lang w:eastAsia="zh-CN"/>
        </w:rPr>
      </w:pPr>
      <w:r>
        <w:rPr>
          <w:rFonts w:hint="eastAsia" w:ascii="仿宋_GB2312" w:eastAsia="仿宋_GB2312"/>
          <w:color w:val="000000"/>
          <w:spacing w:val="4"/>
          <w:szCs w:val="32"/>
          <w:lang w:eastAsia="zh-CN"/>
        </w:rPr>
        <w:t>（一）</w:t>
      </w:r>
      <w:r>
        <w:rPr>
          <w:rFonts w:hint="eastAsia" w:ascii="仿宋_GB2312" w:eastAsia="仿宋_GB2312"/>
          <w:color w:val="000000"/>
          <w:spacing w:val="4"/>
          <w:szCs w:val="32"/>
        </w:rPr>
        <w:t>做好项目大气污染防治工作。机加工</w:t>
      </w:r>
      <w:r>
        <w:rPr>
          <w:rFonts w:hint="eastAsia" w:ascii="仿宋_GB2312" w:eastAsia="仿宋_GB2312"/>
          <w:color w:val="000000"/>
          <w:spacing w:val="4"/>
          <w:szCs w:val="32"/>
          <w:lang w:eastAsia="zh-CN"/>
        </w:rPr>
        <w:t>产生粉尘的工位应设置</w:t>
      </w:r>
      <w:r>
        <w:rPr>
          <w:rFonts w:hint="eastAsia" w:ascii="仿宋_GB2312" w:eastAsia="仿宋_GB2312"/>
          <w:color w:val="auto"/>
          <w:spacing w:val="4"/>
          <w:szCs w:val="32"/>
          <w:lang w:eastAsia="zh-CN"/>
        </w:rPr>
        <w:t>挡板、同时配备工业用集尘器进行处理</w:t>
      </w:r>
      <w:r>
        <w:rPr>
          <w:rFonts w:hint="eastAsia" w:ascii="仿宋_GB2312" w:eastAsia="仿宋_GB2312"/>
          <w:color w:val="auto"/>
          <w:spacing w:val="4"/>
          <w:szCs w:val="32"/>
        </w:rPr>
        <w:t>，</w:t>
      </w:r>
      <w:r>
        <w:rPr>
          <w:rFonts w:hint="eastAsia" w:ascii="仿宋_GB2312" w:eastAsia="仿宋_GB2312"/>
          <w:color w:val="auto"/>
          <w:spacing w:val="4"/>
          <w:szCs w:val="32"/>
          <w:lang w:eastAsia="zh-CN"/>
        </w:rPr>
        <w:t>机加工产生的</w:t>
      </w:r>
      <w:r>
        <w:rPr>
          <w:rFonts w:hint="eastAsia" w:ascii="仿宋_GB2312" w:eastAsia="仿宋_GB2312"/>
          <w:color w:val="000000"/>
          <w:spacing w:val="4"/>
          <w:szCs w:val="32"/>
        </w:rPr>
        <w:t>油雾经</w:t>
      </w:r>
      <w:r>
        <w:rPr>
          <w:rFonts w:hint="eastAsia" w:ascii="仿宋_GB2312" w:eastAsia="仿宋_GB2312"/>
          <w:color w:val="000000"/>
          <w:spacing w:val="4"/>
          <w:szCs w:val="32"/>
          <w:lang w:eastAsia="zh-CN"/>
        </w:rPr>
        <w:t>油雾收集</w:t>
      </w:r>
      <w:r>
        <w:rPr>
          <w:rFonts w:hint="eastAsia" w:ascii="仿宋_GB2312" w:hAnsi="Times New Roman" w:eastAsia="仿宋_GB2312" w:cs="Times New Roman"/>
          <w:color w:val="000000"/>
          <w:spacing w:val="4"/>
          <w:szCs w:val="32"/>
          <w:lang w:eastAsia="zh-CN"/>
        </w:rPr>
        <w:t>器处理，焊接烟气经移动式焊接烟尘净化器处理，</w:t>
      </w:r>
      <w:r>
        <w:rPr>
          <w:rFonts w:hint="eastAsia" w:ascii="仿宋_GB2312" w:eastAsia="仿宋_GB2312"/>
          <w:color w:val="auto"/>
          <w:spacing w:val="4"/>
          <w:szCs w:val="32"/>
        </w:rPr>
        <w:t>确保外排污染物满足《大气污染物综合排放标准》（GB16297-1996）表2中无组织排放</w:t>
      </w:r>
      <w:r>
        <w:rPr>
          <w:rFonts w:hint="eastAsia" w:ascii="仿宋_GB2312" w:eastAsia="仿宋_GB2312"/>
          <w:color w:val="auto"/>
          <w:spacing w:val="4"/>
          <w:szCs w:val="32"/>
          <w:lang w:eastAsia="zh-CN"/>
        </w:rPr>
        <w:t>监控</w:t>
      </w:r>
      <w:r>
        <w:rPr>
          <w:rFonts w:hint="eastAsia" w:ascii="仿宋_GB2312" w:eastAsia="仿宋_GB2312"/>
          <w:color w:val="auto"/>
          <w:spacing w:val="4"/>
          <w:szCs w:val="32"/>
        </w:rPr>
        <w:t>浓度限值要求；</w:t>
      </w:r>
      <w:r>
        <w:rPr>
          <w:rFonts w:hint="eastAsia" w:ascii="仿宋_GB2312" w:eastAsia="仿宋_GB2312"/>
          <w:color w:val="auto"/>
          <w:spacing w:val="4"/>
          <w:kern w:val="0"/>
          <w:szCs w:val="32"/>
        </w:rPr>
        <w:t>食堂油烟经油烟净化装置处理达到《饮食业油烟排放标准（试行）》（GB18483-2001）要求后高空排放</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油烟排气筒的高度、位置等具体要求按照</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饮食业环境保护技术规范</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HJ554-2010</w:t>
      </w:r>
      <w:r>
        <w:rPr>
          <w:rFonts w:hint="eastAsia" w:ascii="仿宋_GB2312" w:eastAsia="仿宋_GB2312"/>
          <w:color w:val="auto"/>
          <w:spacing w:val="4"/>
          <w:szCs w:val="32"/>
          <w:lang w:eastAsia="zh-CN"/>
        </w:rPr>
        <w:t>）</w:t>
      </w:r>
      <w:r>
        <w:rPr>
          <w:rFonts w:hint="eastAsia" w:ascii="仿宋_GB2312" w:eastAsia="仿宋_GB2312"/>
          <w:color w:val="auto"/>
          <w:spacing w:val="4"/>
          <w:szCs w:val="32"/>
        </w:rPr>
        <w:t>的规定执行。</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ascii="仿宋_GB2312" w:eastAsia="仿宋_GB2312"/>
          <w:color w:val="FF0000"/>
          <w:spacing w:val="4"/>
          <w:szCs w:val="32"/>
        </w:rPr>
      </w:pPr>
      <w:r>
        <w:rPr>
          <w:rFonts w:hint="eastAsia" w:ascii="仿宋_GB2312" w:eastAsia="仿宋_GB2312"/>
          <w:color w:val="000000"/>
          <w:spacing w:val="4"/>
          <w:szCs w:val="32"/>
          <w:lang w:eastAsia="zh-CN"/>
        </w:rPr>
        <w:t>（二）</w:t>
      </w:r>
      <w:r>
        <w:rPr>
          <w:rFonts w:hint="eastAsia" w:ascii="仿宋_GB2312" w:eastAsia="仿宋_GB2312"/>
          <w:color w:val="000000"/>
          <w:spacing w:val="4"/>
          <w:szCs w:val="32"/>
        </w:rPr>
        <w:t>做好项目水污染防治工作。</w:t>
      </w:r>
      <w:r>
        <w:rPr>
          <w:rFonts w:hint="eastAsia" w:ascii="宋体" w:hAnsi="宋体"/>
          <w:szCs w:val="21"/>
        </w:rPr>
        <w:t>本项目无生产废水产生</w:t>
      </w:r>
      <w:r>
        <w:rPr>
          <w:rFonts w:hint="eastAsia" w:ascii="宋体" w:hAnsi="宋体"/>
          <w:szCs w:val="21"/>
          <w:lang w:eastAsia="zh-CN"/>
        </w:rPr>
        <w:t>；</w:t>
      </w:r>
      <w:r>
        <w:rPr>
          <w:rFonts w:hint="eastAsia" w:ascii="仿宋_GB2312" w:eastAsia="仿宋_GB2312"/>
          <w:color w:val="000000"/>
          <w:spacing w:val="4"/>
          <w:szCs w:val="32"/>
        </w:rPr>
        <w:t>生活污水经隔油池、化粪池处理，达到《污水综合排放标准》（GB8978-1996）表4中三级标准后经园区污水管网排入益阳</w:t>
      </w:r>
      <w:r>
        <w:rPr>
          <w:rFonts w:hint="eastAsia" w:ascii="仿宋_GB2312" w:eastAsia="仿宋_GB2312"/>
          <w:color w:val="000000"/>
          <w:spacing w:val="4"/>
          <w:szCs w:val="32"/>
          <w:lang w:val="en-US" w:eastAsia="zh-CN"/>
        </w:rPr>
        <w:t>市团洲污水处理厂</w:t>
      </w:r>
      <w:r>
        <w:rPr>
          <w:rFonts w:hint="eastAsia" w:ascii="仿宋_GB2312" w:eastAsia="仿宋_GB2312"/>
          <w:color w:val="000000"/>
          <w:spacing w:val="4"/>
          <w:szCs w:val="32"/>
        </w:rPr>
        <w:t>进</w:t>
      </w:r>
      <w:r>
        <w:rPr>
          <w:rFonts w:hint="eastAsia" w:ascii="仿宋_GB2312" w:eastAsia="仿宋_GB2312"/>
          <w:color w:val="auto"/>
          <w:spacing w:val="4"/>
          <w:szCs w:val="32"/>
        </w:rPr>
        <w:t>行深度处理。</w:t>
      </w:r>
    </w:p>
    <w:p>
      <w:pPr>
        <w:pStyle w:val="3"/>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ascii="仿宋_GB2312" w:eastAsia="仿宋_GB2312"/>
          <w:color w:val="000000"/>
          <w:spacing w:val="4"/>
          <w:szCs w:val="32"/>
        </w:rPr>
      </w:pPr>
      <w:r>
        <w:rPr>
          <w:rFonts w:hint="eastAsia" w:ascii="仿宋_GB2312" w:eastAsia="仿宋_GB2312"/>
          <w:color w:val="000000"/>
          <w:spacing w:val="4"/>
          <w:szCs w:val="32"/>
          <w:lang w:eastAsia="zh-CN"/>
        </w:rPr>
        <w:t>（三）</w:t>
      </w:r>
      <w:r>
        <w:rPr>
          <w:rFonts w:hint="eastAsia" w:ascii="仿宋_GB2312" w:eastAsia="仿宋_GB2312"/>
          <w:color w:val="000000"/>
          <w:spacing w:val="4"/>
          <w:szCs w:val="32"/>
        </w:rPr>
        <w:t>做好项目噪声污染防治工作。</w:t>
      </w:r>
      <w:r>
        <w:rPr>
          <w:rFonts w:hint="eastAsia" w:ascii="仿宋_GB2312" w:hAnsi="仿宋_GB2312" w:eastAsia="仿宋_GB2312" w:cs="仿宋_GB2312"/>
          <w:color w:val="000000"/>
          <w:spacing w:val="0"/>
          <w:sz w:val="32"/>
          <w:szCs w:val="32"/>
        </w:rPr>
        <w:t>落实环评报告</w:t>
      </w:r>
      <w:r>
        <w:rPr>
          <w:rFonts w:hint="eastAsia" w:ascii="仿宋_GB2312" w:hAnsi="仿宋_GB2312" w:eastAsia="仿宋_GB2312" w:cs="仿宋_GB2312"/>
          <w:color w:val="000000"/>
          <w:spacing w:val="0"/>
          <w:sz w:val="32"/>
          <w:szCs w:val="32"/>
          <w:lang w:eastAsia="zh-CN"/>
        </w:rPr>
        <w:t>表</w:t>
      </w:r>
      <w:r>
        <w:rPr>
          <w:rFonts w:hint="eastAsia" w:ascii="仿宋_GB2312" w:hAnsi="仿宋_GB2312" w:eastAsia="仿宋_GB2312" w:cs="仿宋_GB2312"/>
          <w:color w:val="000000"/>
          <w:spacing w:val="0"/>
          <w:sz w:val="32"/>
          <w:szCs w:val="32"/>
        </w:rPr>
        <w:t>提出的噪声防治措施，合理优化总平面布局，并从优化设备的选型、减震、消声、隔声和合理安排设备作业时间等方面做好噪声的污染控制工作，确保厂界噪声达到《工业企业厂界环境噪声排放标准》（GB12348-2008）中3类区标准要求</w:t>
      </w:r>
      <w:r>
        <w:rPr>
          <w:rFonts w:hint="eastAsia" w:ascii="仿宋_GB2312" w:eastAsia="仿宋_GB2312"/>
          <w:color w:val="000000"/>
          <w:spacing w:val="4"/>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56" w:firstLineChars="200"/>
        <w:jc w:val="both"/>
        <w:textAlignment w:val="auto"/>
        <w:rPr>
          <w:rFonts w:hint="eastAsia" w:ascii="仿宋_GB2312" w:eastAsia="仿宋_GB2312"/>
          <w:color w:val="000000"/>
          <w:spacing w:val="4"/>
          <w:szCs w:val="32"/>
        </w:rPr>
      </w:pPr>
      <w:r>
        <w:rPr>
          <w:rFonts w:hint="eastAsia" w:ascii="仿宋_GB2312" w:eastAsia="仿宋_GB2312"/>
          <w:color w:val="000000"/>
          <w:spacing w:val="4"/>
          <w:szCs w:val="32"/>
          <w:lang w:eastAsia="zh-CN"/>
        </w:rPr>
        <w:t>（四）</w:t>
      </w:r>
      <w:r>
        <w:rPr>
          <w:rFonts w:hint="eastAsia" w:ascii="仿宋_GB2312" w:hAnsi="仿宋_GB2312" w:eastAsia="仿宋_GB2312" w:cs="仿宋_GB2312"/>
          <w:color w:val="000000"/>
          <w:spacing w:val="0"/>
          <w:sz w:val="32"/>
          <w:szCs w:val="32"/>
        </w:rPr>
        <w:t>加强对固体废物的分类管理控制。项目产生的危废和一般固废应严格分类贮存，厂区内按规范和环评提出的容量要求分别设置危废暂存库和一般固废暂存场所，其建设、运行和管理应相应分别满足《危险废物贮存污染控制标准》(GB18597</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2001)及其修改单要求、《一般工业固体废物贮存、处置场污染控制标准》（GB18599-2001）及其修改单要求。做好固体废物分类收集处置，</w:t>
      </w:r>
      <w:r>
        <w:rPr>
          <w:rFonts w:hint="eastAsia" w:ascii="仿宋_GB2312" w:hAnsi="仿宋_GB2312" w:eastAsia="仿宋_GB2312" w:cs="仿宋_GB2312"/>
          <w:color w:val="000000"/>
          <w:spacing w:val="0"/>
          <w:kern w:val="0"/>
          <w:sz w:val="32"/>
          <w:szCs w:val="32"/>
          <w:lang w:val="en-US" w:eastAsia="zh-CN" w:bidi="ar"/>
        </w:rPr>
        <w:t>生活垃圾收集后交给地方环卫部门</w:t>
      </w:r>
      <w:r>
        <w:rPr>
          <w:rFonts w:hint="eastAsia" w:ascii="仿宋_GB2312" w:hAnsi="仿宋_GB2312" w:eastAsia="仿宋_GB2312" w:cs="仿宋_GB2312"/>
          <w:color w:val="auto"/>
          <w:spacing w:val="0"/>
          <w:kern w:val="0"/>
          <w:sz w:val="32"/>
          <w:szCs w:val="32"/>
          <w:lang w:val="en-US" w:eastAsia="zh-CN" w:bidi="ar"/>
        </w:rPr>
        <w:t>处理；</w:t>
      </w:r>
      <w:r>
        <w:rPr>
          <w:rFonts w:hint="eastAsia" w:ascii="仿宋_GB2312" w:eastAsia="仿宋_GB2312"/>
          <w:color w:val="auto"/>
          <w:spacing w:val="4"/>
          <w:szCs w:val="32"/>
        </w:rPr>
        <w:t>废焊丝、焊渣、</w:t>
      </w:r>
      <w:r>
        <w:rPr>
          <w:rFonts w:hint="eastAsia" w:ascii="仿宋_GB2312" w:eastAsia="仿宋_GB2312"/>
          <w:color w:val="auto"/>
          <w:spacing w:val="4"/>
          <w:szCs w:val="32"/>
          <w:lang w:eastAsia="zh-CN"/>
        </w:rPr>
        <w:t>集</w:t>
      </w:r>
      <w:r>
        <w:rPr>
          <w:rFonts w:hint="eastAsia" w:ascii="仿宋_GB2312" w:eastAsia="仿宋_GB2312"/>
          <w:color w:val="auto"/>
          <w:spacing w:val="4"/>
          <w:szCs w:val="32"/>
        </w:rPr>
        <w:t>尘器</w:t>
      </w:r>
      <w:r>
        <w:rPr>
          <w:rFonts w:hint="eastAsia" w:ascii="仿宋_GB2312" w:eastAsia="仿宋_GB2312"/>
          <w:color w:val="000000"/>
          <w:spacing w:val="4"/>
          <w:szCs w:val="32"/>
        </w:rPr>
        <w:t>收集的粉</w:t>
      </w:r>
      <w:r>
        <w:rPr>
          <w:rFonts w:hint="eastAsia" w:ascii="仿宋_GB2312" w:eastAsia="仿宋_GB2312"/>
          <w:color w:val="000000"/>
          <w:spacing w:val="4"/>
          <w:szCs w:val="32"/>
          <w:lang w:eastAsia="zh-CN"/>
        </w:rPr>
        <w:t>尘</w:t>
      </w:r>
      <w:r>
        <w:rPr>
          <w:rFonts w:hint="eastAsia" w:ascii="仿宋_GB2312" w:eastAsia="仿宋_GB2312"/>
          <w:color w:val="000000"/>
          <w:spacing w:val="4"/>
          <w:szCs w:val="32"/>
        </w:rPr>
        <w:t>和钢屑</w:t>
      </w:r>
      <w:r>
        <w:rPr>
          <w:rFonts w:hint="eastAsia" w:ascii="仿宋_GB2312" w:hAnsi="仿宋_GB2312" w:eastAsia="仿宋_GB2312" w:cs="仿宋_GB2312"/>
          <w:color w:val="000000"/>
          <w:spacing w:val="0"/>
          <w:sz w:val="32"/>
          <w:szCs w:val="32"/>
          <w:lang w:val="en-US" w:eastAsia="zh-CN"/>
        </w:rPr>
        <w:t>为一般工业固废，经分类收集贮存后外售综合利用；</w:t>
      </w:r>
      <w:r>
        <w:rPr>
          <w:rFonts w:hint="eastAsia" w:ascii="仿宋_GB2312" w:eastAsia="仿宋_GB2312"/>
          <w:color w:val="000000"/>
          <w:spacing w:val="4"/>
          <w:szCs w:val="32"/>
          <w:lang w:eastAsia="zh-CN"/>
        </w:rPr>
        <w:t>乳化液</w:t>
      </w:r>
      <w:r>
        <w:rPr>
          <w:rFonts w:hint="eastAsia" w:ascii="仿宋_GB2312" w:eastAsia="仿宋_GB2312"/>
          <w:color w:val="000000"/>
          <w:spacing w:val="4"/>
          <w:szCs w:val="32"/>
        </w:rPr>
        <w:t>及润滑油的</w:t>
      </w:r>
      <w:r>
        <w:rPr>
          <w:rFonts w:hint="eastAsia" w:ascii="仿宋_GB2312" w:eastAsia="仿宋_GB2312"/>
          <w:color w:val="000000"/>
          <w:spacing w:val="4"/>
          <w:szCs w:val="32"/>
          <w:lang w:eastAsia="zh-CN"/>
        </w:rPr>
        <w:t>废弃</w:t>
      </w:r>
      <w:r>
        <w:rPr>
          <w:rFonts w:hint="eastAsia" w:ascii="仿宋_GB2312" w:eastAsia="仿宋_GB2312"/>
          <w:color w:val="000000"/>
          <w:spacing w:val="4"/>
          <w:szCs w:val="32"/>
        </w:rPr>
        <w:t>包装物、废</w:t>
      </w:r>
      <w:r>
        <w:rPr>
          <w:rFonts w:hint="eastAsia" w:ascii="仿宋_GB2312" w:eastAsia="仿宋_GB2312"/>
          <w:color w:val="000000"/>
          <w:spacing w:val="4"/>
          <w:szCs w:val="32"/>
          <w:lang w:eastAsia="zh-CN"/>
        </w:rPr>
        <w:t>乳化液</w:t>
      </w:r>
      <w:r>
        <w:rPr>
          <w:rFonts w:hint="eastAsia" w:ascii="仿宋_GB2312" w:eastAsia="仿宋_GB2312"/>
          <w:color w:val="000000"/>
          <w:spacing w:val="4"/>
          <w:szCs w:val="32"/>
        </w:rPr>
        <w:t>、废润滑</w:t>
      </w:r>
      <w:r>
        <w:rPr>
          <w:rFonts w:hint="eastAsia" w:ascii="仿宋_GB2312" w:eastAsia="仿宋_GB2312"/>
          <w:color w:val="auto"/>
          <w:spacing w:val="4"/>
          <w:szCs w:val="32"/>
        </w:rPr>
        <w:t>油、油泥</w:t>
      </w:r>
      <w:r>
        <w:rPr>
          <w:rFonts w:hint="eastAsia" w:ascii="仿宋_GB2312" w:eastAsia="仿宋_GB2312"/>
          <w:color w:val="auto"/>
          <w:spacing w:val="4"/>
          <w:szCs w:val="32"/>
          <w:lang w:val="en-US" w:eastAsia="zh-CN"/>
        </w:rPr>
        <w:t>及</w:t>
      </w:r>
      <w:r>
        <w:rPr>
          <w:rFonts w:hint="eastAsia" w:ascii="仿宋_GB2312" w:hAnsi="仿宋_GB2312" w:eastAsia="仿宋_GB2312" w:cs="仿宋_GB2312"/>
          <w:color w:val="auto"/>
          <w:spacing w:val="0"/>
          <w:sz w:val="32"/>
          <w:szCs w:val="32"/>
        </w:rPr>
        <w:t>含油</w:t>
      </w:r>
      <w:r>
        <w:rPr>
          <w:rFonts w:hint="eastAsia" w:ascii="仿宋_GB2312" w:hAnsi="仿宋_GB2312" w:eastAsia="仿宋_GB2312" w:cs="仿宋_GB2312"/>
          <w:spacing w:val="0"/>
          <w:sz w:val="32"/>
          <w:szCs w:val="32"/>
        </w:rPr>
        <w:t>废抹布</w:t>
      </w:r>
      <w:r>
        <w:rPr>
          <w:rFonts w:hint="eastAsia" w:ascii="仿宋_GB2312" w:hAnsi="仿宋_GB2312" w:eastAsia="仿宋_GB2312" w:cs="仿宋_GB2312"/>
          <w:spacing w:val="0"/>
          <w:sz w:val="32"/>
          <w:szCs w:val="32"/>
          <w:lang w:eastAsia="zh-CN"/>
        </w:rPr>
        <w:t>和废手套</w:t>
      </w:r>
      <w:r>
        <w:rPr>
          <w:rFonts w:hint="eastAsia" w:ascii="仿宋_GB2312" w:hAnsi="仿宋_GB2312" w:eastAsia="仿宋_GB2312" w:cs="仿宋_GB2312"/>
          <w:spacing w:val="0"/>
          <w:sz w:val="32"/>
          <w:szCs w:val="32"/>
        </w:rPr>
        <w:t>等危险废物</w:t>
      </w:r>
      <w:r>
        <w:rPr>
          <w:rFonts w:hint="eastAsia" w:ascii="仿宋_GB2312" w:hAnsi="仿宋_GB2312" w:eastAsia="仿宋_GB2312" w:cs="仿宋_GB2312"/>
          <w:color w:val="000000"/>
          <w:spacing w:val="0"/>
          <w:kern w:val="0"/>
          <w:sz w:val="32"/>
          <w:szCs w:val="32"/>
          <w:lang w:val="en-US" w:eastAsia="zh-CN" w:bidi="ar"/>
        </w:rPr>
        <w:t>应送危废暂存间分类贮存，定期外委有危废处置资质单位处理。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56" w:firstLineChars="200"/>
        <w:jc w:val="left"/>
        <w:textAlignment w:val="auto"/>
        <w:rPr>
          <w:rFonts w:hint="eastAsia" w:ascii="仿宋_GB2312" w:hAnsi="仿宋_GB2312" w:eastAsia="仿宋_GB2312" w:cs="仿宋_GB2312"/>
          <w:color w:val="000000"/>
          <w:spacing w:val="0"/>
          <w:sz w:val="32"/>
          <w:szCs w:val="32"/>
          <w:lang w:val="en-US" w:eastAsia="zh-CN"/>
        </w:rPr>
      </w:pPr>
      <w:r>
        <w:rPr>
          <w:rFonts w:hint="eastAsia" w:ascii="仿宋_GB2312" w:eastAsia="仿宋_GB2312"/>
          <w:color w:val="000000"/>
          <w:spacing w:val="4"/>
          <w:szCs w:val="32"/>
          <w:lang w:eastAsia="zh-CN"/>
        </w:rPr>
        <w:t>（五）</w:t>
      </w:r>
      <w:r>
        <w:rPr>
          <w:rFonts w:hint="eastAsia" w:ascii="仿宋_GB2312" w:hAnsi="仿宋_GB2312" w:eastAsia="仿宋_GB2312" w:cs="仿宋_GB2312"/>
          <w:color w:val="000000"/>
          <w:spacing w:val="0"/>
          <w:sz w:val="32"/>
          <w:szCs w:val="32"/>
          <w:lang w:val="en-US" w:eastAsia="zh-CN"/>
        </w:rPr>
        <w:t>加强环境风险防范。加强环保和风险防范设施的运行管理，明确责任人，确保环保设施稳定正常运行和污染物的稳定达标排放，制定环境风险事故应急预案，落实事故应急防范措施。</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color w:val="000000"/>
          <w:spacing w:val="4"/>
          <w:szCs w:val="32"/>
        </w:rPr>
      </w:pPr>
      <w:r>
        <w:rPr>
          <w:rFonts w:hint="eastAsia" w:ascii="仿宋_GB2312" w:eastAsia="仿宋_GB2312"/>
          <w:color w:val="000000"/>
          <w:spacing w:val="4"/>
          <w:szCs w:val="32"/>
        </w:rPr>
        <w:t>三、</w:t>
      </w:r>
      <w:r>
        <w:rPr>
          <w:rFonts w:hint="eastAsia" w:ascii="仿宋_GB2312" w:hAnsi="仿宋_GB2312" w:eastAsia="仿宋_GB2312" w:cs="仿宋_GB2312"/>
          <w:color w:val="000000"/>
          <w:spacing w:val="0"/>
          <w:szCs w:val="32"/>
        </w:rPr>
        <w:t>建设</w:t>
      </w:r>
      <w:r>
        <w:rPr>
          <w:rFonts w:hint="eastAsia" w:ascii="仿宋_GB2312" w:hAnsi="仿宋_GB2312" w:eastAsia="仿宋_GB2312" w:cs="仿宋_GB2312"/>
          <w:color w:val="000000"/>
          <w:spacing w:val="0"/>
          <w:szCs w:val="32"/>
          <w:lang w:eastAsia="zh-CN"/>
        </w:rPr>
        <w:t>单位应严格执行环境保护“三同时”规定，项目环保“三同时”执行情况的监督检查和日常环境管理工作由益阳市生态环境局高新区分局和益阳市生态环境保护综合行政执法支队高新区大队具体负责</w:t>
      </w:r>
      <w:r>
        <w:rPr>
          <w:rFonts w:hint="eastAsia" w:ascii="仿宋_GB2312" w:eastAsia="仿宋_GB2312"/>
          <w:color w:val="000000"/>
          <w:spacing w:val="4"/>
          <w:szCs w:val="32"/>
        </w:rPr>
        <w:t>。</w:t>
      </w:r>
    </w:p>
    <w:p>
      <w:pPr>
        <w:keepNext w:val="0"/>
        <w:keepLines w:val="0"/>
        <w:pageBreakBefore w:val="0"/>
        <w:kinsoku/>
        <w:wordWrap/>
        <w:overflowPunct/>
        <w:topLinePunct w:val="0"/>
        <w:autoSpaceDE/>
        <w:autoSpaceDN/>
        <w:bidi w:val="0"/>
        <w:adjustRightInd/>
        <w:snapToGrid/>
        <w:spacing w:line="560" w:lineRule="exact"/>
        <w:ind w:firstLine="656" w:firstLineChars="200"/>
        <w:textAlignment w:val="auto"/>
        <w:rPr>
          <w:rFonts w:hint="eastAsia" w:ascii="仿宋_GB2312" w:eastAsia="仿宋_GB2312"/>
          <w:color w:val="000000"/>
          <w:spacing w:val="4"/>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rPr>
      </w:pPr>
      <w:r>
        <w:rPr>
          <w:rFonts w:hint="eastAsia" w:ascii="仿宋_GB2312" w:eastAsia="仿宋_GB2312"/>
        </w:rPr>
        <w:t xml:space="preserve">                             益阳市生态环境局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olor w:val="FF0000"/>
        </w:rPr>
      </w:pPr>
      <w:r>
        <w:rPr>
          <w:rFonts w:hint="eastAsia" w:ascii="仿宋_GB2312" w:eastAsia="仿宋_GB2312"/>
          <w:color w:val="FF0000"/>
        </w:rPr>
        <w:t xml:space="preserve">                             </w:t>
      </w:r>
      <w:r>
        <w:rPr>
          <w:rFonts w:hint="eastAsia" w:ascii="仿宋_GB2312" w:eastAsia="仿宋_GB2312"/>
          <w:color w:val="FF0000"/>
          <w:lang w:val="en-US" w:eastAsia="zh-CN"/>
        </w:rPr>
        <w:t xml:space="preserve"> </w:t>
      </w:r>
      <w:r>
        <w:rPr>
          <w:rFonts w:hint="eastAsia" w:ascii="仿宋_GB2312" w:eastAsia="仿宋_GB2312"/>
          <w:color w:val="auto"/>
        </w:rPr>
        <w:t>2020年</w:t>
      </w:r>
      <w:r>
        <w:rPr>
          <w:rFonts w:hint="eastAsia" w:ascii="仿宋_GB2312" w:eastAsia="仿宋_GB2312"/>
          <w:color w:val="auto"/>
          <w:lang w:val="en-US" w:eastAsia="zh-CN"/>
        </w:rPr>
        <w:t>2</w:t>
      </w:r>
      <w:r>
        <w:rPr>
          <w:rFonts w:hint="eastAsia" w:ascii="仿宋_GB2312" w:eastAsia="仿宋_GB2312"/>
          <w:color w:val="auto"/>
        </w:rPr>
        <w:t>月</w:t>
      </w:r>
      <w:r>
        <w:rPr>
          <w:rFonts w:hint="eastAsia" w:ascii="仿宋_GB2312" w:eastAsia="仿宋_GB2312"/>
          <w:color w:val="auto"/>
          <w:lang w:val="en-US" w:eastAsia="zh-CN"/>
        </w:rPr>
        <w:t>28</w:t>
      </w:r>
      <w:bookmarkStart w:id="0" w:name="_GoBack"/>
      <w:bookmarkEnd w:id="0"/>
      <w:r>
        <w:rPr>
          <w:rFonts w:hint="eastAsia" w:ascii="仿宋_GB2312" w:eastAsia="仿宋_GB2312"/>
          <w:color w:val="auto"/>
        </w:rPr>
        <w:t>日</w:t>
      </w:r>
    </w:p>
    <w:sectPr>
      <w:footerReference r:id="rId4"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C4B02"/>
    <w:multiLevelType w:val="singleLevel"/>
    <w:tmpl w:val="40FC4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A417E"/>
    <w:rsid w:val="00001BF0"/>
    <w:rsid w:val="000048E1"/>
    <w:rsid w:val="00025DD7"/>
    <w:rsid w:val="0003774F"/>
    <w:rsid w:val="00045768"/>
    <w:rsid w:val="00051EBB"/>
    <w:rsid w:val="00061FF5"/>
    <w:rsid w:val="000631CD"/>
    <w:rsid w:val="00070A82"/>
    <w:rsid w:val="000731FD"/>
    <w:rsid w:val="00080857"/>
    <w:rsid w:val="00083200"/>
    <w:rsid w:val="000937FB"/>
    <w:rsid w:val="000B4630"/>
    <w:rsid w:val="000C0A77"/>
    <w:rsid w:val="000C212A"/>
    <w:rsid w:val="000C3813"/>
    <w:rsid w:val="000D0A02"/>
    <w:rsid w:val="000D2CC4"/>
    <w:rsid w:val="000D481A"/>
    <w:rsid w:val="000D5172"/>
    <w:rsid w:val="000E1649"/>
    <w:rsid w:val="000F2C08"/>
    <w:rsid w:val="000F4556"/>
    <w:rsid w:val="00110053"/>
    <w:rsid w:val="00111F88"/>
    <w:rsid w:val="00117285"/>
    <w:rsid w:val="0012723E"/>
    <w:rsid w:val="00131AB6"/>
    <w:rsid w:val="00145306"/>
    <w:rsid w:val="001663FB"/>
    <w:rsid w:val="00183370"/>
    <w:rsid w:val="00185ED5"/>
    <w:rsid w:val="001A21A9"/>
    <w:rsid w:val="001A5E8D"/>
    <w:rsid w:val="001B2F42"/>
    <w:rsid w:val="001C3A30"/>
    <w:rsid w:val="001D2001"/>
    <w:rsid w:val="001D6ED1"/>
    <w:rsid w:val="0022226D"/>
    <w:rsid w:val="002371E9"/>
    <w:rsid w:val="002549FF"/>
    <w:rsid w:val="00261EB2"/>
    <w:rsid w:val="00263B19"/>
    <w:rsid w:val="00290FDA"/>
    <w:rsid w:val="002C17C9"/>
    <w:rsid w:val="002C6920"/>
    <w:rsid w:val="002C7DBB"/>
    <w:rsid w:val="002E1D0E"/>
    <w:rsid w:val="002F037B"/>
    <w:rsid w:val="002F3855"/>
    <w:rsid w:val="0030248F"/>
    <w:rsid w:val="00306B0D"/>
    <w:rsid w:val="00310CA4"/>
    <w:rsid w:val="003113CF"/>
    <w:rsid w:val="003326FA"/>
    <w:rsid w:val="00350787"/>
    <w:rsid w:val="00355987"/>
    <w:rsid w:val="00360EF0"/>
    <w:rsid w:val="00361918"/>
    <w:rsid w:val="0036540D"/>
    <w:rsid w:val="0037180A"/>
    <w:rsid w:val="00372D78"/>
    <w:rsid w:val="00386FA5"/>
    <w:rsid w:val="003873AE"/>
    <w:rsid w:val="003962E8"/>
    <w:rsid w:val="003A417E"/>
    <w:rsid w:val="003B01AD"/>
    <w:rsid w:val="003B478D"/>
    <w:rsid w:val="003C033E"/>
    <w:rsid w:val="003C6794"/>
    <w:rsid w:val="003C723E"/>
    <w:rsid w:val="003D7CF6"/>
    <w:rsid w:val="004126F5"/>
    <w:rsid w:val="00425753"/>
    <w:rsid w:val="004263B3"/>
    <w:rsid w:val="004263F7"/>
    <w:rsid w:val="0042759C"/>
    <w:rsid w:val="00430BBE"/>
    <w:rsid w:val="004453C2"/>
    <w:rsid w:val="00453453"/>
    <w:rsid w:val="0045359D"/>
    <w:rsid w:val="0045451A"/>
    <w:rsid w:val="00462C7E"/>
    <w:rsid w:val="00471768"/>
    <w:rsid w:val="004765AE"/>
    <w:rsid w:val="00483AE6"/>
    <w:rsid w:val="004A33AC"/>
    <w:rsid w:val="004A7DE3"/>
    <w:rsid w:val="004B2C90"/>
    <w:rsid w:val="004B4DB9"/>
    <w:rsid w:val="004B72C7"/>
    <w:rsid w:val="004C6F89"/>
    <w:rsid w:val="004E1171"/>
    <w:rsid w:val="004E1812"/>
    <w:rsid w:val="004E58E8"/>
    <w:rsid w:val="004E6E66"/>
    <w:rsid w:val="004F3A16"/>
    <w:rsid w:val="00507694"/>
    <w:rsid w:val="00522689"/>
    <w:rsid w:val="00540290"/>
    <w:rsid w:val="005655C9"/>
    <w:rsid w:val="005724A2"/>
    <w:rsid w:val="00574CE8"/>
    <w:rsid w:val="00592C7E"/>
    <w:rsid w:val="00594977"/>
    <w:rsid w:val="005A3F9F"/>
    <w:rsid w:val="005C1025"/>
    <w:rsid w:val="005C6754"/>
    <w:rsid w:val="005D39A4"/>
    <w:rsid w:val="005D5D29"/>
    <w:rsid w:val="005E3244"/>
    <w:rsid w:val="005E4435"/>
    <w:rsid w:val="005F17E9"/>
    <w:rsid w:val="00607224"/>
    <w:rsid w:val="006132DE"/>
    <w:rsid w:val="006277FB"/>
    <w:rsid w:val="00652255"/>
    <w:rsid w:val="00676317"/>
    <w:rsid w:val="00682E08"/>
    <w:rsid w:val="0068731F"/>
    <w:rsid w:val="00693AB7"/>
    <w:rsid w:val="006971BB"/>
    <w:rsid w:val="006E2BE8"/>
    <w:rsid w:val="006E75E6"/>
    <w:rsid w:val="006F04FD"/>
    <w:rsid w:val="006F6BDD"/>
    <w:rsid w:val="00733AC7"/>
    <w:rsid w:val="00736DFB"/>
    <w:rsid w:val="007462E3"/>
    <w:rsid w:val="00750B05"/>
    <w:rsid w:val="00761219"/>
    <w:rsid w:val="00774D02"/>
    <w:rsid w:val="007A72EA"/>
    <w:rsid w:val="007B43D1"/>
    <w:rsid w:val="007C681B"/>
    <w:rsid w:val="007C72A6"/>
    <w:rsid w:val="007E59C8"/>
    <w:rsid w:val="007F14CB"/>
    <w:rsid w:val="00815E14"/>
    <w:rsid w:val="0086218D"/>
    <w:rsid w:val="00865299"/>
    <w:rsid w:val="008746D2"/>
    <w:rsid w:val="0089082A"/>
    <w:rsid w:val="008A0B01"/>
    <w:rsid w:val="008A1C29"/>
    <w:rsid w:val="008C36BC"/>
    <w:rsid w:val="008C5CA9"/>
    <w:rsid w:val="008D583C"/>
    <w:rsid w:val="008F23DE"/>
    <w:rsid w:val="00901A2D"/>
    <w:rsid w:val="0091266B"/>
    <w:rsid w:val="00914280"/>
    <w:rsid w:val="0091432D"/>
    <w:rsid w:val="009278DE"/>
    <w:rsid w:val="00936875"/>
    <w:rsid w:val="009549B7"/>
    <w:rsid w:val="00955595"/>
    <w:rsid w:val="0095578A"/>
    <w:rsid w:val="0096441F"/>
    <w:rsid w:val="009A6627"/>
    <w:rsid w:val="009A7161"/>
    <w:rsid w:val="009C2585"/>
    <w:rsid w:val="009D5A3E"/>
    <w:rsid w:val="009E0D18"/>
    <w:rsid w:val="009F3762"/>
    <w:rsid w:val="00A040C7"/>
    <w:rsid w:val="00A203A0"/>
    <w:rsid w:val="00A40D17"/>
    <w:rsid w:val="00A50CF1"/>
    <w:rsid w:val="00A61D09"/>
    <w:rsid w:val="00A71067"/>
    <w:rsid w:val="00A75DD9"/>
    <w:rsid w:val="00A77751"/>
    <w:rsid w:val="00A8604D"/>
    <w:rsid w:val="00AC03A6"/>
    <w:rsid w:val="00AD68E9"/>
    <w:rsid w:val="00AD782A"/>
    <w:rsid w:val="00AE6C55"/>
    <w:rsid w:val="00AF46EC"/>
    <w:rsid w:val="00B10801"/>
    <w:rsid w:val="00B3197F"/>
    <w:rsid w:val="00B33FA4"/>
    <w:rsid w:val="00B56F40"/>
    <w:rsid w:val="00B57591"/>
    <w:rsid w:val="00B575AE"/>
    <w:rsid w:val="00B64801"/>
    <w:rsid w:val="00B72013"/>
    <w:rsid w:val="00B777F7"/>
    <w:rsid w:val="00B80DB3"/>
    <w:rsid w:val="00B829CC"/>
    <w:rsid w:val="00B83300"/>
    <w:rsid w:val="00BB3AA8"/>
    <w:rsid w:val="00BB7D3F"/>
    <w:rsid w:val="00BC4262"/>
    <w:rsid w:val="00BC78D4"/>
    <w:rsid w:val="00BD0548"/>
    <w:rsid w:val="00BD2723"/>
    <w:rsid w:val="00BF042C"/>
    <w:rsid w:val="00C03684"/>
    <w:rsid w:val="00C04C48"/>
    <w:rsid w:val="00C131C0"/>
    <w:rsid w:val="00C31CFD"/>
    <w:rsid w:val="00C5157C"/>
    <w:rsid w:val="00C57A90"/>
    <w:rsid w:val="00C64DD0"/>
    <w:rsid w:val="00C75CEA"/>
    <w:rsid w:val="00C8365B"/>
    <w:rsid w:val="00CA1923"/>
    <w:rsid w:val="00CB4707"/>
    <w:rsid w:val="00CC3DD4"/>
    <w:rsid w:val="00CE1397"/>
    <w:rsid w:val="00CF0C36"/>
    <w:rsid w:val="00CF5456"/>
    <w:rsid w:val="00CF5985"/>
    <w:rsid w:val="00CF742E"/>
    <w:rsid w:val="00D060BC"/>
    <w:rsid w:val="00D14609"/>
    <w:rsid w:val="00D15CFC"/>
    <w:rsid w:val="00D36B6F"/>
    <w:rsid w:val="00D41047"/>
    <w:rsid w:val="00D462B5"/>
    <w:rsid w:val="00D547FD"/>
    <w:rsid w:val="00D62666"/>
    <w:rsid w:val="00D66D69"/>
    <w:rsid w:val="00D74C97"/>
    <w:rsid w:val="00D76381"/>
    <w:rsid w:val="00D831DF"/>
    <w:rsid w:val="00DB19A8"/>
    <w:rsid w:val="00DB48B0"/>
    <w:rsid w:val="00DC4A62"/>
    <w:rsid w:val="00DD19D4"/>
    <w:rsid w:val="00DE1668"/>
    <w:rsid w:val="00DE16B9"/>
    <w:rsid w:val="00DE2408"/>
    <w:rsid w:val="00DF6B84"/>
    <w:rsid w:val="00E0598B"/>
    <w:rsid w:val="00E10E44"/>
    <w:rsid w:val="00E26450"/>
    <w:rsid w:val="00E31040"/>
    <w:rsid w:val="00E44DF8"/>
    <w:rsid w:val="00E6023E"/>
    <w:rsid w:val="00E6739F"/>
    <w:rsid w:val="00E7377D"/>
    <w:rsid w:val="00E73A50"/>
    <w:rsid w:val="00E90832"/>
    <w:rsid w:val="00EB1F0E"/>
    <w:rsid w:val="00EB259B"/>
    <w:rsid w:val="00EC157C"/>
    <w:rsid w:val="00EC436B"/>
    <w:rsid w:val="00EC4CB3"/>
    <w:rsid w:val="00EC7A75"/>
    <w:rsid w:val="00ED1286"/>
    <w:rsid w:val="00EF02FE"/>
    <w:rsid w:val="00EF2DA4"/>
    <w:rsid w:val="00F0178D"/>
    <w:rsid w:val="00F12E10"/>
    <w:rsid w:val="00F3314B"/>
    <w:rsid w:val="00F34A3D"/>
    <w:rsid w:val="00F442B2"/>
    <w:rsid w:val="00F4790B"/>
    <w:rsid w:val="00F54EAA"/>
    <w:rsid w:val="00F74152"/>
    <w:rsid w:val="00F85AEE"/>
    <w:rsid w:val="00F86E75"/>
    <w:rsid w:val="00F91272"/>
    <w:rsid w:val="00F9172A"/>
    <w:rsid w:val="00F95F9E"/>
    <w:rsid w:val="00F96563"/>
    <w:rsid w:val="00F97E32"/>
    <w:rsid w:val="00FB255A"/>
    <w:rsid w:val="00FB7ED1"/>
    <w:rsid w:val="00FB7F67"/>
    <w:rsid w:val="00FE559B"/>
    <w:rsid w:val="00FE56D2"/>
    <w:rsid w:val="00FE632D"/>
    <w:rsid w:val="00FF6534"/>
    <w:rsid w:val="01D03FEC"/>
    <w:rsid w:val="01D159D9"/>
    <w:rsid w:val="01ED35F8"/>
    <w:rsid w:val="02224966"/>
    <w:rsid w:val="029E3B84"/>
    <w:rsid w:val="033476DA"/>
    <w:rsid w:val="03DA560A"/>
    <w:rsid w:val="0638548F"/>
    <w:rsid w:val="070865B3"/>
    <w:rsid w:val="07511000"/>
    <w:rsid w:val="07702649"/>
    <w:rsid w:val="086B7063"/>
    <w:rsid w:val="088B2B53"/>
    <w:rsid w:val="089413C5"/>
    <w:rsid w:val="09415B9F"/>
    <w:rsid w:val="09FA59E7"/>
    <w:rsid w:val="0A9F631F"/>
    <w:rsid w:val="0BF719CD"/>
    <w:rsid w:val="0BFD72E7"/>
    <w:rsid w:val="0C562ECC"/>
    <w:rsid w:val="0E75128A"/>
    <w:rsid w:val="0F4815CC"/>
    <w:rsid w:val="101616EC"/>
    <w:rsid w:val="140D6837"/>
    <w:rsid w:val="14360E9D"/>
    <w:rsid w:val="158942BB"/>
    <w:rsid w:val="16414F1E"/>
    <w:rsid w:val="167429F4"/>
    <w:rsid w:val="16CC5B36"/>
    <w:rsid w:val="16E81710"/>
    <w:rsid w:val="176A2F62"/>
    <w:rsid w:val="18757D21"/>
    <w:rsid w:val="1A1F4F6D"/>
    <w:rsid w:val="1B5F06EB"/>
    <w:rsid w:val="1DDE1448"/>
    <w:rsid w:val="1E3A67FD"/>
    <w:rsid w:val="20095B14"/>
    <w:rsid w:val="202B0267"/>
    <w:rsid w:val="205C1174"/>
    <w:rsid w:val="21D23C17"/>
    <w:rsid w:val="229D1CE8"/>
    <w:rsid w:val="25EB3281"/>
    <w:rsid w:val="26423EFF"/>
    <w:rsid w:val="26C7259C"/>
    <w:rsid w:val="27BA1B7C"/>
    <w:rsid w:val="27C03033"/>
    <w:rsid w:val="2C36248E"/>
    <w:rsid w:val="2C9A7D53"/>
    <w:rsid w:val="2ED91A45"/>
    <w:rsid w:val="2FBE547D"/>
    <w:rsid w:val="302837E4"/>
    <w:rsid w:val="306D20D8"/>
    <w:rsid w:val="3073000C"/>
    <w:rsid w:val="33741DC8"/>
    <w:rsid w:val="33B11EC4"/>
    <w:rsid w:val="34711A93"/>
    <w:rsid w:val="35B4328A"/>
    <w:rsid w:val="36E44291"/>
    <w:rsid w:val="3A8E5140"/>
    <w:rsid w:val="3B125EF8"/>
    <w:rsid w:val="3DD36518"/>
    <w:rsid w:val="3DEE185B"/>
    <w:rsid w:val="3E237685"/>
    <w:rsid w:val="3F4E171F"/>
    <w:rsid w:val="45CF0E9E"/>
    <w:rsid w:val="45E80663"/>
    <w:rsid w:val="46926864"/>
    <w:rsid w:val="484F7B35"/>
    <w:rsid w:val="485A6652"/>
    <w:rsid w:val="48A069BA"/>
    <w:rsid w:val="48AE3800"/>
    <w:rsid w:val="4993613B"/>
    <w:rsid w:val="49B07B17"/>
    <w:rsid w:val="4A9B4753"/>
    <w:rsid w:val="4AB744D3"/>
    <w:rsid w:val="4BE51D09"/>
    <w:rsid w:val="4E6A7DDF"/>
    <w:rsid w:val="4F1E6B4A"/>
    <w:rsid w:val="51DB6FAB"/>
    <w:rsid w:val="53A91796"/>
    <w:rsid w:val="53D57E72"/>
    <w:rsid w:val="53F34F30"/>
    <w:rsid w:val="54952865"/>
    <w:rsid w:val="58B71C90"/>
    <w:rsid w:val="5A107B8D"/>
    <w:rsid w:val="5A42464D"/>
    <w:rsid w:val="5B2C0540"/>
    <w:rsid w:val="5F010883"/>
    <w:rsid w:val="5FBA4E4C"/>
    <w:rsid w:val="60E0450D"/>
    <w:rsid w:val="61040EA5"/>
    <w:rsid w:val="616854FA"/>
    <w:rsid w:val="657A6729"/>
    <w:rsid w:val="657F402D"/>
    <w:rsid w:val="65C62AAF"/>
    <w:rsid w:val="67990F2E"/>
    <w:rsid w:val="679E4A51"/>
    <w:rsid w:val="68EA26DC"/>
    <w:rsid w:val="69757189"/>
    <w:rsid w:val="6A476406"/>
    <w:rsid w:val="6A737633"/>
    <w:rsid w:val="6BB53802"/>
    <w:rsid w:val="6DF731D4"/>
    <w:rsid w:val="6FAB56DD"/>
    <w:rsid w:val="711235A4"/>
    <w:rsid w:val="71332ADA"/>
    <w:rsid w:val="72D17DDC"/>
    <w:rsid w:val="76184CB6"/>
    <w:rsid w:val="76440617"/>
    <w:rsid w:val="77E761FD"/>
    <w:rsid w:val="78485F58"/>
    <w:rsid w:val="798D56F0"/>
    <w:rsid w:val="7AA95265"/>
    <w:rsid w:val="7B41207C"/>
    <w:rsid w:val="7D7A2C5C"/>
    <w:rsid w:val="7F582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华文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eastAsia="宋体"/>
      <w:sz w:val="18"/>
      <w:szCs w:val="18"/>
    </w:rPr>
  </w:style>
  <w:style w:type="paragraph" w:styleId="3">
    <w:name w:val="annotation text"/>
    <w:basedOn w:val="1"/>
    <w:link w:val="15"/>
    <w:unhideWhenUsed/>
    <w:qFormat/>
    <w:uiPriority w:val="0"/>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semiHidden/>
    <w:qFormat/>
    <w:uiPriority w:val="99"/>
    <w:rPr>
      <w:rFonts w:ascii="Times New Roman" w:hAnsi="Times New Roman" w:eastAsia="华文仿宋" w:cs="Times New Roman"/>
      <w:sz w:val="18"/>
      <w:szCs w:val="18"/>
    </w:rPr>
  </w:style>
  <w:style w:type="character" w:customStyle="1" w:styleId="12">
    <w:name w:val="页脚 Char"/>
    <w:basedOn w:val="9"/>
    <w:link w:val="5"/>
    <w:semiHidden/>
    <w:qFormat/>
    <w:uiPriority w:val="99"/>
    <w:rPr>
      <w:rFonts w:ascii="Times New Roman" w:hAnsi="Times New Roman" w:eastAsia="华文仿宋" w:cs="Times New Roman"/>
      <w:sz w:val="18"/>
      <w:szCs w:val="18"/>
    </w:rPr>
  </w:style>
  <w:style w:type="character" w:customStyle="1" w:styleId="13">
    <w:name w:val="文档结构图 Char"/>
    <w:basedOn w:val="9"/>
    <w:link w:val="2"/>
    <w:semiHidden/>
    <w:qFormat/>
    <w:uiPriority w:val="99"/>
    <w:rPr>
      <w:rFonts w:ascii="宋体" w:hAnsi="Times New Roman" w:eastAsia="宋体" w:cs="Times New Roman"/>
      <w:sz w:val="18"/>
      <w:szCs w:val="18"/>
    </w:rPr>
  </w:style>
  <w:style w:type="character" w:customStyle="1" w:styleId="14">
    <w:name w:val="批注框文本 Char"/>
    <w:basedOn w:val="9"/>
    <w:link w:val="4"/>
    <w:semiHidden/>
    <w:qFormat/>
    <w:uiPriority w:val="99"/>
    <w:rPr>
      <w:rFonts w:ascii="Times New Roman" w:hAnsi="Times New Roman" w:eastAsia="华文仿宋" w:cs="Times New Roman"/>
      <w:sz w:val="18"/>
      <w:szCs w:val="18"/>
    </w:rPr>
  </w:style>
  <w:style w:type="character" w:customStyle="1" w:styleId="15">
    <w:name w:val="批注文字 Char"/>
    <w:basedOn w:val="9"/>
    <w:link w:val="3"/>
    <w:qFormat/>
    <w:uiPriority w:val="0"/>
    <w:rPr>
      <w:rFonts w:ascii="Times New Roman" w:hAnsi="Times New Roman" w:eastAsia="华文仿宋" w:cs="Times New Roman"/>
      <w:sz w:val="32"/>
      <w:szCs w:val="24"/>
    </w:rPr>
  </w:style>
  <w:style w:type="character" w:customStyle="1" w:styleId="16">
    <w:name w:val="批注主题 Char"/>
    <w:basedOn w:val="15"/>
    <w:link w:val="7"/>
    <w:semiHidden/>
    <w:qFormat/>
    <w:uiPriority w:val="99"/>
    <w:rPr>
      <w:rFonts w:ascii="Times New Roman" w:hAnsi="Times New Roman" w:eastAsia="华文仿宋" w:cs="Times New Roman"/>
      <w:b/>
      <w:bCs/>
      <w:sz w:val="32"/>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225</Words>
  <Characters>1286</Characters>
  <Lines>10</Lines>
  <Paragraphs>3</Paragraphs>
  <TotalTime>14</TotalTime>
  <ScaleCrop>false</ScaleCrop>
  <LinksUpToDate>false</LinksUpToDate>
  <CharactersWithSpaces>1508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2018-05-17T02:57:00Z</dcterms:created>
  <dc:creator>AutoBVT</dc:creator>
  <cp:lastModifiedBy>嘟嘟妈</cp:lastModifiedBy>
  <cp:lastPrinted>2020-02-14T08:29:00Z</cp:lastPrinted>
  <dcterms:modified xsi:type="dcterms:W3CDTF">2020-05-22T02:50:33Z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