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号</w:t>
      </w:r>
    </w:p>
    <w:p>
      <w:pPr>
        <w:tabs>
          <w:tab w:val="left" w:pos="6240"/>
        </w:tabs>
        <w:spacing w:line="560" w:lineRule="exact"/>
        <w:jc w:val="right"/>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关于湖南京西智能技术有限公司陆地特种（重型）车辆电动轮及摩擦材料项目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Cs w:val="32"/>
        </w:rPr>
      </w:pPr>
      <w:r>
        <w:rPr>
          <w:rFonts w:hint="eastAsia" w:ascii="仿宋_GB2312" w:eastAsia="仿宋_GB2312"/>
          <w:bCs/>
          <w:szCs w:val="32"/>
        </w:rPr>
        <w:t>湖南京西智能技术有限公司</w:t>
      </w:r>
      <w:r>
        <w:rPr>
          <w:rFonts w:hint="eastAsia" w:ascii="仿宋_GB2312" w:eastAsia="仿宋_GB2312"/>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bCs/>
          <w:szCs w:val="32"/>
        </w:rPr>
      </w:pPr>
      <w:r>
        <w:rPr>
          <w:rFonts w:hint="eastAsia" w:ascii="仿宋_GB2312" w:eastAsia="仿宋_GB2312"/>
          <w:color w:val="000000"/>
          <w:spacing w:val="4"/>
          <w:szCs w:val="32"/>
        </w:rPr>
        <w:t>你</w:t>
      </w:r>
      <w:r>
        <w:rPr>
          <w:rFonts w:hint="eastAsia" w:ascii="仿宋_GB2312" w:eastAsia="仿宋_GB2312"/>
          <w:bCs/>
          <w:szCs w:val="32"/>
          <w:lang w:eastAsia="zh-CN"/>
        </w:rPr>
        <w:t>公司</w:t>
      </w:r>
      <w:r>
        <w:rPr>
          <w:rFonts w:hint="eastAsia" w:ascii="仿宋_GB2312" w:eastAsia="仿宋_GB2312"/>
          <w:bCs/>
          <w:szCs w:val="32"/>
        </w:rPr>
        <w:t>呈报的《湖南京西智能技术有限公司陆地特种（重型）车辆电动轮及摩擦材料项目环境影响报告表》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4"/>
          <w:szCs w:val="32"/>
        </w:rPr>
        <w:sectPr>
          <w:headerReference r:id="rId3" w:type="default"/>
          <w:pgSz w:w="11906" w:h="16838"/>
          <w:pgMar w:top="1701" w:right="1701" w:bottom="1701" w:left="1701" w:header="851" w:footer="992" w:gutter="0"/>
          <w:pgNumType w:fmt="numberInDash"/>
          <w:cols w:space="425" w:num="1"/>
          <w:docGrid w:type="lines" w:linePitch="312" w:charSpace="0"/>
        </w:sectPr>
      </w:pPr>
      <w:r>
        <w:rPr>
          <w:rFonts w:hint="eastAsia" w:ascii="仿宋_GB2312" w:eastAsia="仿宋_GB2312"/>
          <w:bCs/>
          <w:szCs w:val="32"/>
          <w:lang w:eastAsia="zh-CN"/>
        </w:rPr>
        <w:t>你</w:t>
      </w:r>
      <w:r>
        <w:rPr>
          <w:rFonts w:hint="eastAsia" w:ascii="仿宋_GB2312" w:eastAsia="仿宋_GB2312"/>
          <w:bCs/>
          <w:szCs w:val="32"/>
        </w:rPr>
        <w:t>公司</w:t>
      </w:r>
      <w:r>
        <w:rPr>
          <w:rFonts w:hint="eastAsia" w:ascii="仿宋_GB2312" w:eastAsia="仿宋_GB2312"/>
          <w:bCs/>
          <w:color w:val="000000"/>
          <w:spacing w:val="4"/>
          <w:szCs w:val="32"/>
        </w:rPr>
        <w:t>拟</w:t>
      </w:r>
      <w:r>
        <w:rPr>
          <w:rFonts w:hint="eastAsia" w:ascii="仿宋_GB2312" w:eastAsia="仿宋_GB2312"/>
          <w:color w:val="000000"/>
          <w:spacing w:val="4"/>
          <w:szCs w:val="32"/>
        </w:rPr>
        <w:t>投资</w:t>
      </w:r>
      <w:r>
        <w:rPr>
          <w:rFonts w:hint="eastAsia" w:ascii="仿宋_GB2312" w:eastAsia="仿宋_GB2312"/>
          <w:color w:val="000000"/>
          <w:spacing w:val="4"/>
          <w:szCs w:val="32"/>
          <w:lang w:val="en-US" w:eastAsia="zh-CN"/>
        </w:rPr>
        <w:t>10000</w:t>
      </w:r>
      <w:r>
        <w:rPr>
          <w:rFonts w:hint="eastAsia" w:ascii="仿宋_GB2312" w:eastAsia="仿宋_GB2312"/>
          <w:color w:val="000000"/>
          <w:spacing w:val="4"/>
          <w:szCs w:val="32"/>
        </w:rPr>
        <w:t>万元</w:t>
      </w:r>
      <w:r>
        <w:rPr>
          <w:rFonts w:hint="eastAsia" w:ascii="仿宋_GB2312" w:eastAsia="仿宋_GB2312"/>
          <w:color w:val="000000"/>
          <w:spacing w:val="4"/>
          <w:szCs w:val="32"/>
          <w:lang w:eastAsia="zh-CN"/>
        </w:rPr>
        <w:t>在</w:t>
      </w:r>
      <w:r>
        <w:rPr>
          <w:rFonts w:hint="eastAsia" w:ascii="仿宋_GB2312" w:eastAsia="仿宋_GB2312"/>
          <w:color w:val="000000"/>
          <w:spacing w:val="4"/>
          <w:szCs w:val="32"/>
        </w:rPr>
        <w:t>益阳高新区东部产业园</w:t>
      </w:r>
      <w:r>
        <w:rPr>
          <w:rFonts w:hint="eastAsia" w:ascii="仿宋_GB2312" w:eastAsia="仿宋_GB2312"/>
          <w:color w:val="000000"/>
          <w:spacing w:val="4"/>
          <w:szCs w:val="32"/>
          <w:lang w:val="en-US" w:eastAsia="zh-CN"/>
        </w:rPr>
        <w:t>内</w:t>
      </w:r>
      <w:r>
        <w:rPr>
          <w:rFonts w:hint="eastAsia" w:ascii="仿宋_GB2312" w:eastAsia="仿宋_GB2312"/>
          <w:color w:val="000000"/>
          <w:spacing w:val="4"/>
          <w:szCs w:val="32"/>
          <w:lang w:eastAsia="zh-CN"/>
        </w:rPr>
        <w:t>征地</w:t>
      </w:r>
      <w:r>
        <w:rPr>
          <w:rFonts w:hint="eastAsia" w:ascii="仿宋_GB2312" w:eastAsia="仿宋_GB2312"/>
          <w:color w:val="000000"/>
          <w:spacing w:val="4"/>
          <w:szCs w:val="32"/>
          <w:lang w:val="en-US" w:eastAsia="zh-CN"/>
        </w:rPr>
        <w:t>56.24亩（高新大道以南），</w:t>
      </w:r>
      <w:r>
        <w:rPr>
          <w:rFonts w:hint="eastAsia" w:ascii="仿宋_GB2312" w:eastAsia="仿宋_GB2312"/>
          <w:color w:val="000000"/>
          <w:spacing w:val="4"/>
          <w:szCs w:val="32"/>
        </w:rPr>
        <w:t>建设</w:t>
      </w:r>
      <w:r>
        <w:rPr>
          <w:rFonts w:hint="default" w:ascii="仿宋_GB2312" w:eastAsia="仿宋_GB2312"/>
          <w:color w:val="000000"/>
          <w:spacing w:val="4"/>
          <w:szCs w:val="32"/>
          <w:lang w:val="en-US" w:eastAsia="zh-CN"/>
        </w:rPr>
        <w:t>一条陆地特种（重型）车辆</w:t>
      </w:r>
      <w:r>
        <w:rPr>
          <w:rFonts w:hint="default" w:ascii="仿宋_GB2312" w:eastAsia="仿宋_GB2312"/>
          <w:color w:val="000000"/>
          <w:spacing w:val="4"/>
          <w:szCs w:val="32"/>
        </w:rPr>
        <w:t>电动轮总成</w:t>
      </w:r>
      <w:r>
        <w:rPr>
          <w:rFonts w:hint="default" w:ascii="仿宋_GB2312" w:eastAsia="仿宋_GB2312"/>
          <w:color w:val="000000"/>
          <w:spacing w:val="4"/>
          <w:szCs w:val="32"/>
          <w:lang w:val="en-US" w:eastAsia="zh-CN"/>
        </w:rPr>
        <w:t>生产线</w:t>
      </w:r>
      <w:r>
        <w:rPr>
          <w:rFonts w:hint="eastAsia" w:ascii="仿宋_GB2312" w:eastAsia="仿宋_GB2312"/>
          <w:color w:val="000000"/>
          <w:spacing w:val="4"/>
          <w:szCs w:val="32"/>
          <w:lang w:val="en-US" w:eastAsia="zh-CN"/>
        </w:rPr>
        <w:t>和</w:t>
      </w:r>
      <w:r>
        <w:rPr>
          <w:rFonts w:hint="default" w:ascii="仿宋_GB2312" w:eastAsia="仿宋_GB2312"/>
          <w:color w:val="000000"/>
          <w:spacing w:val="4"/>
          <w:szCs w:val="32"/>
          <w:lang w:val="en-US" w:eastAsia="zh-CN"/>
        </w:rPr>
        <w:t>一条陆地特种（重型）车辆摩擦片生产线</w:t>
      </w:r>
      <w:r>
        <w:rPr>
          <w:rFonts w:hint="eastAsia" w:ascii="仿宋_GB2312" w:eastAsia="仿宋_GB2312"/>
          <w:color w:val="000000"/>
          <w:spacing w:val="4"/>
          <w:szCs w:val="32"/>
          <w:lang w:val="en-US" w:eastAsia="zh-CN"/>
        </w:rPr>
        <w:t>，年产</w:t>
      </w:r>
      <w:r>
        <w:rPr>
          <w:rFonts w:hint="default" w:ascii="仿宋_GB2312" w:eastAsia="仿宋_GB2312"/>
          <w:color w:val="000000"/>
          <w:spacing w:val="4"/>
          <w:szCs w:val="32"/>
          <w:lang w:val="en-US" w:eastAsia="zh-CN"/>
        </w:rPr>
        <w:t>电动轮总成500套</w:t>
      </w:r>
      <w:r>
        <w:rPr>
          <w:rFonts w:hint="eastAsia" w:ascii="仿宋_GB2312" w:eastAsia="仿宋_GB2312"/>
          <w:color w:val="000000"/>
          <w:spacing w:val="4"/>
          <w:szCs w:val="32"/>
          <w:lang w:val="en-US" w:eastAsia="zh-CN"/>
        </w:rPr>
        <w:t>、</w:t>
      </w:r>
      <w:r>
        <w:rPr>
          <w:rFonts w:hint="default" w:ascii="仿宋_GB2312" w:eastAsia="仿宋_GB2312"/>
          <w:color w:val="000000"/>
          <w:spacing w:val="4"/>
          <w:szCs w:val="32"/>
          <w:lang w:val="en-US" w:eastAsia="zh-CN"/>
        </w:rPr>
        <w:t>摩擦片2万片</w:t>
      </w:r>
      <w:r>
        <w:rPr>
          <w:rFonts w:hint="eastAsia" w:ascii="仿宋_GB2312" w:eastAsia="仿宋_GB2312"/>
          <w:color w:val="000000"/>
          <w:spacing w:val="4"/>
          <w:szCs w:val="32"/>
          <w:lang w:eastAsia="zh-CN"/>
        </w:rPr>
        <w:t>。拟建项目主要建设内容包括生产车间、配套车间、研发楼、办公楼</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给排水、供配电、环保等相关公用辅助工程。项目建设符合国家产业政策和益阳高新区东部产业园选址用地规划要求。根据湖南沐程生态环境工程有限公司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pacing w:val="4"/>
          <w:szCs w:val="32"/>
        </w:rPr>
      </w:pPr>
      <w:r>
        <w:rPr>
          <w:rFonts w:hint="eastAsia" w:ascii="仿宋_GB2312" w:hAnsi="仿宋_GB2312" w:eastAsia="仿宋_GB2312" w:cs="仿宋_GB2312"/>
          <w:color w:val="000000"/>
          <w:spacing w:val="0"/>
          <w:sz w:val="32"/>
          <w:szCs w:val="32"/>
          <w:lang w:val="en-US" w:eastAsia="zh-CN"/>
        </w:rPr>
        <w:t>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eastAsia="仿宋_GB2312"/>
          <w:color w:val="000000"/>
          <w:spacing w:val="4"/>
          <w:szCs w:val="32"/>
          <w:lang w:eastAsia="zh-CN"/>
        </w:rPr>
        <w:t>（</w:t>
      </w:r>
      <w:r>
        <w:rPr>
          <w:rFonts w:hint="eastAsia" w:ascii="仿宋_GB2312" w:eastAsia="仿宋_GB2312"/>
          <w:color w:val="000000"/>
          <w:spacing w:val="4"/>
          <w:szCs w:val="32"/>
          <w:lang w:val="en-US" w:eastAsia="zh-CN"/>
        </w:rPr>
        <w:t>一）</w:t>
      </w:r>
      <w:r>
        <w:rPr>
          <w:rFonts w:hint="eastAsia" w:ascii="仿宋_GB2312" w:eastAsia="仿宋_GB2312"/>
          <w:color w:val="000000"/>
          <w:spacing w:val="4"/>
          <w:szCs w:val="32"/>
        </w:rPr>
        <w:t>做好项目大气污染防治工作。机加工</w:t>
      </w:r>
      <w:r>
        <w:rPr>
          <w:rFonts w:hint="eastAsia" w:ascii="仿宋_GB2312" w:eastAsia="仿宋_GB2312"/>
          <w:color w:val="000000"/>
          <w:spacing w:val="4"/>
          <w:szCs w:val="32"/>
          <w:lang w:eastAsia="zh-CN"/>
        </w:rPr>
        <w:t>产生粉尘的工位应设置</w:t>
      </w:r>
      <w:r>
        <w:rPr>
          <w:rFonts w:hint="eastAsia" w:ascii="仿宋_GB2312" w:eastAsia="仿宋_GB2312"/>
          <w:color w:val="auto"/>
          <w:spacing w:val="4"/>
          <w:szCs w:val="32"/>
          <w:lang w:eastAsia="zh-CN"/>
        </w:rPr>
        <w:t>挡板、同时配备工业用集尘器进行处理</w:t>
      </w:r>
      <w:r>
        <w:rPr>
          <w:rFonts w:hint="eastAsia" w:ascii="仿宋_GB2312" w:eastAsia="仿宋_GB2312"/>
          <w:color w:val="auto"/>
          <w:spacing w:val="4"/>
          <w:szCs w:val="32"/>
        </w:rPr>
        <w:t>，</w:t>
      </w:r>
      <w:r>
        <w:rPr>
          <w:rFonts w:hint="eastAsia" w:ascii="仿宋_GB2312" w:eastAsia="仿宋_GB2312"/>
          <w:color w:val="auto"/>
          <w:spacing w:val="4"/>
          <w:szCs w:val="32"/>
          <w:lang w:eastAsia="zh-CN"/>
        </w:rPr>
        <w:t>机加工产生的</w:t>
      </w:r>
      <w:r>
        <w:rPr>
          <w:rFonts w:hint="eastAsia" w:ascii="仿宋_GB2312" w:eastAsia="仿宋_GB2312"/>
          <w:color w:val="000000"/>
          <w:spacing w:val="4"/>
          <w:szCs w:val="32"/>
        </w:rPr>
        <w:t>油雾经</w:t>
      </w:r>
      <w:r>
        <w:rPr>
          <w:rFonts w:hint="eastAsia" w:ascii="仿宋_GB2312" w:eastAsia="仿宋_GB2312"/>
          <w:color w:val="000000"/>
          <w:spacing w:val="4"/>
          <w:szCs w:val="32"/>
          <w:lang w:eastAsia="zh-CN"/>
        </w:rPr>
        <w:t>油雾收集器处理，备用柴油发电机燃油废气经发电机配套的净化处理器处理，</w:t>
      </w:r>
      <w:r>
        <w:rPr>
          <w:rFonts w:hint="eastAsia" w:ascii="仿宋_GB2312" w:eastAsia="仿宋_GB2312"/>
          <w:color w:val="auto"/>
          <w:spacing w:val="4"/>
          <w:szCs w:val="32"/>
        </w:rPr>
        <w:t>确保外排污染物满足《大气污染物综合排放标准》（GB16297-1996）表2中无组织排放</w:t>
      </w:r>
      <w:r>
        <w:rPr>
          <w:rFonts w:hint="eastAsia" w:ascii="仿宋_GB2312" w:eastAsia="仿宋_GB2312"/>
          <w:color w:val="auto"/>
          <w:spacing w:val="4"/>
          <w:szCs w:val="32"/>
          <w:lang w:eastAsia="zh-CN"/>
        </w:rPr>
        <w:t>监控</w:t>
      </w:r>
      <w:r>
        <w:rPr>
          <w:rFonts w:hint="eastAsia" w:ascii="仿宋_GB2312" w:eastAsia="仿宋_GB2312"/>
          <w:color w:val="auto"/>
          <w:spacing w:val="4"/>
          <w:szCs w:val="32"/>
        </w:rPr>
        <w:t>浓度限值要求</w:t>
      </w:r>
      <w:r>
        <w:rPr>
          <w:rFonts w:hint="eastAsia" w:ascii="仿宋_GB2312" w:eastAsia="仿宋_GB2312"/>
          <w:color w:val="000000"/>
          <w:spacing w:val="4"/>
          <w:szCs w:val="32"/>
        </w:rPr>
        <w:t>；</w:t>
      </w:r>
      <w:r>
        <w:rPr>
          <w:rFonts w:hint="eastAsia" w:ascii="仿宋_GB2312" w:eastAsia="仿宋_GB2312"/>
          <w:color w:val="000000"/>
          <w:spacing w:val="4"/>
          <w:kern w:val="0"/>
          <w:szCs w:val="32"/>
        </w:rPr>
        <w:t>食堂油烟经油烟净化装置处理达到《饮食业油烟排放标准（试行）》（GB18483-2001）要求后高空排放</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油烟排气筒的高度、位置等具体要求按照</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饮食业环境保护技术规范</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HJ554-2010</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的规定执行。</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FF0000"/>
          <w:spacing w:val="4"/>
          <w:szCs w:val="32"/>
        </w:rPr>
      </w:pPr>
      <w:r>
        <w:rPr>
          <w:rFonts w:hint="eastAsia" w:ascii="仿宋_GB2312" w:eastAsia="仿宋_GB2312"/>
          <w:color w:val="000000"/>
          <w:spacing w:val="4"/>
          <w:szCs w:val="32"/>
          <w:lang w:eastAsia="zh-CN"/>
        </w:rPr>
        <w:t>（</w:t>
      </w:r>
      <w:r>
        <w:rPr>
          <w:rFonts w:hint="eastAsia" w:ascii="仿宋_GB2312" w:eastAsia="仿宋_GB2312"/>
          <w:color w:val="000000"/>
          <w:spacing w:val="4"/>
          <w:szCs w:val="32"/>
          <w:lang w:val="en-US" w:eastAsia="zh-CN"/>
        </w:rPr>
        <w:t>二）</w:t>
      </w:r>
      <w:r>
        <w:rPr>
          <w:rFonts w:hint="eastAsia" w:ascii="仿宋_GB2312" w:eastAsia="仿宋_GB2312"/>
          <w:color w:val="000000"/>
          <w:spacing w:val="4"/>
          <w:szCs w:val="32"/>
        </w:rPr>
        <w:t>做好项目水污染防治工作。</w:t>
      </w:r>
      <w:r>
        <w:rPr>
          <w:rFonts w:hint="eastAsia" w:ascii="宋体" w:hAnsi="宋体"/>
          <w:szCs w:val="21"/>
        </w:rPr>
        <w:t>本项目无生产废水产生</w:t>
      </w:r>
      <w:r>
        <w:rPr>
          <w:rFonts w:hint="eastAsia" w:ascii="宋体" w:hAnsi="宋体"/>
          <w:szCs w:val="21"/>
          <w:lang w:eastAsia="zh-CN"/>
        </w:rPr>
        <w:t>；</w:t>
      </w:r>
      <w:r>
        <w:rPr>
          <w:rFonts w:hint="eastAsia" w:ascii="仿宋_GB2312" w:eastAsia="仿宋_GB2312"/>
          <w:color w:val="000000"/>
          <w:spacing w:val="4"/>
          <w:szCs w:val="32"/>
        </w:rPr>
        <w:t>生活污水经隔油池、化粪池处理，达到《污水综合排放标准》（GB8978-199</w:t>
      </w:r>
      <w:r>
        <w:rPr>
          <w:rFonts w:hint="eastAsia" w:ascii="仿宋_GB2312" w:eastAsia="仿宋_GB2312"/>
          <w:color w:val="auto"/>
          <w:spacing w:val="4"/>
          <w:szCs w:val="32"/>
        </w:rPr>
        <w:t>6）表4中三级标准后经园区污水管网排入益阳</w:t>
      </w:r>
      <w:r>
        <w:rPr>
          <w:rFonts w:hint="eastAsia" w:ascii="仿宋_GB2312" w:eastAsia="仿宋_GB2312"/>
          <w:color w:val="auto"/>
          <w:spacing w:val="4"/>
          <w:szCs w:val="32"/>
          <w:lang w:eastAsia="zh-CN"/>
        </w:rPr>
        <w:t>市</w:t>
      </w:r>
      <w:r>
        <w:rPr>
          <w:rFonts w:hint="eastAsia" w:ascii="仿宋_GB2312" w:eastAsia="仿宋_GB2312"/>
          <w:color w:val="auto"/>
          <w:spacing w:val="4"/>
          <w:szCs w:val="32"/>
        </w:rPr>
        <w:t>东部新区污水处理厂进行深度处理。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w:t>
      </w:r>
      <w:r>
        <w:rPr>
          <w:rFonts w:hint="eastAsia" w:ascii="仿宋_GB2312" w:eastAsia="仿宋_GB2312"/>
          <w:color w:val="000000"/>
          <w:spacing w:val="4"/>
          <w:szCs w:val="32"/>
          <w:lang w:val="en-US" w:eastAsia="zh-CN"/>
        </w:rPr>
        <w:t>三）</w:t>
      </w:r>
      <w:r>
        <w:rPr>
          <w:rFonts w:hint="eastAsia" w:ascii="仿宋_GB2312" w:eastAsia="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r>
        <w:rPr>
          <w:rFonts w:hint="eastAsia" w:ascii="仿宋_GB2312" w:eastAsia="仿宋_GB2312"/>
          <w:color w:val="000000"/>
          <w:spacing w:val="4"/>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eastAsia="仿宋_GB2312"/>
          <w:color w:val="000000"/>
          <w:spacing w:val="4"/>
          <w:szCs w:val="32"/>
        </w:rPr>
      </w:pPr>
      <w:r>
        <w:rPr>
          <w:rFonts w:hint="eastAsia" w:ascii="仿宋_GB2312" w:eastAsia="仿宋_GB2312"/>
          <w:color w:val="000000"/>
          <w:spacing w:val="4"/>
          <w:szCs w:val="32"/>
          <w:lang w:eastAsia="zh-CN"/>
        </w:rPr>
        <w:t>（</w:t>
      </w:r>
      <w:r>
        <w:rPr>
          <w:rFonts w:hint="eastAsia" w:ascii="仿宋_GB2312" w:eastAsia="仿宋_GB2312"/>
          <w:color w:val="000000"/>
          <w:spacing w:val="4"/>
          <w:szCs w:val="32"/>
          <w:lang w:val="en-US"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生活垃圾收集后交给地方环卫部门处理；</w:t>
      </w:r>
      <w:r>
        <w:rPr>
          <w:rFonts w:hint="eastAsia" w:ascii="仿宋_GB2312" w:eastAsia="仿宋_GB2312"/>
          <w:color w:val="auto"/>
          <w:spacing w:val="4"/>
          <w:szCs w:val="32"/>
          <w:lang w:eastAsia="zh-CN"/>
        </w:rPr>
        <w:t>集</w:t>
      </w:r>
      <w:r>
        <w:rPr>
          <w:rFonts w:hint="eastAsia" w:ascii="仿宋_GB2312" w:eastAsia="仿宋_GB2312"/>
          <w:color w:val="auto"/>
          <w:spacing w:val="4"/>
          <w:szCs w:val="32"/>
        </w:rPr>
        <w:t>尘器</w:t>
      </w:r>
      <w:r>
        <w:rPr>
          <w:rFonts w:hint="eastAsia" w:ascii="仿宋_GB2312" w:eastAsia="仿宋_GB2312"/>
          <w:color w:val="000000"/>
          <w:spacing w:val="4"/>
          <w:szCs w:val="32"/>
        </w:rPr>
        <w:t>收集的粉</w:t>
      </w:r>
      <w:r>
        <w:rPr>
          <w:rFonts w:hint="eastAsia" w:ascii="仿宋_GB2312" w:eastAsia="仿宋_GB2312"/>
          <w:color w:val="000000"/>
          <w:spacing w:val="4"/>
          <w:szCs w:val="32"/>
          <w:lang w:eastAsia="zh-CN"/>
        </w:rPr>
        <w:t>尘</w:t>
      </w:r>
      <w:r>
        <w:rPr>
          <w:rFonts w:hint="eastAsia" w:ascii="仿宋_GB2312" w:eastAsia="仿宋_GB2312"/>
          <w:color w:val="000000"/>
          <w:spacing w:val="4"/>
          <w:szCs w:val="32"/>
        </w:rPr>
        <w:t>和钢屑</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及润滑油的</w:t>
      </w:r>
      <w:r>
        <w:rPr>
          <w:rFonts w:hint="eastAsia" w:ascii="仿宋_GB2312" w:eastAsia="仿宋_GB2312"/>
          <w:color w:val="000000"/>
          <w:spacing w:val="4"/>
          <w:szCs w:val="32"/>
          <w:lang w:eastAsia="zh-CN"/>
        </w:rPr>
        <w:t>废弃</w:t>
      </w:r>
      <w:r>
        <w:rPr>
          <w:rFonts w:hint="eastAsia" w:ascii="仿宋_GB2312" w:eastAsia="仿宋_GB2312"/>
          <w:color w:val="000000"/>
          <w:spacing w:val="4"/>
          <w:szCs w:val="32"/>
        </w:rPr>
        <w:t>包装物、废</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、废润滑油</w:t>
      </w:r>
      <w:r>
        <w:rPr>
          <w:rFonts w:hint="eastAsia" w:ascii="仿宋_GB2312" w:eastAsia="仿宋_GB2312"/>
          <w:color w:val="auto"/>
          <w:spacing w:val="4"/>
          <w:szCs w:val="32"/>
        </w:rPr>
        <w:t>、油泥及</w:t>
      </w:r>
      <w:r>
        <w:rPr>
          <w:rFonts w:hint="eastAsia" w:ascii="仿宋_GB2312" w:hAnsi="仿宋_GB2312" w:eastAsia="仿宋_GB2312" w:cs="仿宋_GB2312"/>
          <w:color w:val="auto"/>
          <w:spacing w:val="0"/>
          <w:sz w:val="32"/>
          <w:szCs w:val="32"/>
        </w:rPr>
        <w:t>含</w:t>
      </w:r>
      <w:r>
        <w:rPr>
          <w:rFonts w:hint="eastAsia" w:ascii="仿宋_GB2312" w:hAnsi="仿宋_GB2312" w:eastAsia="仿宋_GB2312" w:cs="仿宋_GB2312"/>
          <w:spacing w:val="0"/>
          <w:sz w:val="32"/>
          <w:szCs w:val="32"/>
        </w:rPr>
        <w:t>油废抹布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4"/>
          <w:szCs w:val="32"/>
          <w:lang w:eastAsia="zh-CN"/>
        </w:rPr>
        <w:t>（</w:t>
      </w:r>
      <w:r>
        <w:rPr>
          <w:rFonts w:hint="eastAsia" w:ascii="仿宋_GB2312" w:eastAsia="仿宋_GB2312"/>
          <w:color w:val="000000"/>
          <w:spacing w:val="4"/>
          <w:szCs w:val="32"/>
          <w:lang w:val="en-US"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4"/>
          <w:szCs w:val="32"/>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auto"/>
        </w:rPr>
        <w:t>2020年</w:t>
      </w:r>
      <w:r>
        <w:rPr>
          <w:rFonts w:hint="eastAsia" w:ascii="仿宋_GB2312" w:eastAsia="仿宋_GB2312"/>
          <w:color w:val="auto"/>
          <w:lang w:val="en-US" w:eastAsia="zh-CN"/>
        </w:rPr>
        <w:t>2</w:t>
      </w:r>
      <w:r>
        <w:rPr>
          <w:rFonts w:hint="eastAsia" w:ascii="仿宋_GB2312" w:eastAsia="仿宋_GB2312"/>
          <w:color w:val="auto"/>
        </w:rPr>
        <w:t>月</w:t>
      </w:r>
      <w:r>
        <w:rPr>
          <w:rFonts w:hint="eastAsia" w:ascii="仿宋_GB2312" w:eastAsia="仿宋_GB2312"/>
          <w:color w:val="auto"/>
          <w:lang w:val="en-US" w:eastAsia="zh-CN"/>
        </w:rPr>
        <w:t>28</w:t>
      </w:r>
      <w:r>
        <w:rPr>
          <w:rFonts w:hint="eastAsia" w:ascii="仿宋_GB2312" w:eastAsia="仿宋_GB2312"/>
          <w:color w:val="auto"/>
        </w:rPr>
        <w:t>日</w:t>
      </w:r>
    </w:p>
    <w:sectPr>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C4B02"/>
    <w:multiLevelType w:val="singleLevel"/>
    <w:tmpl w:val="40FC4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30650D"/>
    <w:rsid w:val="01D03FEC"/>
    <w:rsid w:val="01D159D9"/>
    <w:rsid w:val="01ED35F8"/>
    <w:rsid w:val="02224966"/>
    <w:rsid w:val="027166F5"/>
    <w:rsid w:val="028647C1"/>
    <w:rsid w:val="033476DA"/>
    <w:rsid w:val="070865B3"/>
    <w:rsid w:val="086B7063"/>
    <w:rsid w:val="09FA59E7"/>
    <w:rsid w:val="0A6A6715"/>
    <w:rsid w:val="0A9F631F"/>
    <w:rsid w:val="0B5C453E"/>
    <w:rsid w:val="0BF719CD"/>
    <w:rsid w:val="0C54570B"/>
    <w:rsid w:val="0C562ECC"/>
    <w:rsid w:val="0E75128A"/>
    <w:rsid w:val="101616EC"/>
    <w:rsid w:val="121E59B9"/>
    <w:rsid w:val="140D6837"/>
    <w:rsid w:val="14360E9D"/>
    <w:rsid w:val="158942BB"/>
    <w:rsid w:val="167429F4"/>
    <w:rsid w:val="16CC5B36"/>
    <w:rsid w:val="16E81710"/>
    <w:rsid w:val="17565A99"/>
    <w:rsid w:val="18757D21"/>
    <w:rsid w:val="1A1F4F6D"/>
    <w:rsid w:val="1B5F06EB"/>
    <w:rsid w:val="1DD57521"/>
    <w:rsid w:val="1DDE1448"/>
    <w:rsid w:val="1E3A67FD"/>
    <w:rsid w:val="1E461FF2"/>
    <w:rsid w:val="1EC34D55"/>
    <w:rsid w:val="20095B14"/>
    <w:rsid w:val="214B4C99"/>
    <w:rsid w:val="21D23C17"/>
    <w:rsid w:val="23AC2B40"/>
    <w:rsid w:val="262C5193"/>
    <w:rsid w:val="26423EFF"/>
    <w:rsid w:val="26C7259C"/>
    <w:rsid w:val="27240C18"/>
    <w:rsid w:val="27BA1B7C"/>
    <w:rsid w:val="27C03033"/>
    <w:rsid w:val="2C36248E"/>
    <w:rsid w:val="2C9A7D53"/>
    <w:rsid w:val="2F5D4677"/>
    <w:rsid w:val="2FBE547D"/>
    <w:rsid w:val="302837E4"/>
    <w:rsid w:val="306D20D8"/>
    <w:rsid w:val="3073000C"/>
    <w:rsid w:val="327E2D1A"/>
    <w:rsid w:val="33703068"/>
    <w:rsid w:val="33741DC8"/>
    <w:rsid w:val="33B11EC4"/>
    <w:rsid w:val="34711A93"/>
    <w:rsid w:val="35B4328A"/>
    <w:rsid w:val="36452C6E"/>
    <w:rsid w:val="36E44291"/>
    <w:rsid w:val="3A8E5140"/>
    <w:rsid w:val="3B125EF8"/>
    <w:rsid w:val="3C691245"/>
    <w:rsid w:val="3CC037A8"/>
    <w:rsid w:val="3D1B1474"/>
    <w:rsid w:val="3DD36518"/>
    <w:rsid w:val="3E237685"/>
    <w:rsid w:val="3F4E171F"/>
    <w:rsid w:val="45E80663"/>
    <w:rsid w:val="46BE060E"/>
    <w:rsid w:val="484F7B35"/>
    <w:rsid w:val="485A6652"/>
    <w:rsid w:val="48AE3800"/>
    <w:rsid w:val="4993613B"/>
    <w:rsid w:val="49B07B17"/>
    <w:rsid w:val="4A9B4753"/>
    <w:rsid w:val="4AB744D3"/>
    <w:rsid w:val="4BE51D09"/>
    <w:rsid w:val="4E501075"/>
    <w:rsid w:val="4E6A7DDF"/>
    <w:rsid w:val="51DB6FAB"/>
    <w:rsid w:val="52A93A25"/>
    <w:rsid w:val="54952865"/>
    <w:rsid w:val="573C59EC"/>
    <w:rsid w:val="59C37FAB"/>
    <w:rsid w:val="5A107B8D"/>
    <w:rsid w:val="5A42464D"/>
    <w:rsid w:val="5B2C0540"/>
    <w:rsid w:val="5F010883"/>
    <w:rsid w:val="5F8A0C3E"/>
    <w:rsid w:val="5FBA4E4C"/>
    <w:rsid w:val="60E0450D"/>
    <w:rsid w:val="61040EA5"/>
    <w:rsid w:val="616854FA"/>
    <w:rsid w:val="61D7797F"/>
    <w:rsid w:val="657A6729"/>
    <w:rsid w:val="67990F2E"/>
    <w:rsid w:val="68EA26DC"/>
    <w:rsid w:val="6A476406"/>
    <w:rsid w:val="6A737633"/>
    <w:rsid w:val="6BB53802"/>
    <w:rsid w:val="6DF731D4"/>
    <w:rsid w:val="6F5D6120"/>
    <w:rsid w:val="6FAB56DD"/>
    <w:rsid w:val="711235A4"/>
    <w:rsid w:val="71332ADA"/>
    <w:rsid w:val="71C43F12"/>
    <w:rsid w:val="72D17DDC"/>
    <w:rsid w:val="76184CB6"/>
    <w:rsid w:val="78485F58"/>
    <w:rsid w:val="790B44B7"/>
    <w:rsid w:val="798D56F0"/>
    <w:rsid w:val="798D6140"/>
    <w:rsid w:val="7AA95265"/>
    <w:rsid w:val="7B41207C"/>
    <w:rsid w:val="7C8778FD"/>
    <w:rsid w:val="7D7A2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link w:val="15"/>
    <w:unhideWhenUsed/>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rFonts w:ascii="Times New Roman" w:hAnsi="Times New Roman" w:eastAsia="华文仿宋" w:cs="Times New Roman"/>
      <w:sz w:val="18"/>
      <w:szCs w:val="18"/>
    </w:rPr>
  </w:style>
  <w:style w:type="character" w:customStyle="1" w:styleId="12">
    <w:name w:val="页脚 Char"/>
    <w:basedOn w:val="9"/>
    <w:link w:val="5"/>
    <w:semiHidden/>
    <w:qFormat/>
    <w:uiPriority w:val="99"/>
    <w:rPr>
      <w:rFonts w:ascii="Times New Roman" w:hAnsi="Times New Roman" w:eastAsia="华文仿宋" w:cs="Times New Roman"/>
      <w:sz w:val="18"/>
      <w:szCs w:val="18"/>
    </w:rPr>
  </w:style>
  <w:style w:type="character" w:customStyle="1" w:styleId="13">
    <w:name w:val="文档结构图 Char"/>
    <w:basedOn w:val="9"/>
    <w:link w:val="2"/>
    <w:semiHidden/>
    <w:qFormat/>
    <w:uiPriority w:val="99"/>
    <w:rPr>
      <w:rFonts w:ascii="宋体"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华文仿宋" w:cs="Times New Roman"/>
      <w:sz w:val="18"/>
      <w:szCs w:val="18"/>
    </w:rPr>
  </w:style>
  <w:style w:type="character" w:customStyle="1" w:styleId="15">
    <w:name w:val="批注文字 Char"/>
    <w:basedOn w:val="9"/>
    <w:link w:val="3"/>
    <w:qFormat/>
    <w:uiPriority w:val="0"/>
    <w:rPr>
      <w:rFonts w:ascii="Times New Roman" w:hAnsi="Times New Roman" w:eastAsia="华文仿宋" w:cs="Times New Roman"/>
      <w:sz w:val="32"/>
      <w:szCs w:val="24"/>
    </w:rPr>
  </w:style>
  <w:style w:type="character" w:customStyle="1" w:styleId="16">
    <w:name w:val="批注主题 Char"/>
    <w:basedOn w:val="15"/>
    <w:link w:val="7"/>
    <w:semiHidden/>
    <w:qFormat/>
    <w:uiPriority w:val="99"/>
    <w:rPr>
      <w:rFonts w:ascii="Times New Roman" w:hAnsi="Times New Roman" w:eastAsia="华文仿宋" w:cs="Times New Roman"/>
      <w:b/>
      <w:bCs/>
      <w:sz w:val="32"/>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13</TotalTime>
  <ScaleCrop>false</ScaleCrop>
  <LinksUpToDate>false</LinksUpToDate>
  <CharactersWithSpaces>1508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嘟嘟妈</cp:lastModifiedBy>
  <cp:lastPrinted>2020-02-14T08:29:00Z</cp:lastPrinted>
  <dcterms:modified xsi:type="dcterms:W3CDTF">2020-05-22T02:33:07Z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