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益阳市</w:t>
      </w:r>
      <w:r>
        <w:rPr>
          <w:rFonts w:hint="eastAsia" w:ascii="宋体" w:hAnsi="宋体" w:eastAsia="宋体" w:cs="宋体"/>
          <w:b/>
          <w:bCs/>
          <w:sz w:val="44"/>
          <w:szCs w:val="44"/>
          <w:lang w:eastAsia="zh-CN"/>
        </w:rPr>
        <w:t>西流湾电排管理站</w:t>
      </w:r>
    </w:p>
    <w:p>
      <w:pPr>
        <w:spacing w:line="600" w:lineRule="exact"/>
        <w:jc w:val="center"/>
        <w:rPr>
          <w:rFonts w:ascii="宋体" w:hAnsi="宋体" w:eastAsia="宋体" w:cs="宋体"/>
          <w:b/>
          <w:bCs/>
          <w:color w:val="000000"/>
          <w:sz w:val="44"/>
          <w:szCs w:val="44"/>
          <w:shd w:val="clear" w:color="auto" w:fill="FFFFFF"/>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年整体支出绩效自评报告</w:t>
      </w:r>
    </w:p>
    <w:p>
      <w:pPr>
        <w:spacing w:line="600" w:lineRule="exact"/>
        <w:ind w:firstLine="640" w:firstLineChars="200"/>
        <w:jc w:val="left"/>
        <w:rPr>
          <w:rFonts w:ascii="方正仿宋简体" w:hAnsi="方正仿宋简体" w:eastAsia="方正仿宋简体" w:cs="方正仿宋简体"/>
          <w:color w:val="000000"/>
          <w:sz w:val="32"/>
          <w:szCs w:val="32"/>
          <w:shd w:val="clear" w:color="auto" w:fill="FFFFFF"/>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落实《中共中央国务院关于全面实施预算绩效管理的意见》（中发〔2018〕34号）文件精神，不断增强预算绩效理念，强化部门支出责任,推进全面实施预算绩效管理，提高财政资金使用效益，根据益阳市财政关于开展202</w:t>
      </w:r>
      <w:r>
        <w:rPr>
          <w:rFonts w:hint="eastAsia" w:ascii="仿宋" w:hAnsi="仿宋" w:eastAsia="仿宋" w:cs="仿宋"/>
          <w:sz w:val="32"/>
          <w:szCs w:val="32"/>
          <w:lang w:val="en-US" w:eastAsia="zh-CN"/>
        </w:rPr>
        <w:t>3</w:t>
      </w:r>
      <w:r>
        <w:rPr>
          <w:rFonts w:hint="eastAsia" w:ascii="仿宋" w:hAnsi="仿宋" w:eastAsia="仿宋" w:cs="仿宋"/>
          <w:sz w:val="32"/>
          <w:szCs w:val="32"/>
        </w:rPr>
        <w:t>年度部门绩效自评工作的通知》要求，我</w:t>
      </w:r>
      <w:r>
        <w:rPr>
          <w:rFonts w:hint="eastAsia" w:ascii="仿宋" w:hAnsi="仿宋" w:eastAsia="仿宋" w:cs="仿宋"/>
          <w:sz w:val="32"/>
          <w:szCs w:val="32"/>
          <w:lang w:eastAsia="zh-CN"/>
        </w:rPr>
        <w:t>站</w:t>
      </w:r>
      <w:r>
        <w:rPr>
          <w:rFonts w:hint="eastAsia" w:ascii="仿宋" w:hAnsi="仿宋" w:eastAsia="仿宋" w:cs="仿宋"/>
          <w:sz w:val="32"/>
          <w:szCs w:val="32"/>
        </w:rPr>
        <w:t>认真组织开展了202</w:t>
      </w:r>
      <w:r>
        <w:rPr>
          <w:rFonts w:hint="eastAsia" w:ascii="仿宋" w:hAnsi="仿宋" w:eastAsia="仿宋" w:cs="仿宋"/>
          <w:sz w:val="32"/>
          <w:szCs w:val="32"/>
          <w:lang w:val="en-US" w:eastAsia="zh-CN"/>
        </w:rPr>
        <w:t>3</w:t>
      </w:r>
      <w:r>
        <w:rPr>
          <w:rFonts w:hint="eastAsia" w:ascii="仿宋" w:hAnsi="仿宋" w:eastAsia="仿宋" w:cs="仿宋"/>
          <w:sz w:val="32"/>
          <w:szCs w:val="32"/>
        </w:rPr>
        <w:t>年整体支出绩效自评工作。现将有关情况报告如下：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单位基本情况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益阳市</w:t>
      </w:r>
      <w:r>
        <w:rPr>
          <w:rFonts w:hint="eastAsia" w:ascii="仿宋" w:hAnsi="仿宋" w:eastAsia="仿宋" w:cs="仿宋"/>
          <w:sz w:val="32"/>
          <w:szCs w:val="32"/>
          <w:lang w:eastAsia="zh-CN"/>
        </w:rPr>
        <w:t>西流湾电排管理站</w:t>
      </w:r>
      <w:r>
        <w:rPr>
          <w:rFonts w:hint="eastAsia" w:ascii="仿宋" w:hAnsi="仿宋" w:eastAsia="仿宋" w:cs="仿宋"/>
          <w:sz w:val="32"/>
          <w:szCs w:val="32"/>
        </w:rPr>
        <w:t>负责</w:t>
      </w:r>
      <w:r>
        <w:rPr>
          <w:rFonts w:hint="eastAsia" w:ascii="仿宋" w:hAnsi="仿宋" w:eastAsia="仿宋" w:cs="仿宋"/>
          <w:sz w:val="32"/>
          <w:szCs w:val="32"/>
          <w:lang w:val="en-US" w:eastAsia="zh-CN"/>
        </w:rPr>
        <w:t>西流湾地区的排渍、污水提升等工作。</w:t>
      </w:r>
      <w:r>
        <w:rPr>
          <w:rFonts w:hint="eastAsia" w:ascii="仿宋" w:hAnsi="仿宋" w:eastAsia="仿宋" w:cs="仿宋"/>
          <w:sz w:val="32"/>
          <w:szCs w:val="32"/>
        </w:rPr>
        <w:t>主要承担康复路以西，迎宾路以北9.58平方千米内170多家政府部门企事业单位的排渍、污水提升任务，服务的对象是秀峰片区12万余人广大市民。</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本单位编制数24人，在职人员2</w:t>
      </w:r>
      <w:r>
        <w:rPr>
          <w:rFonts w:hint="eastAsia" w:ascii="仿宋" w:hAnsi="仿宋" w:eastAsia="仿宋" w:cs="仿宋"/>
          <w:sz w:val="32"/>
          <w:szCs w:val="32"/>
          <w:lang w:val="en-US" w:eastAsia="zh-CN"/>
        </w:rPr>
        <w:t>1</w:t>
      </w:r>
      <w:r>
        <w:rPr>
          <w:rFonts w:hint="eastAsia" w:ascii="仿宋" w:hAnsi="仿宋" w:eastAsia="仿宋" w:cs="仿宋"/>
          <w:sz w:val="32"/>
          <w:szCs w:val="32"/>
        </w:rPr>
        <w:t>人（配一正二副），</w:t>
      </w:r>
      <w:r>
        <w:rPr>
          <w:rFonts w:hint="eastAsia" w:ascii="仿宋" w:hAnsi="仿宋" w:eastAsia="仿宋" w:cs="仿宋"/>
          <w:color w:val="000000"/>
          <w:sz w:val="32"/>
          <w:szCs w:val="32"/>
        </w:rPr>
        <w:t>退休人员</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人。</w:t>
      </w:r>
    </w:p>
    <w:p>
      <w:pPr>
        <w:spacing w:line="560" w:lineRule="exact"/>
        <w:ind w:firstLine="640" w:firstLineChars="200"/>
        <w:rPr>
          <w:rFonts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二、整体收入支出情况</w:t>
      </w:r>
    </w:p>
    <w:p>
      <w:pPr>
        <w:spacing w:after="1" w:line="560" w:lineRule="exact"/>
        <w:ind w:firstLine="630"/>
        <w:rPr>
          <w:rFonts w:ascii="仿宋" w:hAnsi="仿宋" w:eastAsia="仿宋" w:cs="仿宋"/>
          <w:color w:val="000000"/>
          <w:sz w:val="32"/>
          <w:szCs w:val="32"/>
        </w:rPr>
      </w:pPr>
      <w:r>
        <w:rPr>
          <w:rFonts w:hint="eastAsia" w:ascii="楷体" w:hAnsi="楷体" w:eastAsia="楷体" w:cs="楷体"/>
          <w:b/>
          <w:bCs/>
          <w:sz w:val="32"/>
          <w:szCs w:val="32"/>
        </w:rPr>
        <w:t>（一）202</w:t>
      </w: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年度收入总计</w:t>
      </w:r>
      <w:r>
        <w:rPr>
          <w:rFonts w:hint="eastAsia" w:ascii="楷体" w:hAnsi="楷体" w:eastAsia="楷体" w:cs="楷体"/>
          <w:b/>
          <w:bCs/>
          <w:sz w:val="32"/>
          <w:szCs w:val="32"/>
          <w:lang w:val="en-US" w:eastAsia="zh-CN"/>
        </w:rPr>
        <w:t>687.51万元</w:t>
      </w:r>
      <w:r>
        <w:rPr>
          <w:rFonts w:hint="eastAsia" w:ascii="楷体" w:hAnsi="楷体" w:eastAsia="楷体" w:cs="楷体"/>
          <w:b/>
          <w:bCs/>
          <w:sz w:val="32"/>
          <w:szCs w:val="32"/>
        </w:rPr>
        <w:t>。</w:t>
      </w:r>
      <w:r>
        <w:rPr>
          <w:rFonts w:hint="eastAsia" w:ascii="仿宋" w:hAnsi="仿宋" w:eastAsia="仿宋" w:cs="仿宋"/>
          <w:color w:val="000000"/>
          <w:sz w:val="32"/>
          <w:szCs w:val="32"/>
        </w:rPr>
        <w:t>其中一般公共预算资金：</w:t>
      </w:r>
      <w:r>
        <w:rPr>
          <w:rFonts w:hint="eastAsia" w:ascii="仿宋" w:hAnsi="仿宋" w:eastAsia="仿宋" w:cs="仿宋"/>
          <w:color w:val="000000"/>
          <w:sz w:val="32"/>
          <w:szCs w:val="32"/>
          <w:lang w:val="en-US" w:eastAsia="zh-CN"/>
        </w:rPr>
        <w:t>658</w:t>
      </w:r>
      <w:r>
        <w:rPr>
          <w:rFonts w:hint="eastAsia" w:ascii="仿宋" w:hAnsi="仿宋" w:eastAsia="仿宋" w:cs="仿宋"/>
          <w:color w:val="000000"/>
          <w:sz w:val="32"/>
          <w:szCs w:val="32"/>
        </w:rPr>
        <w:t>万元；政府性基金预算资金：</w:t>
      </w:r>
      <w:r>
        <w:rPr>
          <w:rFonts w:hint="eastAsia" w:ascii="仿宋" w:hAnsi="仿宋" w:eastAsia="仿宋" w:cs="仿宋"/>
          <w:color w:val="000000"/>
          <w:sz w:val="32"/>
          <w:szCs w:val="32"/>
          <w:lang w:val="en-US" w:eastAsia="zh-CN"/>
        </w:rPr>
        <w:t>29.51</w:t>
      </w:r>
      <w:r>
        <w:rPr>
          <w:rFonts w:hint="eastAsia" w:ascii="仿宋" w:hAnsi="仿宋" w:eastAsia="仿宋" w:cs="仿宋"/>
          <w:color w:val="000000"/>
          <w:sz w:val="32"/>
          <w:szCs w:val="32"/>
        </w:rPr>
        <w:t>万元。</w:t>
      </w:r>
    </w:p>
    <w:p>
      <w:pPr>
        <w:spacing w:after="1" w:line="560" w:lineRule="exact"/>
        <w:ind w:firstLine="630"/>
        <w:rPr>
          <w:rFonts w:hint="default" w:ascii="仿宋" w:hAnsi="仿宋" w:eastAsia="仿宋" w:cs="仿宋"/>
          <w:color w:val="FF0000"/>
          <w:sz w:val="32"/>
          <w:szCs w:val="32"/>
          <w:lang w:val="en-US" w:eastAsia="zh-CN"/>
        </w:rPr>
      </w:pPr>
      <w:r>
        <w:rPr>
          <w:rFonts w:hint="eastAsia" w:ascii="楷体" w:hAnsi="楷体" w:eastAsia="楷体" w:cs="楷体"/>
          <w:b/>
          <w:bCs/>
          <w:sz w:val="32"/>
          <w:szCs w:val="32"/>
        </w:rPr>
        <w:t>（二）202</w:t>
      </w: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年度支出总计</w:t>
      </w:r>
      <w:r>
        <w:rPr>
          <w:rFonts w:hint="eastAsia" w:ascii="楷体" w:hAnsi="楷体" w:eastAsia="楷体" w:cs="楷体"/>
          <w:b/>
          <w:bCs/>
          <w:sz w:val="32"/>
          <w:szCs w:val="32"/>
          <w:lang w:val="en-US" w:eastAsia="zh-CN"/>
        </w:rPr>
        <w:t>687.51</w:t>
      </w:r>
      <w:r>
        <w:rPr>
          <w:rFonts w:hint="eastAsia" w:ascii="楷体" w:hAnsi="楷体" w:eastAsia="楷体" w:cs="楷体"/>
          <w:b/>
          <w:bCs/>
          <w:sz w:val="32"/>
          <w:szCs w:val="32"/>
        </w:rPr>
        <w:t>万元。</w:t>
      </w:r>
      <w:r>
        <w:rPr>
          <w:rFonts w:hint="eastAsia" w:ascii="仿宋" w:hAnsi="仿宋" w:eastAsia="仿宋" w:cs="仿宋"/>
          <w:color w:val="000000"/>
          <w:sz w:val="32"/>
          <w:szCs w:val="32"/>
        </w:rPr>
        <w:t>一般公共预算资金：</w:t>
      </w:r>
      <w:r>
        <w:rPr>
          <w:rFonts w:hint="eastAsia" w:ascii="仿宋" w:hAnsi="仿宋" w:eastAsia="仿宋" w:cs="仿宋"/>
          <w:color w:val="000000"/>
          <w:sz w:val="32"/>
          <w:szCs w:val="32"/>
          <w:lang w:val="en-US" w:eastAsia="zh-CN"/>
        </w:rPr>
        <w:t>658</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其中基本支出</w:t>
      </w:r>
      <w:r>
        <w:rPr>
          <w:rFonts w:hint="eastAsia" w:ascii="仿宋" w:hAnsi="仿宋" w:eastAsia="仿宋" w:cs="仿宋"/>
          <w:color w:val="000000"/>
          <w:sz w:val="32"/>
          <w:szCs w:val="32"/>
          <w:lang w:val="en-US" w:eastAsia="zh-CN"/>
        </w:rPr>
        <w:t>393万元、项目支出294.51万元。</w:t>
      </w:r>
    </w:p>
    <w:p>
      <w:pPr>
        <w:pStyle w:val="4"/>
      </w:pPr>
      <w:r>
        <w:rPr>
          <w:rFonts w:hint="eastAsia"/>
        </w:rPr>
        <w:t xml:space="preserve"> </w:t>
      </w:r>
    </w:p>
    <w:tbl>
      <w:tblPr>
        <w:tblStyle w:val="7"/>
        <w:tblW w:w="7650" w:type="dxa"/>
        <w:jc w:val="center"/>
        <w:tblLayout w:type="autofit"/>
        <w:tblCellMar>
          <w:top w:w="0" w:type="dxa"/>
          <w:left w:w="108" w:type="dxa"/>
          <w:bottom w:w="0" w:type="dxa"/>
          <w:right w:w="108" w:type="dxa"/>
        </w:tblCellMar>
      </w:tblPr>
      <w:tblGrid>
        <w:gridCol w:w="3137"/>
        <w:gridCol w:w="4513"/>
      </w:tblGrid>
      <w:tr>
        <w:tblPrEx>
          <w:tblCellMar>
            <w:top w:w="0" w:type="dxa"/>
            <w:left w:w="108" w:type="dxa"/>
            <w:bottom w:w="0" w:type="dxa"/>
            <w:right w:w="108" w:type="dxa"/>
          </w:tblCellMar>
        </w:tblPrEx>
        <w:trPr>
          <w:trHeight w:val="545"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新宋体" w:hAnsi="新宋体" w:eastAsia="新宋体" w:cs="新宋体"/>
                <w:b/>
                <w:bCs/>
                <w:color w:val="000000"/>
                <w:sz w:val="20"/>
                <w:szCs w:val="20"/>
              </w:rPr>
            </w:pPr>
            <w:r>
              <w:rPr>
                <w:rFonts w:hint="eastAsia" w:ascii="新宋体" w:hAnsi="新宋体" w:eastAsia="新宋体" w:cs="新宋体"/>
                <w:b/>
                <w:bCs/>
                <w:color w:val="000000"/>
                <w:sz w:val="20"/>
                <w:szCs w:val="20"/>
              </w:rPr>
              <w:t>基本支出</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sz w:val="20"/>
                <w:szCs w:val="20"/>
              </w:rPr>
              <w:t>202</w:t>
            </w:r>
            <w:r>
              <w:rPr>
                <w:rFonts w:hint="eastAsia" w:ascii="新宋体" w:hAnsi="新宋体" w:eastAsia="新宋体" w:cs="新宋体"/>
                <w:b/>
                <w:bCs/>
                <w:color w:val="000000"/>
                <w:sz w:val="20"/>
                <w:szCs w:val="20"/>
                <w:lang w:val="en-US" w:eastAsia="zh-CN"/>
              </w:rPr>
              <w:t>3</w:t>
            </w:r>
            <w:r>
              <w:rPr>
                <w:rFonts w:hint="eastAsia" w:ascii="新宋体" w:hAnsi="新宋体" w:eastAsia="新宋体" w:cs="新宋体"/>
                <w:b/>
                <w:bCs/>
                <w:color w:val="000000"/>
                <w:sz w:val="20"/>
                <w:szCs w:val="20"/>
              </w:rPr>
              <w:t>年支出</w:t>
            </w:r>
          </w:p>
        </w:tc>
      </w:tr>
      <w:tr>
        <w:tblPrEx>
          <w:tblCellMar>
            <w:top w:w="0" w:type="dxa"/>
            <w:left w:w="108" w:type="dxa"/>
            <w:bottom w:w="0" w:type="dxa"/>
            <w:right w:w="108" w:type="dxa"/>
          </w:tblCellMar>
        </w:tblPrEx>
        <w:trPr>
          <w:trHeight w:val="4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rPr>
              <w:t>合    计</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lang w:val="en-US" w:eastAsia="zh-CN"/>
              </w:rPr>
              <w:t>393</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rPr>
              <w:t>工资及福利支出</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lang w:val="en-US" w:eastAsia="zh-CN"/>
              </w:rPr>
              <w:t>343.44</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325"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基本工资</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102.3</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333"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 xml:space="preserve">  绩效工资</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152.88</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402"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机关事业单位基本养老保险缴费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29.66</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402"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 xml:space="preserve">  职工基本医疗保险缴费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18.17</w:t>
            </w:r>
          </w:p>
        </w:tc>
      </w:tr>
      <w:tr>
        <w:tblPrEx>
          <w:tblCellMar>
            <w:top w:w="0" w:type="dxa"/>
            <w:left w:w="108" w:type="dxa"/>
            <w:bottom w:w="0" w:type="dxa"/>
            <w:right w:w="108" w:type="dxa"/>
          </w:tblCellMar>
        </w:tblPrEx>
        <w:trPr>
          <w:trHeight w:val="339"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 xml:space="preserve">  公务员医疗补助缴费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8.74</w:t>
            </w:r>
          </w:p>
        </w:tc>
      </w:tr>
      <w:tr>
        <w:tblPrEx>
          <w:tblCellMar>
            <w:top w:w="0" w:type="dxa"/>
            <w:left w:w="108" w:type="dxa"/>
            <w:bottom w:w="0" w:type="dxa"/>
            <w:right w:w="108" w:type="dxa"/>
          </w:tblCellMar>
        </w:tblPrEx>
        <w:trPr>
          <w:trHeight w:val="365"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 xml:space="preserve">  其他社会保障缴费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0.87</w:t>
            </w:r>
          </w:p>
        </w:tc>
      </w:tr>
      <w:tr>
        <w:tblPrEx>
          <w:tblCellMar>
            <w:top w:w="0" w:type="dxa"/>
            <w:left w:w="108" w:type="dxa"/>
            <w:bottom w:w="0" w:type="dxa"/>
            <w:right w:w="108" w:type="dxa"/>
          </w:tblCellMar>
        </w:tblPrEx>
        <w:trPr>
          <w:trHeight w:val="325"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 xml:space="preserve">  住房公积金</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30.82</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rPr>
              <w:t>商品和服务支出</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新宋体" w:hAnsi="新宋体" w:eastAsia="新宋体" w:cs="新宋体"/>
                <w:b/>
                <w:bCs/>
                <w:color w:val="008000"/>
                <w:sz w:val="16"/>
                <w:szCs w:val="16"/>
              </w:rPr>
            </w:pPr>
            <w:r>
              <w:rPr>
                <w:rFonts w:hint="eastAsia" w:ascii="宋体" w:hAnsi="宋体" w:eastAsia="宋体" w:cs="宋体"/>
                <w:b/>
                <w:bCs/>
                <w:color w:val="000000"/>
                <w:kern w:val="0"/>
                <w:sz w:val="20"/>
                <w:szCs w:val="20"/>
                <w:lang w:val="en-US" w:eastAsia="zh-CN"/>
              </w:rPr>
              <w:t>24.37</w:t>
            </w:r>
            <w:r>
              <w:rPr>
                <w:rFonts w:hint="eastAsia" w:ascii="新宋体" w:hAnsi="新宋体" w:eastAsia="新宋体" w:cs="新宋体"/>
                <w:b/>
                <w:bCs/>
                <w:color w:val="008000"/>
                <w:kern w:val="0"/>
                <w:sz w:val="16"/>
                <w:szCs w:val="16"/>
              </w:rPr>
              <w:t xml:space="preserve"> </w:t>
            </w:r>
          </w:p>
        </w:tc>
      </w:tr>
      <w:tr>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办公费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0.78</w:t>
            </w:r>
          </w:p>
        </w:tc>
      </w:tr>
      <w:tr>
        <w:tblPrEx>
          <w:tblCellMar>
            <w:top w:w="0" w:type="dxa"/>
            <w:left w:w="108" w:type="dxa"/>
            <w:bottom w:w="0" w:type="dxa"/>
            <w:right w:w="108" w:type="dxa"/>
          </w:tblCellMar>
        </w:tblPrEx>
        <w:trPr>
          <w:trHeight w:val="3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200" w:firstLineChars="100"/>
              <w:jc w:val="left"/>
              <w:textAlignment w:val="bottom"/>
              <w:rPr>
                <w:rFonts w:hint="eastAsia" w:ascii="新宋体" w:hAnsi="新宋体" w:eastAsia="新宋体" w:cs="新宋体"/>
                <w:color w:val="000000"/>
                <w:kern w:val="0"/>
                <w:sz w:val="20"/>
                <w:szCs w:val="20"/>
                <w:lang w:eastAsia="zh-CN"/>
              </w:rPr>
            </w:pPr>
            <w:r>
              <w:rPr>
                <w:rFonts w:hint="eastAsia" w:ascii="新宋体" w:hAnsi="新宋体" w:eastAsia="新宋体" w:cs="新宋体"/>
                <w:color w:val="000000"/>
                <w:kern w:val="0"/>
                <w:sz w:val="20"/>
                <w:szCs w:val="20"/>
                <w:lang w:eastAsia="zh-CN"/>
              </w:rPr>
              <w:t>水费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0.07</w:t>
            </w:r>
          </w:p>
        </w:tc>
      </w:tr>
      <w:tr>
        <w:tblPrEx>
          <w:tblCellMar>
            <w:top w:w="0" w:type="dxa"/>
            <w:left w:w="108" w:type="dxa"/>
            <w:bottom w:w="0" w:type="dxa"/>
            <w:right w:w="108" w:type="dxa"/>
          </w:tblCellMar>
        </w:tblPrEx>
        <w:trPr>
          <w:trHeight w:val="3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hint="default" w:ascii="新宋体" w:hAnsi="新宋体" w:eastAsia="新宋体" w:cs="新宋体"/>
                <w:color w:val="000000"/>
                <w:sz w:val="20"/>
                <w:szCs w:val="20"/>
                <w:lang w:val="en-US" w:eastAsia="zh-CN"/>
              </w:rPr>
            </w:pPr>
            <w:r>
              <w:rPr>
                <w:rFonts w:hint="eastAsia" w:ascii="新宋体" w:hAnsi="新宋体" w:eastAsia="新宋体" w:cs="新宋体"/>
                <w:color w:val="000000"/>
                <w:kern w:val="0"/>
                <w:sz w:val="20"/>
                <w:szCs w:val="20"/>
              </w:rPr>
              <w:t xml:space="preserve"> </w:t>
            </w:r>
            <w:r>
              <w:rPr>
                <w:rFonts w:hint="eastAsia" w:ascii="新宋体" w:hAnsi="新宋体" w:eastAsia="新宋体" w:cs="新宋体"/>
                <w:color w:val="000000"/>
                <w:kern w:val="0"/>
                <w:sz w:val="20"/>
                <w:szCs w:val="20"/>
                <w:lang w:val="en-US" w:eastAsia="zh-CN"/>
              </w:rPr>
              <w:t>工会经费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9.67</w:t>
            </w:r>
          </w:p>
        </w:tc>
      </w:tr>
      <w:tr>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维修（护）费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0.57</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200" w:firstLineChars="100"/>
              <w:jc w:val="left"/>
              <w:textAlignment w:val="bottom"/>
              <w:rPr>
                <w:rFonts w:hint="default" w:ascii="新宋体" w:hAnsi="新宋体" w:eastAsia="新宋体" w:cs="新宋体"/>
                <w:color w:val="000000"/>
                <w:kern w:val="0"/>
                <w:sz w:val="20"/>
                <w:szCs w:val="20"/>
                <w:lang w:val="en-US" w:eastAsia="zh-CN"/>
              </w:rPr>
            </w:pPr>
            <w:r>
              <w:rPr>
                <w:rFonts w:hint="eastAsia" w:ascii="新宋体" w:hAnsi="新宋体" w:eastAsia="新宋体" w:cs="新宋体"/>
                <w:color w:val="000000"/>
                <w:kern w:val="0"/>
                <w:sz w:val="20"/>
                <w:szCs w:val="20"/>
                <w:lang w:val="en-US" w:eastAsia="zh-CN"/>
              </w:rPr>
              <w:t>租赁费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0.12</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hint="default" w:ascii="新宋体" w:hAnsi="新宋体" w:eastAsia="新宋体" w:cs="新宋体"/>
                <w:color w:val="000000"/>
                <w:sz w:val="20"/>
                <w:szCs w:val="20"/>
                <w:lang w:val="en-US" w:eastAsia="zh-CN"/>
              </w:rPr>
            </w:pPr>
            <w:r>
              <w:rPr>
                <w:rFonts w:hint="eastAsia" w:ascii="新宋体" w:hAnsi="新宋体" w:eastAsia="新宋体" w:cs="新宋体"/>
                <w:color w:val="000000"/>
                <w:kern w:val="0"/>
                <w:sz w:val="20"/>
                <w:szCs w:val="20"/>
              </w:rPr>
              <w:t xml:space="preserve">  </w:t>
            </w:r>
            <w:r>
              <w:rPr>
                <w:rFonts w:hint="eastAsia" w:ascii="新宋体" w:hAnsi="新宋体" w:eastAsia="新宋体" w:cs="新宋体"/>
                <w:color w:val="000000"/>
                <w:kern w:val="0"/>
                <w:sz w:val="20"/>
                <w:szCs w:val="20"/>
                <w:lang w:val="en-US" w:eastAsia="zh-CN"/>
              </w:rPr>
              <w:t>培训费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0.96</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福利费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9.53</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其他交通费用</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新宋体" w:hAnsi="新宋体" w:eastAsia="新宋体" w:cs="新宋体"/>
                <w:color w:val="008000"/>
                <w:sz w:val="16"/>
                <w:szCs w:val="16"/>
                <w:lang w:val="en-US" w:eastAsia="zh-CN"/>
              </w:rPr>
              <w:t>0.53</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其他商品和服务支出</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2.14</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rPr>
              <w:t>对个人和家庭的补助</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lang w:val="en-US" w:eastAsia="zh-CN"/>
              </w:rPr>
              <w:t>23.89</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退休费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23.82</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其他对个人和家庭的补助</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0.07</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rPr>
              <w:t>资本性支出</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1.3</w:t>
            </w:r>
            <w:r>
              <w:rPr>
                <w:rFonts w:hint="eastAsia" w:ascii="宋体" w:hAnsi="宋体" w:eastAsia="宋体" w:cs="宋体"/>
                <w:b/>
                <w:bCs/>
                <w:color w:val="000000"/>
                <w:kern w:val="0"/>
                <w:sz w:val="20"/>
                <w:szCs w:val="20"/>
              </w:rPr>
              <w:t xml:space="preserve"> </w:t>
            </w:r>
          </w:p>
        </w:tc>
      </w:tr>
      <w:tr>
        <w:tblPrEx>
          <w:tblCellMar>
            <w:top w:w="0" w:type="dxa"/>
            <w:left w:w="108" w:type="dxa"/>
            <w:bottom w:w="0" w:type="dxa"/>
            <w:right w:w="108" w:type="dxa"/>
          </w:tblCellMar>
        </w:tblPrEx>
        <w:trPr>
          <w:trHeight w:val="402"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办公设备购置 </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1.3</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三、一般公共预算基本支出情况</w:t>
      </w:r>
    </w:p>
    <w:p>
      <w:pPr>
        <w:spacing w:line="560" w:lineRule="exact"/>
        <w:ind w:firstLine="640" w:firstLineChars="200"/>
        <w:rPr>
          <w:rFonts w:hint="default" w:ascii="楷体" w:hAnsi="楷体" w:eastAsia="仿宋" w:cs="楷体"/>
          <w:b/>
          <w:bCs/>
          <w:sz w:val="32"/>
          <w:szCs w:val="32"/>
          <w:lang w:val="en-US" w:eastAsia="zh-CN"/>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年一般公共预算基本支出</w:t>
      </w:r>
      <w:r>
        <w:rPr>
          <w:rFonts w:hint="eastAsia" w:ascii="仿宋" w:hAnsi="仿宋" w:eastAsia="仿宋" w:cs="仿宋"/>
          <w:color w:val="000000"/>
          <w:sz w:val="32"/>
          <w:szCs w:val="32"/>
          <w:lang w:val="en-US" w:eastAsia="zh-CN"/>
        </w:rPr>
        <w:t>658</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szCs w:val="32"/>
          <w:lang w:val="en-US" w:eastAsia="zh-CN"/>
        </w:rPr>
        <w:t>393万元为基本支出，294.51万元为项目支出。</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（一）基本支出情况</w:t>
      </w:r>
    </w:p>
    <w:p>
      <w:pPr>
        <w:spacing w:after="1" w:line="560" w:lineRule="exact"/>
        <w:ind w:firstLine="63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年基本支出</w:t>
      </w:r>
      <w:r>
        <w:rPr>
          <w:rFonts w:hint="eastAsia" w:ascii="仿宋" w:hAnsi="仿宋" w:eastAsia="仿宋" w:cs="仿宋"/>
          <w:color w:val="000000"/>
          <w:sz w:val="32"/>
          <w:szCs w:val="32"/>
          <w:lang w:val="en-US" w:eastAsia="zh-CN"/>
        </w:rPr>
        <w:t>393</w:t>
      </w:r>
      <w:r>
        <w:rPr>
          <w:rFonts w:hint="eastAsia" w:ascii="仿宋" w:hAnsi="仿宋" w:eastAsia="仿宋" w:cs="仿宋"/>
          <w:sz w:val="32"/>
          <w:szCs w:val="32"/>
        </w:rPr>
        <w:t>万元</w:t>
      </w:r>
      <w:r>
        <w:rPr>
          <w:rFonts w:hint="eastAsia" w:ascii="仿宋" w:hAnsi="仿宋" w:eastAsia="仿宋" w:cs="仿宋"/>
          <w:color w:val="000000"/>
          <w:sz w:val="32"/>
          <w:szCs w:val="32"/>
        </w:rPr>
        <w:t>，</w:t>
      </w:r>
      <w:r>
        <w:rPr>
          <w:rFonts w:hint="eastAsia" w:ascii="仿宋" w:hAnsi="仿宋" w:eastAsia="仿宋" w:cs="仿宋"/>
          <w:sz w:val="32"/>
          <w:szCs w:val="32"/>
        </w:rPr>
        <w:t>其中工资福利支出</w:t>
      </w:r>
      <w:r>
        <w:rPr>
          <w:rFonts w:hint="eastAsia" w:ascii="仿宋" w:hAnsi="仿宋" w:eastAsia="仿宋" w:cs="仿宋"/>
          <w:sz w:val="32"/>
          <w:szCs w:val="32"/>
          <w:lang w:val="en-US" w:eastAsia="zh-CN"/>
        </w:rPr>
        <w:t>343.44</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87.39</w:t>
      </w:r>
      <w:r>
        <w:rPr>
          <w:rFonts w:hint="eastAsia" w:ascii="仿宋" w:hAnsi="仿宋" w:eastAsia="仿宋" w:cs="仿宋"/>
          <w:sz w:val="32"/>
          <w:szCs w:val="32"/>
        </w:rPr>
        <w:t>%；商品服务支出</w:t>
      </w:r>
      <w:r>
        <w:rPr>
          <w:rFonts w:hint="eastAsia" w:ascii="仿宋" w:hAnsi="仿宋" w:eastAsia="仿宋" w:cs="仿宋"/>
          <w:sz w:val="32"/>
          <w:szCs w:val="32"/>
          <w:lang w:val="en-US" w:eastAsia="zh-CN"/>
        </w:rPr>
        <w:t>24.37</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6.2</w:t>
      </w:r>
      <w:r>
        <w:rPr>
          <w:rFonts w:hint="eastAsia" w:ascii="仿宋" w:hAnsi="仿宋" w:eastAsia="仿宋" w:cs="仿宋"/>
          <w:sz w:val="32"/>
          <w:szCs w:val="32"/>
        </w:rPr>
        <w:t>%；对个人和家庭的补助</w:t>
      </w:r>
      <w:r>
        <w:rPr>
          <w:rFonts w:hint="eastAsia" w:ascii="仿宋" w:hAnsi="仿宋" w:eastAsia="仿宋" w:cs="仿宋"/>
          <w:sz w:val="32"/>
          <w:szCs w:val="32"/>
          <w:lang w:val="en-US" w:eastAsia="zh-CN"/>
        </w:rPr>
        <w:t>23.89</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6.08</w:t>
      </w:r>
      <w:r>
        <w:rPr>
          <w:rFonts w:hint="eastAsia" w:ascii="仿宋" w:hAnsi="仿宋" w:eastAsia="仿宋" w:cs="仿宋"/>
          <w:sz w:val="32"/>
          <w:szCs w:val="32"/>
        </w:rPr>
        <w:t>%；资本性支出</w:t>
      </w:r>
      <w:r>
        <w:rPr>
          <w:rFonts w:hint="eastAsia" w:ascii="仿宋" w:hAnsi="仿宋" w:eastAsia="仿宋" w:cs="仿宋"/>
          <w:sz w:val="32"/>
          <w:szCs w:val="32"/>
          <w:lang w:val="en-US" w:eastAsia="zh-CN"/>
        </w:rPr>
        <w:t>1.3万元</w:t>
      </w:r>
      <w:r>
        <w:rPr>
          <w:rFonts w:hint="eastAsia" w:ascii="仿宋" w:hAnsi="仿宋" w:eastAsia="仿宋" w:cs="仿宋"/>
          <w:sz w:val="32"/>
          <w:szCs w:val="32"/>
        </w:rPr>
        <w:t>元，占总支出的0.</w:t>
      </w:r>
      <w:r>
        <w:rPr>
          <w:rFonts w:hint="eastAsia" w:ascii="仿宋" w:hAnsi="仿宋" w:eastAsia="仿宋" w:cs="仿宋"/>
          <w:sz w:val="32"/>
          <w:szCs w:val="32"/>
          <w:lang w:val="en-US" w:eastAsia="zh-CN"/>
        </w:rPr>
        <w:t>33</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（二）项目支出情况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年项目支出</w:t>
      </w:r>
      <w:r>
        <w:rPr>
          <w:rFonts w:hint="eastAsia" w:ascii="仿宋" w:hAnsi="仿宋" w:eastAsia="仿宋" w:cs="仿宋"/>
          <w:color w:val="000000"/>
          <w:sz w:val="32"/>
          <w:szCs w:val="32"/>
          <w:lang w:val="en-US" w:eastAsia="zh-CN"/>
        </w:rPr>
        <w:t>294.51</w:t>
      </w:r>
      <w:r>
        <w:rPr>
          <w:rFonts w:hint="eastAsia" w:ascii="仿宋" w:hAnsi="仿宋" w:eastAsia="仿宋" w:cs="仿宋"/>
          <w:sz w:val="32"/>
          <w:szCs w:val="32"/>
        </w:rPr>
        <w:t>万元，其中</w:t>
      </w:r>
      <w:r>
        <w:rPr>
          <w:rFonts w:hint="eastAsia" w:ascii="仿宋" w:hAnsi="仿宋" w:eastAsia="仿宋" w:cs="仿宋"/>
          <w:color w:val="000000"/>
          <w:sz w:val="32"/>
          <w:szCs w:val="32"/>
        </w:rPr>
        <w:t>一般公共预算资金：</w:t>
      </w:r>
      <w:r>
        <w:rPr>
          <w:rFonts w:hint="eastAsia" w:ascii="仿宋" w:hAnsi="仿宋" w:eastAsia="仿宋" w:cs="仿宋"/>
          <w:color w:val="000000"/>
          <w:sz w:val="32"/>
          <w:szCs w:val="32"/>
          <w:lang w:val="en-US" w:eastAsia="zh-CN"/>
        </w:rPr>
        <w:t>265</w:t>
      </w:r>
      <w:r>
        <w:rPr>
          <w:rFonts w:hint="eastAsia" w:ascii="仿宋" w:hAnsi="仿宋" w:eastAsia="仿宋" w:cs="仿宋"/>
          <w:color w:val="000000"/>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三、政府性基金预算支出情况</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年政府性基金财政拨款支出</w:t>
      </w:r>
      <w:r>
        <w:rPr>
          <w:rFonts w:hint="eastAsia" w:ascii="仿宋" w:hAnsi="仿宋" w:eastAsia="仿宋" w:cs="仿宋"/>
          <w:sz w:val="32"/>
          <w:szCs w:val="32"/>
          <w:lang w:val="en-US" w:eastAsia="zh-CN"/>
        </w:rPr>
        <w:t>29.51</w:t>
      </w:r>
      <w:r>
        <w:rPr>
          <w:rFonts w:hint="eastAsia" w:ascii="仿宋" w:hAnsi="仿宋" w:eastAsia="仿宋" w:cs="仿宋"/>
          <w:sz w:val="32"/>
          <w:szCs w:val="32"/>
        </w:rPr>
        <w:t>万元，全部为项目支出</w:t>
      </w:r>
      <w:r>
        <w:rPr>
          <w:rFonts w:hint="eastAsia" w:ascii="仿宋" w:hAnsi="仿宋" w:eastAsia="仿宋" w:cs="仿宋"/>
          <w:sz w:val="32"/>
          <w:szCs w:val="32"/>
          <w:lang w:eastAsia="zh-CN"/>
        </w:rPr>
        <w:t>。</w:t>
      </w:r>
    </w:p>
    <w:p>
      <w:pPr>
        <w:spacing w:line="560" w:lineRule="exact"/>
        <w:ind w:left="420" w:leftChars="200" w:firstLine="320" w:firstLineChars="100"/>
        <w:rPr>
          <w:rFonts w:ascii="黑体" w:hAnsi="黑体" w:eastAsia="黑体" w:cs="黑体"/>
          <w:sz w:val="32"/>
          <w:szCs w:val="32"/>
        </w:rPr>
      </w:pPr>
      <w:r>
        <w:rPr>
          <w:rFonts w:hint="eastAsia" w:ascii="黑体" w:hAnsi="黑体" w:eastAsia="黑体" w:cs="黑体"/>
          <w:sz w:val="32"/>
          <w:szCs w:val="32"/>
        </w:rPr>
        <w:t>四、国有资本经营预算支出情况</w:t>
      </w:r>
    </w:p>
    <w:p>
      <w:pPr>
        <w:spacing w:line="560" w:lineRule="exact"/>
        <w:ind w:firstLine="640" w:firstLineChars="200"/>
        <w:rPr>
          <w:rFonts w:ascii="方正仿宋简体" w:hAnsi="方正仿宋简体" w:eastAsia="方正仿宋简体" w:cs="方正仿宋简体"/>
          <w:sz w:val="32"/>
          <w:szCs w:val="32"/>
        </w:rPr>
      </w:pPr>
      <w:r>
        <w:rPr>
          <w:rFonts w:hint="eastAsia" w:ascii="仿宋" w:hAnsi="仿宋" w:eastAsia="仿宋" w:cs="仿宋"/>
          <w:sz w:val="32"/>
          <w:szCs w:val="32"/>
        </w:rPr>
        <w:t>我单位无国有资本经营预算支出。</w:t>
      </w:r>
    </w:p>
    <w:p>
      <w:pPr>
        <w:numPr>
          <w:ilvl w:val="0"/>
          <w:numId w:val="2"/>
        </w:numPr>
        <w:spacing w:line="560" w:lineRule="exact"/>
        <w:ind w:firstLine="640"/>
        <w:rPr>
          <w:rFonts w:ascii="黑体" w:hAnsi="黑体" w:eastAsia="黑体" w:cs="黑体"/>
          <w:sz w:val="32"/>
          <w:szCs w:val="32"/>
        </w:rPr>
      </w:pPr>
      <w:r>
        <w:rPr>
          <w:rFonts w:hint="eastAsia" w:ascii="黑体" w:hAnsi="黑体" w:eastAsia="黑体" w:cs="黑体"/>
          <w:sz w:val="32"/>
          <w:szCs w:val="32"/>
        </w:rPr>
        <w:t>社会保险基金预算支出情况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我单位无社会保险基金预算支出。</w:t>
      </w:r>
    </w:p>
    <w:p>
      <w:pPr>
        <w:numPr>
          <w:ilvl w:val="0"/>
          <w:numId w:val="2"/>
        </w:numPr>
        <w:spacing w:line="560" w:lineRule="exact"/>
        <w:ind w:firstLine="640"/>
        <w:rPr>
          <w:rFonts w:ascii="黑体" w:hAnsi="黑体" w:eastAsia="黑体" w:cs="黑体"/>
          <w:sz w:val="32"/>
          <w:szCs w:val="32"/>
        </w:rPr>
      </w:pPr>
      <w:r>
        <w:rPr>
          <w:rFonts w:hint="eastAsia" w:ascii="黑体" w:hAnsi="黑体" w:eastAsia="黑体" w:cs="黑体"/>
          <w:sz w:val="32"/>
          <w:szCs w:val="32"/>
        </w:rPr>
        <w:t>部门整体支出绩效情况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（一）预算执行方面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年年初预算</w:t>
      </w:r>
      <w:r>
        <w:rPr>
          <w:rFonts w:hint="eastAsia" w:ascii="仿宋" w:hAnsi="仿宋" w:eastAsia="仿宋" w:cs="仿宋"/>
          <w:sz w:val="32"/>
          <w:szCs w:val="32"/>
          <w:lang w:val="en-US" w:eastAsia="zh-CN"/>
        </w:rPr>
        <w:t>311.63</w:t>
      </w:r>
      <w:r>
        <w:rPr>
          <w:rFonts w:hint="eastAsia" w:ascii="仿宋" w:hAnsi="仿宋" w:eastAsia="仿宋" w:cs="仿宋"/>
          <w:sz w:val="32"/>
          <w:szCs w:val="32"/>
        </w:rPr>
        <w:t>万元，本年调整预算数</w:t>
      </w:r>
      <w:r>
        <w:rPr>
          <w:rFonts w:hint="eastAsia" w:ascii="仿宋" w:hAnsi="仿宋" w:eastAsia="仿宋" w:cs="仿宋"/>
          <w:sz w:val="32"/>
          <w:szCs w:val="32"/>
          <w:lang w:val="en-US" w:eastAsia="zh-CN"/>
        </w:rPr>
        <w:t>687.51</w:t>
      </w:r>
      <w:r>
        <w:rPr>
          <w:rFonts w:hint="eastAsia" w:ascii="仿宋" w:hAnsi="仿宋" w:eastAsia="仿宋" w:cs="仿宋"/>
          <w:sz w:val="32"/>
          <w:szCs w:val="32"/>
        </w:rPr>
        <w:t>万元，202</w:t>
      </w:r>
      <w:r>
        <w:rPr>
          <w:rFonts w:hint="eastAsia" w:ascii="仿宋" w:hAnsi="仿宋" w:eastAsia="仿宋" w:cs="仿宋"/>
          <w:sz w:val="32"/>
          <w:szCs w:val="32"/>
          <w:lang w:val="en-US" w:eastAsia="zh-CN"/>
        </w:rPr>
        <w:t>3</w:t>
      </w:r>
      <w:r>
        <w:rPr>
          <w:rFonts w:hint="eastAsia" w:ascii="仿宋" w:hAnsi="仿宋" w:eastAsia="仿宋" w:cs="仿宋"/>
          <w:sz w:val="32"/>
          <w:szCs w:val="32"/>
        </w:rPr>
        <w:t>年实际完成预算</w:t>
      </w:r>
      <w:r>
        <w:rPr>
          <w:rFonts w:hint="eastAsia" w:ascii="仿宋" w:hAnsi="仿宋" w:eastAsia="仿宋" w:cs="仿宋"/>
          <w:sz w:val="32"/>
          <w:szCs w:val="32"/>
          <w:lang w:val="en-US" w:eastAsia="zh-CN"/>
        </w:rPr>
        <w:t>687.51</w:t>
      </w:r>
      <w:r>
        <w:rPr>
          <w:rFonts w:hint="eastAsia" w:ascii="仿宋" w:hAnsi="仿宋" w:eastAsia="仿宋" w:cs="仿宋"/>
          <w:sz w:val="32"/>
          <w:szCs w:val="32"/>
        </w:rPr>
        <w:t>万元，预算完成率100</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年“三公经费”预算批复数1万元，全年实际支出“三公经费”0万元，“三公经费”节约率高。</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（二）预算管理方面</w:t>
      </w:r>
    </w:p>
    <w:p>
      <w:pPr>
        <w:pStyle w:val="6"/>
        <w:widowControl/>
        <w:shd w:val="clear" w:color="auto" w:fill="FFFFFF"/>
        <w:spacing w:beforeAutospacing="0" w:afterAutospacing="0" w:line="560" w:lineRule="exact"/>
        <w:ind w:firstLine="640" w:firstLineChars="200"/>
        <w:jc w:val="both"/>
        <w:rPr>
          <w:rFonts w:ascii="Calibri" w:hAnsi="Calibri" w:cs="Calibri"/>
          <w:color w:val="333333"/>
        </w:rPr>
      </w:pPr>
      <w:r>
        <w:rPr>
          <w:rFonts w:hint="eastAsia" w:ascii="仿宋" w:hAnsi="仿宋" w:eastAsia="仿宋" w:cs="仿宋"/>
          <w:color w:val="000000"/>
          <w:sz w:val="32"/>
          <w:szCs w:val="32"/>
          <w:shd w:val="clear" w:color="auto" w:fill="FFFFFF"/>
        </w:rPr>
        <w:t>严格</w:t>
      </w:r>
      <w:r>
        <w:rPr>
          <w:rFonts w:ascii="仿宋" w:hAnsi="仿宋" w:eastAsia="仿宋" w:cs="仿宋"/>
          <w:color w:val="000000"/>
          <w:sz w:val="32"/>
          <w:szCs w:val="32"/>
          <w:shd w:val="clear" w:color="auto" w:fill="FFFFFF"/>
        </w:rPr>
        <w:t>执行</w:t>
      </w:r>
      <w:r>
        <w:rPr>
          <w:rFonts w:hint="eastAsia" w:ascii="仿宋" w:hAnsi="仿宋" w:eastAsia="仿宋" w:cs="仿宋"/>
          <w:color w:val="000000"/>
          <w:sz w:val="32"/>
          <w:szCs w:val="32"/>
          <w:shd w:val="clear" w:color="auto" w:fill="FFFFFF"/>
        </w:rPr>
        <w:t>财务管理制度</w:t>
      </w:r>
      <w:r>
        <w:rPr>
          <w:rFonts w:ascii="仿宋" w:hAnsi="仿宋" w:eastAsia="仿宋" w:cs="仿宋"/>
          <w:color w:val="000000"/>
          <w:sz w:val="32"/>
          <w:szCs w:val="32"/>
          <w:shd w:val="clear" w:color="auto" w:fill="FFFFFF"/>
        </w:rPr>
        <w:t>，规范财务审批程序，</w:t>
      </w:r>
      <w:r>
        <w:rPr>
          <w:rFonts w:hint="eastAsia" w:ascii="仿宋" w:hAnsi="仿宋" w:eastAsia="仿宋" w:cs="仿宋"/>
          <w:color w:val="000000"/>
          <w:sz w:val="32"/>
          <w:szCs w:val="32"/>
          <w:shd w:val="clear" w:color="auto" w:fill="FFFFFF"/>
        </w:rPr>
        <w:t>严格三公经费</w:t>
      </w:r>
      <w:r>
        <w:rPr>
          <w:rFonts w:ascii="仿宋" w:hAnsi="仿宋" w:eastAsia="仿宋" w:cs="仿宋"/>
          <w:color w:val="000000"/>
          <w:sz w:val="32"/>
          <w:szCs w:val="32"/>
          <w:shd w:val="clear" w:color="auto" w:fill="FFFFFF"/>
        </w:rPr>
        <w:t>支出标准、范围和程序的审核，所有开支实行“先申报、后开支”，严格控制经费支出，节约机关运行成本</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提高资金使用效益。</w:t>
      </w:r>
    </w:p>
    <w:p>
      <w:pPr>
        <w:spacing w:line="560" w:lineRule="exact"/>
        <w:ind w:firstLine="640" w:firstLineChars="200"/>
        <w:rPr>
          <w:rFonts w:ascii="Times New Roman" w:hAnsi="Times New Roman" w:eastAsia="宋体" w:cs="Times New Roman"/>
          <w:color w:val="000000"/>
          <w:sz w:val="32"/>
          <w:szCs w:val="32"/>
          <w:shd w:val="clear" w:color="auto" w:fill="FFFFFF"/>
        </w:rPr>
      </w:pPr>
      <w:r>
        <w:rPr>
          <w:rFonts w:hint="eastAsia" w:ascii="仿宋" w:hAnsi="仿宋" w:eastAsia="仿宋" w:cs="仿宋"/>
          <w:color w:val="000000"/>
          <w:sz w:val="32"/>
          <w:szCs w:val="32"/>
          <w:shd w:val="clear" w:color="auto" w:fill="FFFFFF"/>
        </w:rPr>
        <w:t>按要求</w:t>
      </w:r>
      <w:r>
        <w:rPr>
          <w:rFonts w:ascii="仿宋" w:hAnsi="仿宋" w:eastAsia="仿宋" w:cs="仿宋"/>
          <w:color w:val="000000"/>
          <w:sz w:val="32"/>
          <w:szCs w:val="32"/>
          <w:shd w:val="clear" w:color="auto" w:fill="FFFFFF"/>
        </w:rPr>
        <w:t>真实准确编制部门预算和决算</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按规定时限和规定内容公开部门预算、部门决算以及绩效自评报告。部门预决算信息透明度进一步提高。</w:t>
      </w:r>
      <w:r>
        <w:rPr>
          <w:rFonts w:ascii="Times New Roman" w:hAnsi="Times New Roman" w:eastAsia="宋体" w:cs="Times New Roman"/>
          <w:color w:val="000000"/>
          <w:sz w:val="32"/>
          <w:szCs w:val="32"/>
          <w:shd w:val="clear" w:color="auto" w:fill="FFFFFF"/>
        </w:rPr>
        <w:t> </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（三）资产管理方面</w:t>
      </w:r>
    </w:p>
    <w:p>
      <w:pPr>
        <w:pStyle w:val="6"/>
        <w:widowControl/>
        <w:shd w:val="clear" w:color="auto" w:fill="FFFFFF"/>
        <w:spacing w:beforeAutospacing="0" w:afterAutospacing="0" w:line="560" w:lineRule="exact"/>
        <w:ind w:firstLine="640" w:firstLineChars="200"/>
        <w:jc w:val="both"/>
        <w:rPr>
          <w:rFonts w:ascii="Calibri" w:hAnsi="Calibri" w:cs="Calibri"/>
          <w:color w:val="333333"/>
        </w:rPr>
      </w:pPr>
      <w:r>
        <w:rPr>
          <w:rFonts w:ascii="仿宋" w:hAnsi="仿宋" w:eastAsia="仿宋" w:cs="仿宋"/>
          <w:color w:val="000000"/>
          <w:sz w:val="32"/>
          <w:szCs w:val="32"/>
          <w:shd w:val="clear" w:color="auto" w:fill="FFFFFF"/>
        </w:rPr>
        <w:t>严格落实《益阳市财政固定资产管理办法》等有关资产管理</w:t>
      </w:r>
      <w:r>
        <w:rPr>
          <w:rFonts w:hint="eastAsia" w:ascii="仿宋" w:hAnsi="仿宋" w:eastAsia="仿宋" w:cs="仿宋"/>
          <w:color w:val="000000"/>
          <w:sz w:val="32"/>
          <w:szCs w:val="32"/>
          <w:shd w:val="clear" w:color="auto" w:fill="FFFFFF"/>
        </w:rPr>
        <w:t>的文件精神</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制定了资产管理制度。严格资产购置，</w:t>
      </w:r>
      <w:r>
        <w:rPr>
          <w:rFonts w:ascii="仿宋" w:hAnsi="仿宋" w:eastAsia="仿宋" w:cs="仿宋"/>
          <w:color w:val="000000"/>
          <w:sz w:val="32"/>
          <w:szCs w:val="32"/>
          <w:shd w:val="clear" w:color="auto" w:fill="FFFFFF"/>
        </w:rPr>
        <w:t>办公设备等资产购置严格实行事前审批，按照年初部门预算以及实际工作需要、资产购置标准进行统一配置。</w:t>
      </w:r>
    </w:p>
    <w:p>
      <w:pPr>
        <w:pStyle w:val="6"/>
        <w:widowControl/>
        <w:shd w:val="clear" w:color="auto" w:fill="FFFFFF"/>
        <w:spacing w:beforeAutospacing="0" w:afterAutospacing="0" w:line="560" w:lineRule="exact"/>
        <w:ind w:firstLine="640" w:firstLineChars="200"/>
        <w:jc w:val="both"/>
        <w:rPr>
          <w:rFonts w:ascii="Calibri" w:hAnsi="Calibri" w:cs="Calibri"/>
          <w:color w:val="333333"/>
        </w:rPr>
      </w:pPr>
      <w:r>
        <w:rPr>
          <w:rFonts w:hint="eastAsia" w:ascii="仿宋" w:hAnsi="仿宋" w:eastAsia="仿宋" w:cs="仿宋"/>
          <w:color w:val="000000"/>
          <w:sz w:val="32"/>
          <w:szCs w:val="32"/>
          <w:shd w:val="clear" w:color="auto" w:fill="FFFFFF"/>
        </w:rPr>
        <w:t>统一由办公室调配资产，提高固定资产利用率，尽量避免资产闲置浪费。资产及时入账销账，严格按照有关程序处置资产，确保资产保存完整、使用合规、账实相符。</w:t>
      </w:r>
    </w:p>
    <w:p>
      <w:pPr>
        <w:numPr>
          <w:ilvl w:val="0"/>
          <w:numId w:val="3"/>
        </w:num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职责履行和履职效益方面 </w:t>
      </w:r>
    </w:p>
    <w:p>
      <w:pPr>
        <w:spacing w:line="600" w:lineRule="exact"/>
        <w:ind w:firstLine="420" w:firstLineChars="200"/>
        <w:rPr>
          <w:rFonts w:hint="eastAsia" w:ascii="Times New Roman" w:hAnsi="Times New Roman" w:eastAsia="仿宋" w:cs="Times New Roman"/>
          <w:sz w:val="32"/>
          <w:szCs w:val="32"/>
          <w:lang w:val="en-US" w:eastAsia="zh-CN"/>
        </w:rPr>
      </w:pPr>
      <w:r>
        <w:rPr>
          <w:rFonts w:hint="eastAsia"/>
          <w:lang w:val="en-US" w:eastAsia="zh-CN"/>
        </w:rPr>
        <w:t xml:space="preserve">     </w:t>
      </w:r>
      <w:r>
        <w:rPr>
          <w:rFonts w:hint="eastAsia" w:ascii="Times New Roman" w:hAnsi="Times New Roman" w:eastAsia="仿宋" w:cs="Times New Roman"/>
          <w:sz w:val="32"/>
          <w:szCs w:val="32"/>
          <w:lang w:val="en-US" w:eastAsia="zh-CN"/>
        </w:rPr>
        <w:t>西流湾电排的工作特点是污水提升的中转站，主要承担康复路以西，迎宾路以北9.58平方千米内170多家政府部门企事业单位的排渍、污水提升任务，服务的对象是秀峰片区12万余人广大市民。为确保片区不发生内涝：一是值班人员实行24小时值班制度，密切关注气象预报情况，对降雨量及水位变化进行科学预判调度，合理调节机组</w:t>
      </w:r>
      <w:r>
        <w:rPr>
          <w:rFonts w:hint="default" w:ascii="Times New Roman" w:hAnsi="Times New Roman" w:eastAsia="仿宋" w:cs="Times New Roman"/>
          <w:sz w:val="32"/>
          <w:szCs w:val="32"/>
          <w:lang w:val="en-US" w:eastAsia="zh-CN"/>
        </w:rPr>
        <w:t>运</w:t>
      </w:r>
      <w:r>
        <w:rPr>
          <w:rFonts w:hint="eastAsia" w:ascii="Times New Roman" w:hAnsi="Times New Roman" w:eastAsia="仿宋" w:cs="Times New Roman"/>
          <w:sz w:val="32"/>
          <w:szCs w:val="32"/>
          <w:lang w:val="en-US" w:eastAsia="zh-CN"/>
        </w:rPr>
        <w:t>行台次降低水位。二是对职工进行业务技术培训，提高业务能力，特别对在一线工作的职工进行电气设备特种作业理论、实操培训，考试取证，进一步提升业务能力和实际操作水平，确保机组安全高效运行。在汛期来临之前积极开展备汛工作，切实贯彻“安全第一，预防为主，常备不懈，全力抢</w:t>
      </w:r>
      <w:r>
        <w:rPr>
          <w:rFonts w:hint="default" w:ascii="Times New Roman" w:hAnsi="Times New Roman" w:eastAsia="仿宋" w:cs="Times New Roman"/>
          <w:sz w:val="32"/>
          <w:szCs w:val="32"/>
          <w:lang w:val="en-US" w:eastAsia="zh-CN"/>
        </w:rPr>
        <w:t>排</w:t>
      </w:r>
      <w:r>
        <w:rPr>
          <w:rFonts w:hint="eastAsia" w:ascii="Times New Roman" w:hAnsi="Times New Roman" w:eastAsia="仿宋" w:cs="Times New Roman"/>
          <w:sz w:val="32"/>
          <w:szCs w:val="32"/>
          <w:lang w:val="en-US" w:eastAsia="zh-CN"/>
        </w:rPr>
        <w:t>”的防汛工作方针，对防汛工作早行动、早安排、早布置。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月初，组织召开了全站防汛备汛动员大会，进一步完善了《2023年度排渍防涝应急预案》，组织全站干职工开展业务知识培训12次，设备运行操作培训12次，4月份完成了第一批（4人次）前往技术厂家培训学习一周。同时，对汛期出现的一些问题漏洞及时整改，对防汛备品备件情况进行梳理盘点，并对污水提升机组二次自动化控制进行了升级改造，组织技术人员对5台排渍机组和4台污水提升机组进行了备汛调试，3台132kw污水提升机组返厂维修，现所有排渍防涝设备设施均运转正常。今年汛后，针对汛前出现了的相关故障，制定了冬修计划，对金属结构、电气设备、水工设施等设备设施，加强维修维护，为来年排渍防涝打下基础。截至目前排除排渍、污水提升机组大小故障31次，提升检修52台次，拦污栅、泵池垃圾打捞清运28.5余吨，污水提升开机运行约11588台时，累计污水提升约2317.8万立方。启动排渍机组7台次，抢排渍水约7万立方，顺利应对了中心城区多轮次强降雨，圆满完成了今年的度汛工作。</w:t>
      </w:r>
    </w:p>
    <w:p>
      <w:pPr>
        <w:spacing w:line="600" w:lineRule="exact"/>
        <w:ind w:firstLine="640" w:firstLineChars="200"/>
        <w:rPr>
          <w:rFonts w:hint="eastAsia" w:ascii="仿宋_GB2312" w:eastAsia="仿宋_GB2312"/>
          <w:sz w:val="32"/>
          <w:szCs w:val="32"/>
        </w:rPr>
      </w:pPr>
      <w:r>
        <w:rPr>
          <w:rFonts w:hint="eastAsia" w:ascii="Times New Roman" w:hAnsi="Times New Roman" w:eastAsia="仿宋" w:cs="Times New Roman"/>
          <w:sz w:val="32"/>
          <w:szCs w:val="32"/>
          <w:lang w:val="en-US" w:eastAsia="zh-CN"/>
        </w:rPr>
        <w:t>为牢固树立安全发展理念，进一步增强安全生产工作责任感和紧迫感，</w:t>
      </w:r>
      <w:r>
        <w:rPr>
          <w:rFonts w:hint="eastAsia" w:ascii="仿宋_GB2312" w:eastAsia="仿宋_GB2312"/>
          <w:bCs/>
          <w:sz w:val="32"/>
          <w:szCs w:val="32"/>
        </w:rPr>
        <w:t>严抓安全生产，筑牢安全防线。</w:t>
      </w:r>
      <w:r>
        <w:rPr>
          <w:rFonts w:hint="eastAsia" w:ascii="仿宋_GB2312" w:eastAsia="仿宋_GB2312"/>
          <w:sz w:val="32"/>
          <w:szCs w:val="32"/>
        </w:rPr>
        <w:t>严格落实市局2023年安全生产工作要点，在职工大会上，组织干职工学习、领悟安全生产文件精神，不折不扣地落实文件要求，进一步规范制度并针对文件要求开展了隐患排查整治及各项相关工作，将安全生产工作层层分解，签订安全生产责任状。认真组织全站干职工积极参加“人人讲安全、个个会应急网络知识竞赛”和“应急逃生演练训练营”，同时，开展了“五个一”宣传活动，即“读一本安全应急读本、一次安全隐患排查、一次安全业务技能培训、一次电动车安全充电自查、绘制一张电气设备主接线图”。通过微信工作群、电子显示屏、制作宣传栏、发放宣传单等等一系列安全生产活动，广泛宣传活动主题、安全标语、安全生产法等内容，营造人人讲安全、人人保安全、人人抓安全的良好氛围。生一起安全事故，确保安全生产零事故。截至目前组织了大小安全生产检查19次，共发现并整改一般安全隐患12处，未发生一起安全事故，确保安全生产零事故。</w:t>
      </w:r>
    </w:p>
    <w:p>
      <w:pPr>
        <w:widowControl/>
        <w:shd w:val="clear" w:color="auto" w:fill="FFFFFF"/>
        <w:spacing w:line="560" w:lineRule="exact"/>
        <w:ind w:firstLine="640" w:firstLineChars="200"/>
        <w:jc w:val="left"/>
        <w:rPr>
          <w:rFonts w:ascii="黑体" w:hAnsi="黑体" w:eastAsia="黑体" w:cs="黑体"/>
          <w:sz w:val="32"/>
          <w:szCs w:val="32"/>
        </w:rPr>
      </w:pPr>
      <w:bookmarkStart w:id="0" w:name="_GoBack"/>
      <w:bookmarkEnd w:id="0"/>
      <w:r>
        <w:rPr>
          <w:rFonts w:hint="eastAsia" w:ascii="黑体" w:hAnsi="黑体" w:eastAsia="黑体" w:cs="黑体"/>
          <w:sz w:val="32"/>
          <w:szCs w:val="32"/>
        </w:rPr>
        <w:t>七、存在的问题及原因分析</w:t>
      </w:r>
    </w:p>
    <w:p>
      <w:pPr>
        <w:spacing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sz w:val="32"/>
          <w:szCs w:val="32"/>
        </w:rPr>
        <w:t>预算绩效管理工作有待加强。一是绩效目标设立指向不够明确、内容不够完整，指标选用重点不够突出，不够细化、量化，定性指标使用较多，定量指标较少；二是对预算绩效管理认识有待加强，人员职责不明确，专业水平有待进一步提高。</w:t>
      </w:r>
    </w:p>
    <w:p>
      <w:pPr>
        <w:widowControl/>
        <w:shd w:val="clear" w:color="auto" w:fill="FFFFFF"/>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八、下一步的改进措施</w:t>
      </w:r>
    </w:p>
    <w:p>
      <w:pPr>
        <w:pStyle w:val="6"/>
        <w:widowControl/>
        <w:shd w:val="clear" w:color="auto" w:fill="FFFFFF"/>
        <w:spacing w:beforeAutospacing="0" w:afterAutospacing="0" w:line="560" w:lineRule="exact"/>
        <w:ind w:firstLine="640" w:firstLineChars="200"/>
        <w:rPr>
          <w:rFonts w:ascii="仿宋" w:hAnsi="仿宋" w:eastAsia="仿宋" w:cs="仿宋"/>
          <w:kern w:val="2"/>
          <w:sz w:val="32"/>
          <w:szCs w:val="32"/>
        </w:rPr>
      </w:pPr>
      <w:r>
        <w:rPr>
          <w:rFonts w:hint="eastAsia" w:ascii="楷体" w:hAnsi="楷体" w:eastAsia="楷体" w:cs="楷体"/>
          <w:sz w:val="32"/>
          <w:szCs w:val="32"/>
        </w:rPr>
        <w:t>（一）加强绩效目标管理，</w:t>
      </w:r>
      <w:r>
        <w:rPr>
          <w:rFonts w:hint="eastAsia" w:ascii="楷体" w:hAnsi="楷体" w:eastAsia="楷体" w:cs="楷体"/>
          <w:kern w:val="2"/>
          <w:sz w:val="32"/>
          <w:szCs w:val="32"/>
        </w:rPr>
        <w:t>提高对绩效评价工作的重视</w:t>
      </w:r>
      <w:r>
        <w:rPr>
          <w:rFonts w:hint="eastAsia" w:ascii="楷体" w:hAnsi="楷体" w:eastAsia="楷体" w:cs="楷体"/>
          <w:sz w:val="32"/>
          <w:szCs w:val="32"/>
        </w:rPr>
        <w:t>。</w:t>
      </w:r>
      <w:r>
        <w:rPr>
          <w:rFonts w:hint="eastAsia" w:ascii="仿宋" w:hAnsi="仿宋" w:eastAsia="仿宋" w:cs="仿宋"/>
          <w:sz w:val="32"/>
          <w:szCs w:val="32"/>
        </w:rPr>
        <w:t>应根据部门职责职能合理设置绩效目标，目标</w:t>
      </w:r>
      <w:r>
        <w:rPr>
          <w:rFonts w:hint="eastAsia" w:ascii="仿宋" w:hAnsi="仿宋" w:eastAsia="仿宋" w:cs="仿宋"/>
          <w:kern w:val="2"/>
          <w:sz w:val="32"/>
          <w:szCs w:val="32"/>
        </w:rPr>
        <w:t>应明确、具体，与部门长期规划目标、年度工作目标相一致；尽量细化、量化，多设置易于操作的定量指标，减少设置定性指标；相关项目职责部门联动；加强预算绩效管理工作的培训，提高绩效管理水平。</w:t>
      </w:r>
    </w:p>
    <w:p>
      <w:pPr>
        <w:pStyle w:val="6"/>
        <w:widowControl/>
        <w:shd w:val="clear" w:color="auto" w:fill="FFFFFF"/>
        <w:spacing w:beforeAutospacing="0" w:afterAutospacing="0" w:line="560" w:lineRule="exact"/>
        <w:ind w:firstLine="640" w:firstLineChars="200"/>
        <w:rPr>
          <w:rFonts w:ascii="仿宋" w:hAnsi="仿宋" w:eastAsia="仿宋" w:cs="仿宋"/>
          <w:sz w:val="32"/>
          <w:szCs w:val="32"/>
        </w:rPr>
      </w:pPr>
      <w:r>
        <w:rPr>
          <w:rFonts w:hint="eastAsia" w:ascii="楷体" w:hAnsi="楷体" w:eastAsia="楷体" w:cs="楷体"/>
          <w:sz w:val="32"/>
          <w:szCs w:val="32"/>
        </w:rPr>
        <w:t>（二）加强财务力量。</w:t>
      </w:r>
      <w:r>
        <w:rPr>
          <w:rFonts w:hint="eastAsia" w:ascii="仿宋" w:hAnsi="仿宋" w:eastAsia="仿宋" w:cs="仿宋"/>
          <w:sz w:val="32"/>
          <w:szCs w:val="32"/>
        </w:rPr>
        <w:t>加强对财务人员培养。鼓励财务人员参加各种专业培训，报考会计专业职称，熟练掌握财政政策和会计法规，不断提高其专业水平，严格财务核算，规范财务管理。</w:t>
      </w:r>
    </w:p>
    <w:p>
      <w:pPr>
        <w:widowControl/>
        <w:numPr>
          <w:ilvl w:val="0"/>
          <w:numId w:val="4"/>
        </w:numPr>
        <w:shd w:val="clear" w:color="auto" w:fill="FFFFFF"/>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部门整体支出绩效自评结果拟应用和公开情况</w:t>
      </w:r>
    </w:p>
    <w:p>
      <w:pPr>
        <w:widowControl/>
        <w:shd w:val="clear" w:color="auto" w:fill="FFFFFF"/>
        <w:spacing w:line="56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本单位部门整体支出绩效自评结果将在在线门户网上公开。</w:t>
      </w:r>
    </w:p>
    <w:p>
      <w:pPr>
        <w:widowControl/>
        <w:shd w:val="clear" w:color="auto" w:fill="FFFFFF"/>
        <w:spacing w:line="56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附件: </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年度部门整体支出绩效评价基础数据表</w:t>
      </w:r>
    </w:p>
    <w:p>
      <w:pPr>
        <w:widowControl/>
        <w:shd w:val="clear" w:color="auto" w:fill="FFFFFF"/>
        <w:spacing w:line="560" w:lineRule="exact"/>
        <w:ind w:firstLine="1600" w:firstLineChars="5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年度部门整体支出绩效自评表</w:t>
      </w:r>
    </w:p>
    <w:p>
      <w:pPr>
        <w:widowControl/>
        <w:shd w:val="clear" w:color="auto" w:fill="FFFFFF"/>
        <w:spacing w:line="560" w:lineRule="exact"/>
        <w:ind w:left="740"/>
        <w:jc w:val="left"/>
        <w:rPr>
          <w:rFonts w:ascii="仿宋" w:hAnsi="仿宋" w:eastAsia="仿宋" w:cs="仿宋"/>
          <w:color w:val="000000"/>
          <w:sz w:val="32"/>
          <w:szCs w:val="32"/>
          <w:shd w:val="clear" w:color="auto" w:fill="FFFFFF"/>
        </w:rPr>
      </w:pPr>
    </w:p>
    <w:p>
      <w:pPr>
        <w:widowControl/>
        <w:shd w:val="clear" w:color="auto" w:fill="FFFFFF"/>
        <w:spacing w:line="560" w:lineRule="exact"/>
        <w:jc w:val="right"/>
        <w:rPr>
          <w:rFonts w:ascii="仿宋" w:hAnsi="仿宋" w:eastAsia="仿宋" w:cs="仿宋"/>
          <w:color w:val="000000"/>
          <w:sz w:val="32"/>
          <w:szCs w:val="32"/>
          <w:shd w:val="clear" w:color="auto" w:fill="FFFFFF"/>
        </w:rPr>
      </w:pPr>
    </w:p>
    <w:p>
      <w:pPr>
        <w:widowControl/>
        <w:shd w:val="clear" w:color="auto" w:fill="FFFFFF"/>
        <w:spacing w:line="560" w:lineRule="exact"/>
        <w:jc w:val="right"/>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rPr>
        <w:t>益阳市</w:t>
      </w:r>
      <w:r>
        <w:rPr>
          <w:rFonts w:hint="eastAsia" w:ascii="仿宋" w:hAnsi="仿宋" w:eastAsia="仿宋" w:cs="仿宋"/>
          <w:color w:val="000000"/>
          <w:sz w:val="32"/>
          <w:szCs w:val="32"/>
          <w:shd w:val="clear" w:color="auto" w:fill="FFFFFF"/>
          <w:lang w:eastAsia="zh-CN"/>
        </w:rPr>
        <w:t>西流湾电排管理站</w:t>
      </w:r>
    </w:p>
    <w:p>
      <w:pPr>
        <w:widowControl/>
        <w:shd w:val="clear" w:color="auto" w:fill="FFFFFF"/>
        <w:spacing w:line="560" w:lineRule="exact"/>
        <w:jc w:val="center"/>
        <w:rPr>
          <w:rFonts w:ascii="方正仿宋简体" w:hAnsi="方正仿宋简体" w:eastAsia="方正仿宋简体" w:cs="方正仿宋简体"/>
          <w:sz w:val="32"/>
          <w:szCs w:val="32"/>
        </w:rPr>
      </w:pPr>
      <w:r>
        <w:rPr>
          <w:rFonts w:hint="eastAsia" w:ascii="仿宋" w:hAnsi="仿宋" w:eastAsia="仿宋" w:cs="仿宋"/>
          <w:color w:val="000000"/>
          <w:sz w:val="32"/>
          <w:szCs w:val="32"/>
          <w:shd w:val="clear" w:color="auto" w:fill="FFFFFF"/>
        </w:rPr>
        <w:t xml:space="preserve">                                 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月1</w:t>
      </w: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color w:val="000000"/>
          <w:sz w:val="32"/>
          <w:szCs w:val="32"/>
          <w:shd w:val="clear" w:color="auto" w:fill="FFFFFF"/>
        </w:rPr>
        <w:t>日</w:t>
      </w:r>
      <w:r>
        <w:rPr>
          <w:rFonts w:hint="eastAsia" w:ascii="方正仿宋简体" w:hAnsi="方正仿宋简体" w:eastAsia="方正仿宋简体" w:cs="方正仿宋简体"/>
          <w:sz w:val="32"/>
          <w:szCs w:val="32"/>
        </w:rPr>
        <w:t xml:space="preserve">    </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7BC1A"/>
    <w:multiLevelType w:val="singleLevel"/>
    <w:tmpl w:val="8227BC1A"/>
    <w:lvl w:ilvl="0" w:tentative="0">
      <w:start w:val="9"/>
      <w:numFmt w:val="chineseCounting"/>
      <w:suff w:val="nothing"/>
      <w:lvlText w:val="%1、"/>
      <w:lvlJc w:val="left"/>
      <w:rPr>
        <w:rFonts w:hint="eastAsia"/>
      </w:rPr>
    </w:lvl>
  </w:abstractNum>
  <w:abstractNum w:abstractNumId="1">
    <w:nsid w:val="57524756"/>
    <w:multiLevelType w:val="singleLevel"/>
    <w:tmpl w:val="57524756"/>
    <w:lvl w:ilvl="0" w:tentative="0">
      <w:start w:val="4"/>
      <w:numFmt w:val="chineseCounting"/>
      <w:suff w:val="nothing"/>
      <w:lvlText w:val="（%1）"/>
      <w:lvlJc w:val="left"/>
      <w:rPr>
        <w:rFonts w:hint="eastAsia"/>
      </w:rPr>
    </w:lvl>
  </w:abstractNum>
  <w:abstractNum w:abstractNumId="2">
    <w:nsid w:val="6D932CC3"/>
    <w:multiLevelType w:val="singleLevel"/>
    <w:tmpl w:val="6D932CC3"/>
    <w:lvl w:ilvl="0" w:tentative="0">
      <w:start w:val="5"/>
      <w:numFmt w:val="chineseCounting"/>
      <w:suff w:val="nothing"/>
      <w:lvlText w:val="%1、"/>
      <w:lvlJc w:val="left"/>
      <w:pPr>
        <w:ind w:left="-10"/>
      </w:pPr>
      <w:rPr>
        <w:rFonts w:hint="eastAsia"/>
      </w:rPr>
    </w:lvl>
  </w:abstractNum>
  <w:abstractNum w:abstractNumId="3">
    <w:nsid w:val="6F66DD55"/>
    <w:multiLevelType w:val="singleLevel"/>
    <w:tmpl w:val="6F66DD55"/>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NmYTI4Y2UwZmQ1MTgxYmY2Njg5YWVhNjU5MzA3YzMifQ=="/>
  </w:docVars>
  <w:rsids>
    <w:rsidRoot w:val="001B025D"/>
    <w:rsid w:val="001946DC"/>
    <w:rsid w:val="001B025D"/>
    <w:rsid w:val="006F3F1C"/>
    <w:rsid w:val="006F6B5B"/>
    <w:rsid w:val="03A91C4E"/>
    <w:rsid w:val="03C548C9"/>
    <w:rsid w:val="046441B2"/>
    <w:rsid w:val="079B131C"/>
    <w:rsid w:val="0AF71D1F"/>
    <w:rsid w:val="0C454F38"/>
    <w:rsid w:val="0DCF56AC"/>
    <w:rsid w:val="0DEE4C33"/>
    <w:rsid w:val="11841621"/>
    <w:rsid w:val="11E0190B"/>
    <w:rsid w:val="124826EE"/>
    <w:rsid w:val="12E55CB0"/>
    <w:rsid w:val="13073556"/>
    <w:rsid w:val="1823296F"/>
    <w:rsid w:val="18A31CB4"/>
    <w:rsid w:val="18E71EAE"/>
    <w:rsid w:val="1A68422A"/>
    <w:rsid w:val="1ADC29C2"/>
    <w:rsid w:val="1CA10025"/>
    <w:rsid w:val="1EB677C6"/>
    <w:rsid w:val="21D37880"/>
    <w:rsid w:val="24A80C6A"/>
    <w:rsid w:val="2637539F"/>
    <w:rsid w:val="26A67FFC"/>
    <w:rsid w:val="27083E64"/>
    <w:rsid w:val="27933FCE"/>
    <w:rsid w:val="27F417F3"/>
    <w:rsid w:val="28F931A5"/>
    <w:rsid w:val="293350A4"/>
    <w:rsid w:val="2D4E5DBB"/>
    <w:rsid w:val="2D717867"/>
    <w:rsid w:val="2E335A26"/>
    <w:rsid w:val="2E4016E6"/>
    <w:rsid w:val="2E6F192C"/>
    <w:rsid w:val="31D067FB"/>
    <w:rsid w:val="32656B12"/>
    <w:rsid w:val="35292D5D"/>
    <w:rsid w:val="39645B13"/>
    <w:rsid w:val="3BB20EFB"/>
    <w:rsid w:val="3DD57980"/>
    <w:rsid w:val="3E1E60C4"/>
    <w:rsid w:val="3E1F1BAE"/>
    <w:rsid w:val="3E7C07B7"/>
    <w:rsid w:val="3EEB6EB0"/>
    <w:rsid w:val="45285397"/>
    <w:rsid w:val="47D82119"/>
    <w:rsid w:val="48CD4351"/>
    <w:rsid w:val="4AA64A44"/>
    <w:rsid w:val="51A52CE0"/>
    <w:rsid w:val="52BD4CA8"/>
    <w:rsid w:val="530C53D8"/>
    <w:rsid w:val="53BB67EB"/>
    <w:rsid w:val="554404B8"/>
    <w:rsid w:val="570A0F13"/>
    <w:rsid w:val="571C57F3"/>
    <w:rsid w:val="5A285AF1"/>
    <w:rsid w:val="5AD94B36"/>
    <w:rsid w:val="5ADB1ECF"/>
    <w:rsid w:val="5B234AE8"/>
    <w:rsid w:val="5D995DEF"/>
    <w:rsid w:val="5E5B4785"/>
    <w:rsid w:val="6242031E"/>
    <w:rsid w:val="64267270"/>
    <w:rsid w:val="65111E86"/>
    <w:rsid w:val="655E5172"/>
    <w:rsid w:val="6A347B66"/>
    <w:rsid w:val="6A460720"/>
    <w:rsid w:val="6A7D2B05"/>
    <w:rsid w:val="6B366890"/>
    <w:rsid w:val="6B9068DC"/>
    <w:rsid w:val="6C462EF0"/>
    <w:rsid w:val="6C4865BE"/>
    <w:rsid w:val="6C816027"/>
    <w:rsid w:val="6D835047"/>
    <w:rsid w:val="702B50A8"/>
    <w:rsid w:val="707700B0"/>
    <w:rsid w:val="71623BF6"/>
    <w:rsid w:val="72021D5D"/>
    <w:rsid w:val="78C73B5B"/>
    <w:rsid w:val="79446280"/>
    <w:rsid w:val="7A9F4B1C"/>
    <w:rsid w:val="7B6911BF"/>
    <w:rsid w:val="7BC73070"/>
    <w:rsid w:val="7CB47B26"/>
    <w:rsid w:val="7D2E553C"/>
    <w:rsid w:val="7FDE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autoRedefine/>
    <w:qFormat/>
    <w:uiPriority w:val="39"/>
    <w:rPr>
      <w:rFonts w:ascii="Calibri" w:hAnsi="Calibri" w:cs="宋体"/>
      <w:szCs w:val="22"/>
    </w:rPr>
  </w:style>
  <w:style w:type="paragraph" w:styleId="5">
    <w:name w:val="toc 2"/>
    <w:basedOn w:val="1"/>
    <w:next w:val="1"/>
    <w:autoRedefine/>
    <w:qFormat/>
    <w:uiPriority w:val="0"/>
    <w:pPr>
      <w:ind w:left="420" w:leftChars="200"/>
    </w:p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正文1"/>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2987</Words>
  <Characters>3457</Characters>
  <Lines>6</Lines>
  <Paragraphs>7</Paragraphs>
  <TotalTime>5</TotalTime>
  <ScaleCrop>false</ScaleCrop>
  <LinksUpToDate>false</LinksUpToDate>
  <CharactersWithSpaces>3548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2021-03-22T03:46:00Z</dcterms:created>
  <dc:creator>Administrator</dc:creator>
  <cp:lastModifiedBy>月色</cp:lastModifiedBy>
  <cp:lastPrinted>2024-05-21T11:58:00Z</cp:lastPrinted>
  <dcterms:modified xsi:type="dcterms:W3CDTF">2024-05-22T00:53:10Z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0F38F9F9C2F049E98E1AE14465149A90</vt:lpwstr>
  </property>
  <property fmtid="{D5CDD505-2E9C-101B-9397-08002B2CF9AE}" pid="4" name="commondata">
    <vt:lpwstr>eyJoZGlkIjoiNjU2NDcyYjhkMjAwMzI5NzAzMWM4ZmQwMzkwY2Y1NTgifQ==</vt:lpwstr>
  </property>
</Properties>
</file>