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2023年度餐饮服务业单位油烟在线监控设施安装维护项目</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eastAsia="zh-CN"/>
        </w:rPr>
        <w:t>资</w:t>
      </w:r>
      <w:r>
        <w:rPr>
          <w:rFonts w:hint="eastAsia" w:ascii="方正小标宋简体" w:hAnsi="方正小标宋简体" w:eastAsia="方正小标宋简体" w:cs="方正小标宋简体"/>
          <w:sz w:val="52"/>
          <w:szCs w:val="52"/>
        </w:rPr>
        <w:t>金部门评价报告</w:t>
      </w:r>
    </w:p>
    <w:p>
      <w:pPr>
        <w:keepNext w:val="0"/>
        <w:keepLines w:val="0"/>
        <w:pageBreakBefore w:val="0"/>
        <w:kinsoku/>
        <w:wordWrap/>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36"/>
          <w:szCs w:val="36"/>
          <w:lang w:val="en-US" w:eastAsia="zh-CN"/>
        </w:rPr>
      </w:pPr>
      <w:r>
        <w:rPr>
          <w:rFonts w:hint="eastAsia" w:ascii="方正小标宋简体" w:hAnsi="方正小标宋简体" w:eastAsia="方正小标宋简体" w:cs="方正小标宋简体"/>
          <w:b w:val="0"/>
          <w:bCs w:val="0"/>
          <w:i w:val="0"/>
          <w:iCs w:val="0"/>
          <w:caps w:val="0"/>
          <w:color w:val="auto"/>
          <w:spacing w:val="0"/>
          <w:sz w:val="36"/>
          <w:szCs w:val="36"/>
          <w:lang w:val="en-US" w:eastAsia="zh-CN"/>
        </w:rPr>
        <w:t>单位名称：益阳市城市管理和综合执法局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i w:val="0"/>
          <w:iCs w:val="0"/>
          <w:caps w:val="0"/>
          <w:color w:val="auto"/>
          <w:spacing w:val="0"/>
          <w:sz w:val="32"/>
          <w:szCs w:val="32"/>
          <w:lang w:val="en-US" w:eastAsia="zh-CN"/>
        </w:rPr>
      </w:pPr>
      <w:r>
        <w:rPr>
          <w:rFonts w:hint="eastAsia" w:ascii="方正小标宋简体" w:hAnsi="方正小标宋简体" w:eastAsia="方正小标宋简体" w:cs="方正小标宋简体"/>
          <w:b w:val="0"/>
          <w:bCs w:val="0"/>
          <w:i w:val="0"/>
          <w:iCs w:val="0"/>
          <w:caps w:val="0"/>
          <w:color w:val="auto"/>
          <w:spacing w:val="0"/>
          <w:sz w:val="32"/>
          <w:szCs w:val="32"/>
          <w:lang w:val="en-US" w:eastAsia="zh-CN"/>
        </w:rPr>
        <w:t xml:space="preserve"> 2024年 5 月 22 日</w:t>
      </w:r>
    </w:p>
    <w:p>
      <w:pPr>
        <w:keepNext w:val="0"/>
        <w:keepLines w:val="0"/>
        <w:pageBreakBefore w:val="0"/>
        <w:kinsoku/>
        <w:wordWrap/>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2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sz w:val="44"/>
          <w:szCs w:val="44"/>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2023年度餐饮服务业单位油烟在线监控设施安装维护项目</w:t>
      </w:r>
      <w:r>
        <w:rPr>
          <w:rFonts w:hint="eastAsia" w:ascii="方正小标宋简体" w:hAnsi="方正小标宋简体" w:eastAsia="方正小标宋简体" w:cs="方正小标宋简体"/>
          <w:sz w:val="44"/>
          <w:szCs w:val="44"/>
          <w:lang w:eastAsia="zh-CN"/>
        </w:rPr>
        <w:t>资</w:t>
      </w:r>
      <w:r>
        <w:rPr>
          <w:rFonts w:hint="eastAsia" w:ascii="方正小标宋简体" w:hAnsi="方正小标宋简体" w:eastAsia="方正小标宋简体" w:cs="方正小标宋简体"/>
          <w:sz w:val="44"/>
          <w:szCs w:val="44"/>
        </w:rPr>
        <w:t>金部门评价报告</w:t>
      </w:r>
    </w:p>
    <w:p>
      <w:pPr>
        <w:keepNext w:val="0"/>
        <w:keepLines w:val="0"/>
        <w:pageBreakBefore w:val="0"/>
        <w:kinsoku/>
        <w:wordWrap/>
        <w:overflowPunct/>
        <w:topLinePunct w:val="0"/>
        <w:autoSpaceDE/>
        <w:autoSpaceDN/>
        <w:bidi w:val="0"/>
        <w:spacing w:line="620" w:lineRule="exact"/>
        <w:jc w:val="center"/>
        <w:textAlignment w:val="auto"/>
        <w:rPr>
          <w:rFonts w:ascii="Times New Roman" w:hAnsi="Times New Roman" w:eastAsia="楷体_GB2312"/>
          <w:szCs w:val="32"/>
        </w:rPr>
      </w:pPr>
    </w:p>
    <w:p>
      <w:pPr>
        <w:keepNext w:val="0"/>
        <w:keepLines w:val="0"/>
        <w:pageBreakBefore w:val="0"/>
        <w:numPr>
          <w:ilvl w:val="0"/>
          <w:numId w:val="0"/>
        </w:numPr>
        <w:kinsoku/>
        <w:wordWrap/>
        <w:overflowPunct/>
        <w:topLinePunct w:val="0"/>
        <w:autoSpaceDE/>
        <w:autoSpaceDN/>
        <w:bidi w:val="0"/>
        <w:spacing w:line="560" w:lineRule="exact"/>
        <w:jc w:val="both"/>
        <w:textAlignment w:val="auto"/>
        <w:rPr>
          <w:rFonts w:hint="eastAsia" w:ascii="黑体" w:hAnsi="黑体" w:eastAsia="黑体" w:cs="黑体"/>
          <w:szCs w:val="32"/>
        </w:rPr>
      </w:pPr>
      <w:r>
        <w:rPr>
          <w:rFonts w:hint="eastAsia" w:ascii="黑体" w:hAnsi="黑体" w:eastAsia="黑体" w:cs="黑体"/>
          <w:szCs w:val="32"/>
          <w:lang w:val="en-US" w:eastAsia="zh-CN"/>
        </w:rPr>
        <w:t>一、</w:t>
      </w:r>
      <w:r>
        <w:rPr>
          <w:rFonts w:hint="eastAsia" w:ascii="黑体" w:hAnsi="黑体" w:eastAsia="黑体" w:cs="黑体"/>
          <w:szCs w:val="32"/>
        </w:rPr>
        <w:t>项目基本情况</w:t>
      </w:r>
    </w:p>
    <w:p>
      <w:pPr>
        <w:pStyle w:val="10"/>
        <w:keepNext w:val="0"/>
        <w:keepLines w:val="0"/>
        <w:pageBreakBefore w:val="0"/>
        <w:widowControl/>
        <w:numPr>
          <w:ilvl w:val="0"/>
          <w:numId w:val="0"/>
        </w:numPr>
        <w:kinsoku/>
        <w:wordWrap/>
        <w:overflowPunct/>
        <w:topLinePunct w:val="0"/>
        <w:autoSpaceDE/>
        <w:autoSpaceDN/>
        <w:bidi w:val="0"/>
        <w:spacing w:line="560" w:lineRule="exact"/>
        <w:ind w:left="640" w:leftChars="0"/>
        <w:jc w:val="both"/>
        <w:textAlignment w:val="auto"/>
        <w:rPr>
          <w:rFonts w:hint="eastAsia" w:ascii="楷体" w:hAnsi="楷体" w:eastAsia="楷体" w:cs="楷体"/>
          <w:b/>
          <w:bCs/>
          <w:szCs w:val="32"/>
        </w:rPr>
      </w:pPr>
      <w:r>
        <w:rPr>
          <w:rFonts w:hint="eastAsia" w:ascii="楷体" w:hAnsi="楷体" w:eastAsia="楷体" w:cs="楷体"/>
          <w:b/>
          <w:bCs/>
          <w:szCs w:val="32"/>
          <w:lang w:eastAsia="zh-CN"/>
        </w:rPr>
        <w:t>（一）</w:t>
      </w:r>
      <w:r>
        <w:rPr>
          <w:rFonts w:hint="eastAsia" w:ascii="楷体" w:hAnsi="楷体" w:eastAsia="楷体" w:cs="楷体"/>
          <w:b/>
          <w:bCs/>
          <w:szCs w:val="32"/>
        </w:rPr>
        <w:t>项目概况</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cs="仿宋_GB2312"/>
          <w:szCs w:val="32"/>
          <w:lang w:eastAsia="zh-CN"/>
        </w:rPr>
      </w:pPr>
      <w:r>
        <w:rPr>
          <w:rFonts w:hint="eastAsia" w:ascii="仿宋_GB2312" w:hAnsi="仿宋_GB2312" w:eastAsia="仿宋_GB2312" w:cs="仿宋_GB2312"/>
          <w:szCs w:val="32"/>
        </w:rPr>
        <w:t>为认真落实《湖南省污染防治攻坚战三年行动计划（2018</w:t>
      </w:r>
      <w:r>
        <w:rPr>
          <w:rFonts w:hint="eastAsia" w:ascii="仿宋_GB2312" w:hAnsi="仿宋_GB2312" w:cs="仿宋_GB2312"/>
          <w:szCs w:val="32"/>
          <w:lang w:val="en-US" w:eastAsia="zh-CN"/>
        </w:rPr>
        <w:t>--</w:t>
      </w:r>
      <w:r>
        <w:rPr>
          <w:rFonts w:hint="eastAsia" w:ascii="仿宋_GB2312" w:hAnsi="仿宋_GB2312" w:eastAsia="仿宋_GB2312" w:cs="仿宋_GB2312"/>
          <w:szCs w:val="32"/>
        </w:rPr>
        <w:t>2020年）》精神，根据益阳市生态环境保护委员会《益阳市污染防治攻坚战2020年工作方案》</w:t>
      </w:r>
      <w:r>
        <w:rPr>
          <w:rFonts w:hint="eastAsia" w:ascii="仿宋_GB2312" w:hAnsi="仿宋_GB2312" w:cs="仿宋_GB2312"/>
          <w:szCs w:val="32"/>
          <w:lang w:eastAsia="zh-CN"/>
        </w:rPr>
        <w:t>文件精神，</w:t>
      </w:r>
      <w:r>
        <w:rPr>
          <w:rFonts w:hint="eastAsia" w:ascii="仿宋_GB2312" w:hAnsi="仿宋_GB2312" w:eastAsia="仿宋_GB2312" w:cs="仿宋_GB2312"/>
          <w:szCs w:val="32"/>
        </w:rPr>
        <w:t>加强生活面源污染整治，推进餐饮油烟综合整治</w:t>
      </w:r>
      <w:r>
        <w:rPr>
          <w:rFonts w:hint="eastAsia" w:ascii="仿宋_GB2312" w:hAnsi="仿宋_GB2312" w:cs="仿宋_GB2312"/>
          <w:szCs w:val="32"/>
          <w:lang w:eastAsia="zh-CN"/>
        </w:rPr>
        <w:t>，益阳市</w:t>
      </w:r>
      <w:r>
        <w:rPr>
          <w:rFonts w:hint="eastAsia" w:ascii="仿宋_GB2312" w:hAnsi="仿宋_GB2312" w:eastAsia="仿宋_GB2312" w:cs="仿宋_GB2312"/>
          <w:szCs w:val="32"/>
        </w:rPr>
        <w:t>中心城区约260家规模以上餐饮企业</w:t>
      </w:r>
      <w:r>
        <w:rPr>
          <w:rFonts w:hint="eastAsia" w:ascii="仿宋_GB2312" w:hAnsi="仿宋_GB2312" w:cs="仿宋_GB2312"/>
          <w:szCs w:val="32"/>
          <w:lang w:eastAsia="zh-CN"/>
        </w:rPr>
        <w:t>需</w:t>
      </w:r>
      <w:r>
        <w:rPr>
          <w:rFonts w:hint="eastAsia" w:ascii="仿宋_GB2312" w:hAnsi="仿宋_GB2312" w:eastAsia="仿宋_GB2312" w:cs="仿宋_GB2312"/>
          <w:szCs w:val="32"/>
        </w:rPr>
        <w:t>安装油烟废气在线监控设施</w:t>
      </w:r>
      <w:r>
        <w:rPr>
          <w:rFonts w:hint="eastAsia" w:ascii="仿宋_GB2312" w:hAnsi="仿宋_GB2312" w:cs="仿宋_GB2312"/>
          <w:szCs w:val="32"/>
          <w:lang w:eastAsia="zh-CN"/>
        </w:rPr>
        <w:t>。</w:t>
      </w:r>
      <w:r>
        <w:rPr>
          <w:rFonts w:hint="eastAsia" w:ascii="仿宋_GB2312" w:hAnsi="仿宋_GB2312" w:eastAsia="仿宋_GB2312" w:cs="仿宋_GB2312"/>
          <w:szCs w:val="32"/>
        </w:rPr>
        <w:t>为落实城市精细化管理及城市品质提升工作要求，</w:t>
      </w:r>
      <w:r>
        <w:rPr>
          <w:rFonts w:hint="eastAsia" w:ascii="仿宋_GB2312" w:hAnsi="仿宋_GB2312" w:eastAsia="仿宋_GB2312" w:cs="仿宋_GB2312"/>
          <w:szCs w:val="32"/>
          <w:lang w:eastAsia="zh-CN"/>
        </w:rPr>
        <w:t>我局</w:t>
      </w:r>
      <w:r>
        <w:rPr>
          <w:rFonts w:hint="eastAsia" w:ascii="仿宋_GB2312" w:hAnsi="仿宋_GB2312" w:eastAsia="仿宋_GB2312" w:cs="仿宋_GB2312"/>
          <w:szCs w:val="32"/>
        </w:rPr>
        <w:t>开展餐饮业油烟在线监测项目。</w:t>
      </w:r>
    </w:p>
    <w:p>
      <w:pPr>
        <w:keepNext w:val="0"/>
        <w:keepLines w:val="0"/>
        <w:pageBreakBefore w:val="0"/>
        <w:widowControl/>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1</w:t>
      </w:r>
      <w:r>
        <w:rPr>
          <w:rFonts w:hint="eastAsia" w:ascii="仿宋_GB2312" w:hAnsi="仿宋_GB2312" w:cs="仿宋_GB2312"/>
          <w:b/>
          <w:bCs/>
          <w:szCs w:val="32"/>
          <w:lang w:eastAsia="zh-CN"/>
        </w:rPr>
        <w:t>.</w:t>
      </w:r>
      <w:r>
        <w:rPr>
          <w:rFonts w:hint="eastAsia" w:ascii="仿宋_GB2312" w:hAnsi="仿宋_GB2312" w:eastAsia="仿宋_GB2312" w:cs="仿宋_GB2312"/>
          <w:b/>
          <w:bCs/>
          <w:szCs w:val="32"/>
        </w:rPr>
        <w:t>采购项目名称：</w:t>
      </w:r>
      <w:r>
        <w:rPr>
          <w:rFonts w:hint="eastAsia" w:ascii="仿宋_GB2312" w:hAnsi="仿宋_GB2312" w:eastAsia="仿宋_GB2312" w:cs="仿宋_GB2312"/>
          <w:szCs w:val="32"/>
        </w:rPr>
        <w:t>餐饮服务业单位油烟废气在线监控设施安装维护项目</w:t>
      </w:r>
    </w:p>
    <w:p>
      <w:pPr>
        <w:keepNext w:val="0"/>
        <w:keepLines w:val="0"/>
        <w:pageBreakBefore w:val="0"/>
        <w:widowControl/>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2</w:t>
      </w:r>
      <w:r>
        <w:rPr>
          <w:rFonts w:hint="eastAsia" w:ascii="仿宋_GB2312" w:hAnsi="仿宋_GB2312" w:cs="仿宋_GB2312"/>
          <w:b/>
          <w:bCs/>
          <w:szCs w:val="32"/>
          <w:lang w:eastAsia="zh-CN"/>
        </w:rPr>
        <w:t>.</w:t>
      </w:r>
      <w:r>
        <w:rPr>
          <w:rFonts w:hint="eastAsia" w:ascii="仿宋_GB2312" w:hAnsi="仿宋_GB2312" w:eastAsia="仿宋_GB2312" w:cs="仿宋_GB2312"/>
          <w:b/>
          <w:bCs/>
          <w:szCs w:val="32"/>
        </w:rPr>
        <w:t>采购计划编号：</w:t>
      </w:r>
      <w:r>
        <w:rPr>
          <w:rFonts w:hint="eastAsia" w:ascii="仿宋_GB2312" w:hAnsi="仿宋_GB2312" w:eastAsia="仿宋_GB2312" w:cs="仿宋_GB2312"/>
          <w:szCs w:val="32"/>
        </w:rPr>
        <w:t>益财采计〔2021〕06006号</w:t>
      </w:r>
    </w:p>
    <w:p>
      <w:pPr>
        <w:keepNext w:val="0"/>
        <w:keepLines w:val="0"/>
        <w:pageBreakBefore w:val="0"/>
        <w:widowControl/>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b/>
          <w:bCs/>
          <w:szCs w:val="32"/>
        </w:rPr>
        <w:t>3</w:t>
      </w:r>
      <w:r>
        <w:rPr>
          <w:rFonts w:hint="eastAsia" w:ascii="仿宋_GB2312" w:hAnsi="仿宋_GB2312" w:cs="仿宋_GB2312"/>
          <w:b/>
          <w:bCs/>
          <w:szCs w:val="32"/>
          <w:lang w:eastAsia="zh-CN"/>
        </w:rPr>
        <w:t>.</w:t>
      </w:r>
      <w:r>
        <w:rPr>
          <w:rFonts w:hint="eastAsia" w:ascii="仿宋_GB2312" w:hAnsi="仿宋_GB2312" w:eastAsia="仿宋_GB2312" w:cs="仿宋_GB2312"/>
          <w:b/>
          <w:bCs/>
          <w:szCs w:val="32"/>
        </w:rPr>
        <w:t>项目内容：</w:t>
      </w:r>
      <w:r>
        <w:rPr>
          <w:rFonts w:hint="eastAsia" w:ascii="仿宋_GB2312" w:hAnsi="仿宋_GB2312" w:eastAsia="仿宋_GB2312" w:cs="仿宋_GB2312"/>
          <w:szCs w:val="32"/>
        </w:rPr>
        <w:t>对</w:t>
      </w:r>
      <w:r>
        <w:rPr>
          <w:rFonts w:hint="eastAsia" w:ascii="仿宋_GB2312" w:hAnsi="仿宋_GB2312" w:eastAsia="仿宋_GB2312" w:cs="仿宋_GB2312"/>
          <w:szCs w:val="32"/>
          <w:lang w:eastAsia="zh-CN"/>
        </w:rPr>
        <w:t>益阳市中心城区</w:t>
      </w:r>
      <w:r>
        <w:rPr>
          <w:rFonts w:hint="eastAsia" w:ascii="仿宋_GB2312" w:hAnsi="仿宋_GB2312" w:eastAsia="仿宋_GB2312" w:cs="仿宋_GB2312"/>
          <w:szCs w:val="32"/>
          <w:lang w:val="en-US" w:eastAsia="zh-CN"/>
        </w:rPr>
        <w:t>202个点位的</w:t>
      </w:r>
      <w:r>
        <w:rPr>
          <w:rFonts w:hint="eastAsia" w:ascii="仿宋_GB2312" w:hAnsi="仿宋_GB2312" w:eastAsia="仿宋_GB2312" w:cs="仿宋_GB2312"/>
          <w:szCs w:val="32"/>
        </w:rPr>
        <w:t>油烟废气在线监控设施</w:t>
      </w:r>
      <w:r>
        <w:rPr>
          <w:rFonts w:hint="eastAsia" w:ascii="仿宋_GB2312" w:hAnsi="仿宋_GB2312" w:eastAsia="仿宋_GB2312" w:cs="仿宋_GB2312"/>
          <w:szCs w:val="32"/>
          <w:lang w:eastAsia="zh-CN"/>
        </w:rPr>
        <w:t>进行维护，对</w:t>
      </w:r>
      <w:r>
        <w:rPr>
          <w:rFonts w:hint="eastAsia" w:ascii="仿宋_GB2312" w:hAnsi="仿宋_GB2312" w:eastAsia="仿宋_GB2312" w:cs="仿宋_GB2312"/>
          <w:szCs w:val="32"/>
        </w:rPr>
        <w:t>各餐饮</w:t>
      </w:r>
      <w:r>
        <w:rPr>
          <w:rFonts w:hint="eastAsia" w:ascii="仿宋_GB2312" w:hAnsi="仿宋_GB2312" w:eastAsia="仿宋_GB2312" w:cs="仿宋_GB2312"/>
          <w:szCs w:val="32"/>
          <w:lang w:eastAsia="zh-CN"/>
        </w:rPr>
        <w:t>门店</w:t>
      </w:r>
      <w:r>
        <w:rPr>
          <w:rFonts w:hint="eastAsia" w:ascii="仿宋_GB2312" w:hAnsi="仿宋_GB2312" w:eastAsia="仿宋_GB2312" w:cs="仿宋_GB2312"/>
          <w:szCs w:val="32"/>
        </w:rPr>
        <w:t>的油烟排放情况实行 24 小时全天候实时在线监测，并将实时的油烟排放信息和数据传输到</w:t>
      </w:r>
      <w:r>
        <w:rPr>
          <w:rFonts w:hint="eastAsia" w:ascii="仿宋_GB2312" w:hAnsi="仿宋_GB2312" w:eastAsia="仿宋_GB2312" w:cs="仿宋_GB2312"/>
          <w:szCs w:val="32"/>
          <w:lang w:eastAsia="zh-CN"/>
        </w:rPr>
        <w:t>益阳市</w:t>
      </w:r>
      <w:r>
        <w:rPr>
          <w:rFonts w:hint="eastAsia" w:ascii="仿宋_GB2312" w:hAnsi="仿宋_GB2312" w:eastAsia="仿宋_GB2312" w:cs="仿宋_GB2312"/>
          <w:szCs w:val="32"/>
        </w:rPr>
        <w:t>油烟在线监测管理平台，为执法工作提供数据参考，推进</w:t>
      </w:r>
      <w:r>
        <w:rPr>
          <w:rFonts w:hint="eastAsia" w:ascii="仿宋_GB2312" w:hAnsi="仿宋_GB2312" w:eastAsia="仿宋_GB2312" w:cs="仿宋_GB2312"/>
          <w:szCs w:val="32"/>
          <w:lang w:eastAsia="zh-CN"/>
        </w:rPr>
        <w:t>益阳市中心城区</w:t>
      </w:r>
      <w:r>
        <w:rPr>
          <w:rFonts w:hint="eastAsia" w:ascii="仿宋_GB2312" w:hAnsi="仿宋_GB2312" w:eastAsia="仿宋_GB2312" w:cs="仿宋_GB2312"/>
          <w:szCs w:val="32"/>
        </w:rPr>
        <w:t>餐饮油烟污染治理。</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FF0000"/>
          <w:szCs w:val="32"/>
        </w:rPr>
      </w:pPr>
      <w:r>
        <w:rPr>
          <w:rFonts w:hint="eastAsia" w:ascii="仿宋_GB2312" w:hAnsi="仿宋_GB2312" w:eastAsia="仿宋_GB2312" w:cs="仿宋_GB2312"/>
          <w:b/>
          <w:bCs/>
          <w:szCs w:val="32"/>
        </w:rPr>
        <w:t>4</w:t>
      </w:r>
      <w:r>
        <w:rPr>
          <w:rFonts w:hint="eastAsia" w:ascii="仿宋_GB2312" w:hAnsi="仿宋_GB2312" w:cs="仿宋_GB2312"/>
          <w:b/>
          <w:bCs/>
          <w:szCs w:val="32"/>
          <w:lang w:eastAsia="zh-CN"/>
        </w:rPr>
        <w:t>.</w:t>
      </w:r>
      <w:r>
        <w:rPr>
          <w:rFonts w:hint="eastAsia" w:ascii="仿宋_GB2312" w:hAnsi="仿宋_GB2312" w:eastAsia="仿宋_GB2312" w:cs="仿宋_GB2312"/>
          <w:b/>
          <w:bCs/>
          <w:szCs w:val="32"/>
        </w:rPr>
        <w:t>项目前期完成情况：</w:t>
      </w:r>
      <w:r>
        <w:rPr>
          <w:rFonts w:hint="eastAsia" w:ascii="仿宋_GB2312" w:hAnsi="仿宋_GB2312" w:eastAsia="仿宋_GB2312" w:cs="仿宋_GB2312"/>
          <w:szCs w:val="32"/>
        </w:rPr>
        <w:t>属于连续项目，2021年度完成新增152台油烟废气在线监测设备的安装调试；2022年度在一年质保期内免费运维</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2023年度按合同</w:t>
      </w:r>
      <w:r>
        <w:rPr>
          <w:rFonts w:hint="eastAsia" w:ascii="仿宋_GB2312" w:hAnsi="仿宋_GB2312" w:cs="仿宋_GB2312"/>
          <w:szCs w:val="32"/>
          <w:lang w:val="en-US" w:eastAsia="zh-CN"/>
        </w:rPr>
        <w:t>付款66.3万元，用</w:t>
      </w:r>
      <w:bookmarkStart w:id="0" w:name="_GoBack"/>
      <w:bookmarkEnd w:id="0"/>
      <w:r>
        <w:rPr>
          <w:rFonts w:hint="eastAsia" w:ascii="仿宋_GB2312" w:hAnsi="仿宋_GB2312" w:cs="仿宋_GB2312"/>
          <w:szCs w:val="32"/>
          <w:lang w:val="en-US" w:eastAsia="zh-CN"/>
        </w:rPr>
        <w:t>于</w:t>
      </w:r>
      <w:r>
        <w:rPr>
          <w:rFonts w:hint="eastAsia" w:ascii="仿宋_GB2312" w:hAnsi="仿宋_GB2312" w:eastAsia="仿宋_GB2312" w:cs="仿宋_GB2312"/>
          <w:szCs w:val="32"/>
          <w:lang w:val="en-US" w:eastAsia="zh-CN"/>
        </w:rPr>
        <w:t>202台设备</w:t>
      </w:r>
      <w:r>
        <w:rPr>
          <w:rFonts w:hint="eastAsia" w:ascii="仿宋_GB2312" w:hAnsi="仿宋_GB2312" w:cs="仿宋_GB2312"/>
          <w:szCs w:val="32"/>
          <w:lang w:val="en-US" w:eastAsia="zh-CN"/>
        </w:rPr>
        <w:t>的运行维护，保障餐饮油烟在线监测系统的正常运行，实时提供控制油烟污染的依据</w:t>
      </w:r>
      <w:r>
        <w:rPr>
          <w:rFonts w:hint="eastAsia" w:ascii="仿宋_GB2312" w:hAnsi="仿宋_GB2312" w:eastAsia="仿宋_GB2312" w:cs="仿宋_GB2312"/>
          <w:szCs w:val="32"/>
        </w:rPr>
        <w:t>。</w:t>
      </w:r>
    </w:p>
    <w:p>
      <w:pPr>
        <w:pStyle w:val="10"/>
        <w:keepNext w:val="0"/>
        <w:keepLines w:val="0"/>
        <w:pageBreakBefore w:val="0"/>
        <w:widowControl/>
        <w:numPr>
          <w:ilvl w:val="0"/>
          <w:numId w:val="0"/>
        </w:numPr>
        <w:kinsoku/>
        <w:wordWrap/>
        <w:overflowPunct/>
        <w:topLinePunct w:val="0"/>
        <w:autoSpaceDE/>
        <w:autoSpaceDN/>
        <w:bidi w:val="0"/>
        <w:spacing w:line="560" w:lineRule="exact"/>
        <w:ind w:left="640" w:leftChars="0"/>
        <w:jc w:val="both"/>
        <w:textAlignment w:val="auto"/>
        <w:rPr>
          <w:rFonts w:hint="eastAsia" w:ascii="楷体" w:hAnsi="楷体" w:eastAsia="楷体" w:cs="楷体"/>
          <w:b/>
          <w:bCs/>
          <w:szCs w:val="32"/>
        </w:rPr>
      </w:pPr>
      <w:r>
        <w:rPr>
          <w:rFonts w:hint="eastAsia" w:ascii="楷体" w:hAnsi="楷体" w:eastAsia="楷体" w:cs="楷体"/>
          <w:b/>
          <w:bCs/>
          <w:szCs w:val="32"/>
          <w:lang w:eastAsia="zh-CN"/>
        </w:rPr>
        <w:t>（二）</w:t>
      </w:r>
      <w:r>
        <w:rPr>
          <w:rFonts w:hint="eastAsia" w:ascii="楷体" w:hAnsi="楷体" w:eastAsia="楷体" w:cs="楷体"/>
          <w:b/>
          <w:bCs/>
          <w:szCs w:val="32"/>
        </w:rPr>
        <w:t>资金使用管理情况</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cs="仿宋_GB2312"/>
          <w:szCs w:val="32"/>
          <w:lang w:val="en-US" w:eastAsia="zh-CN"/>
        </w:rPr>
      </w:pPr>
      <w:r>
        <w:rPr>
          <w:rFonts w:hint="eastAsia" w:ascii="仿宋_GB2312" w:hAnsi="仿宋_GB2312" w:cs="仿宋_GB2312"/>
          <w:szCs w:val="32"/>
          <w:lang w:eastAsia="zh-CN"/>
        </w:rPr>
        <w:t>资金到位情况。</w:t>
      </w:r>
      <w:r>
        <w:rPr>
          <w:rFonts w:hint="eastAsia" w:ascii="仿宋_GB2312" w:hAnsi="仿宋_GB2312" w:cs="仿宋_GB2312"/>
          <w:szCs w:val="32"/>
          <w:lang w:val="en-US" w:eastAsia="zh-CN"/>
        </w:rPr>
        <w:t>2023年项目到位资金66.3万元。</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cs="仿宋_GB2312"/>
          <w:szCs w:val="32"/>
          <w:lang w:eastAsia="zh-CN"/>
        </w:rPr>
      </w:pPr>
      <w:r>
        <w:rPr>
          <w:rFonts w:hint="eastAsia" w:ascii="仿宋_GB2312" w:hAnsi="仿宋_GB2312" w:cs="仿宋_GB2312"/>
          <w:szCs w:val="32"/>
          <w:lang w:val="en-US" w:eastAsia="zh-CN"/>
        </w:rPr>
        <w:t>资金使用情况。</w:t>
      </w:r>
      <w:r>
        <w:rPr>
          <w:rFonts w:hint="eastAsia" w:ascii="仿宋_GB2312" w:hAnsi="仿宋_GB2312" w:eastAsia="仿宋_GB2312" w:cs="仿宋_GB2312"/>
          <w:szCs w:val="32"/>
        </w:rPr>
        <w:t>项目合同总金额为220.98万元，</w:t>
      </w:r>
      <w:r>
        <w:rPr>
          <w:rFonts w:hint="eastAsia" w:ascii="仿宋_GB2312" w:hAnsi="仿宋_GB2312" w:cs="仿宋_GB2312"/>
          <w:szCs w:val="32"/>
          <w:lang w:eastAsia="zh-CN"/>
        </w:rPr>
        <w:t>我单位严格按照合同支付资金，</w:t>
      </w:r>
      <w:r>
        <w:rPr>
          <w:rFonts w:hint="eastAsia" w:ascii="仿宋_GB2312" w:hAnsi="仿宋_GB2312" w:cs="仿宋_GB2312"/>
          <w:szCs w:val="32"/>
          <w:lang w:val="en-US" w:eastAsia="zh-CN"/>
        </w:rPr>
        <w:t>2021年</w:t>
      </w:r>
      <w:r>
        <w:rPr>
          <w:rFonts w:hint="eastAsia" w:ascii="仿宋_GB2312" w:hAnsi="仿宋_GB2312" w:eastAsia="仿宋_GB2312" w:cs="仿宋_GB2312"/>
          <w:szCs w:val="32"/>
        </w:rPr>
        <w:t>支付资金88.39万元，</w:t>
      </w:r>
      <w:r>
        <w:rPr>
          <w:rFonts w:hint="eastAsia" w:ascii="仿宋_GB2312" w:hAnsi="仿宋_GB2312" w:cs="仿宋_GB2312"/>
          <w:szCs w:val="32"/>
          <w:lang w:val="en-US" w:eastAsia="zh-CN"/>
        </w:rPr>
        <w:t>2023年支付资金66.3万元，资金执行率100%，</w:t>
      </w:r>
      <w:r>
        <w:rPr>
          <w:rFonts w:hint="eastAsia" w:ascii="仿宋_GB2312" w:hAnsi="仿宋_GB2312" w:eastAsia="仿宋_GB2312" w:cs="仿宋_GB2312"/>
          <w:szCs w:val="32"/>
        </w:rPr>
        <w:t>资金</w:t>
      </w:r>
      <w:r>
        <w:rPr>
          <w:rFonts w:hint="eastAsia" w:ascii="仿宋_GB2312" w:hAnsi="仿宋_GB2312" w:cs="仿宋_GB2312"/>
          <w:szCs w:val="32"/>
          <w:lang w:eastAsia="zh-CN"/>
        </w:rPr>
        <w:t>使用</w:t>
      </w:r>
      <w:r>
        <w:rPr>
          <w:rFonts w:hint="eastAsia" w:ascii="仿宋_GB2312" w:hAnsi="仿宋_GB2312" w:eastAsia="仿宋_GB2312" w:cs="仿宋_GB2312"/>
          <w:szCs w:val="32"/>
        </w:rPr>
        <w:t>专款专用，无挪用和截留现象</w:t>
      </w:r>
      <w:r>
        <w:rPr>
          <w:rFonts w:hint="eastAsia" w:ascii="仿宋_GB2312" w:hAnsi="仿宋_GB2312" w:cs="仿宋_GB2312"/>
          <w:szCs w:val="32"/>
          <w:lang w:eastAsia="zh-CN"/>
        </w:rPr>
        <w:t>。</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cs="仿宋_GB2312"/>
          <w:szCs w:val="32"/>
          <w:lang w:eastAsia="zh-CN"/>
        </w:rPr>
      </w:pPr>
      <w:r>
        <w:rPr>
          <w:rFonts w:hint="eastAsia" w:ascii="仿宋_GB2312" w:hAnsi="仿宋_GB2312" w:cs="仿宋_GB2312"/>
          <w:szCs w:val="32"/>
          <w:lang w:eastAsia="zh-CN"/>
        </w:rPr>
        <w:t>资金管理情况。</w:t>
      </w:r>
      <w:r>
        <w:rPr>
          <w:rFonts w:hint="eastAsia" w:ascii="方正仿宋简体" w:hAnsi="方正仿宋简体" w:eastAsia="方正仿宋简体" w:cs="方正仿宋简体"/>
          <w:kern w:val="2"/>
          <w:sz w:val="32"/>
          <w:szCs w:val="32"/>
          <w:lang w:val="en-US" w:eastAsia="zh-CN" w:bidi="ar-SA"/>
        </w:rPr>
        <w:t>严格按照财务管理制度和会审联签制度进行经费的审查和把关，对支出金额在一万元以上的须经局党组会议确定后付款。</w:t>
      </w:r>
    </w:p>
    <w:p>
      <w:pPr>
        <w:keepNext w:val="0"/>
        <w:keepLines w:val="0"/>
        <w:pageBreakBefore w:val="0"/>
        <w:widowControl/>
        <w:numPr>
          <w:ilvl w:val="0"/>
          <w:numId w:val="1"/>
        </w:numPr>
        <w:kinsoku/>
        <w:wordWrap/>
        <w:overflowPunct/>
        <w:topLinePunct w:val="0"/>
        <w:autoSpaceDE/>
        <w:autoSpaceDN/>
        <w:bidi w:val="0"/>
        <w:spacing w:line="560" w:lineRule="exact"/>
        <w:ind w:firstLine="643" w:firstLineChars="200"/>
        <w:jc w:val="both"/>
        <w:textAlignment w:val="auto"/>
        <w:rPr>
          <w:rFonts w:hint="eastAsia" w:ascii="楷体" w:hAnsi="楷体" w:eastAsia="楷体" w:cs="楷体"/>
          <w:b/>
          <w:bCs/>
          <w:szCs w:val="32"/>
        </w:rPr>
      </w:pPr>
      <w:r>
        <w:rPr>
          <w:rFonts w:hint="eastAsia" w:ascii="楷体" w:hAnsi="楷体" w:eastAsia="楷体" w:cs="楷体"/>
          <w:b/>
          <w:bCs/>
          <w:szCs w:val="32"/>
        </w:rPr>
        <w:t>绩效目标完成程度</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Cs w:val="32"/>
        </w:rPr>
      </w:pPr>
      <w:r>
        <w:rPr>
          <w:rFonts w:hint="eastAsia" w:ascii="仿宋_GB2312" w:hAnsi="仿宋_GB2312" w:cs="仿宋_GB2312"/>
          <w:b/>
          <w:bCs/>
          <w:szCs w:val="32"/>
          <w:lang w:val="en-US" w:eastAsia="zh-CN"/>
        </w:rPr>
        <w:t>1.</w:t>
      </w:r>
      <w:r>
        <w:rPr>
          <w:rFonts w:hint="eastAsia" w:ascii="仿宋_GB2312" w:hAnsi="仿宋_GB2312" w:eastAsia="仿宋_GB2312" w:cs="仿宋_GB2312"/>
          <w:b/>
          <w:bCs/>
          <w:szCs w:val="32"/>
        </w:rPr>
        <w:t>绩效总目标：</w:t>
      </w:r>
      <w:r>
        <w:rPr>
          <w:rFonts w:hint="eastAsia" w:ascii="仿宋_GB2312" w:hAnsi="仿宋_GB2312" w:eastAsia="仿宋_GB2312" w:cs="仿宋_GB2312"/>
          <w:szCs w:val="32"/>
        </w:rPr>
        <w:t>掌握各监测点的油烟净化器运行状况、排放浓度等变化规律，开展油烟污染防治工作，以更科学和精细化的管理完成对油烟排放的实时精准掌握和提前预防。</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Cs w:val="32"/>
          <w:lang w:eastAsia="zh-CN"/>
        </w:rPr>
      </w:pPr>
      <w:r>
        <w:rPr>
          <w:rFonts w:hint="eastAsia" w:ascii="仿宋_GB2312" w:hAnsi="仿宋_GB2312" w:cs="仿宋_GB2312"/>
          <w:b/>
          <w:bCs/>
          <w:szCs w:val="32"/>
          <w:lang w:val="en-US" w:eastAsia="zh-CN"/>
        </w:rPr>
        <w:t>2.</w:t>
      </w:r>
      <w:r>
        <w:rPr>
          <w:rFonts w:hint="eastAsia" w:ascii="仿宋_GB2312" w:hAnsi="仿宋_GB2312" w:eastAsia="仿宋_GB2312" w:cs="仿宋_GB2312"/>
          <w:b/>
          <w:bCs/>
          <w:szCs w:val="32"/>
        </w:rPr>
        <w:t>各阶段性目标：</w:t>
      </w:r>
      <w:r>
        <w:rPr>
          <w:rFonts w:hint="eastAsia" w:ascii="仿宋_GB2312" w:hAnsi="仿宋_GB2312" w:eastAsia="仿宋_GB2312" w:cs="仿宋_GB2312"/>
          <w:szCs w:val="32"/>
        </w:rPr>
        <w:t>2023年度</w:t>
      </w:r>
      <w:r>
        <w:rPr>
          <w:rFonts w:hint="eastAsia" w:ascii="仿宋_GB2312" w:hAnsi="仿宋_GB2312" w:eastAsia="仿宋_GB2312" w:cs="仿宋_GB2312"/>
          <w:szCs w:val="32"/>
          <w:lang w:val="en-US" w:eastAsia="zh-CN"/>
        </w:rPr>
        <w:t>完成</w:t>
      </w:r>
      <w:r>
        <w:rPr>
          <w:rFonts w:hint="eastAsia" w:ascii="仿宋_GB2312" w:hAnsi="仿宋_GB2312" w:eastAsia="仿宋_GB2312" w:cs="仿宋_GB2312"/>
          <w:szCs w:val="32"/>
        </w:rPr>
        <w:t>202个</w:t>
      </w:r>
      <w:r>
        <w:rPr>
          <w:rFonts w:hint="eastAsia" w:ascii="仿宋_GB2312" w:hAnsi="仿宋_GB2312" w:eastAsia="仿宋_GB2312" w:cs="仿宋_GB2312"/>
          <w:szCs w:val="32"/>
          <w:lang w:val="en-US" w:eastAsia="zh-CN"/>
        </w:rPr>
        <w:t>点位的油烟废气在线</w:t>
      </w:r>
      <w:r>
        <w:rPr>
          <w:rFonts w:hint="eastAsia" w:ascii="仿宋_GB2312" w:hAnsi="仿宋_GB2312" w:eastAsia="仿宋_GB2312" w:cs="仿宋_GB2312"/>
          <w:szCs w:val="32"/>
        </w:rPr>
        <w:t>监控</w:t>
      </w:r>
      <w:r>
        <w:rPr>
          <w:rFonts w:hint="eastAsia" w:ascii="仿宋_GB2312" w:hAnsi="仿宋_GB2312" w:eastAsia="仿宋_GB2312" w:cs="仿宋_GB2312"/>
          <w:szCs w:val="32"/>
          <w:lang w:val="en-US" w:eastAsia="zh-CN"/>
        </w:rPr>
        <w:t>系统</w:t>
      </w:r>
      <w:r>
        <w:rPr>
          <w:rFonts w:hint="eastAsia" w:ascii="仿宋_GB2312" w:hAnsi="仿宋_GB2312" w:eastAsia="仿宋_GB2312" w:cs="仿宋_GB2312"/>
          <w:szCs w:val="32"/>
        </w:rPr>
        <w:t>的日常维护运行</w:t>
      </w:r>
      <w:r>
        <w:rPr>
          <w:rFonts w:hint="eastAsia" w:ascii="仿宋_GB2312" w:hAnsi="仿宋_GB2312" w:eastAsia="仿宋_GB2312" w:cs="仿宋_GB2312"/>
          <w:szCs w:val="32"/>
          <w:lang w:eastAsia="zh-CN"/>
        </w:rPr>
        <w:t>，提供各油烟监测点的数据及分析等服务，提供控制油烟污染的依据，保障餐饮油烟在线监测系统的正常运行。</w:t>
      </w:r>
    </w:p>
    <w:p>
      <w:pPr>
        <w:keepNext w:val="0"/>
        <w:keepLines w:val="0"/>
        <w:pageBreakBefore w:val="0"/>
        <w:widowControl/>
        <w:kinsoku/>
        <w:wordWrap/>
        <w:overflowPunct/>
        <w:topLinePunct w:val="0"/>
        <w:autoSpaceDE/>
        <w:autoSpaceDN/>
        <w:bidi w:val="0"/>
        <w:spacing w:line="560" w:lineRule="exact"/>
        <w:ind w:firstLine="643" w:firstLineChars="200"/>
        <w:jc w:val="both"/>
        <w:textAlignment w:val="auto"/>
        <w:rPr>
          <w:rFonts w:hint="eastAsia" w:ascii="Times New Roman" w:hAnsi="Times New Roman" w:eastAsia="宋体"/>
          <w:szCs w:val="32"/>
          <w:lang w:eastAsia="zh-CN"/>
        </w:rPr>
      </w:pPr>
      <w:r>
        <w:rPr>
          <w:rFonts w:hint="eastAsia" w:ascii="仿宋_GB2312" w:hAnsi="仿宋_GB2312" w:cs="仿宋_GB2312"/>
          <w:b/>
          <w:bCs/>
          <w:szCs w:val="32"/>
          <w:lang w:val="en-US" w:eastAsia="zh-CN"/>
        </w:rPr>
        <w:t>3.</w:t>
      </w:r>
      <w:r>
        <w:rPr>
          <w:rFonts w:hint="eastAsia" w:ascii="仿宋_GB2312" w:hAnsi="仿宋_GB2312" w:eastAsia="仿宋_GB2312" w:cs="仿宋_GB2312"/>
          <w:b/>
          <w:bCs/>
          <w:szCs w:val="32"/>
        </w:rPr>
        <w:t>实现的产出情况：</w:t>
      </w:r>
      <w:r>
        <w:rPr>
          <w:rFonts w:hint="eastAsia" w:ascii="Times New Roman" w:hAnsi="Times New Roman"/>
          <w:szCs w:val="32"/>
        </w:rPr>
        <w:t>2021年8月底完成</w:t>
      </w:r>
      <w:r>
        <w:rPr>
          <w:rFonts w:ascii="Times New Roman" w:hAnsi="Times New Roman"/>
          <w:szCs w:val="32"/>
        </w:rPr>
        <w:t>152</w:t>
      </w:r>
      <w:r>
        <w:rPr>
          <w:rFonts w:hint="eastAsia" w:ascii="Times New Roman" w:hAnsi="Times New Roman"/>
          <w:szCs w:val="32"/>
        </w:rPr>
        <w:t>个点位油烟废气在线监测系统安装调试</w:t>
      </w:r>
      <w:r>
        <w:rPr>
          <w:rFonts w:hint="eastAsia" w:ascii="Times New Roman" w:hAnsi="Times New Roman"/>
          <w:szCs w:val="32"/>
          <w:lang w:eastAsia="zh-CN"/>
        </w:rPr>
        <w:t>。</w:t>
      </w:r>
      <w:r>
        <w:rPr>
          <w:rFonts w:hint="eastAsia" w:ascii="Times New Roman" w:hAnsi="Times New Roman"/>
          <w:szCs w:val="32"/>
        </w:rPr>
        <w:t>2021年8月</w:t>
      </w:r>
      <w:r>
        <w:rPr>
          <w:rFonts w:hint="eastAsia" w:ascii="Times New Roman" w:hAnsi="Times New Roman"/>
          <w:szCs w:val="32"/>
          <w:lang w:eastAsia="zh-CN"/>
        </w:rPr>
        <w:t>至</w:t>
      </w:r>
      <w:r>
        <w:rPr>
          <w:rFonts w:hint="eastAsia" w:ascii="Times New Roman" w:hAnsi="Times New Roman"/>
          <w:szCs w:val="32"/>
        </w:rPr>
        <w:t>2022年11月安装后免费运维保修一年，2022年11月</w:t>
      </w:r>
      <w:r>
        <w:rPr>
          <w:rFonts w:hint="eastAsia" w:ascii="Times New Roman" w:hAnsi="Times New Roman"/>
          <w:szCs w:val="32"/>
          <w:lang w:eastAsia="zh-CN"/>
        </w:rPr>
        <w:t>至</w:t>
      </w:r>
      <w:r>
        <w:rPr>
          <w:rFonts w:hint="eastAsia" w:ascii="Times New Roman" w:hAnsi="Times New Roman"/>
          <w:szCs w:val="32"/>
        </w:rPr>
        <w:t>2023年11月完成一二期50个点位、及三期152个点位，合计202个点位设备的全面清洗运维维护等相应工作</w:t>
      </w:r>
      <w:r>
        <w:rPr>
          <w:rFonts w:hint="eastAsia" w:ascii="Times New Roman" w:hAnsi="Times New Roman"/>
          <w:szCs w:val="32"/>
          <w:lang w:eastAsia="zh-CN"/>
        </w:rPr>
        <w:t>，保证所有在线监控设备正常运行。</w:t>
      </w:r>
    </w:p>
    <w:p>
      <w:pPr>
        <w:keepNext w:val="0"/>
        <w:keepLines w:val="0"/>
        <w:pageBreakBefore w:val="0"/>
        <w:widowControl/>
        <w:kinsoku/>
        <w:wordWrap/>
        <w:overflowPunct/>
        <w:topLinePunct w:val="0"/>
        <w:autoSpaceDE/>
        <w:autoSpaceDN/>
        <w:bidi w:val="0"/>
        <w:spacing w:line="560" w:lineRule="exact"/>
        <w:ind w:firstLine="643" w:firstLineChars="200"/>
        <w:jc w:val="both"/>
        <w:textAlignment w:val="auto"/>
        <w:rPr>
          <w:rFonts w:hint="eastAsia" w:ascii="Times New Roman" w:hAnsi="Times New Roman"/>
          <w:szCs w:val="32"/>
        </w:rPr>
      </w:pPr>
      <w:r>
        <w:rPr>
          <w:rFonts w:hint="eastAsia" w:ascii="仿宋_GB2312" w:hAnsi="仿宋_GB2312" w:cs="仿宋_GB2312"/>
          <w:b/>
          <w:bCs/>
          <w:szCs w:val="32"/>
          <w:lang w:val="en-US" w:eastAsia="zh-CN"/>
        </w:rPr>
        <w:t>4.</w:t>
      </w:r>
      <w:r>
        <w:rPr>
          <w:rFonts w:hint="eastAsia" w:ascii="仿宋_GB2312" w:hAnsi="仿宋_GB2312" w:eastAsia="仿宋_GB2312" w:cs="仿宋_GB2312"/>
          <w:b/>
          <w:bCs/>
          <w:szCs w:val="32"/>
        </w:rPr>
        <w:t>取得的效益情况：</w:t>
      </w:r>
      <w:r>
        <w:rPr>
          <w:rFonts w:hint="eastAsia" w:ascii="Times New Roman" w:hAnsi="Times New Roman"/>
          <w:szCs w:val="32"/>
        </w:rPr>
        <w:t>节省人力物力财力并实现精准有效控制。通过科学管理和防治，减少餐饮油烟污染，有助于空气质量的改善。对本单位的社会服务职能产生一定影响，服务效率和公共服务水平有所提高。项目的实施在一定程度上控制了餐饮油烟对周围环境的污染。</w:t>
      </w:r>
    </w:p>
    <w:p>
      <w:pPr>
        <w:pStyle w:val="10"/>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Cs w:val="32"/>
        </w:rPr>
      </w:pPr>
      <w:r>
        <w:rPr>
          <w:rFonts w:hint="eastAsia" w:ascii="黑体" w:hAnsi="黑体" w:eastAsia="黑体" w:cs="黑体"/>
          <w:szCs w:val="32"/>
          <w:lang w:eastAsia="zh-CN"/>
        </w:rPr>
        <w:t>二、</w:t>
      </w:r>
      <w:r>
        <w:rPr>
          <w:rFonts w:hint="eastAsia" w:ascii="黑体" w:hAnsi="黑体" w:eastAsia="黑体" w:cs="黑体"/>
          <w:szCs w:val="32"/>
        </w:rPr>
        <w:t>部门评价工作开展情况</w:t>
      </w:r>
    </w:p>
    <w:p>
      <w:pPr>
        <w:pStyle w:val="10"/>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（一）前期准备</w:t>
      </w:r>
    </w:p>
    <w:p>
      <w:pPr>
        <w:pStyle w:val="10"/>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为保证绩效自评工作的顺利实施，</w:t>
      </w:r>
      <w:r>
        <w:rPr>
          <w:rFonts w:hint="eastAsia" w:ascii="方正仿宋简体" w:hAnsi="方正仿宋简体" w:eastAsia="方正仿宋简体" w:cs="方正仿宋简体"/>
          <w:sz w:val="32"/>
          <w:szCs w:val="32"/>
          <w:lang w:val="en-US" w:eastAsia="zh-CN"/>
        </w:rPr>
        <w:t>成立了绩效评价工作小组，对本项目资金开展绩效评价工作。</w:t>
      </w:r>
    </w:p>
    <w:p>
      <w:pPr>
        <w:pStyle w:val="10"/>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（二）组织过程</w:t>
      </w:r>
    </w:p>
    <w:p>
      <w:pPr>
        <w:pStyle w:val="10"/>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按要求整理项目资料，</w:t>
      </w:r>
      <w:r>
        <w:rPr>
          <w:rFonts w:hint="eastAsia" w:ascii="方正仿宋简体" w:hAnsi="方正仿宋简体" w:eastAsia="方正仿宋简体" w:cs="方正仿宋简体"/>
          <w:sz w:val="32"/>
          <w:szCs w:val="32"/>
          <w:lang w:val="en-US" w:eastAsia="zh-CN"/>
        </w:rPr>
        <w:t>逐一梳理了项目资金的使用管理情况和项目运行情况，项目绩效目标的设定和完成情况</w:t>
      </w:r>
      <w:r>
        <w:rPr>
          <w:rFonts w:hint="eastAsia" w:ascii="Times New Roman" w:hAnsi="Times New Roman" w:eastAsia="仿宋_GB2312" w:cs="Times New Roman"/>
          <w:kern w:val="2"/>
          <w:sz w:val="32"/>
          <w:szCs w:val="32"/>
          <w:lang w:val="en-US" w:eastAsia="zh-CN" w:bidi="ar-SA"/>
        </w:rPr>
        <w:t>，最后归纳问题，分析原因，提出建议，形成项目绩效自评报告。</w:t>
      </w:r>
    </w:p>
    <w:p>
      <w:pPr>
        <w:pStyle w:val="10"/>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（三）评价方法</w:t>
      </w:r>
    </w:p>
    <w:p>
      <w:pPr>
        <w:pStyle w:val="9"/>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本次评价严格遵循科学规范、公开公正原则，采用定量与定性相结合、书面评价和现场评价相结合方式进行评价。</w:t>
      </w:r>
    </w:p>
    <w:p>
      <w:pPr>
        <w:pStyle w:val="9"/>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三、综合评价结论</w:t>
      </w:r>
    </w:p>
    <w:p>
      <w:pPr>
        <w:pStyle w:val="9"/>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根据2023年度项目支出绩效自评表，项目评分96分，综合结论为“优秀”。</w:t>
      </w:r>
    </w:p>
    <w:p>
      <w:pPr>
        <w:pStyle w:val="9"/>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四、绩效评价指标分析</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szCs w:val="32"/>
        </w:rPr>
      </w:pPr>
      <w:r>
        <w:rPr>
          <w:rFonts w:hint="eastAsia" w:ascii="楷体" w:hAnsi="楷体" w:eastAsia="楷体" w:cs="楷体"/>
          <w:b/>
          <w:bCs/>
          <w:szCs w:val="32"/>
        </w:rPr>
        <w:t>（一）预算支出决策情况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cs="仿宋_GB2312"/>
          <w:szCs w:val="32"/>
          <w:lang w:eastAsia="zh-CN"/>
        </w:rPr>
      </w:pPr>
      <w:r>
        <w:rPr>
          <w:rFonts w:hint="eastAsia" w:ascii="仿宋_GB2312" w:hAnsi="仿宋_GB2312" w:cs="仿宋_GB2312"/>
          <w:szCs w:val="32"/>
          <w:lang w:eastAsia="zh-CN"/>
        </w:rPr>
        <w:t>项目立项依据充分，符合政策要求，属于部门职责所需</w:t>
      </w:r>
      <w:r>
        <w:rPr>
          <w:rFonts w:hint="eastAsia" w:ascii="仿宋_GB2312" w:hAnsi="仿宋_GB2312" w:eastAsia="仿宋_GB2312" w:cs="仿宋_GB2312"/>
          <w:szCs w:val="32"/>
        </w:rPr>
        <w:t>。</w:t>
      </w:r>
      <w:r>
        <w:rPr>
          <w:rFonts w:hint="eastAsia" w:ascii="仿宋_GB2312" w:hAnsi="仿宋_GB2312" w:cs="仿宋_GB2312"/>
          <w:szCs w:val="32"/>
          <w:lang w:eastAsia="zh-CN"/>
        </w:rPr>
        <w:t>预算支出属于公共财政支持范畴，与部门内部其他预算不重复。</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cs="仿宋_GB2312"/>
          <w:szCs w:val="32"/>
          <w:lang w:val="en-US" w:eastAsia="zh-CN"/>
        </w:rPr>
      </w:pPr>
      <w:r>
        <w:rPr>
          <w:rFonts w:hint="eastAsia" w:ascii="仿宋_GB2312" w:hAnsi="仿宋_GB2312" w:cs="仿宋_GB2312"/>
          <w:szCs w:val="32"/>
          <w:lang w:eastAsia="zh-CN"/>
        </w:rPr>
        <w:t>项目立项程序规范，预算支出按照规定程序设立，纳入了</w:t>
      </w:r>
      <w:r>
        <w:rPr>
          <w:rFonts w:hint="eastAsia" w:ascii="仿宋_GB2312" w:hAnsi="仿宋_GB2312" w:cs="仿宋_GB2312"/>
          <w:szCs w:val="32"/>
          <w:lang w:val="en-US" w:eastAsia="zh-CN"/>
        </w:rPr>
        <w:t>2023年城市维护资金计划。审批文件、采购流程符合相关要求，严格按照政府采购程序实施。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cs="仿宋_GB2312"/>
          <w:szCs w:val="32"/>
          <w:lang w:val="en-US" w:eastAsia="zh-CN"/>
        </w:rPr>
      </w:pPr>
      <w:r>
        <w:rPr>
          <w:rFonts w:hint="eastAsia" w:ascii="仿宋_GB2312" w:hAnsi="仿宋_GB2312" w:cs="仿宋_GB2312"/>
          <w:szCs w:val="32"/>
          <w:lang w:val="en-US" w:eastAsia="zh-CN"/>
        </w:rPr>
        <w:t>绩效目标设定充分考虑实际工作目标，绩效指标明确，清晰，能充分反映项目实施情况。</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szCs w:val="32"/>
        </w:rPr>
      </w:pPr>
      <w:r>
        <w:rPr>
          <w:rFonts w:hint="eastAsia" w:ascii="楷体" w:hAnsi="楷体" w:eastAsia="楷体" w:cs="楷体"/>
          <w:b/>
          <w:bCs/>
          <w:szCs w:val="32"/>
        </w:rPr>
        <w:t>（二）预算执行过程情况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Cs w:val="32"/>
        </w:rPr>
      </w:pPr>
      <w:r>
        <w:rPr>
          <w:rFonts w:hint="eastAsia" w:ascii="仿宋_GB2312" w:hAnsi="仿宋_GB2312" w:cs="仿宋_GB2312"/>
          <w:szCs w:val="32"/>
          <w:lang w:eastAsia="zh-CN"/>
        </w:rPr>
        <w:t>资金严格管理，使用合规。</w:t>
      </w:r>
      <w:r>
        <w:rPr>
          <w:rFonts w:hint="eastAsia" w:ascii="仿宋_GB2312" w:hAnsi="仿宋_GB2312" w:eastAsia="仿宋_GB2312" w:cs="仿宋_GB2312"/>
          <w:szCs w:val="32"/>
        </w:rPr>
        <w:t>资金到位率100%；预算执行率100%；资金使用符合国家财经法规和财务管理制度，资金的拨付有完整的审批程序和手续，符合预算支出预算批复</w:t>
      </w:r>
      <w:r>
        <w:rPr>
          <w:rFonts w:hint="eastAsia" w:ascii="仿宋_GB2312" w:hAnsi="仿宋_GB2312" w:cs="仿宋_GB2312"/>
          <w:szCs w:val="32"/>
          <w:lang w:eastAsia="zh-CN"/>
        </w:rPr>
        <w:t>和</w:t>
      </w:r>
      <w:r>
        <w:rPr>
          <w:rFonts w:hint="eastAsia" w:ascii="仿宋_GB2312" w:hAnsi="仿宋_GB2312" w:eastAsia="仿宋_GB2312" w:cs="仿宋_GB2312"/>
          <w:szCs w:val="32"/>
        </w:rPr>
        <w:t>合同规定的用途；无截留、挤占、挪用、虐列支出等情况。</w:t>
      </w:r>
      <w:r>
        <w:rPr>
          <w:rFonts w:hint="eastAsia" w:ascii="仿宋_GB2312" w:hAnsi="仿宋_GB2312" w:cs="仿宋_GB2312"/>
          <w:szCs w:val="32"/>
          <w:lang w:val="en-US" w:eastAsia="zh-CN"/>
        </w:rPr>
        <w:t xml:space="preserve">               管理制度健全，并有效执行。</w:t>
      </w:r>
      <w:r>
        <w:rPr>
          <w:rFonts w:hint="eastAsia" w:ascii="仿宋_GB2312" w:hAnsi="仿宋_GB2312" w:eastAsia="仿宋_GB2312" w:cs="仿宋_GB2312"/>
          <w:szCs w:val="32"/>
        </w:rPr>
        <w:t>有专门完善的考核等管理制度，预算支出合同书、验收报告、技术鉴定等资料齐全并及时归档。预算支出实施的人员条件、场地设备、信息支撑等按合同要求落实到位。</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szCs w:val="32"/>
        </w:rPr>
      </w:pPr>
      <w:r>
        <w:rPr>
          <w:rFonts w:hint="eastAsia" w:ascii="楷体" w:hAnsi="楷体" w:eastAsia="楷体" w:cs="楷体"/>
          <w:b/>
          <w:bCs/>
          <w:szCs w:val="32"/>
        </w:rPr>
        <w:t>（三）预算支出产出情况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新安装设备及原有设备并入同一套系统平台，并将监测系统平台纳入数字城管指挥平台系统，在指定的电脑及手机上安装监控软件，给需要的相关工作人员提供安装指导服务，答疑，进行培训并教会使用。定期更换光源管气泵、滤芯、传感器、滤网等配件，保障监测终端的正常运行。及时更换并做好更换记录。监测系统软件及系统平台进行定期维护，保障餐饮油烟在线监测系统的正常运行。按要求提供数据及分析等服务；指导、掌握各监测点的油烟净化器运行状况、排放浓度等变化规律。完成设备的运维的同时负责安全管理，设备有丢失已协调处理并由项目承担方补充新设备到位。实际完成率100%；质量达标率99%，整改后达到100%；预算支出产出时效100%；预算支出实施单位如期、保质、保量完成既定工作目标，节约人力物力财力并实现精准有效控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1）按要求进行运维服务，定期更换光源管气泵、滤芯、传感器、滤网等配件，保障监测终端的正常运行。及时更换并做好更换记录，少于既定数量，按实际予以扣减，超出数量，提交到系统平台并提交书面文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（2）新安装设备及原有设备并入同一套系统平台，并将监测系统平台纳入数字城管指挥平台系统，在指定的电脑及手机上安装监控软件，给需要的相关工作人员提供安装指导服务，答疑，教会使用。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（3）按月提供各油烟监测点的数据及分析等服务；指导、掌握各监测点的油烟净化器运行状况、排放浓度等变化规律，开展油烟污染防治工作。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（4）对监测系统软件及系统平台进行定期维护，保障餐饮油烟在线监测系统的正常运行。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（5）未有不经同意，擅自修改、删除监测点和监控管理软件的数据行为</w:t>
      </w:r>
      <w:r>
        <w:rPr>
          <w:rFonts w:hint="eastAsia" w:ascii="仿宋_GB2312" w:hAnsi="仿宋_GB2312" w:cs="仿宋_GB2312"/>
          <w:szCs w:val="32"/>
          <w:lang w:eastAsia="zh-CN"/>
        </w:rPr>
        <w:t>，</w:t>
      </w:r>
      <w:r>
        <w:rPr>
          <w:rFonts w:hint="eastAsia" w:ascii="仿宋_GB2312" w:hAnsi="仿宋_GB2312" w:eastAsia="仿宋_GB2312" w:cs="仿宋_GB2312"/>
          <w:szCs w:val="32"/>
        </w:rPr>
        <w:t>并能对数据和系统审慎、及时的保管、储存监测点和监控管理软件的数据，并承担监控数据缺失的责任。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（6）接到需要调整相关监测点位置的通知后及时有效的进行拆装、移机等处理相关设备，监管移机到位并做好相应数据传输等相关工作，保证移机后设备的正常运行。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7）监管及时做好监测终端运行、保管、维护等工作，如因运行、保管、维护等不当引发的安全事故，责任由项目承担方负责。因门店行为、导致丢失7台设备，已监管对接，部分让门店进行了赔偿并由项目承担方补充新设备到位。</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（8）项目承担方对第一批安装设备出现老化失灵情况的及第二批部分前期设备有老化现象的主动进行更换，保证正常使用。</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szCs w:val="32"/>
        </w:rPr>
      </w:pPr>
      <w:r>
        <w:rPr>
          <w:rFonts w:hint="eastAsia" w:ascii="楷体" w:hAnsi="楷体" w:eastAsia="楷体" w:cs="楷体"/>
          <w:b/>
          <w:bCs/>
          <w:szCs w:val="32"/>
        </w:rPr>
        <w:t>（四）预算支出效益情况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预算支出实施所产生的社会效益：对本单位的社会服务职能产生一定影响，服务效率和公共服务水平有所提高。经济效益：节省人力物力财力并实现精准有效控制。生态效益：通过科学管理和防治，减少餐饮油烟污染，有助于空气质量的改善。可持续影响：有效促进生态环境改善。社会公众或服务对象对预算支出实施效果的满意程度：实时、精准、有效</w:t>
      </w:r>
      <w:r>
        <w:rPr>
          <w:rFonts w:hint="eastAsia" w:ascii="仿宋_GB2312" w:hAnsi="仿宋_GB2312" w:cs="仿宋_GB2312"/>
          <w:szCs w:val="32"/>
          <w:lang w:eastAsia="zh-CN"/>
        </w:rPr>
        <w:t>，满意度</w:t>
      </w:r>
      <w:r>
        <w:rPr>
          <w:rFonts w:hint="eastAsia" w:ascii="仿宋_GB2312" w:hAnsi="仿宋_GB2312" w:eastAsia="仿宋_GB2312" w:cs="仿宋_GB2312"/>
          <w:szCs w:val="32"/>
        </w:rPr>
        <w:t>≧90%。</w:t>
      </w:r>
    </w:p>
    <w:p>
      <w:pPr>
        <w:pStyle w:val="9"/>
        <w:keepNext w:val="0"/>
        <w:keepLines w:val="0"/>
        <w:pageBreakBefore w:val="0"/>
        <w:kinsoku/>
        <w:wordWrap/>
        <w:overflowPunct/>
        <w:topLinePunct w:val="0"/>
        <w:autoSpaceDE/>
        <w:autoSpaceDN/>
        <w:bidi w:val="0"/>
        <w:spacing w:line="560" w:lineRule="exact"/>
        <w:ind w:firstLine="800" w:firstLineChars="25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五、存在的问题和改进措施</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szCs w:val="32"/>
        </w:rPr>
      </w:pPr>
      <w:r>
        <w:rPr>
          <w:rFonts w:hint="eastAsia" w:ascii="楷体" w:hAnsi="楷体" w:eastAsia="楷体" w:cs="楷体"/>
          <w:b/>
          <w:bCs/>
          <w:szCs w:val="32"/>
          <w:lang w:eastAsia="zh-CN"/>
        </w:rPr>
        <w:t>（</w:t>
      </w:r>
      <w:r>
        <w:rPr>
          <w:rFonts w:hint="eastAsia" w:ascii="楷体" w:hAnsi="楷体" w:eastAsia="楷体" w:cs="楷体"/>
          <w:b/>
          <w:bCs/>
          <w:szCs w:val="32"/>
          <w:lang w:val="en-US" w:eastAsia="zh-CN"/>
        </w:rPr>
        <w:t>一</w:t>
      </w:r>
      <w:r>
        <w:rPr>
          <w:rFonts w:hint="eastAsia" w:ascii="楷体" w:hAnsi="楷体" w:eastAsia="楷体" w:cs="楷体"/>
          <w:b/>
          <w:bCs/>
          <w:szCs w:val="32"/>
          <w:lang w:eastAsia="zh-CN"/>
        </w:rPr>
        <w:t>）</w:t>
      </w:r>
      <w:r>
        <w:rPr>
          <w:rFonts w:hint="eastAsia" w:ascii="楷体" w:hAnsi="楷体" w:eastAsia="楷体" w:cs="楷体"/>
          <w:b/>
          <w:bCs/>
          <w:szCs w:val="32"/>
        </w:rPr>
        <w:t>存在</w:t>
      </w:r>
      <w:r>
        <w:rPr>
          <w:rFonts w:hint="eastAsia" w:ascii="楷体" w:hAnsi="楷体" w:eastAsia="楷体" w:cs="楷体"/>
          <w:b/>
          <w:bCs/>
          <w:szCs w:val="32"/>
          <w:lang w:val="en-US" w:eastAsia="zh-CN"/>
        </w:rPr>
        <w:t>的</w:t>
      </w:r>
      <w:r>
        <w:rPr>
          <w:rFonts w:hint="eastAsia" w:ascii="楷体" w:hAnsi="楷体" w:eastAsia="楷体" w:cs="楷体"/>
          <w:b/>
          <w:bCs/>
          <w:szCs w:val="32"/>
        </w:rPr>
        <w:t>问题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在项目实施中，因点位数增多，存在未能完全按要求运维造成设备离线情况，提出整改要求后项目承担方及时增加人员和配套设施，进行整改并保证长期有效保质、保量完成项目。</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 w:hAnsi="楷体" w:eastAsia="楷体" w:cs="楷体"/>
          <w:b/>
          <w:bCs/>
          <w:szCs w:val="32"/>
          <w:lang w:eastAsia="zh-CN"/>
        </w:rPr>
      </w:pPr>
      <w:r>
        <w:rPr>
          <w:rFonts w:hint="eastAsia" w:ascii="楷体" w:hAnsi="楷体" w:eastAsia="楷体" w:cs="楷体"/>
          <w:b/>
          <w:bCs/>
          <w:szCs w:val="32"/>
          <w:lang w:eastAsia="zh-CN"/>
        </w:rPr>
        <w:t>（二）改进</w:t>
      </w:r>
      <w:r>
        <w:rPr>
          <w:rFonts w:hint="eastAsia" w:ascii="楷体" w:hAnsi="楷体" w:eastAsia="楷体" w:cs="楷体"/>
          <w:b/>
          <w:bCs/>
          <w:szCs w:val="32"/>
          <w:lang w:val="en-US" w:eastAsia="zh-CN"/>
        </w:rPr>
        <w:t>的</w:t>
      </w:r>
      <w:r>
        <w:rPr>
          <w:rFonts w:hint="eastAsia" w:ascii="楷体" w:hAnsi="楷体" w:eastAsia="楷体" w:cs="楷体"/>
          <w:b/>
          <w:bCs/>
          <w:szCs w:val="32"/>
          <w:lang w:eastAsia="zh-CN"/>
        </w:rPr>
        <w:t>措施</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Cs w:val="32"/>
          <w:lang w:eastAsia="zh-CN"/>
        </w:rPr>
      </w:pPr>
      <w:r>
        <w:rPr>
          <w:rFonts w:hint="eastAsia" w:ascii="仿宋_GB2312" w:hAnsi="仿宋_GB2312" w:cs="仿宋_GB2312"/>
          <w:szCs w:val="32"/>
          <w:lang w:val="en-US" w:eastAsia="zh-CN"/>
        </w:rPr>
        <w:t>进一步加</w:t>
      </w:r>
      <w:r>
        <w:rPr>
          <w:rFonts w:hint="eastAsia" w:ascii="仿宋_GB2312" w:hAnsi="仿宋_GB2312" w:eastAsia="仿宋_GB2312" w:cs="仿宋_GB2312"/>
          <w:szCs w:val="32"/>
          <w:lang w:val="en-US" w:eastAsia="zh-CN"/>
        </w:rPr>
        <w:t>强</w:t>
      </w:r>
      <w:r>
        <w:rPr>
          <w:rFonts w:hint="eastAsia" w:ascii="仿宋_GB2312" w:hAnsi="仿宋_GB2312" w:eastAsia="仿宋_GB2312" w:cs="仿宋_GB2312"/>
          <w:szCs w:val="32"/>
        </w:rPr>
        <w:t>对项目前期工作的培训力度</w:t>
      </w:r>
      <w:r>
        <w:rPr>
          <w:rFonts w:hint="eastAsia" w:ascii="仿宋_GB2312" w:hAnsi="仿宋_GB2312" w:cs="仿宋_GB2312"/>
          <w:szCs w:val="32"/>
          <w:lang w:eastAsia="zh-CN"/>
        </w:rPr>
        <w:t>，</w:t>
      </w:r>
      <w:r>
        <w:rPr>
          <w:rFonts w:hint="eastAsia" w:ascii="仿宋_GB2312" w:hAnsi="仿宋_GB2312" w:eastAsia="仿宋_GB2312" w:cs="仿宋_GB2312"/>
          <w:szCs w:val="32"/>
        </w:rPr>
        <w:t>严格考核制度，在具体的量化上更有效监控，并通过油烟在线监控设备，更好</w:t>
      </w:r>
      <w:r>
        <w:rPr>
          <w:rFonts w:hint="eastAsia" w:ascii="仿宋_GB2312" w:hAnsi="仿宋_GB2312" w:cs="仿宋_GB2312"/>
          <w:szCs w:val="32"/>
          <w:lang w:eastAsia="zh-CN"/>
        </w:rPr>
        <w:t>地推进</w:t>
      </w:r>
      <w:r>
        <w:rPr>
          <w:rFonts w:hint="eastAsia" w:ascii="仿宋_GB2312" w:hAnsi="仿宋_GB2312" w:eastAsia="仿宋_GB2312" w:cs="仿宋_GB2312"/>
          <w:szCs w:val="32"/>
        </w:rPr>
        <w:t>生态环境</w:t>
      </w:r>
      <w:r>
        <w:rPr>
          <w:rFonts w:hint="eastAsia" w:ascii="仿宋_GB2312" w:hAnsi="仿宋_GB2312" w:cs="仿宋_GB2312"/>
          <w:szCs w:val="32"/>
          <w:lang w:eastAsia="zh-CN"/>
        </w:rPr>
        <w:t>保护工作。</w:t>
      </w:r>
    </w:p>
    <w:p>
      <w:pPr>
        <w:pStyle w:val="9"/>
        <w:keepNext w:val="0"/>
        <w:keepLines w:val="0"/>
        <w:pageBreakBefore w:val="0"/>
        <w:kinsoku/>
        <w:wordWrap/>
        <w:overflowPunct/>
        <w:topLinePunct w:val="0"/>
        <w:autoSpaceDE/>
        <w:autoSpaceDN/>
        <w:bidi w:val="0"/>
        <w:spacing w:line="560" w:lineRule="exact"/>
        <w:ind w:firstLine="32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六、部门评价结果拟应用和公开情况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Cs w:val="32"/>
        </w:rPr>
      </w:pPr>
      <w:r>
        <w:rPr>
          <w:rFonts w:hint="eastAsia" w:ascii="仿宋" w:hAnsi="仿宋" w:eastAsia="仿宋" w:cs="仿宋"/>
          <w:i w:val="0"/>
          <w:caps w:val="0"/>
          <w:color w:val="000000"/>
          <w:spacing w:val="0"/>
          <w:sz w:val="32"/>
          <w:szCs w:val="32"/>
          <w:shd w:val="clear" w:fill="FFFFFF"/>
          <w:lang w:val="en-US" w:eastAsia="zh-CN"/>
        </w:rPr>
        <w:t>本单位部门项目支出绩效自评结果将在益阳市城市管理和综合执法局在线门户网上公开。</w:t>
      </w:r>
    </w:p>
    <w:p>
      <w:pPr>
        <w:pStyle w:val="9"/>
        <w:keepNext w:val="0"/>
        <w:keepLines w:val="0"/>
        <w:pageBreakBefore w:val="0"/>
        <w:kinsoku/>
        <w:wordWrap/>
        <w:overflowPunct/>
        <w:topLinePunct w:val="0"/>
        <w:autoSpaceDE/>
        <w:autoSpaceDN/>
        <w:bidi w:val="0"/>
        <w:spacing w:line="560" w:lineRule="exact"/>
        <w:ind w:firstLine="32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七、其他需要说明的问题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无。</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B7B12"/>
    <w:multiLevelType w:val="singleLevel"/>
    <w:tmpl w:val="ABBB7B1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ZDAwMzk2OGMxNzAzNWE1NzNjNGIzN2IyMjFjYTgifQ=="/>
  </w:docVars>
  <w:rsids>
    <w:rsidRoot w:val="00023662"/>
    <w:rsid w:val="00023662"/>
    <w:rsid w:val="00054182"/>
    <w:rsid w:val="00097B59"/>
    <w:rsid w:val="000C1527"/>
    <w:rsid w:val="00167639"/>
    <w:rsid w:val="00304515"/>
    <w:rsid w:val="00351927"/>
    <w:rsid w:val="003C1AD8"/>
    <w:rsid w:val="003F5358"/>
    <w:rsid w:val="00471EE8"/>
    <w:rsid w:val="004B6A72"/>
    <w:rsid w:val="004E45A3"/>
    <w:rsid w:val="005C58B7"/>
    <w:rsid w:val="005E2224"/>
    <w:rsid w:val="0061404F"/>
    <w:rsid w:val="00616C59"/>
    <w:rsid w:val="00625A9F"/>
    <w:rsid w:val="00653301"/>
    <w:rsid w:val="00694036"/>
    <w:rsid w:val="006A2E1B"/>
    <w:rsid w:val="006E1174"/>
    <w:rsid w:val="007652FA"/>
    <w:rsid w:val="0079284E"/>
    <w:rsid w:val="007C1074"/>
    <w:rsid w:val="008316A7"/>
    <w:rsid w:val="008C0A64"/>
    <w:rsid w:val="00907442"/>
    <w:rsid w:val="00972231"/>
    <w:rsid w:val="009857E3"/>
    <w:rsid w:val="009B7C4F"/>
    <w:rsid w:val="009D05AA"/>
    <w:rsid w:val="009E0E95"/>
    <w:rsid w:val="009F66B6"/>
    <w:rsid w:val="00AB0DFB"/>
    <w:rsid w:val="00AD4517"/>
    <w:rsid w:val="00B27648"/>
    <w:rsid w:val="00B428F3"/>
    <w:rsid w:val="00BA51A0"/>
    <w:rsid w:val="00BA6277"/>
    <w:rsid w:val="00BD6503"/>
    <w:rsid w:val="00C21D5C"/>
    <w:rsid w:val="00C63205"/>
    <w:rsid w:val="00C70AC7"/>
    <w:rsid w:val="00CC0330"/>
    <w:rsid w:val="00CC14E3"/>
    <w:rsid w:val="00CF356F"/>
    <w:rsid w:val="00D5192B"/>
    <w:rsid w:val="00D617C4"/>
    <w:rsid w:val="00DB208A"/>
    <w:rsid w:val="00DC14EC"/>
    <w:rsid w:val="00E03C05"/>
    <w:rsid w:val="00E470B9"/>
    <w:rsid w:val="00EC47AD"/>
    <w:rsid w:val="00F10CAD"/>
    <w:rsid w:val="00F45FDD"/>
    <w:rsid w:val="00FA7962"/>
    <w:rsid w:val="01787BCB"/>
    <w:rsid w:val="07F4584C"/>
    <w:rsid w:val="0C126BE9"/>
    <w:rsid w:val="0DC2517F"/>
    <w:rsid w:val="11275EF3"/>
    <w:rsid w:val="22DC54D7"/>
    <w:rsid w:val="24840590"/>
    <w:rsid w:val="24857B00"/>
    <w:rsid w:val="252A68FA"/>
    <w:rsid w:val="298E633C"/>
    <w:rsid w:val="2BA85563"/>
    <w:rsid w:val="2F7E428D"/>
    <w:rsid w:val="30594C7A"/>
    <w:rsid w:val="34806769"/>
    <w:rsid w:val="4214206C"/>
    <w:rsid w:val="425A2175"/>
    <w:rsid w:val="449C34A7"/>
    <w:rsid w:val="44BC2C73"/>
    <w:rsid w:val="46F50501"/>
    <w:rsid w:val="4A331C29"/>
    <w:rsid w:val="502156EC"/>
    <w:rsid w:val="670F1A60"/>
    <w:rsid w:val="678E1852"/>
    <w:rsid w:val="679118E5"/>
    <w:rsid w:val="6C360CAD"/>
    <w:rsid w:val="6F6D6DFF"/>
    <w:rsid w:val="6FEE5612"/>
    <w:rsid w:val="716904BE"/>
    <w:rsid w:val="71E04F35"/>
    <w:rsid w:val="7327134F"/>
    <w:rsid w:val="773A0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0"/>
    <w:rPr>
      <w:rFonts w:ascii="Calibri" w:hAnsi="Calibri" w:eastAsia="仿宋_GB2312" w:cs="Times New Roman"/>
      <w:kern w:val="2"/>
      <w:sz w:val="18"/>
      <w:szCs w:val="18"/>
    </w:rPr>
  </w:style>
  <w:style w:type="character" w:customStyle="1" w:styleId="7">
    <w:name w:val="页脚 Char"/>
    <w:basedOn w:val="5"/>
    <w:link w:val="2"/>
    <w:autoRedefine/>
    <w:qFormat/>
    <w:uiPriority w:val="0"/>
    <w:rPr>
      <w:rFonts w:ascii="Calibri" w:hAnsi="Calibri" w:eastAsia="仿宋_GB2312" w:cs="Times New Roman"/>
      <w:kern w:val="2"/>
      <w:sz w:val="18"/>
      <w:szCs w:val="18"/>
    </w:rPr>
  </w:style>
  <w:style w:type="paragraph" w:customStyle="1" w:styleId="8">
    <w:name w:val="Table Paragraph"/>
    <w:basedOn w:val="1"/>
    <w:autoRedefine/>
    <w:qFormat/>
    <w:uiPriority w:val="1"/>
    <w:pPr>
      <w:autoSpaceDE w:val="0"/>
      <w:autoSpaceDN w:val="0"/>
      <w:jc w:val="left"/>
    </w:pPr>
    <w:rPr>
      <w:rFonts w:ascii="宋体" w:hAnsi="宋体" w:eastAsia="宋体" w:cs="宋体"/>
      <w:kern w:val="0"/>
      <w:sz w:val="22"/>
      <w:szCs w:val="22"/>
      <w:lang w:val="zh-CN" w:bidi="zh-CN"/>
    </w:rPr>
  </w:style>
  <w:style w:type="paragraph" w:customStyle="1" w:styleId="9">
    <w:name w:val="BodyText1I"/>
    <w:basedOn w:val="1"/>
    <w:autoRedefine/>
    <w:qFormat/>
    <w:uiPriority w:val="99"/>
    <w:pPr>
      <w:snapToGrid w:val="0"/>
      <w:spacing w:line="360" w:lineRule="auto"/>
      <w:ind w:firstLine="420" w:firstLineChars="100"/>
    </w:pPr>
    <w:rPr>
      <w:rFonts w:ascii="仿宋" w:hAnsi="仿宋" w:eastAsia="宋体"/>
      <w:kern w:val="0"/>
      <w:sz w:val="28"/>
    </w:rPr>
  </w:style>
  <w:style w:type="paragraph" w:styleId="10">
    <w:name w:val="List Paragraph"/>
    <w:basedOn w:val="1"/>
    <w:autoRedefine/>
    <w:unhideWhenUsed/>
    <w:qFormat/>
    <w:uiPriority w:val="99"/>
    <w:pPr>
      <w:ind w:firstLine="420" w:firstLineChars="200"/>
    </w:pPr>
  </w:style>
  <w:style w:type="paragraph" w:customStyle="1" w:styleId="11">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3"/>
      <w:szCs w:val="23"/>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642</Words>
  <Characters>3663</Characters>
  <Lines>30</Lines>
  <Paragraphs>8</Paragraphs>
  <TotalTime>10</TotalTime>
  <ScaleCrop>false</ScaleCrop>
  <LinksUpToDate>false</LinksUpToDate>
  <CharactersWithSpaces>4297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2024-05-06T03:10:00Z</dcterms:created>
  <dc:creator>Administrator</dc:creator>
  <cp:lastModifiedBy>鱼小宝</cp:lastModifiedBy>
  <cp:lastPrinted>2024-05-24T06:52:22Z</cp:lastPrinted>
  <dcterms:modified xsi:type="dcterms:W3CDTF">2024-05-24T07:17:20Z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BD75AF1BED404ED4AD7C75A97855EFDC_13</vt:lpwstr>
  </property>
</Properties>
</file>