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6C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社会化服务每亩作业费用报价表</w:t>
      </w:r>
    </w:p>
    <w:p w14:paraId="6304A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楷体_GB2312" w:hAnsi="方正楷体_GB2312" w:eastAsia="方正楷体_GB2312" w:cs="方正楷体_GB2312"/>
          <w:color w:val="auto"/>
          <w:sz w:val="32"/>
          <w:szCs w:val="32"/>
          <w:lang w:val="en-US" w:eastAsia="zh-CN"/>
        </w:rPr>
        <w:t xml:space="preserve">服务组织名称（盖章）： 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方正楷体_GB2312" w:hAnsi="方正楷体_GB2312" w:eastAsia="方正楷体_GB2312" w:cs="方正楷体_GB2312"/>
          <w:color w:val="auto"/>
          <w:sz w:val="32"/>
          <w:szCs w:val="32"/>
          <w:lang w:val="en-US" w:eastAsia="zh-CN"/>
        </w:rPr>
        <w:t>单位：亩/元</w:t>
      </w:r>
    </w:p>
    <w:tbl>
      <w:tblPr>
        <w:tblStyle w:val="2"/>
        <w:tblW w:w="9225" w:type="dxa"/>
        <w:tblInd w:w="-1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50"/>
        <w:gridCol w:w="5850"/>
        <w:gridCol w:w="1245"/>
      </w:tblGrid>
      <w:tr w14:paraId="4F1D2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2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9D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7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每亩作业标准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3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价格</w:t>
            </w:r>
          </w:p>
        </w:tc>
      </w:tr>
      <w:tr w14:paraId="6AEFD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57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A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除草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5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稻田翻耕后封闭灭草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D9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1E9D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D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A2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播种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7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采用早熟杂交油菜种子，亩用种量为400克，用苗博士拌种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2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EB07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66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21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施肥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BE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每亩施用尿素10斤，大于15%的硼肥400克</w:t>
            </w: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6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10D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2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8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F1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5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626B85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4C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2026-09-18T07:29:37Z</dcterms:created>
  <dc:creator>Administrator</dc:creator>
  <cp:lastModifiedBy>11</cp:lastModifiedBy>
  <dcterms:modified xsi:type="dcterms:W3CDTF">2026-09-18T07:29:46Z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eyJoZGlkIjoiZjBlZmQ1YjU1MTRkZWI3MDM0N2Y3MzE5MGJjMjdjZmEiLCJ1c2VySWQiOiI5MTY4ODcwMjYifQ==</vt:lpwstr>
  </property>
  <property fmtid="{D5CDD505-2E9C-101B-9397-08002B2CF9AE}" pid="4" name="ICV">
    <vt:lpwstr>830B4C1483514ED6B0ABF03176FECB78_12</vt:lpwstr>
  </property>
</Properties>
</file>