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益阳市赫山区</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教育系统（汇总）</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赫山区教育系统（汇总）单位</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教育系统（汇总）</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rPr>
          <w:rFonts w:ascii="Times New Roman" w:hAnsi="Times New Roman" w:cs="Times New Roman"/>
        </w:rPr>
      </w:pPr>
    </w:p>
    <w:p>
      <w:pPr>
        <w:pStyle w:val="7"/>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7"/>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7"/>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7"/>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7"/>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7"/>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7"/>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7"/>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（一）贯彻执行教育工作的方针、政策和法律、法规；拟定全区教育工作的政策和地方性法规、规章草案，报审通过后实施并监督实施。</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（二）制定全区教育事业发展规划；制定教育事业发展的年度计划和招生计划；拟定教育体制改革的政策和教育事业的发展重点、结构、速度，指导并协调实施。</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管理全区学前教育、基础教育、高中阶段教育、职业技术教育、社区教育；管理辖区内公、民办学校的设置、更名、撤消与调整；管理局属单位；制定全区各类中小学校、教师学习与资源中心及局属事业单位的评价、评估标准；指导协调对口支教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统筹管理本部门教育经费；牵头负责教育经费的筹措和使用；执行各级各类教育经费的收费标准；拟定筹措教育经费、教育拨款、教育基建投资的方案和措施；负责局属单位基建、校舍、地产管理工作及对局属单位经费收支的审计监督。</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负责系统单位编制、劳动工资和人事工作，负责系统单位的人员招录、聘任工作；管理、指导、培训全区教职工和教育行政部门干部；实施教师继续教育、资格认定和专业技术职务资格评审工作；指导学校内部管理体制改革。</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（六）管理、指导系统单位和学校的党建工作、党风廉政建设和反腐败工作、思想政治工作、德育工作、体育、卫生、艺术及国防教育工作、精神文明建设工作、综合治理工作以及群团组织的相关工作。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（七）组织和指导全区教育体制改革、教育教学改革、教育教学科研及教育研究成果的推广、转化工作。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（八）负责对乡、镇的教育工作和所属学校的工作进行教育督导和评估。</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（九）负责全区教育系统基本信息的采集、统计、分析及信息系统的开发和建设工作。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（十）负责全系统教育技术装备规划，指导并协助教学仪器设备、图书、信息技术和现代远程教育设备等的政府采购和政府监督管理，负责教育技术培训工作。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（十一）管理、指导并协调全区教育系统的外事工作。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（十二）承办区委、区政府交办的其它事项。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益阳市赫山区教育局机关共有内设股室10个（办公室、人事股、基础教育股、职业与成人教育股、计划财务股、安全法制股、审计股、党建工作办公室、行政审批服务股、校外教育培训监管股），挂扣股室8个（区委教育工作领导小组秘书组秘书室、学前教育股、民办教育管理办公室、教师工作站、基建管理站、招商办、校车安全管理办公室、阳光服务中心），内设二级机构7个（区招生考试委员会办公室、教育信息化中心、学生资助中心、教育后勤服务中心、教育集中支付中心、教育物资采购和国有资产管理中心、校友服务中心）。</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赫山区教育局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p>
    <w:p>
      <w:pPr>
        <w:pStyle w:val="7"/>
      </w:pPr>
    </w:p>
    <w:p>
      <w:pPr>
        <w:keepNext w:val="0"/>
        <w:keepLines w:val="0"/>
        <w:pageBreakBefore w:val="0"/>
        <w:kinsoku/>
        <w:wordWrap/>
        <w:overflowPunct/>
        <w:topLinePunct w:val="0"/>
        <w:autoSpaceDE/>
        <w:autoSpaceDN/>
        <w:bidi w:val="0"/>
        <w:adjustRightInd/>
        <w:snapToGrid/>
        <w:ind w:firstLine="2400" w:firstLineChars="75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1.益阳市赫山区教育局（本级）</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2.益阳市赫山区教育科学研究培训中心</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3.益阳市赫山区仪器电教站</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4.益阳市赫山区教育局体育卫生保健所</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5.益阳市赫山区世通学校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6.益阳市赫山区朝阳中心学校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7.益阳市赫山区</w:t>
      </w:r>
      <w:r>
        <w:rPr>
          <w:rFonts w:hint="eastAsia" w:ascii="Times New Roman" w:hAnsi="Times New Roman" w:eastAsia="仿宋_GB2312" w:cs="仿宋_GB2312"/>
          <w:bCs/>
          <w:kern w:val="0"/>
          <w:sz w:val="32"/>
          <w:szCs w:val="32"/>
          <w:lang w:val="en-US" w:eastAsia="zh-CN"/>
        </w:rPr>
        <w:t>建发</w:t>
      </w:r>
      <w:r>
        <w:rPr>
          <w:rFonts w:hint="eastAsia" w:ascii="Times New Roman" w:hAnsi="Times New Roman" w:eastAsia="仿宋_GB2312" w:cs="仿宋_GB2312"/>
          <w:bCs/>
          <w:kern w:val="0"/>
          <w:sz w:val="32"/>
          <w:szCs w:val="32"/>
        </w:rPr>
        <w:t>幼儿园</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8.益阳市赫山区赫山中学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9.益阳市赫山区三里桥小学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10.益阳市赫山第一完全小学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11.益阳市赫山区龙岭学校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12.益阳市赫山区泥江口镇中心学校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13.益阳市赫山区桃花仑小学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14.益阳市赫山区曙光小学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15.益阳师范附属小学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16.益阳市赫山区第二完全小学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17.益阳市赫山区金银山学校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18.益阳市赫山区龙光桥镇中心学校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19.益阳市沧水铺镇中心学校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20.益阳市赫山区兰溪镇中心学校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21.益阳市赫山区黄泥湖学校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22.益阳市赫山区凤山小学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23.益阳市赫山区八字哨镇中心学校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24.益阳市赫山区岳家桥镇中心学校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25.益阳市赫山区笔架山乡中心学校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26.益阳市赫山区新市渡镇中心学校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27.益阳市赫山区衡龙桥镇中心学校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28.益阳市综合职业中等专业学校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29.益阳市第十三中学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30.益阳市第十六中学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31.益阳市第十五中学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32.益阳市箴言中学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33.益阳市第十七中学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34.益阳市赫山区秀峰路学校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35.益阳市赫山区欧江岔镇中心学校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36.益阳市赫山区泉交河镇中心学校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37.益阳市赫山区龙洲幼儿园</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38.益阳市赫山区志溪河学校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39.益阳市赫山区谢林港镇中心学校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40.益阳市赫山区龙洲中学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41.益阳市赫山区梓山湖学校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42.益阳市赫山区龙洲小学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43.益阳市赫山区迎宾小学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44.益阳市赫山区梓山苑小学</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45.益阳市赫山区紫竹学校</w:t>
      </w:r>
    </w:p>
    <w:p>
      <w:pPr>
        <w:keepNext w:val="0"/>
        <w:keepLines w:val="0"/>
        <w:pageBreakBefore w:val="0"/>
        <w:widowControl/>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46.益阳市赫山区丁香小学</w:t>
      </w:r>
    </w:p>
    <w:p>
      <w:pPr>
        <w:jc w:val="left"/>
        <w:rPr>
          <w:rFonts w:ascii="Times New Roman" w:hAnsi="Times New Roman" w:eastAsia="仿宋_GB2312" w:cs="Times New Roman"/>
          <w:sz w:val="28"/>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13"/>
        <w:gridCol w:w="850"/>
        <w:gridCol w:w="1316"/>
        <w:gridCol w:w="4851"/>
        <w:gridCol w:w="850"/>
        <w:gridCol w:w="1316"/>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112,967.69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81.08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8,002.37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4,130.21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129,086.01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14,008.59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68.40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1,805.01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40.00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49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46.00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7,982.37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0"/>
                <w:szCs w:val="20"/>
                <w:u w:val="none"/>
                <w:lang w:val="en-US" w:eastAsia="zh-CN" w:bidi="ar"/>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2"/>
                <w:lang w:bidi="ar"/>
              </w:rPr>
            </w:pPr>
            <w:r>
              <w:rPr>
                <w:rFonts w:hint="eastAsia" w:ascii="宋体" w:hAnsi="宋体" w:eastAsia="宋体" w:cs="宋体"/>
                <w:i w:val="0"/>
                <w:iCs w:val="0"/>
                <w:color w:val="000000"/>
                <w:kern w:val="0"/>
                <w:sz w:val="22"/>
                <w:szCs w:val="22"/>
                <w:u w:val="none"/>
                <w:lang w:val="en-US" w:eastAsia="zh-CN" w:bidi="ar"/>
              </w:rPr>
              <w:t>56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139,108.87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139,108.87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139,108.87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139,108.87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005"/>
        <w:gridCol w:w="2327"/>
        <w:gridCol w:w="1494"/>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33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0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2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9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rPr>
          <w:trHeight w:val="312" w:hRule="atLeast"/>
          <w:jc w:val="center"/>
        </w:trPr>
        <w:tc>
          <w:tcPr>
            <w:tcW w:w="100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327"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9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33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33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b/>
                <w:bCs/>
                <w:i w:val="0"/>
                <w:iCs w:val="0"/>
                <w:color w:val="000000"/>
                <w:kern w:val="0"/>
                <w:sz w:val="21"/>
                <w:szCs w:val="21"/>
                <w:u w:val="none"/>
                <w:lang w:val="en-US" w:eastAsia="zh-CN" w:bidi="ar"/>
              </w:rPr>
              <w:t xml:space="preserve">139,108.87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b/>
                <w:bCs/>
                <w:i w:val="0"/>
                <w:iCs w:val="0"/>
                <w:color w:val="000000"/>
                <w:kern w:val="0"/>
                <w:sz w:val="21"/>
                <w:szCs w:val="21"/>
                <w:u w:val="none"/>
                <w:lang w:val="en-US" w:eastAsia="zh-CN" w:bidi="ar"/>
              </w:rPr>
              <w:t xml:space="preserve">120,970.07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b/>
                <w:bCs/>
                <w:i w:val="0"/>
                <w:iCs w:val="0"/>
                <w:color w:val="000000"/>
                <w:kern w:val="0"/>
                <w:sz w:val="21"/>
                <w:szCs w:val="21"/>
                <w:u w:val="none"/>
                <w:lang w:val="en-US" w:eastAsia="zh-CN" w:bidi="ar"/>
              </w:rPr>
              <w:t xml:space="preserve">4,130.21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b/>
                <w:bCs/>
                <w:i w:val="0"/>
                <w:iCs w:val="0"/>
                <w:color w:val="000000"/>
                <w:kern w:val="0"/>
                <w:sz w:val="21"/>
                <w:szCs w:val="21"/>
                <w:u w:val="none"/>
                <w:lang w:val="en-US" w:eastAsia="zh-CN" w:bidi="ar"/>
              </w:rPr>
              <w:t xml:space="preserve">14,008.59 </w:t>
            </w: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2010399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其他政府办公厅（室）及相关机构事务支出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58.08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58.08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2010601</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行政运行</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7.00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7.00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2010699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其他财政事务支出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2013602</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一般行政管理事务</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2019999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2050101</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行政运行</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80.90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80.90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2050199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其他教育管理事务支出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176.03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176.03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2050201</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学前教育</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4,827.54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4,743.77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83.77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0.00 </w:t>
            </w: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2050202</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小学教育</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9,901.71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9,901.71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2050203</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初中教育</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5,604.18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4,941.73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662.45 </w:t>
            </w: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2050204</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高中教育</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2,851.79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2,851.79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2050299</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其他普通教育支出</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101,141.12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83,748.54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4,046.45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13,346.14 </w:t>
            </w: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2050302</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中等职业教育</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2,914.12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2,914.12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2050305</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高等职业教育</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12.37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12.37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2050701</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特殊学校教育</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60.00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60.00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2050899</w:t>
            </w:r>
          </w:p>
        </w:tc>
        <w:tc>
          <w:tcPr>
            <w:tcW w:w="232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其他进修及培训</w:t>
            </w:r>
          </w:p>
        </w:tc>
        <w:tc>
          <w:tcPr>
            <w:tcW w:w="149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82.90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82.90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2050999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其他教育费附加安排的支出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966.56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966.56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0.00 </w:t>
            </w: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2059999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其他教育支出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466.77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466.77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2080116</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引进人才费用</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68.40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68.40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2101102</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事业单位医疗</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1,805.01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1,805.01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2121399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其他城市基础设施配套费安排的支出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2129999</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其他城乡社区支出</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2210108</w:t>
            </w:r>
          </w:p>
        </w:tc>
        <w:tc>
          <w:tcPr>
            <w:tcW w:w="23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老旧小区改造</w:t>
            </w:r>
          </w:p>
        </w:tc>
        <w:tc>
          <w:tcPr>
            <w:tcW w:w="14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43.00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43.00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2210111</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配租型住房保障</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3.00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3.00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blPrEx>
          <w:tblCellMar>
            <w:top w:w="0" w:type="dxa"/>
            <w:left w:w="0" w:type="dxa"/>
            <w:bottom w:w="0" w:type="dxa"/>
            <w:right w:w="0" w:type="dxa"/>
          </w:tblCellMar>
        </w:tblPrEx>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2290403</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其他政府性基金债务收入安排的支出</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7,914.00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7,914.00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r>
        <w:trPr>
          <w:trHeight w:val="450" w:hRule="atLeast"/>
          <w:jc w:val="center"/>
        </w:trPr>
        <w:tc>
          <w:tcPr>
            <w:tcW w:w="10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2290808</w:t>
            </w:r>
          </w:p>
        </w:tc>
        <w:tc>
          <w:tcPr>
            <w:tcW w:w="23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彩票市场调控资金支出</w:t>
            </w:r>
          </w:p>
        </w:tc>
        <w:tc>
          <w:tcPr>
            <w:tcW w:w="14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68.37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1"/>
                <w:szCs w:val="21"/>
                <w:u w:val="none"/>
                <w:lang w:val="en-US" w:eastAsia="zh-CN" w:bidi="ar"/>
              </w:rPr>
              <w:t xml:space="preserve">68.37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1"/>
                <w:szCs w:val="21"/>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165"/>
        <w:gridCol w:w="2594"/>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1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1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1"/>
                <w:szCs w:val="21"/>
                <w:u w:val="none"/>
                <w:lang w:val="en-US" w:eastAsia="zh-CN" w:bidi="ar"/>
              </w:rPr>
              <w:t xml:space="preserve">139,108.87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1"/>
                <w:szCs w:val="21"/>
                <w:u w:val="none"/>
                <w:lang w:val="en-US" w:eastAsia="zh-CN" w:bidi="ar"/>
              </w:rPr>
              <w:t xml:space="preserve">125,802.18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1"/>
                <w:szCs w:val="21"/>
                <w:u w:val="none"/>
                <w:lang w:val="en-US" w:eastAsia="zh-CN" w:bidi="ar"/>
              </w:rPr>
              <w:t xml:space="preserve">13,306.69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2010399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其他政府办公厅（室）及相关机构事务支出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58.08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58.08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2010601</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7.00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7.00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2010699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其他财政事务支出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6"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2013602</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一般行政管理事务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10.00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2019999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4.00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4.00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2050101</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80.90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80.90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2050199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其他教育管理事务支出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176.03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176.03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2050201</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学前教育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4,827.54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3,953.50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874.04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2050202</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小学教育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9,901.71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9,901.71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2050203</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初中教育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5,604.18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5,604.18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2050204</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高中教育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2,851.79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2,851.79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2050299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其他普通教育支出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101,141.12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97,977.46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3,163.66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2050302</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中等职业教育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2,914.12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2,709.87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204.25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2050305</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高等职业教育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12.37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12.37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2050701</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特殊学校教育</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60.00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60.00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2050899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其他进修及培训</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82.90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82.90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2050999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其他教育费附加安排的支出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966.56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32.47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934.09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2059999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其他教育支出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466.77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466.77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2080116</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引进人才费用</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68.40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68.40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2101102</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1,805.01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1,805.01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2121399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其他城市基础设施配套费安排的支出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2129999</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其他城乡社区支出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20.00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2210108</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老旧小区改造</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43.00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43.00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2210111</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配租型住房保障</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3.00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3.00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2290403</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其他政府性基金债务收入安排的支出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7,914.00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7,914.00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2290808</w:t>
            </w:r>
          </w:p>
        </w:tc>
        <w:tc>
          <w:tcPr>
            <w:tcW w:w="91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彩票市场调控资金支出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68.37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7.73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1"/>
                <w:szCs w:val="21"/>
                <w:u w:val="none"/>
                <w:lang w:val="en-US" w:eastAsia="zh-CN" w:bidi="ar"/>
              </w:rPr>
              <w:t xml:space="preserve">60.65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14419" w:type="dxa"/>
        <w:jc w:val="center"/>
        <w:tblLayout w:type="fixed"/>
        <w:tblCellMar>
          <w:top w:w="0" w:type="dxa"/>
          <w:left w:w="108" w:type="dxa"/>
          <w:bottom w:w="0" w:type="dxa"/>
          <w:right w:w="108" w:type="dxa"/>
        </w:tblCellMar>
      </w:tblPr>
      <w:tblGrid>
        <w:gridCol w:w="3393"/>
        <w:gridCol w:w="601"/>
        <w:gridCol w:w="1167"/>
        <w:gridCol w:w="2461"/>
        <w:gridCol w:w="601"/>
        <w:gridCol w:w="1138"/>
        <w:gridCol w:w="1504"/>
        <w:gridCol w:w="1713"/>
        <w:gridCol w:w="1841"/>
      </w:tblGrid>
      <w:tr>
        <w:tblPrEx>
          <w:tblCellMar>
            <w:top w:w="0" w:type="dxa"/>
            <w:left w:w="108" w:type="dxa"/>
            <w:bottom w:w="0" w:type="dxa"/>
            <w:right w:w="108" w:type="dxa"/>
          </w:tblCellMar>
        </w:tblPrEx>
        <w:trPr>
          <w:trHeight w:val="402" w:hRule="atLeast"/>
          <w:jc w:val="center"/>
        </w:trPr>
        <w:tc>
          <w:tcPr>
            <w:tcW w:w="516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58"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rPr>
          <w:trHeight w:val="630"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0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6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46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0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3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1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4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0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6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46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0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3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112,967.69 </w:t>
            </w: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81.08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81.08 </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8,002.37 </w:t>
            </w: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110,947.20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110,947.20 </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68.40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68.40 </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1,805.01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1,805.01 </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40.00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20.00 </w:t>
            </w:r>
          </w:p>
        </w:tc>
        <w:tc>
          <w:tcPr>
            <w:tcW w:w="171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20.00 </w:t>
            </w: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46.00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46.00 </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7,982.37 </w:t>
            </w: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7,982.37 </w:t>
            </w: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120,970.07 </w:t>
            </w:r>
          </w:p>
        </w:tc>
        <w:tc>
          <w:tcPr>
            <w:tcW w:w="246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120,970.07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112,967.69 </w:t>
            </w:r>
          </w:p>
        </w:tc>
        <w:tc>
          <w:tcPr>
            <w:tcW w:w="171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8,002.37 </w:t>
            </w: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0.00 </w:t>
            </w:r>
          </w:p>
        </w:tc>
        <w:tc>
          <w:tcPr>
            <w:tcW w:w="246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113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0.00 </w:t>
            </w:r>
          </w:p>
        </w:tc>
        <w:tc>
          <w:tcPr>
            <w:tcW w:w="150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0.00 </w:t>
            </w:r>
          </w:p>
        </w:tc>
        <w:tc>
          <w:tcPr>
            <w:tcW w:w="171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0.00 </w:t>
            </w: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0.00 </w:t>
            </w: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rPr>
          <w:trHeight w:val="402" w:hRule="atLeast"/>
          <w:jc w:val="center"/>
        </w:trPr>
        <w:tc>
          <w:tcPr>
            <w:tcW w:w="339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116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246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113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50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71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18"/>
                <w:szCs w:val="18"/>
              </w:rPr>
            </w:pP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1"/>
                <w:szCs w:val="21"/>
              </w:rPr>
            </w:pPr>
          </w:p>
        </w:tc>
      </w:tr>
      <w:tr>
        <w:tblPrEx>
          <w:tblCellMar>
            <w:top w:w="0" w:type="dxa"/>
            <w:left w:w="108" w:type="dxa"/>
            <w:bottom w:w="0" w:type="dxa"/>
            <w:right w:w="108" w:type="dxa"/>
          </w:tblCellMar>
        </w:tblPrEx>
        <w:trPr>
          <w:trHeight w:val="402" w:hRule="atLeast"/>
          <w:jc w:val="center"/>
        </w:trPr>
        <w:tc>
          <w:tcPr>
            <w:tcW w:w="3393"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0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116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18"/>
                <w:szCs w:val="18"/>
                <w:u w:val="none"/>
                <w:lang w:val="en-US" w:eastAsia="zh-CN" w:bidi="ar"/>
              </w:rPr>
              <w:t>120,970.07</w:t>
            </w:r>
            <w:r>
              <w:rPr>
                <w:rFonts w:hint="eastAsia" w:ascii="宋体" w:hAnsi="宋体" w:eastAsia="宋体" w:cs="宋体"/>
                <w:i w:val="0"/>
                <w:iCs w:val="0"/>
                <w:color w:val="000000"/>
                <w:kern w:val="0"/>
                <w:sz w:val="22"/>
                <w:szCs w:val="22"/>
                <w:u w:val="none"/>
                <w:lang w:val="en-US" w:eastAsia="zh-CN" w:bidi="ar"/>
              </w:rPr>
              <w:t xml:space="preserve"> </w:t>
            </w:r>
          </w:p>
        </w:tc>
        <w:tc>
          <w:tcPr>
            <w:tcW w:w="246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0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113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120,970.07 </w:t>
            </w:r>
          </w:p>
        </w:tc>
        <w:tc>
          <w:tcPr>
            <w:tcW w:w="150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18"/>
                <w:szCs w:val="18"/>
              </w:rPr>
            </w:pPr>
            <w:r>
              <w:rPr>
                <w:rFonts w:hint="eastAsia" w:ascii="宋体" w:hAnsi="宋体" w:eastAsia="宋体" w:cs="宋体"/>
                <w:i w:val="0"/>
                <w:iCs w:val="0"/>
                <w:color w:val="000000"/>
                <w:kern w:val="0"/>
                <w:sz w:val="18"/>
                <w:szCs w:val="18"/>
                <w:u w:val="none"/>
                <w:lang w:val="en-US" w:eastAsia="zh-CN" w:bidi="ar"/>
              </w:rPr>
              <w:t xml:space="preserve">112,967.69 </w:t>
            </w:r>
          </w:p>
        </w:tc>
        <w:tc>
          <w:tcPr>
            <w:tcW w:w="171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18"/>
                <w:szCs w:val="18"/>
              </w:rPr>
            </w:pPr>
            <w:r>
              <w:rPr>
                <w:rFonts w:hint="eastAsia" w:ascii="宋体" w:hAnsi="宋体" w:eastAsia="宋体" w:cs="宋体"/>
                <w:i w:val="0"/>
                <w:iCs w:val="0"/>
                <w:color w:val="000000"/>
                <w:kern w:val="0"/>
                <w:sz w:val="18"/>
                <w:szCs w:val="18"/>
                <w:u w:val="none"/>
                <w:lang w:val="en-US" w:eastAsia="zh-CN" w:bidi="ar"/>
              </w:rPr>
              <w:t xml:space="preserve">8,002.37 </w:t>
            </w:r>
          </w:p>
        </w:tc>
        <w:tc>
          <w:tcPr>
            <w:tcW w:w="184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1"/>
                <w:szCs w:val="21"/>
              </w:rPr>
            </w:pP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b/>
                <w:bCs/>
                <w:i w:val="0"/>
                <w:iCs w:val="0"/>
                <w:color w:val="000000"/>
                <w:kern w:val="0"/>
                <w:sz w:val="22"/>
                <w:szCs w:val="22"/>
                <w:u w:val="none"/>
                <w:lang w:val="en-US" w:eastAsia="zh-CN" w:bidi="ar"/>
              </w:rPr>
              <w:t xml:space="preserve">112,967.69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b/>
                <w:bCs/>
                <w:i w:val="0"/>
                <w:iCs w:val="0"/>
                <w:color w:val="000000"/>
                <w:kern w:val="0"/>
                <w:sz w:val="22"/>
                <w:szCs w:val="22"/>
                <w:u w:val="none"/>
                <w:lang w:val="en-US" w:eastAsia="zh-CN" w:bidi="ar"/>
              </w:rPr>
              <w:t xml:space="preserve">107,655.65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b/>
                <w:bCs/>
                <w:i w:val="0"/>
                <w:iCs w:val="0"/>
                <w:color w:val="000000"/>
                <w:kern w:val="0"/>
                <w:sz w:val="22"/>
                <w:szCs w:val="22"/>
                <w:u w:val="none"/>
                <w:lang w:val="en-US" w:eastAsia="zh-CN" w:bidi="ar"/>
              </w:rPr>
              <w:t xml:space="preserve">5,312.04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58.08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58.08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2010601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7.00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7.00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2010699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其他财政事务支出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2013602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10.00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80.90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80.90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176.03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176.03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4,743.77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3,869.73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874.04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9,901.71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9,901.71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4,941.73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4,941.73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2050204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高中教育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2,851.79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2,851.79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83,748.54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80,584.87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3,163.66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2050302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中等职业教育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2,914.12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2,709.87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204.25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2050305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高等职业教育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12.37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12.37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2050701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特殊学校教育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60.00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60.00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其他进修及培训</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82.90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82.90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966.56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32.47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934.09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2059999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466.77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466.77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68.40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68.40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1,805.01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1,805.01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2129999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其他城乡社区支出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20.00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20.00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2210108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老旧小区改造</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43.00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2210111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配租型住房保障</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3.00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2"/>
                <w:szCs w:val="22"/>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宋体" w:hAnsi="宋体" w:eastAsia="宋体" w:cs="宋体"/>
                <w:i w:val="0"/>
                <w:iCs w:val="0"/>
                <w:color w:val="000000"/>
                <w:kern w:val="0"/>
                <w:sz w:val="22"/>
                <w:szCs w:val="22"/>
                <w:u w:val="none"/>
                <w:lang w:val="en-US" w:eastAsia="zh-CN" w:bidi="ar"/>
              </w:rPr>
              <w:t xml:space="preserve">3.00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80,249.47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19,263.85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39,231.79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3,365.94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2,854.24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1,211.65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1,612.05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1,046.51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38.20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49.27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14,869.52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670.53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532.99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8,077.43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1,520.55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464.04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1,069.71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254.11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15"/>
                <w:szCs w:val="15"/>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4,024.56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9.30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w:t>
            </w:r>
            <w:bookmarkStart w:id="3" w:name="_GoBack"/>
            <w:bookmarkEnd w:id="3"/>
            <w:r>
              <w:rPr>
                <w:rFonts w:ascii="Times New Roman" w:hAnsi="Times New Roman" w:eastAsia="仿宋_GB2312" w:cs="Times New Roman"/>
                <w:color w:val="000000"/>
                <w:kern w:val="0"/>
                <w:szCs w:val="20"/>
              </w:rPr>
              <w:t>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925.46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49.49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90.93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198.25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6,511.49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2,126.80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1,869.55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93.86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7,095.82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451.17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1,423.28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3.94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1.36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626.05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747.61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2,298.65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22.77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476.55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232.99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3,262.54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1,823.40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54.57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186.21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179.53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5"/>
                <w:szCs w:val="15"/>
              </w:rPr>
            </w:pPr>
            <w:r>
              <w:rPr>
                <w:rFonts w:hint="eastAsia" w:ascii="宋体" w:hAnsi="宋体" w:eastAsia="宋体" w:cs="宋体"/>
                <w:i w:val="0"/>
                <w:iCs w:val="0"/>
                <w:color w:val="000000"/>
                <w:kern w:val="0"/>
                <w:sz w:val="15"/>
                <w:szCs w:val="15"/>
                <w:u w:val="none"/>
                <w:lang w:val="en-US" w:eastAsia="zh-CN" w:bidi="ar"/>
              </w:rPr>
              <w:t xml:space="preserve">728.52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12.78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3,402.04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 xml:space="preserve">87,345.29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 xml:space="preserve">20,310.36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117"/>
        <w:gridCol w:w="2098"/>
        <w:gridCol w:w="1477"/>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3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0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3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8,002.37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8,002.37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7.73 </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7,994.65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509"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2121399</w:t>
            </w:r>
          </w:p>
        </w:tc>
        <w:tc>
          <w:tcPr>
            <w:tcW w:w="2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其他城市基础设施配套费安排的支出</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20.00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20.00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20.00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szCs w:val="22"/>
              </w:rPr>
            </w:pPr>
          </w:p>
        </w:tc>
      </w:tr>
      <w:tr>
        <w:tblPrEx>
          <w:tblCellMar>
            <w:top w:w="0" w:type="dxa"/>
            <w:left w:w="108" w:type="dxa"/>
            <w:bottom w:w="0" w:type="dxa"/>
            <w:right w:w="108" w:type="dxa"/>
          </w:tblCellMar>
        </w:tblPrEx>
        <w:trPr>
          <w:trHeight w:val="509"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2290403</w:t>
            </w:r>
          </w:p>
        </w:tc>
        <w:tc>
          <w:tcPr>
            <w:tcW w:w="2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7,914.00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7,914.00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7,914.00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szCs w:val="22"/>
              </w:rPr>
            </w:pPr>
          </w:p>
        </w:tc>
      </w:tr>
      <w:tr>
        <w:tblPrEx>
          <w:tblCellMar>
            <w:top w:w="0" w:type="dxa"/>
            <w:left w:w="108" w:type="dxa"/>
            <w:bottom w:w="0" w:type="dxa"/>
            <w:right w:w="108" w:type="dxa"/>
          </w:tblCellMar>
        </w:tblPrEx>
        <w:trPr>
          <w:trHeight w:val="509"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2290808</w:t>
            </w:r>
          </w:p>
        </w:tc>
        <w:tc>
          <w:tcPr>
            <w:tcW w:w="2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彩票市场调控资金支出</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68.37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68.37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7.73 </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60.65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509"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szCs w:val="22"/>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szCs w:val="22"/>
              </w:rPr>
            </w:pP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szCs w:val="22"/>
              </w:rPr>
            </w:pPr>
          </w:p>
        </w:tc>
      </w:tr>
      <w:tr>
        <w:tblPrEx>
          <w:tblCellMar>
            <w:top w:w="0" w:type="dxa"/>
            <w:left w:w="108" w:type="dxa"/>
            <w:bottom w:w="0" w:type="dxa"/>
            <w:right w:w="108" w:type="dxa"/>
          </w:tblCellMar>
        </w:tblPrEx>
        <w:trPr>
          <w:trHeight w:val="509"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8"/>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1.36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1.36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1.36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1.36 </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收入总计139,108.87万元。与上年相比，增加</w:t>
      </w:r>
      <w:r>
        <w:rPr>
          <w:rFonts w:hint="eastAsia" w:ascii="Times New Roman" w:hAnsi="Times New Roman" w:eastAsia="仿宋_GB2312" w:cs="Times New Roman"/>
          <w:sz w:val="32"/>
          <w:szCs w:val="32"/>
          <w:lang w:val="en-US" w:eastAsia="zh-CN"/>
        </w:rPr>
        <w:t>2071.75</w:t>
      </w:r>
      <w:r>
        <w:rPr>
          <w:rFonts w:hint="eastAsia" w:ascii="Times New Roman" w:hAnsi="Times New Roman" w:eastAsia="仿宋_GB2312" w:cs="Times New Roman"/>
          <w:sz w:val="32"/>
          <w:szCs w:val="32"/>
        </w:rPr>
        <w:t>元，增加</w:t>
      </w:r>
      <w:r>
        <w:rPr>
          <w:rFonts w:hint="eastAsia" w:ascii="Times New Roman" w:hAnsi="Times New Roman" w:eastAsia="仿宋_GB2312" w:cs="Times New Roman"/>
          <w:sz w:val="32"/>
          <w:szCs w:val="32"/>
          <w:lang w:val="en-US" w:eastAsia="zh-CN"/>
        </w:rPr>
        <w:t>1.51</w:t>
      </w:r>
      <w:r>
        <w:rPr>
          <w:rFonts w:hint="eastAsia" w:ascii="Times New Roman" w:hAnsi="Times New Roman" w:eastAsia="仿宋_GB2312" w:cs="Times New Roman"/>
          <w:sz w:val="32"/>
          <w:szCs w:val="32"/>
        </w:rPr>
        <w:t>%，主要是因为主要是因为政府性基金预算财政拨款收入、事业收入、其他收入的增加；202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年度支出总计139,108.87万元。与上年相比，增加2071.75元，增加1.51%，要是因为主要是因为一般公共服务支出、</w:t>
      </w:r>
      <w:r>
        <w:rPr>
          <w:rFonts w:hint="eastAsia" w:ascii="Times New Roman" w:hAnsi="Times New Roman" w:eastAsia="仿宋_GB2312" w:cs="Times New Roman"/>
          <w:sz w:val="32"/>
          <w:szCs w:val="32"/>
          <w:lang w:val="en-US" w:eastAsia="zh-CN"/>
        </w:rPr>
        <w:t>卫生健康支出、</w:t>
      </w:r>
      <w:r>
        <w:rPr>
          <w:rFonts w:hint="eastAsia" w:ascii="Times New Roman" w:hAnsi="Times New Roman" w:eastAsia="仿宋_GB2312" w:cs="Times New Roman"/>
          <w:sz w:val="32"/>
          <w:szCs w:val="32"/>
        </w:rPr>
        <w:t>住房保障支出、其他支出的增加；人员经费及公用经费的投入增加；学校建设、信息化建设的投入增加；教育设备的采购支出增加。</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城乡义务教育保障支出、学前教育发展支出、义务教育薄弱环节改善与能力提升支出、学生资助</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139,108.87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120970.07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86.96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 xml:space="preserve">4,130.21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14,008.59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10.07</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139,108.87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125,802.18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90.43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13,306.69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财政拨款收入总计120970.07万元，与上年相比，增加了</w:t>
      </w:r>
      <w:r>
        <w:rPr>
          <w:rFonts w:hint="eastAsia" w:ascii="Times New Roman" w:hAnsi="Times New Roman" w:eastAsia="仿宋_GB2312" w:cs="Times New Roman"/>
          <w:sz w:val="32"/>
          <w:szCs w:val="32"/>
          <w:lang w:val="en-US" w:eastAsia="zh-CN"/>
        </w:rPr>
        <w:t>4718.24</w:t>
      </w:r>
      <w:r>
        <w:rPr>
          <w:rFonts w:hint="eastAsia"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val="en-US" w:eastAsia="zh-CN"/>
        </w:rPr>
        <w:t>4.06</w:t>
      </w:r>
      <w:r>
        <w:rPr>
          <w:rFonts w:hint="eastAsia" w:ascii="Times New Roman" w:hAnsi="Times New Roman" w:eastAsia="仿宋_GB2312" w:cs="Times New Roman"/>
          <w:sz w:val="32"/>
          <w:szCs w:val="32"/>
        </w:rPr>
        <w:t>%，主要是因为政府性基金预算财政拨款增加；202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年度财政拨款支出总计120970.07万元，与上年相比，增加了4718.24万元,增加4.06%，主要是因为一般公共服务支出、卫生健康支出、住房保障支出、其他支出的增加；人员经费及公用经费的投入增加。</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112,967.69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81.21</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减少2078.14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一般公共预算财政拨款用于其他普通教育支出、中等职业教育、教育费附加安排的支出等方面的支出</w:t>
      </w:r>
      <w:r>
        <w:rPr>
          <w:rFonts w:hint="eastAsia" w:ascii="Times New Roman" w:hAnsi="Times New Roman" w:eastAsia="仿宋_GB2312" w:cs="Times New Roman"/>
          <w:sz w:val="32"/>
          <w:szCs w:val="32"/>
          <w:lang w:val="en-US" w:eastAsia="zh-CN"/>
        </w:rPr>
        <w:t>减少。</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112,967.69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81.08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rPr>
        <w:t>110,947.20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社会保障和就业（类）支出68.40万元，占</w:t>
      </w:r>
      <w:r>
        <w:rPr>
          <w:rFonts w:hint="eastAsia" w:ascii="Times New Roman" w:hAnsi="Times New Roman" w:eastAsia="仿宋_GB2312" w:cs="Times New Roman"/>
          <w:sz w:val="32"/>
          <w:szCs w:val="32"/>
          <w:lang w:val="en-US" w:eastAsia="zh-CN"/>
        </w:rPr>
        <w:t>0.06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）支出1,805.01万元，占</w:t>
      </w: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城乡社区</w:t>
      </w:r>
      <w:r>
        <w:rPr>
          <w:rFonts w:hint="eastAsia"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0.02</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住房保障</w:t>
      </w:r>
      <w:r>
        <w:rPr>
          <w:rFonts w:hint="eastAsia" w:ascii="Times New Roman" w:hAnsi="Times New Roman" w:eastAsia="仿宋_GB2312" w:cs="Times New Roman"/>
          <w:sz w:val="32"/>
          <w:szCs w:val="32"/>
          <w:lang w:eastAsia="zh-CN"/>
        </w:rPr>
        <w:t>（类）支出</w:t>
      </w:r>
      <w:r>
        <w:rPr>
          <w:rFonts w:hint="eastAsia" w:ascii="Times New Roman" w:hAnsi="Times New Roman" w:eastAsia="仿宋_GB2312" w:cs="Times New Roman"/>
          <w:sz w:val="32"/>
          <w:szCs w:val="32"/>
          <w:lang w:val="en-US" w:eastAsia="zh-CN"/>
        </w:rPr>
        <w:t>46</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0.04</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71565.64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112,967.69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63.35</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其他政府办公厅（室）及相关机构事务支出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58.08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资金用于</w:t>
      </w:r>
      <w:r>
        <w:rPr>
          <w:rFonts w:hint="eastAsia" w:ascii="Times New Roman" w:hAnsi="Times New Roman" w:eastAsia="仿宋_GB2312" w:cs="Times New Roman"/>
          <w:sz w:val="32"/>
          <w:szCs w:val="32"/>
        </w:rPr>
        <w:t>人才生活补助、租房补贴</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拨付学校经费，</w:t>
      </w:r>
      <w:r>
        <w:rPr>
          <w:rFonts w:hint="eastAsia" w:ascii="Times New Roman" w:hAnsi="Times New Roman" w:eastAsia="仿宋_GB2312" w:cs="Times New Roman"/>
          <w:sz w:val="32"/>
          <w:szCs w:val="32"/>
        </w:rPr>
        <w:t>梓山苑3万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箴言龙光桥4万</w:t>
      </w:r>
      <w:r>
        <w:rPr>
          <w:rFonts w:hint="eastAsia" w:ascii="Times New Roman" w:hAnsi="Times New Roman" w:eastAsia="仿宋_GB2312" w:cs="Times New Roman"/>
          <w:sz w:val="32"/>
          <w:szCs w:val="32"/>
          <w:lang w:val="en-US" w:eastAsia="zh-CN"/>
        </w:rPr>
        <w:t>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、一般公共服务（类）财政事务（款）其他财政事务支出（项）。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教育局机关报账支出。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其他共产党事务支出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一般行政管理事务</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万元，决算数大于年初预算数的主要原因是：拨</w:t>
      </w:r>
      <w:r>
        <w:rPr>
          <w:rFonts w:hint="eastAsia" w:ascii="Times New Roman" w:hAnsi="Times New Roman" w:eastAsia="仿宋_GB2312" w:cs="Times New Roman"/>
          <w:sz w:val="32"/>
          <w:szCs w:val="32"/>
          <w:lang w:val="en-US" w:eastAsia="zh-CN"/>
        </w:rPr>
        <w:t>付</w:t>
      </w:r>
      <w:r>
        <w:rPr>
          <w:rFonts w:hint="eastAsia" w:ascii="Times New Roman" w:hAnsi="Times New Roman" w:eastAsia="仿宋_GB2312" w:cs="Times New Roman"/>
          <w:sz w:val="32"/>
          <w:szCs w:val="32"/>
        </w:rPr>
        <w:t>督导办经费</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、一般公共服务（类）其他一般公共服务支出（款）其他一般公共服务支出（项）。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w:t>
      </w:r>
      <w:r>
        <w:rPr>
          <w:rFonts w:hint="eastAsia" w:ascii="Times New Roman" w:hAnsi="Times New Roman" w:eastAsia="仿宋_GB2312" w:cs="Times New Roman"/>
          <w:sz w:val="32"/>
          <w:szCs w:val="32"/>
        </w:rPr>
        <w:t>龙洲幼儿园</w:t>
      </w:r>
      <w:r>
        <w:rPr>
          <w:rFonts w:hint="eastAsia" w:ascii="Times New Roman" w:hAnsi="Times New Roman" w:eastAsia="仿宋_GB2312" w:cs="Times New Roman"/>
          <w:sz w:val="32"/>
          <w:szCs w:val="32"/>
          <w:lang w:val="en-US" w:eastAsia="zh-CN"/>
        </w:rPr>
        <w:t>专项经费</w:t>
      </w:r>
      <w:r>
        <w:rPr>
          <w:rFonts w:hint="eastAsia" w:ascii="Times New Roman" w:hAnsi="Times New Roman" w:eastAsia="仿宋_GB2312" w:cs="Times New Roman"/>
          <w:sz w:val="32"/>
          <w:szCs w:val="32"/>
        </w:rPr>
        <w:t>4万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、教育支出（类）教育管理事务（款）行政运行（项）。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80.9</w:t>
      </w:r>
      <w:r>
        <w:rPr>
          <w:rFonts w:hint="eastAsia" w:ascii="Times New Roman" w:hAnsi="Times New Roman" w:eastAsia="仿宋_GB2312" w:cs="Times New Roman"/>
          <w:sz w:val="32"/>
          <w:szCs w:val="32"/>
        </w:rPr>
        <w:t>万元，决算数大于年初预算数的主要原因是：机关报账经费</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、教育支出（类）教育管理事务（款）其他教育管理事务支出（项）。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176.03</w:t>
      </w:r>
      <w:r>
        <w:rPr>
          <w:rFonts w:hint="eastAsia" w:ascii="Times New Roman" w:hAnsi="Times New Roman" w:eastAsia="仿宋_GB2312" w:cs="Times New Roman"/>
          <w:sz w:val="32"/>
          <w:szCs w:val="32"/>
        </w:rPr>
        <w:t>万元，决算数大于年初预算数的主要原因是：拨民转公解聘教师补偿</w:t>
      </w:r>
      <w:r>
        <w:rPr>
          <w:rFonts w:hint="eastAsia" w:ascii="Times New Roman" w:hAnsi="Times New Roman" w:eastAsia="仿宋_GB2312" w:cs="Times New Roman"/>
          <w:sz w:val="32"/>
          <w:szCs w:val="32"/>
          <w:lang w:val="en-US" w:eastAsia="zh-CN"/>
        </w:rPr>
        <w:t>119.5万元，拨学校经费56.53万元。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、教育支出（类）普通教育（款）学前教育（项）。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533</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4743.77</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890.01</w:t>
      </w:r>
      <w:r>
        <w:rPr>
          <w:rFonts w:hint="eastAsia" w:ascii="Times New Roman" w:hAnsi="Times New Roman" w:eastAsia="仿宋_GB2312" w:cs="Times New Roman"/>
          <w:sz w:val="32"/>
          <w:szCs w:val="32"/>
        </w:rPr>
        <w:t>%，决算数大于年初预算数的主要原因是：学前教育大班免保教费</w:t>
      </w:r>
      <w:r>
        <w:rPr>
          <w:rFonts w:hint="eastAsia" w:ascii="Times New Roman" w:hAnsi="Times New Roman" w:eastAsia="仿宋_GB2312" w:cs="Times New Roman"/>
          <w:sz w:val="32"/>
          <w:szCs w:val="32"/>
          <w:lang w:val="en-US" w:eastAsia="zh-CN"/>
        </w:rPr>
        <w:t>支出；拨付学前教育生均经费；拨付学前教育家庭经济困难儿童补助；对赫山区直属机关幼儿园、龙洲幼儿园、建发幼儿园、兰溪镇中心学校、八字哨中心学校、笔架山中心学校、新市渡中心学校、衡龙桥镇中心学校、欧江岔中心学校、谢林港中心学校、龙光桥中心学校、泥江口中心学校、泉交河中心学校、沧水铺镇中心学校、岳家桥镇中心学校学前教育的追加投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、教育支出（类）普通教育（款）小学教育（项）。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9901.71</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1571.7</w:t>
      </w:r>
      <w:r>
        <w:rPr>
          <w:rFonts w:hint="eastAsia" w:ascii="Times New Roman" w:hAnsi="Times New Roman" w:eastAsia="仿宋_GB2312" w:cs="Times New Roman"/>
          <w:sz w:val="32"/>
          <w:szCs w:val="32"/>
        </w:rPr>
        <w:t>%，决算数大于年初预算数的主要原因是：拨</w:t>
      </w:r>
      <w:r>
        <w:rPr>
          <w:rFonts w:hint="eastAsia" w:ascii="Times New Roman" w:hAnsi="Times New Roman" w:eastAsia="仿宋_GB2312" w:cs="Times New Roman"/>
          <w:sz w:val="32"/>
          <w:szCs w:val="32"/>
          <w:lang w:val="en-US" w:eastAsia="zh-CN"/>
        </w:rPr>
        <w:t>付</w:t>
      </w:r>
      <w:r>
        <w:rPr>
          <w:rFonts w:hint="eastAsia" w:ascii="Times New Roman" w:hAnsi="Times New Roman" w:eastAsia="仿宋_GB2312" w:cs="Times New Roman"/>
          <w:sz w:val="32"/>
          <w:szCs w:val="32"/>
        </w:rPr>
        <w:t>学校公用经费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对三里桥学校、桃花仑小学、曙光小学、益阳师范附属小学、龙洲小学、秀峰路学校、丁香小学、赫山一小、赫山二小、迎宾小学、梓山苑小学、紫竹学校的小学教育</w:t>
      </w:r>
      <w:r>
        <w:rPr>
          <w:rFonts w:hint="eastAsia" w:ascii="Times New Roman" w:hAnsi="Times New Roman" w:eastAsia="仿宋_GB2312" w:cs="Times New Roman"/>
          <w:sz w:val="32"/>
          <w:szCs w:val="32"/>
          <w:lang w:val="en-US" w:eastAsia="zh-CN"/>
        </w:rPr>
        <w:t>建设</w:t>
      </w:r>
      <w:r>
        <w:rPr>
          <w:rFonts w:hint="eastAsia" w:ascii="Times New Roman" w:hAnsi="Times New Roman" w:eastAsia="仿宋_GB2312" w:cs="Times New Roman"/>
          <w:sz w:val="32"/>
          <w:szCs w:val="32"/>
        </w:rPr>
        <w:t>追加投入。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、教育支出（类）普通教育（款）初中教育（项）。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4941.73</w:t>
      </w:r>
      <w:r>
        <w:rPr>
          <w:rFonts w:hint="eastAsia" w:ascii="Times New Roman" w:hAnsi="Times New Roman" w:eastAsia="仿宋_GB2312" w:cs="Times New Roman"/>
          <w:sz w:val="32"/>
          <w:szCs w:val="32"/>
        </w:rPr>
        <w:t>万元，完成年初预算的784.4%，决算数大于年初预算数的主要原因是：龙洲中学改扩建工程</w:t>
      </w:r>
      <w:r>
        <w:rPr>
          <w:rFonts w:hint="eastAsia" w:ascii="Times New Roman" w:hAnsi="Times New Roman" w:eastAsia="仿宋_GB2312" w:cs="Times New Roman"/>
          <w:sz w:val="32"/>
          <w:szCs w:val="32"/>
          <w:lang w:val="en-US" w:eastAsia="zh-CN"/>
        </w:rPr>
        <w:t>支出增加</w:t>
      </w:r>
      <w:r>
        <w:rPr>
          <w:rFonts w:hint="eastAsia" w:ascii="Times New Roman" w:hAnsi="Times New Roman" w:eastAsia="仿宋_GB2312" w:cs="Times New Roman"/>
          <w:sz w:val="32"/>
          <w:szCs w:val="32"/>
          <w:lang w:eastAsia="zh-CN"/>
        </w:rPr>
        <w:t>；沧水铺芙蓉学校建设</w:t>
      </w:r>
      <w:r>
        <w:rPr>
          <w:rFonts w:hint="eastAsia" w:ascii="Times New Roman" w:hAnsi="Times New Roman" w:eastAsia="仿宋_GB2312" w:cs="Times New Roman"/>
          <w:sz w:val="32"/>
          <w:szCs w:val="32"/>
          <w:lang w:val="en-US" w:eastAsia="zh-CN"/>
        </w:rPr>
        <w:t>支出增加；义务教育校舍维修经费支出增加；</w:t>
      </w:r>
      <w:r>
        <w:rPr>
          <w:rFonts w:hint="eastAsia" w:ascii="Times New Roman" w:hAnsi="Times New Roman" w:eastAsia="仿宋_GB2312" w:cs="Times New Roman"/>
          <w:sz w:val="32"/>
          <w:szCs w:val="32"/>
        </w:rPr>
        <w:t>对梓山湖学校、龙洲中学、朝阳中心学校、赫山中学、世通学校、兰溪镇中心学校、八字哨中心学校、笔架山中心学校、新市渡中心学校、衡龙桥镇中心学校、欧江岔中心学校、谢林港中心学校、龙光桥中心学校、泥江口中心学校、泉交河中心学校、沧水铺镇中心学校、岳家桥镇中心学校初中教育的追加投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rPr>
        <w:t>、教育支出（类）普通教育（款）高中教育（项）。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466.47</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2851.79</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611.36</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拨付高中生均公用经费；拨付高中助学金等；</w:t>
      </w:r>
      <w:r>
        <w:rPr>
          <w:rFonts w:hint="eastAsia" w:ascii="Times New Roman" w:hAnsi="Times New Roman" w:eastAsia="仿宋_GB2312" w:cs="Times New Roman"/>
          <w:sz w:val="32"/>
          <w:szCs w:val="32"/>
        </w:rPr>
        <w:t>对第十三中学、第十五中学、第十六中学、第十七中学、箴言中学的高中教育支出的追加投入。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、教育支出（类）普通教育（款）其他普通教育支出（项）。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64912.63</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83748.54</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129.02</w:t>
      </w:r>
      <w:r>
        <w:rPr>
          <w:rFonts w:hint="eastAsia" w:ascii="Times New Roman" w:hAnsi="Times New Roman" w:eastAsia="仿宋_GB2312" w:cs="Times New Roman"/>
          <w:sz w:val="32"/>
          <w:szCs w:val="32"/>
        </w:rPr>
        <w:t>%，决算数大于年初预算数的主要原因是：增加发放义务阶段学校公用经费；增加发放奖励性绩效工资；拨付人才津贴及乡镇工作补贴；拨付死亡抚恤及丧葬费；拨付边远补贴采购信息化设备班班通；拨付学校工程款项；对义务教育阶段学校、乡镇学校进行了校舍维修。</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hint="eastAsia" w:ascii="Times New Roman" w:hAnsi="Times New Roman" w:eastAsia="仿宋_GB2312" w:cs="Times New Roman"/>
          <w:sz w:val="32"/>
          <w:szCs w:val="32"/>
        </w:rPr>
        <w:t>、教育支出（类）职业教育（款）中等职业教育（项）。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333</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2914.12</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875.11</w:t>
      </w:r>
      <w:r>
        <w:rPr>
          <w:rFonts w:hint="eastAsia" w:ascii="Times New Roman" w:hAnsi="Times New Roman" w:eastAsia="仿宋_GB2312" w:cs="Times New Roman"/>
          <w:sz w:val="32"/>
          <w:szCs w:val="32"/>
        </w:rPr>
        <w:t>%，决算数大于年初预算数的主要原因是：职业中专进行项目建设拨付规划费、设计费及工程款</w:t>
      </w:r>
      <w:r>
        <w:rPr>
          <w:rFonts w:hint="eastAsia" w:ascii="Times New Roman" w:hAnsi="Times New Roman" w:eastAsia="仿宋_GB2312" w:cs="Times New Roman"/>
          <w:sz w:val="32"/>
          <w:szCs w:val="32"/>
          <w:lang w:val="en-US" w:eastAsia="zh-CN"/>
        </w:rPr>
        <w:t>支出</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rPr>
        <w:t>、教育支出（类）职业教育（款）</w:t>
      </w:r>
      <w:r>
        <w:rPr>
          <w:rFonts w:hint="eastAsia" w:ascii="Times New Roman" w:hAnsi="Times New Roman" w:eastAsia="仿宋_GB2312" w:cs="Times New Roman"/>
          <w:sz w:val="32"/>
          <w:szCs w:val="32"/>
          <w:lang w:val="en-US" w:eastAsia="zh-CN"/>
        </w:rPr>
        <w:t>高</w:t>
      </w:r>
      <w:r>
        <w:rPr>
          <w:rFonts w:hint="eastAsia" w:ascii="Times New Roman" w:hAnsi="Times New Roman" w:eastAsia="仿宋_GB2312" w:cs="Times New Roman"/>
          <w:sz w:val="32"/>
          <w:szCs w:val="32"/>
        </w:rPr>
        <w:t>等职业教育（项）。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12.37</w:t>
      </w:r>
      <w:r>
        <w:rPr>
          <w:rFonts w:hint="eastAsia" w:ascii="Times New Roman" w:hAnsi="Times New Roman" w:eastAsia="仿宋_GB2312" w:cs="Times New Roman"/>
          <w:sz w:val="32"/>
          <w:szCs w:val="32"/>
        </w:rPr>
        <w:t>万元，决算数大于（小于）年初预算数的主要原因是：拨付职业中专职业教育质量提升学校奖补。</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、教育支出（类）</w:t>
      </w:r>
      <w:r>
        <w:rPr>
          <w:rFonts w:hint="eastAsia" w:ascii="Times New Roman" w:hAnsi="Times New Roman" w:eastAsia="仿宋_GB2312" w:cs="Times New Roman"/>
          <w:sz w:val="32"/>
          <w:szCs w:val="32"/>
          <w:lang w:val="en-US" w:eastAsia="zh-CN"/>
        </w:rPr>
        <w:t>特殊</w:t>
      </w:r>
      <w:r>
        <w:rPr>
          <w:rFonts w:hint="eastAsia" w:ascii="Times New Roman" w:hAnsi="Times New Roman" w:eastAsia="仿宋_GB2312" w:cs="Times New Roman"/>
          <w:sz w:val="32"/>
          <w:szCs w:val="32"/>
        </w:rPr>
        <w:t>教育（款）</w:t>
      </w:r>
      <w:r>
        <w:rPr>
          <w:rFonts w:hint="eastAsia" w:ascii="Times New Roman" w:hAnsi="Times New Roman" w:eastAsia="仿宋_GB2312" w:cs="Times New Roman"/>
          <w:sz w:val="32"/>
          <w:szCs w:val="32"/>
          <w:lang w:val="en-US" w:eastAsia="zh-CN"/>
        </w:rPr>
        <w:t>特殊学校教育</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拨付龙光桥天成垸中学特殊教育经费。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rPr>
        <w:t>、教育支出（类）</w:t>
      </w:r>
      <w:r>
        <w:rPr>
          <w:rFonts w:hint="eastAsia" w:ascii="Times New Roman" w:hAnsi="Times New Roman" w:eastAsia="仿宋_GB2312" w:cs="Times New Roman"/>
          <w:sz w:val="32"/>
          <w:szCs w:val="32"/>
          <w:lang w:val="en-US" w:eastAsia="zh-CN"/>
        </w:rPr>
        <w:t>进修及培训</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其他进修及培训</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82.9</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拨付学校“</w:t>
      </w:r>
      <w:r>
        <w:rPr>
          <w:rFonts w:hint="eastAsia" w:ascii="Times New Roman" w:hAnsi="Times New Roman" w:eastAsia="仿宋_GB2312" w:cs="Times New Roman"/>
          <w:sz w:val="32"/>
          <w:szCs w:val="32"/>
        </w:rPr>
        <w:t>我的韶山行</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经费</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17</w:t>
      </w:r>
      <w:r>
        <w:rPr>
          <w:rFonts w:hint="eastAsia" w:ascii="Times New Roman" w:hAnsi="Times New Roman" w:eastAsia="仿宋_GB2312" w:cs="Times New Roman"/>
          <w:sz w:val="32"/>
          <w:szCs w:val="32"/>
        </w:rPr>
        <w:t>、教育支出（类）教育费附加安排的支出（款）</w:t>
      </w:r>
      <w:r>
        <w:rPr>
          <w:rFonts w:hint="eastAsia" w:ascii="Times New Roman" w:hAnsi="Times New Roman" w:eastAsia="仿宋_GB2312" w:cs="Times New Roman"/>
          <w:sz w:val="32"/>
          <w:szCs w:val="32"/>
          <w:lang w:val="en-US" w:eastAsia="zh-CN"/>
        </w:rPr>
        <w:t>其他教育费附加安排的支出</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966.56</w:t>
      </w:r>
      <w:r>
        <w:rPr>
          <w:rFonts w:hint="eastAsia" w:ascii="Times New Roman" w:hAnsi="Times New Roman" w:eastAsia="仿宋_GB2312" w:cs="Times New Roman"/>
          <w:sz w:val="32"/>
          <w:szCs w:val="32"/>
        </w:rPr>
        <w:t>万元，决算数大于年初预算数的主要原因是：拨</w:t>
      </w:r>
      <w:r>
        <w:rPr>
          <w:rFonts w:hint="eastAsia" w:ascii="Times New Roman" w:hAnsi="Times New Roman" w:eastAsia="仿宋_GB2312" w:cs="Times New Roman"/>
          <w:sz w:val="32"/>
          <w:szCs w:val="32"/>
          <w:lang w:val="en-US" w:eastAsia="zh-CN"/>
        </w:rPr>
        <w:t>付</w:t>
      </w:r>
      <w:r>
        <w:rPr>
          <w:rFonts w:hint="eastAsia" w:ascii="Times New Roman" w:hAnsi="Times New Roman" w:eastAsia="仿宋_GB2312" w:cs="Times New Roman"/>
          <w:sz w:val="32"/>
          <w:szCs w:val="32"/>
        </w:rPr>
        <w:t>学校经费</w:t>
      </w:r>
      <w:r>
        <w:rPr>
          <w:rFonts w:hint="eastAsia" w:ascii="Times New Roman" w:hAnsi="Times New Roman" w:eastAsia="仿宋_GB2312" w:cs="Times New Roman"/>
          <w:sz w:val="32"/>
          <w:szCs w:val="32"/>
          <w:lang w:val="en-US" w:eastAsia="zh-CN"/>
        </w:rPr>
        <w:t>增加。</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rPr>
        <w:t>、教育支出（类）其他教育支出（款）其他教育支出（项）。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466.77</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拨付石头学校专项经费10万元；拨付</w:t>
      </w:r>
      <w:r>
        <w:rPr>
          <w:rFonts w:hint="eastAsia" w:ascii="Times New Roman" w:hAnsi="Times New Roman" w:eastAsia="仿宋_GB2312" w:cs="Times New Roman"/>
          <w:sz w:val="32"/>
          <w:szCs w:val="32"/>
        </w:rPr>
        <w:t>公费定向师范生培养经费</w:t>
      </w:r>
      <w:r>
        <w:rPr>
          <w:rFonts w:hint="eastAsia" w:ascii="Times New Roman" w:hAnsi="Times New Roman" w:eastAsia="仿宋_GB2312" w:cs="Times New Roman"/>
          <w:sz w:val="32"/>
          <w:szCs w:val="32"/>
          <w:lang w:val="en-US" w:eastAsia="zh-CN"/>
        </w:rPr>
        <w:t>356.77万元</w:t>
      </w:r>
      <w:r>
        <w:rPr>
          <w:rFonts w:hint="eastAsia" w:ascii="Times New Roman" w:hAnsi="Times New Roman" w:eastAsia="仿宋_GB2312" w:cs="Times New Roman"/>
          <w:sz w:val="32"/>
          <w:szCs w:val="32"/>
          <w:lang w:eastAsia="zh-CN"/>
        </w:rPr>
        <w:t>；教育评价改革大数据平台服务费</w:t>
      </w:r>
      <w:r>
        <w:rPr>
          <w:rFonts w:hint="eastAsia" w:ascii="Times New Roman" w:hAnsi="Times New Roman" w:eastAsia="仿宋_GB2312" w:cs="Times New Roman"/>
          <w:sz w:val="32"/>
          <w:szCs w:val="32"/>
          <w:lang w:val="en-US" w:eastAsia="zh-CN"/>
        </w:rPr>
        <w:t>100万元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19</w:t>
      </w:r>
      <w:r>
        <w:rPr>
          <w:rFonts w:hint="eastAsia" w:ascii="Times New Roman" w:hAnsi="Times New Roman" w:eastAsia="仿宋_GB2312" w:cs="Times New Roman"/>
          <w:sz w:val="32"/>
          <w:szCs w:val="32"/>
        </w:rPr>
        <w:t>、社会保障和就业支出（类）</w:t>
      </w:r>
      <w:r>
        <w:rPr>
          <w:rFonts w:hint="eastAsia" w:ascii="Times New Roman" w:hAnsi="Times New Roman" w:eastAsia="仿宋_GB2312" w:cs="Times New Roman"/>
          <w:sz w:val="32"/>
          <w:szCs w:val="32"/>
          <w:lang w:val="en-US" w:eastAsia="zh-CN"/>
        </w:rPr>
        <w:t>人力资源和社会保障管理事务</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引进人才费用</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68.4</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w:t>
      </w:r>
      <w:r>
        <w:rPr>
          <w:rFonts w:hint="eastAsia" w:ascii="Times New Roman" w:hAnsi="Times New Roman" w:eastAsia="仿宋_GB2312" w:cs="Times New Roman"/>
          <w:sz w:val="32"/>
          <w:szCs w:val="32"/>
        </w:rPr>
        <w:t>研究生人才补贴</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hint="eastAsia" w:ascii="Times New Roman" w:hAnsi="Times New Roman" w:eastAsia="仿宋_GB2312" w:cs="Times New Roman"/>
          <w:sz w:val="32"/>
          <w:szCs w:val="32"/>
        </w:rPr>
        <w:t>支出（类）</w:t>
      </w:r>
      <w:r>
        <w:rPr>
          <w:rFonts w:hint="eastAsia" w:ascii="Times New Roman" w:hAnsi="Times New Roman" w:eastAsia="仿宋_GB2312" w:cs="Times New Roman"/>
          <w:sz w:val="32"/>
          <w:szCs w:val="32"/>
          <w:lang w:val="en-US" w:eastAsia="zh-CN"/>
        </w:rPr>
        <w:t>行政事业单位医疗</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4060.54</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1805.01</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44.45</w:t>
      </w:r>
      <w:r>
        <w:rPr>
          <w:rFonts w:hint="eastAsia"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其他资金与事业单位医疗资金共同保障人员医疗保险支出。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21</w:t>
      </w:r>
      <w:r>
        <w:rPr>
          <w:rFonts w:hint="eastAsia" w:ascii="Times New Roman" w:hAnsi="Times New Roman" w:eastAsia="仿宋_GB2312" w:cs="Times New Roman"/>
          <w:sz w:val="32"/>
          <w:szCs w:val="32"/>
        </w:rPr>
        <w:t>、城乡社区支出（类）</w:t>
      </w:r>
      <w:r>
        <w:rPr>
          <w:rFonts w:hint="eastAsia" w:ascii="Times New Roman" w:hAnsi="Times New Roman" w:eastAsia="仿宋_GB2312" w:cs="Times New Roman"/>
          <w:sz w:val="32"/>
          <w:szCs w:val="32"/>
          <w:lang w:val="en-US" w:eastAsia="zh-CN"/>
        </w:rPr>
        <w:t>其他城乡社区支出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其他城乡社区支出</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万元，决算数大于年初预算数的主要原因是：谢林港幼儿园经建专项</w:t>
      </w:r>
      <w:r>
        <w:rPr>
          <w:rFonts w:hint="eastAsia" w:ascii="Times New Roman" w:hAnsi="Times New Roman" w:eastAsia="仿宋_GB2312" w:cs="Times New Roman"/>
          <w:sz w:val="32"/>
          <w:szCs w:val="32"/>
          <w:lang w:val="en-US" w:eastAsia="zh-CN"/>
        </w:rPr>
        <w:t>20万元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22</w:t>
      </w:r>
      <w:r>
        <w:rPr>
          <w:rFonts w:hint="eastAsia" w:ascii="Times New Roman" w:hAnsi="Times New Roman" w:eastAsia="仿宋_GB2312" w:cs="Times New Roman"/>
          <w:sz w:val="32"/>
          <w:szCs w:val="32"/>
        </w:rPr>
        <w:t>、住房保障支出（类）保障性安居工程支出（款）</w:t>
      </w:r>
      <w:r>
        <w:rPr>
          <w:rFonts w:hint="eastAsia" w:ascii="Times New Roman" w:hAnsi="Times New Roman" w:eastAsia="仿宋_GB2312" w:cs="Times New Roman"/>
          <w:sz w:val="32"/>
          <w:szCs w:val="32"/>
          <w:lang w:val="en-US" w:eastAsia="zh-CN"/>
        </w:rPr>
        <w:t>老旧小区改造</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w:t>
      </w:r>
      <w:r>
        <w:rPr>
          <w:rFonts w:hint="eastAsia" w:ascii="Times New Roman" w:hAnsi="Times New Roman" w:eastAsia="仿宋_GB2312" w:cs="Times New Roman"/>
          <w:sz w:val="32"/>
          <w:szCs w:val="32"/>
        </w:rPr>
        <w:t>安居工程激励资金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一小10万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秀峰路3万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十七中10万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箴言龙光桥18万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樊家庙中学2万</w:t>
      </w:r>
      <w:r>
        <w:rPr>
          <w:rFonts w:hint="eastAsia" w:ascii="Times New Roman" w:hAnsi="Times New Roman" w:eastAsia="仿宋_GB2312" w:cs="Times New Roman"/>
          <w:sz w:val="32"/>
          <w:szCs w:val="32"/>
          <w:lang w:val="en-US" w:eastAsia="zh-CN"/>
        </w:rPr>
        <w:t>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23</w:t>
      </w:r>
      <w:r>
        <w:rPr>
          <w:rFonts w:hint="eastAsia" w:ascii="Times New Roman" w:hAnsi="Times New Roman" w:eastAsia="仿宋_GB2312" w:cs="Times New Roman"/>
          <w:sz w:val="32"/>
          <w:szCs w:val="32"/>
        </w:rPr>
        <w:t>、住房保障支出（类）保障性安居工程支出（款）</w:t>
      </w:r>
      <w:r>
        <w:rPr>
          <w:rFonts w:hint="eastAsia" w:ascii="Times New Roman" w:hAnsi="Times New Roman" w:eastAsia="仿宋_GB2312" w:cs="Times New Roman"/>
          <w:sz w:val="32"/>
          <w:szCs w:val="32"/>
          <w:lang w:val="en-US" w:eastAsia="zh-CN"/>
        </w:rPr>
        <w:t>配租型住房保障</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w:t>
      </w:r>
      <w:r>
        <w:rPr>
          <w:rFonts w:hint="eastAsia" w:ascii="Times New Roman" w:hAnsi="Times New Roman" w:eastAsia="仿宋_GB2312" w:cs="Times New Roman"/>
          <w:sz w:val="32"/>
          <w:szCs w:val="32"/>
        </w:rPr>
        <w:t>泥江口工农学校</w:t>
      </w:r>
      <w:r>
        <w:rPr>
          <w:rFonts w:hint="eastAsia" w:ascii="Times New Roman" w:hAnsi="Times New Roman" w:eastAsia="仿宋_GB2312" w:cs="Times New Roman"/>
          <w:sz w:val="32"/>
          <w:szCs w:val="32"/>
          <w:lang w:val="en-US" w:eastAsia="zh-CN"/>
        </w:rPr>
        <w:t>专项经费</w:t>
      </w:r>
      <w:r>
        <w:rPr>
          <w:rFonts w:hint="eastAsia" w:ascii="Times New Roman" w:hAnsi="Times New Roman" w:eastAsia="仿宋_GB2312" w:cs="Times New Roman"/>
          <w:sz w:val="32"/>
          <w:szCs w:val="32"/>
        </w:rPr>
        <w:t>3万</w:t>
      </w:r>
      <w:r>
        <w:rPr>
          <w:rFonts w:hint="eastAsia" w:ascii="Times New Roman" w:hAnsi="Times New Roman" w:eastAsia="仿宋_GB2312" w:cs="Times New Roman"/>
          <w:sz w:val="32"/>
          <w:szCs w:val="32"/>
          <w:lang w:val="en-US" w:eastAsia="zh-CN"/>
        </w:rPr>
        <w:t>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普通教育</w:t>
      </w:r>
      <w:r>
        <w:rPr>
          <w:rFonts w:hint="eastAsia" w:ascii="Times New Roman" w:hAnsi="Times New Roman" w:eastAsia="仿宋_GB2312" w:cs="Times New Roman"/>
          <w:sz w:val="32"/>
          <w:szCs w:val="32"/>
        </w:rPr>
        <w:t>方面的支出规模较大（或占财政拨款支出总额的比重较高），主要是：教育支出（类）普通教育（款），2025年度决算数为</w:t>
      </w:r>
      <w:r>
        <w:rPr>
          <w:rFonts w:hint="eastAsia" w:ascii="Times New Roman" w:hAnsi="Times New Roman" w:eastAsia="仿宋_GB2312" w:cs="Times New Roman"/>
          <w:sz w:val="32"/>
          <w:szCs w:val="32"/>
          <w:lang w:val="en-US" w:eastAsia="zh-CN"/>
        </w:rPr>
        <w:t>110947.2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98.21</w:t>
      </w:r>
      <w:r>
        <w:rPr>
          <w:rFonts w:hint="eastAsia" w:ascii="Times New Roman" w:hAnsi="Times New Roman" w:eastAsia="仿宋_GB2312" w:cs="Times New Roman"/>
          <w:sz w:val="32"/>
          <w:szCs w:val="32"/>
        </w:rPr>
        <w:t>%，主要用于发放</w:t>
      </w:r>
      <w:r>
        <w:rPr>
          <w:rFonts w:hint="eastAsia" w:ascii="Times New Roman" w:hAnsi="Times New Roman" w:eastAsia="仿宋_GB2312" w:cs="Times New Roman"/>
          <w:sz w:val="32"/>
          <w:szCs w:val="32"/>
          <w:lang w:val="en-US" w:eastAsia="zh-CN"/>
        </w:rPr>
        <w:t>各</w:t>
      </w:r>
      <w:r>
        <w:rPr>
          <w:rFonts w:hint="eastAsia" w:ascii="Times New Roman" w:hAnsi="Times New Roman" w:eastAsia="仿宋_GB2312" w:cs="Times New Roman"/>
          <w:sz w:val="32"/>
          <w:szCs w:val="32"/>
        </w:rPr>
        <w:t>学校公用经费</w:t>
      </w:r>
      <w:r>
        <w:rPr>
          <w:rFonts w:hint="eastAsia" w:ascii="Times New Roman" w:hAnsi="Times New Roman" w:eastAsia="仿宋_GB2312" w:cs="Times New Roman"/>
          <w:sz w:val="32"/>
          <w:szCs w:val="32"/>
          <w:lang w:val="en-US" w:eastAsia="zh-CN"/>
        </w:rPr>
        <w:t>及人员经费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拨付学校工程款项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对学校进行了维修</w:t>
      </w:r>
      <w:r>
        <w:rPr>
          <w:rFonts w:hint="eastAsia" w:ascii="Times New Roman" w:hAnsi="Times New Roman" w:eastAsia="仿宋_GB2312" w:cs="Times New Roman"/>
          <w:sz w:val="32"/>
          <w:szCs w:val="32"/>
          <w:lang w:val="en-US" w:eastAsia="zh-CN"/>
        </w:rPr>
        <w:t>维护</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107,655.65</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87,345.29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81.13</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 xml:space="preserve">  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职业年金缴费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其他工资福利支出</w:t>
      </w:r>
      <w:r>
        <w:rPr>
          <w:rFonts w:hint="eastAsia" w:ascii="Times New Roman" w:hAnsi="Times New Roman" w:eastAsia="仿宋_GB2312" w:cs="Times New Roman"/>
          <w:sz w:val="32"/>
          <w:szCs w:val="32"/>
          <w:lang w:eastAsia="zh-CN"/>
        </w:rPr>
        <w:t>、 退休费、抚恤金、生活补助、助学金、奖励金、其他对个人和家庭的补助。</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20,310.36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18.87</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手续费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取暖费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维修（护）费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租赁费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专用材料费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专用燃料费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劳务费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委托业务费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税金及附加费用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hint="eastAsia" w:ascii="Times New Roman" w:hAnsi="Times New Roman" w:eastAsia="仿宋_GB2312" w:cs="Times New Roman"/>
          <w:sz w:val="32"/>
          <w:szCs w:val="32"/>
          <w:lang w:eastAsia="zh-CN"/>
        </w:rPr>
        <w:t>、办公设备购置、专用设备购置、信息网络及软件购置更新。</w:t>
      </w:r>
    </w:p>
    <w:p>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2"/>
        <w:numPr>
          <w:ilvl w:val="0"/>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47.89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68.66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厉行节约，严格控制公务接待。</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val="en-US" w:eastAsia="zh-CN"/>
        </w:rPr>
        <w:t>严控三公经费，减少不必要支出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2.84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47.89</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减少2.98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68.66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厉行节约，严格控制公务接待</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严控三公经费，减少不必要支出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考察学习、检查</w:t>
      </w:r>
      <w:r>
        <w:rPr>
          <w:rFonts w:ascii="Times New Roman" w:hAnsi="Times New Roman" w:eastAsia="仿宋_GB2312" w:cs="Times New Roman"/>
          <w:sz w:val="32"/>
          <w:szCs w:val="32"/>
        </w:rPr>
        <w:t>发生的接待支出。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8,002.37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8,002.37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7.73</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7,994.65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城市基础设施配套费安排的支出（款）其他城市基础设施配套费安排的支出（项）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益师附小配建费</w:t>
      </w:r>
      <w:r>
        <w:rPr>
          <w:rFonts w:hint="eastAsia" w:ascii="Times New Roman" w:hAnsi="Times New Roman" w:eastAsia="仿宋_GB2312" w:cs="Times New Roman"/>
          <w:sz w:val="32"/>
          <w:szCs w:val="32"/>
          <w:lang w:val="en-US" w:eastAsia="zh-CN"/>
        </w:rPr>
        <w:t>20万元。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其他政府性基金及对应专项债务收入安排的支出</w:t>
      </w:r>
      <w:r>
        <w:rPr>
          <w:rFonts w:hint="eastAsia" w:ascii="Times New Roman" w:hAnsi="Times New Roman" w:eastAsia="仿宋_GB2312" w:cs="Times New Roman"/>
          <w:sz w:val="32"/>
          <w:szCs w:val="32"/>
        </w:rPr>
        <w:t>（款）其他政府性基金</w:t>
      </w:r>
      <w:r>
        <w:rPr>
          <w:rFonts w:hint="eastAsia" w:ascii="Times New Roman" w:hAnsi="Times New Roman" w:eastAsia="仿宋_GB2312" w:cs="Times New Roman"/>
          <w:sz w:val="32"/>
          <w:szCs w:val="32"/>
          <w:lang w:val="en-US" w:eastAsia="zh-CN"/>
        </w:rPr>
        <w:t>债务收入安排的支出</w:t>
      </w:r>
      <w:r>
        <w:rPr>
          <w:rFonts w:hint="eastAsia" w:ascii="Times New Roman" w:hAnsi="Times New Roman" w:eastAsia="仿宋_GB2312" w:cs="Times New Roman"/>
          <w:sz w:val="32"/>
          <w:szCs w:val="32"/>
        </w:rPr>
        <w:t>（项）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7914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八字哨镇学校改扩建849万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沧水铺芙蓉学校建设595万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龙光桥天成垸中学新建学生宿舍楼197万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龙洲中学改扩建2450万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泥江口幼儿园建设1790万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三里桥小学改扩建544万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rPr>
        <w:t>十七中学室外附属、道路及旧教学楼改造1489万</w:t>
      </w:r>
      <w:r>
        <w:rPr>
          <w:rFonts w:hint="eastAsia" w:ascii="Times New Roman" w:hAnsi="Times New Roman" w:eastAsia="仿宋_GB2312" w:cs="Times New Roman"/>
          <w:sz w:val="32"/>
          <w:szCs w:val="32"/>
          <w:lang w:val="en-US" w:eastAsia="zh-CN"/>
        </w:rPr>
        <w:t>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彩票发行销售机构业务费安排的支出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彩票市场调控资金支出</w:t>
      </w:r>
      <w:r>
        <w:rPr>
          <w:rFonts w:hint="eastAsia" w:ascii="Times New Roman" w:hAnsi="Times New Roman" w:eastAsia="仿宋_GB2312" w:cs="Times New Roman"/>
          <w:sz w:val="32"/>
          <w:szCs w:val="32"/>
        </w:rPr>
        <w:t>（项）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68.37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十六中宣传设备</w:t>
      </w:r>
      <w:r>
        <w:rPr>
          <w:rFonts w:hint="eastAsia" w:ascii="Times New Roman" w:hAnsi="Times New Roman" w:eastAsia="仿宋_GB2312" w:cs="Times New Roman"/>
          <w:sz w:val="32"/>
          <w:szCs w:val="32"/>
          <w:lang w:val="en-US" w:eastAsia="zh-CN"/>
        </w:rPr>
        <w:t>52.41万元、龙洲幼儿园电子显示屏8.24万元、三里桥电子显示屏7.73万元。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353.35</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66.82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23.32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信息系统运行维护支出</w:t>
      </w:r>
      <w:r>
        <w:rPr>
          <w:rFonts w:hint="eastAsia" w:ascii="Times New Roman" w:hAnsi="Times New Roman" w:eastAsia="仿宋_GB2312" w:cs="Times New Roman"/>
          <w:sz w:val="32"/>
          <w:szCs w:val="32"/>
          <w:lang w:val="en-US" w:eastAsia="zh-CN"/>
        </w:rPr>
        <w:t>增加</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451.17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教育局机关与各学校之间，教育局与上级部门之间，机关内部及学校内部等</w:t>
      </w:r>
      <w:r>
        <w:rPr>
          <w:rFonts w:hint="eastAsia" w:ascii="Times New Roman" w:hAnsi="Times New Roman" w:eastAsia="仿宋_GB2312" w:cs="Times New Roman"/>
          <w:sz w:val="32"/>
          <w:szCs w:val="32"/>
          <w:lang w:val="en-US" w:eastAsia="zh-CN"/>
        </w:rPr>
        <w:t>的</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万</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教育教学及上级政策文件精神传达</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1423.28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暑期研修和寒假研修、师德师风专题学习</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rPr>
        <w:t>未举办节庆、晚会、论坛、赛事活动。</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5240.15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647.78</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2021.87</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2570.51</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5240.15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5240.15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3634.72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3634.72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校舍安全保障资金</w:t>
      </w:r>
      <w:r>
        <w:rPr>
          <w:rFonts w:hint="eastAsia" w:ascii="Times New Roman" w:hAnsi="Times New Roman" w:eastAsia="仿宋_GB2312" w:cs="Times New Roman"/>
          <w:kern w:val="0"/>
          <w:sz w:val="32"/>
          <w:szCs w:val="32"/>
        </w:rPr>
        <w:t>”、“现代职业教育质量提升”、“学生资助补助”、“校园足球示范区”、“校方责任险”、“校车安全奖补”、“危改金”、“改善普通高中学校办学条件补助”、“城乡义务教育补助经费”</w:t>
      </w:r>
      <w:r>
        <w:rPr>
          <w:rFonts w:hint="eastAsia" w:ascii="Times New Roman" w:hAnsi="Times New Roman" w:eastAsia="仿宋_GB2312" w:cs="Times New Roman"/>
          <w:kern w:val="0"/>
          <w:sz w:val="32"/>
          <w:szCs w:val="32"/>
          <w:lang w:val="en-US" w:eastAsia="zh-CN"/>
        </w:rPr>
        <w:t>等20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rPr>
        <w:t>3634.72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年度重大政策和重大项目开展事前绩效评估。</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124236.5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120970.07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97.37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99.74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对纳入202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薄弱学校环节改善与能力提升和义务教育校舍维修等项目的义务教育学校进行了维修改造，全区义务均衡发展水平显著提高；二是提高了中职学校办学条件。发现的主要问题及原因：因部分工作是年中或年末根据相关要求开展，未纳入年初预算，另外还有部分不可预见经费的追加，无法纳入预算，导致预算执行存在偏差。下一步改进措施：做好预算前准备，尽量全面地进行预算。</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校舍安全保障资金</w:t>
      </w:r>
      <w:r>
        <w:rPr>
          <w:rFonts w:hint="eastAsia"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433</w:t>
      </w:r>
      <w:r>
        <w:rPr>
          <w:rFonts w:hint="eastAsia"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433</w:t>
      </w:r>
      <w:r>
        <w:rPr>
          <w:rFonts w:hint="eastAsia" w:ascii="Times New Roman" w:hAnsi="Times New Roman" w:eastAsia="仿宋_GB2312" w:cs="Times New Roman"/>
          <w:sz w:val="32"/>
          <w:szCs w:val="32"/>
        </w:rPr>
        <w:t>万元，完成预算的100%，部门评价得分99分，评价等级为“优秀”。发现的主要问题及原因：学校校舍维修未全部覆盖。下一步改进措施：争取资金，进一步优化学校基础建设。</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rPr>
        <w:t>3634.72</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2"/>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在部门整体支出中，各单位严格按照年初预算安排，严格遵守资金管理制度，强化监督，专款专用，确保各项资金使用效益，杜绝截留、挪用等现象；不断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加强的内控风险管理，各项经费支出得到有效控制。</w:t>
      </w:r>
    </w:p>
    <w:p>
      <w:pPr>
        <w:pStyle w:val="12"/>
        <w:jc w:val="both"/>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7"/>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7"/>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7"/>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7"/>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一、财政拨款收入：指本级财政当年拨付的资金。</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二、上年结转和结余：指以前年度尚未完成、结转到本年按有关规定继续使用的资金。</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三、年末结转和结余资金：指本年度或以前年度预算安排、因客观条件发生变化无法按原计划实施，需要延迟到以后年度按有关规定继续使用的资金。</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四、基本支出：指保障机构正常运转、完成支日常工作任务而发生的人员支出和公用支出。</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五、项目支出：指在基本支出之外为完成特定行政任务和事业发展目标所发生的支出。</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六、“三公”经费：反映用财政拨款安排的因公出国（境）费、公务用车购置及运行费和公务接待费。其中，因公出国（境）费反映单位工作人员公务出国（境）的住宿费、差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七、政府采购 ：是指国家各级政府为从事日常的政务活动或为了满足公共服务的目的，利用国家财政性资金和政府借款购买货物、工程和服务的行为。</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 公务用车运行维护费以及其他费用。</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九、学前教育：反映各部门举办的学前教育支出。包括政府各部门对社会组织等举办的幼儿园的资助，如捐款、补贴等。</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十、小学教育：反映各部门举办的小学教育支出。包括政府各部门对社会组织等举办的幼儿园的资助，如捐款、补贴等。</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十一、初中教育：反映各部门举办的初中教育支出。包括政府各部门对社会组织等举办的幼儿园的资助，如捐款、补贴等。</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十二、高中教育：反映各部门举办的高中教育支出。包括政府各部门对社会组织等举办的幼儿园的资助，如捐款、补贴等。</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十三、中等职业教育：反映各部门举办的中等职业教育支出。包括政府各部门对社会组织等举办的幼儿园的资助，如捐款、补贴等。</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十四、农村中小学校舍建设：反映教育费附加安排用于农村中小学校舍建设、改建、修缮和维护的支出。</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十五、农村中小学教学设施：反映教育费附加安排用于改善农村中小学教学设施和办学条件的支出。</w:t>
      </w:r>
    </w:p>
    <w:p>
      <w:pPr>
        <w:pStyle w:val="12"/>
        <w:keepNext w:val="0"/>
        <w:keepLines w:val="0"/>
        <w:pageBreakBefore w:val="0"/>
        <w:widowControl w:val="0"/>
        <w:kinsoku/>
        <w:wordWrap/>
        <w:overflowPunct/>
        <w:topLinePunct w:val="0"/>
        <w:bidi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十六、城市中小学校舍建设：反映教育费附加安排用于城市中小学校舍建设、改建、修缮和维护的支出。</w:t>
      </w:r>
    </w:p>
    <w:p>
      <w:pPr>
        <w:pStyle w:val="12"/>
        <w:keepNext w:val="0"/>
        <w:keepLines w:val="0"/>
        <w:pageBreakBefore w:val="0"/>
        <w:widowControl w:val="0"/>
        <w:kinsoku/>
        <w:wordWrap/>
        <w:overflowPunct/>
        <w:topLinePunct w:val="0"/>
        <w:bidi w:val="0"/>
        <w:snapToGrid/>
        <w:ind w:firstLine="640" w:firstLineChars="200"/>
        <w:jc w:val="left"/>
        <w:textAlignment w:val="auto"/>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十七、城市中小学教学设施：反映教育费附加安排用于改善城市中小学教学设施和办学条件的支出。</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spacing w:line="540" w:lineRule="exact"/>
        <w:jc w:val="center"/>
        <w:rPr>
          <w:rFonts w:ascii="方正小标宋简体" w:eastAsia="方正小标宋简体"/>
          <w:sz w:val="44"/>
          <w:szCs w:val="44"/>
        </w:rPr>
      </w:pPr>
      <w:r>
        <w:rPr>
          <w:rFonts w:hint="eastAsia" w:ascii="方正小标宋简体" w:eastAsia="方正小标宋简体"/>
          <w:sz w:val="44"/>
          <w:szCs w:val="44"/>
        </w:rPr>
        <w:t>2025年度赫山区教育局整体支出</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绩效自评报告</w:t>
      </w:r>
    </w:p>
    <w:p>
      <w:pPr>
        <w:spacing w:line="540" w:lineRule="exact"/>
        <w:jc w:val="center"/>
        <w:rPr>
          <w:rFonts w:hint="eastAsia" w:ascii="方正小标宋简体" w:eastAsia="方正小标宋简体"/>
          <w:sz w:val="44"/>
          <w:szCs w:val="44"/>
        </w:rPr>
      </w:pPr>
    </w:p>
    <w:p>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贯彻执行党和国家的教育方针、政策、法规和制度，拟订全区教育事业发展规划，管理全区的基础教育、职业教育、成人教育、特殊教育以及幼儿教育工作，管理并使用好教育预算内、外资金，实行财务的审计、检查和监督，加强师资队伍建设等事项。</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区教育局系统为一级预算单位，下辖4</w:t>
      </w:r>
      <w:r>
        <w:rPr>
          <w:rFonts w:hint="eastAsia" w:ascii="仿宋_GB2312" w:eastAsia="仿宋_GB2312"/>
          <w:sz w:val="32"/>
          <w:szCs w:val="32"/>
          <w:lang w:val="en-US" w:eastAsia="zh-CN"/>
        </w:rPr>
        <w:t>6</w:t>
      </w:r>
      <w:r>
        <w:rPr>
          <w:rFonts w:hint="eastAsia" w:ascii="仿宋_GB2312" w:eastAsia="仿宋_GB2312"/>
          <w:sz w:val="32"/>
          <w:szCs w:val="32"/>
        </w:rPr>
        <w:t>个二级预算单位</w:t>
      </w:r>
      <w:r>
        <w:rPr>
          <w:rFonts w:hint="eastAsia" w:ascii="仿宋_GB2312" w:eastAsia="仿宋_GB2312"/>
          <w:sz w:val="32"/>
          <w:szCs w:val="32"/>
          <w:lang w:eastAsia="zh-CN"/>
        </w:rPr>
        <w:t>。</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1.益阳市赫山区教育局（本级）</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2.益阳市赫山区教育科学研究培训中心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3.益阳市赫山区仪器电教站</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4.益阳市赫山区教育局体育卫生保健所</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5.益阳市赫山区世通学校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6.益阳市</w:t>
      </w:r>
      <w:r>
        <w:rPr>
          <w:rFonts w:hint="eastAsia" w:ascii="仿宋_GB2312" w:eastAsia="仿宋_GB2312"/>
          <w:sz w:val="32"/>
          <w:szCs w:val="32"/>
          <w:lang w:val="en-US" w:eastAsia="zh-CN"/>
        </w:rPr>
        <w:t>赫山区海棠</w:t>
      </w:r>
      <w:r>
        <w:rPr>
          <w:rFonts w:hint="eastAsia" w:ascii="仿宋_GB2312" w:eastAsia="仿宋_GB2312"/>
          <w:sz w:val="32"/>
          <w:szCs w:val="32"/>
        </w:rPr>
        <w:t>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7.益阳市赫山区</w:t>
      </w:r>
      <w:r>
        <w:rPr>
          <w:rFonts w:hint="eastAsia" w:ascii="仿宋_GB2312" w:eastAsia="仿宋_GB2312"/>
          <w:sz w:val="32"/>
          <w:szCs w:val="32"/>
          <w:lang w:val="en-US" w:eastAsia="zh-CN"/>
        </w:rPr>
        <w:t>建发</w:t>
      </w:r>
      <w:r>
        <w:rPr>
          <w:rFonts w:hint="eastAsia" w:ascii="仿宋_GB2312" w:eastAsia="仿宋_GB2312"/>
          <w:sz w:val="32"/>
          <w:szCs w:val="32"/>
        </w:rPr>
        <w:t>幼儿园</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8.益阳市赫山区赫山中学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9.益阳市三里桥小学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10.益阳市赫山第一完全小学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11.益阳市赫山区龙岭学校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12.益阳市泥江口镇中心学校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13.益阳市桃花仑小学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14.益阳市曙光小学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15.益阳师范附属小学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16.益阳市赫山第二完全小学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17.益阳市金银山学校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18.益阳市龙光桥镇中心学校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19.益阳市沧水铺镇中心学校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20.益阳市兰溪镇中心学校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21.益阳市黄泥湖学校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22.益阳市赫山区凤山小学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23.益阳市八字哨镇中心学校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24.益阳市岳家桥镇中心学校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25.益阳市笔架山乡中心学校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26.益阳市新市渡镇中心学校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27.益阳市衡龙桥镇中心学校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28.益阳市综合职业中等专业学校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29.益阳市第十三中学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30.益阳市第十六中学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31.益阳市第十五中学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32.益阳市箴言中学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33.益阳市第十七中学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34.益阳市秀峰路学校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35.益阳市欧江岔镇中心学校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36.益阳市泉交河镇中心学校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37.益阳市龙洲幼儿园</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38.益阳市志溪河学校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39.益阳市谢林港镇中心学校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40.益阳市龙洲中学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41.益阳市梓山湖学校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42.益阳市龙洲小学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43.益阳市迎宾小学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44.益阳市赫山区梓山苑小学</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45.益阳市赫山区紫竹学校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46.益阳市赫山区丁香小学</w:t>
      </w:r>
    </w:p>
    <w:p>
      <w:pPr>
        <w:spacing w:line="540" w:lineRule="exact"/>
        <w:ind w:firstLine="640" w:firstLineChars="200"/>
        <w:rPr>
          <w:rFonts w:hint="eastAsia" w:ascii="黑体" w:hAnsi="黑体" w:eastAsia="黑体"/>
          <w:b w:val="0"/>
          <w:bCs w:val="0"/>
          <w:sz w:val="32"/>
          <w:szCs w:val="32"/>
          <w:lang w:val="en-US" w:eastAsia="zh-CN"/>
        </w:rPr>
      </w:pPr>
      <w:r>
        <w:rPr>
          <w:rFonts w:hint="eastAsia" w:ascii="仿宋_GB2312" w:eastAsia="仿宋_GB2312"/>
          <w:sz w:val="32"/>
          <w:szCs w:val="32"/>
        </w:rPr>
        <w:t>区教育局机关共有内设股室</w:t>
      </w:r>
      <w:r>
        <w:rPr>
          <w:rFonts w:hint="eastAsia" w:ascii="仿宋_GB2312" w:eastAsia="仿宋_GB2312"/>
          <w:sz w:val="32"/>
          <w:szCs w:val="32"/>
          <w:lang w:val="en-US" w:eastAsia="zh-CN"/>
        </w:rPr>
        <w:t>9</w:t>
      </w:r>
      <w:r>
        <w:rPr>
          <w:rFonts w:hint="eastAsia" w:ascii="仿宋_GB2312" w:eastAsia="仿宋_GB2312"/>
          <w:sz w:val="32"/>
          <w:szCs w:val="32"/>
        </w:rPr>
        <w:t>个（办公室、人事股、基础教育股、职业教育与成人教育股、计划财务股、安全法制股、审计股、党建工作办公室、行政审批服务股），挂扣股室8个（区委教育工作领导小组秘书组秘书室、学前教育股、民办教育管理办公室、教师工作站、基建管理站、招商办、校车安全管理办公室、阳光服务中心），内设二级机构</w:t>
      </w:r>
      <w:r>
        <w:rPr>
          <w:rFonts w:hint="eastAsia" w:ascii="仿宋_GB2312" w:eastAsia="仿宋_GB2312"/>
          <w:sz w:val="32"/>
          <w:szCs w:val="32"/>
          <w:lang w:val="en-US" w:eastAsia="zh-CN"/>
        </w:rPr>
        <w:t>7</w:t>
      </w:r>
      <w:r>
        <w:rPr>
          <w:rFonts w:hint="eastAsia" w:ascii="仿宋_GB2312" w:eastAsia="仿宋_GB2312"/>
          <w:sz w:val="32"/>
          <w:szCs w:val="32"/>
        </w:rPr>
        <w:t>个（招生考试中心、教育信息化中心、学生资助中心、教育后勤服务中心、教育集中支付中心、教育物资采购和国有资产管理中心</w:t>
      </w:r>
      <w:r>
        <w:rPr>
          <w:rFonts w:hint="eastAsia" w:ascii="仿宋_GB2312" w:eastAsia="仿宋_GB2312"/>
          <w:sz w:val="32"/>
          <w:szCs w:val="32"/>
          <w:lang w:eastAsia="zh-CN"/>
        </w:rPr>
        <w:t>、</w:t>
      </w:r>
      <w:r>
        <w:rPr>
          <w:rFonts w:hint="eastAsia" w:ascii="仿宋_GB2312" w:eastAsia="仿宋_GB2312"/>
          <w:sz w:val="32"/>
          <w:szCs w:val="32"/>
          <w:lang w:val="en-US" w:eastAsia="zh-CN"/>
        </w:rPr>
        <w:t>校友服务中心</w:t>
      </w:r>
      <w:r>
        <w:rPr>
          <w:rFonts w:hint="eastAsia" w:ascii="仿宋_GB2312" w:eastAsia="仿宋_GB2312"/>
          <w:sz w:val="32"/>
          <w:szCs w:val="32"/>
        </w:rPr>
        <w:t>）。</w:t>
      </w:r>
    </w:p>
    <w:p>
      <w:pPr>
        <w:numPr>
          <w:ilvl w:val="0"/>
          <w:numId w:val="0"/>
        </w:numPr>
        <w:spacing w:line="540" w:lineRule="exact"/>
        <w:rPr>
          <w:rFonts w:hint="eastAsia" w:ascii="黑体" w:hAnsi="黑体" w:eastAsia="黑体"/>
          <w:sz w:val="32"/>
          <w:szCs w:val="32"/>
        </w:rPr>
      </w:pPr>
    </w:p>
    <w:p>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区教育局系统</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107655.65</w:t>
      </w:r>
      <w:r>
        <w:rPr>
          <w:rFonts w:hint="eastAsia" w:ascii="仿宋_GB2312" w:eastAsia="仿宋_GB2312"/>
          <w:sz w:val="32"/>
          <w:szCs w:val="32"/>
        </w:rPr>
        <w:t>万元,其中工资福利支出</w:t>
      </w:r>
      <w:r>
        <w:rPr>
          <w:rFonts w:hint="eastAsia" w:ascii="仿宋_GB2312" w:eastAsia="仿宋_GB2312"/>
          <w:sz w:val="32"/>
          <w:szCs w:val="32"/>
          <w:lang w:val="en-US" w:eastAsia="zh-CN"/>
        </w:rPr>
        <w:t>80249.47</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7095.82</w:t>
      </w:r>
      <w:r>
        <w:rPr>
          <w:rFonts w:hint="eastAsia" w:ascii="仿宋_GB2312" w:eastAsia="仿宋_GB2312"/>
          <w:sz w:val="32"/>
          <w:szCs w:val="32"/>
        </w:rPr>
        <w:t>万元，商品和服务支出</w:t>
      </w:r>
      <w:r>
        <w:rPr>
          <w:rFonts w:hint="eastAsia" w:ascii="仿宋_GB2312" w:eastAsia="仿宋_GB2312"/>
          <w:sz w:val="32"/>
          <w:szCs w:val="32"/>
          <w:lang w:val="en-US" w:eastAsia="zh-CN"/>
        </w:rPr>
        <w:t>19352.78</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lang w:val="en-US" w:eastAsia="zh-CN"/>
        </w:rPr>
        <w:t>资本性支出6269.62万元</w:t>
      </w:r>
      <w:r>
        <w:rPr>
          <w:rFonts w:hint="eastAsia" w:ascii="仿宋_GB2312" w:eastAsia="仿宋_GB2312"/>
          <w:sz w:val="32"/>
          <w:szCs w:val="32"/>
        </w:rPr>
        <w:t>。工资福利支出、对个人和家庭的补助支出、商品和服务支出</w:t>
      </w:r>
      <w:r>
        <w:rPr>
          <w:rFonts w:hint="eastAsia" w:ascii="仿宋_GB2312" w:eastAsia="仿宋_GB2312"/>
          <w:sz w:val="32"/>
          <w:szCs w:val="32"/>
          <w:lang w:eastAsia="zh-CN"/>
        </w:rPr>
        <w:t>、</w:t>
      </w:r>
      <w:r>
        <w:rPr>
          <w:rFonts w:hint="eastAsia" w:ascii="仿宋_GB2312" w:eastAsia="仿宋_GB2312"/>
          <w:sz w:val="32"/>
          <w:szCs w:val="32"/>
          <w:lang w:val="en-US" w:eastAsia="zh-CN"/>
        </w:rPr>
        <w:t>资本性支出</w:t>
      </w:r>
      <w:r>
        <w:rPr>
          <w:rFonts w:hint="eastAsia" w:ascii="仿宋_GB2312" w:eastAsia="仿宋_GB2312"/>
          <w:sz w:val="32"/>
          <w:szCs w:val="32"/>
        </w:rPr>
        <w:t>分别占基本支出的</w:t>
      </w:r>
      <w:r>
        <w:rPr>
          <w:rFonts w:hint="eastAsia" w:ascii="仿宋_GB2312" w:eastAsia="仿宋_GB2312"/>
          <w:sz w:val="32"/>
          <w:szCs w:val="32"/>
          <w:lang w:val="en-US" w:eastAsia="zh-CN"/>
        </w:rPr>
        <w:t>74.54</w:t>
      </w:r>
      <w:r>
        <w:rPr>
          <w:rFonts w:hint="eastAsia" w:ascii="仿宋_GB2312" w:eastAsia="仿宋_GB2312"/>
          <w:sz w:val="32"/>
          <w:szCs w:val="32"/>
        </w:rPr>
        <w:t>%、</w:t>
      </w:r>
      <w:r>
        <w:rPr>
          <w:rFonts w:hint="eastAsia" w:ascii="仿宋_GB2312" w:eastAsia="仿宋_GB2312"/>
          <w:sz w:val="32"/>
          <w:szCs w:val="32"/>
          <w:lang w:val="en-US" w:eastAsia="zh-CN"/>
        </w:rPr>
        <w:t>6.59</w:t>
      </w:r>
      <w:r>
        <w:rPr>
          <w:rFonts w:hint="eastAsia" w:ascii="仿宋_GB2312" w:eastAsia="仿宋_GB2312"/>
          <w:sz w:val="32"/>
          <w:szCs w:val="32"/>
        </w:rPr>
        <w:t>%、</w:t>
      </w:r>
      <w:r>
        <w:rPr>
          <w:rFonts w:hint="eastAsia" w:ascii="仿宋_GB2312" w:eastAsia="仿宋_GB2312"/>
          <w:sz w:val="32"/>
          <w:szCs w:val="32"/>
          <w:lang w:val="en-US" w:eastAsia="zh-CN"/>
        </w:rPr>
        <w:t>17.98</w:t>
      </w:r>
      <w:r>
        <w:rPr>
          <w:rFonts w:hint="eastAsia"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lang w:val="en-US" w:eastAsia="zh-CN"/>
        </w:rPr>
        <w:t>0.89%</w:t>
      </w:r>
      <w:r>
        <w:rPr>
          <w:rFonts w:hint="eastAsia" w:ascii="仿宋_GB2312" w:eastAsia="仿宋_GB2312"/>
          <w:sz w:val="32"/>
          <w:szCs w:val="32"/>
        </w:rPr>
        <w:t>。</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区教育局系统</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80249.47</w:t>
      </w:r>
      <w:r>
        <w:rPr>
          <w:rFonts w:hint="eastAsia" w:ascii="仿宋_GB2312" w:eastAsia="仿宋_GB2312"/>
          <w:sz w:val="32"/>
          <w:szCs w:val="32"/>
        </w:rPr>
        <w:t>万元，其中基本工资</w:t>
      </w:r>
      <w:r>
        <w:rPr>
          <w:rFonts w:hint="eastAsia" w:ascii="仿宋_GB2312" w:eastAsia="仿宋_GB2312"/>
          <w:sz w:val="32"/>
          <w:szCs w:val="32"/>
          <w:lang w:val="en-US" w:eastAsia="zh-CN"/>
        </w:rPr>
        <w:t>39231.79</w:t>
      </w:r>
      <w:r>
        <w:rPr>
          <w:rFonts w:hint="eastAsia" w:ascii="仿宋_GB2312" w:eastAsia="仿宋_GB2312"/>
          <w:sz w:val="32"/>
          <w:szCs w:val="32"/>
        </w:rPr>
        <w:t>万元、津贴补贴</w:t>
      </w:r>
      <w:r>
        <w:rPr>
          <w:rFonts w:hint="eastAsia" w:ascii="仿宋_GB2312" w:eastAsia="仿宋_GB2312"/>
          <w:sz w:val="32"/>
          <w:szCs w:val="32"/>
          <w:lang w:val="en-US" w:eastAsia="zh-CN"/>
        </w:rPr>
        <w:t>2854.24</w:t>
      </w:r>
      <w:r>
        <w:rPr>
          <w:rFonts w:hint="eastAsia" w:ascii="仿宋_GB2312" w:eastAsia="仿宋_GB2312"/>
          <w:sz w:val="32"/>
          <w:szCs w:val="32"/>
        </w:rPr>
        <w:t>万元、奖金</w:t>
      </w:r>
      <w:r>
        <w:rPr>
          <w:rFonts w:hint="eastAsia" w:ascii="仿宋_GB2312" w:eastAsia="仿宋_GB2312"/>
          <w:sz w:val="32"/>
          <w:szCs w:val="32"/>
          <w:lang w:val="en-US" w:eastAsia="zh-CN"/>
        </w:rPr>
        <w:t>1612.05</w:t>
      </w:r>
      <w:r>
        <w:rPr>
          <w:rFonts w:hint="eastAsia" w:ascii="仿宋_GB2312" w:eastAsia="仿宋_GB2312"/>
          <w:sz w:val="32"/>
          <w:szCs w:val="32"/>
        </w:rPr>
        <w:t>万元、伙食费补助</w:t>
      </w:r>
      <w:r>
        <w:rPr>
          <w:rFonts w:hint="eastAsia" w:ascii="仿宋_GB2312" w:eastAsia="仿宋_GB2312"/>
          <w:sz w:val="32"/>
          <w:szCs w:val="32"/>
          <w:lang w:val="en-US" w:eastAsia="zh-CN"/>
        </w:rPr>
        <w:t>38.2</w:t>
      </w:r>
      <w:r>
        <w:rPr>
          <w:rFonts w:hint="eastAsia" w:ascii="仿宋_GB2312" w:eastAsia="仿宋_GB2312"/>
          <w:sz w:val="32"/>
          <w:szCs w:val="32"/>
        </w:rPr>
        <w:t>万元、绩效工资</w:t>
      </w:r>
      <w:r>
        <w:rPr>
          <w:rFonts w:hint="eastAsia" w:ascii="仿宋_GB2312" w:eastAsia="仿宋_GB2312"/>
          <w:sz w:val="32"/>
          <w:szCs w:val="32"/>
          <w:lang w:val="en-US" w:eastAsia="zh-CN"/>
        </w:rPr>
        <w:t>14869.52</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8077.43</w:t>
      </w:r>
      <w:r>
        <w:rPr>
          <w:rFonts w:hint="eastAsia" w:ascii="仿宋_GB2312" w:eastAsia="仿宋_GB2312"/>
          <w:sz w:val="32"/>
          <w:szCs w:val="32"/>
        </w:rPr>
        <w:t>万元、职业年金缴费</w:t>
      </w:r>
      <w:r>
        <w:rPr>
          <w:rFonts w:hint="eastAsia" w:ascii="仿宋_GB2312" w:eastAsia="仿宋_GB2312"/>
          <w:sz w:val="32"/>
          <w:szCs w:val="32"/>
          <w:lang w:val="en-US" w:eastAsia="zh-CN"/>
        </w:rPr>
        <w:t>1069.71</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4024.56</w:t>
      </w:r>
      <w:r>
        <w:rPr>
          <w:rFonts w:hint="eastAsia" w:ascii="仿宋_GB2312" w:eastAsia="仿宋_GB2312"/>
          <w:sz w:val="32"/>
          <w:szCs w:val="32"/>
        </w:rPr>
        <w:t>万元、其他社会保障缴费</w:t>
      </w:r>
      <w:r>
        <w:rPr>
          <w:rFonts w:hint="eastAsia" w:ascii="仿宋_GB2312" w:eastAsia="仿宋_GB2312"/>
          <w:sz w:val="32"/>
          <w:szCs w:val="32"/>
          <w:lang w:val="en-US" w:eastAsia="zh-CN"/>
        </w:rPr>
        <w:t>90.93</w:t>
      </w:r>
      <w:r>
        <w:rPr>
          <w:rFonts w:hint="eastAsia" w:ascii="仿宋_GB2312" w:eastAsia="仿宋_GB2312"/>
          <w:sz w:val="32"/>
          <w:szCs w:val="32"/>
        </w:rPr>
        <w:t>万元、住房公积金</w:t>
      </w:r>
      <w:r>
        <w:rPr>
          <w:rFonts w:hint="eastAsia" w:ascii="仿宋_GB2312" w:eastAsia="仿宋_GB2312"/>
          <w:sz w:val="32"/>
          <w:szCs w:val="32"/>
          <w:lang w:val="en-US" w:eastAsia="zh-CN"/>
        </w:rPr>
        <w:t>6511.49</w:t>
      </w:r>
      <w:r>
        <w:rPr>
          <w:rFonts w:hint="eastAsia" w:ascii="仿宋_GB2312" w:eastAsia="仿宋_GB2312"/>
          <w:sz w:val="32"/>
          <w:szCs w:val="32"/>
        </w:rPr>
        <w:t>万元、其他工资福利支出</w:t>
      </w:r>
      <w:r>
        <w:rPr>
          <w:rFonts w:hint="eastAsia" w:ascii="仿宋_GB2312" w:eastAsia="仿宋_GB2312"/>
          <w:sz w:val="32"/>
          <w:szCs w:val="32"/>
          <w:lang w:val="en-US" w:eastAsia="zh-CN"/>
        </w:rPr>
        <w:t>1869.55</w:t>
      </w:r>
      <w:r>
        <w:rPr>
          <w:rFonts w:hint="eastAsia" w:ascii="仿宋_GB2312" w:eastAsia="仿宋_GB2312"/>
          <w:sz w:val="32"/>
          <w:szCs w:val="32"/>
        </w:rPr>
        <w:t xml:space="preserve">万元。 </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区教育局系统</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19263.85</w:t>
      </w:r>
      <w:r>
        <w:rPr>
          <w:rFonts w:hint="eastAsia" w:ascii="仿宋_GB2312" w:eastAsia="仿宋_GB2312"/>
          <w:sz w:val="32"/>
          <w:szCs w:val="32"/>
        </w:rPr>
        <w:t>万元，其中办公费</w:t>
      </w:r>
      <w:r>
        <w:rPr>
          <w:rFonts w:hint="eastAsia" w:ascii="仿宋_GB2312" w:eastAsia="仿宋_GB2312"/>
          <w:sz w:val="32"/>
          <w:szCs w:val="32"/>
          <w:lang w:val="en-US" w:eastAsia="zh-CN"/>
        </w:rPr>
        <w:t>3365.94</w:t>
      </w:r>
      <w:r>
        <w:rPr>
          <w:rFonts w:hint="eastAsia" w:ascii="仿宋_GB2312" w:eastAsia="仿宋_GB2312"/>
          <w:sz w:val="32"/>
          <w:szCs w:val="32"/>
        </w:rPr>
        <w:t>万元、印刷费</w:t>
      </w:r>
      <w:r>
        <w:rPr>
          <w:rFonts w:hint="eastAsia" w:ascii="仿宋_GB2312" w:eastAsia="仿宋_GB2312"/>
          <w:sz w:val="32"/>
          <w:szCs w:val="32"/>
          <w:lang w:val="en-US" w:eastAsia="zh-CN"/>
        </w:rPr>
        <w:t>1211.65</w:t>
      </w:r>
      <w:r>
        <w:rPr>
          <w:rFonts w:hint="eastAsia" w:ascii="仿宋_GB2312" w:eastAsia="仿宋_GB2312"/>
          <w:sz w:val="32"/>
          <w:szCs w:val="32"/>
        </w:rPr>
        <w:t>万元、手续费</w:t>
      </w:r>
      <w:r>
        <w:rPr>
          <w:rFonts w:hint="eastAsia" w:ascii="仿宋_GB2312" w:eastAsia="仿宋_GB2312"/>
          <w:sz w:val="32"/>
          <w:szCs w:val="32"/>
          <w:lang w:val="en-US" w:eastAsia="zh-CN"/>
        </w:rPr>
        <w:t>49.27</w:t>
      </w:r>
      <w:r>
        <w:rPr>
          <w:rFonts w:hint="eastAsia" w:ascii="仿宋_GB2312" w:eastAsia="仿宋_GB2312"/>
          <w:sz w:val="32"/>
          <w:szCs w:val="32"/>
        </w:rPr>
        <w:t>万元、水费</w:t>
      </w:r>
      <w:r>
        <w:rPr>
          <w:rFonts w:hint="eastAsia" w:ascii="仿宋_GB2312" w:eastAsia="仿宋_GB2312"/>
          <w:sz w:val="32"/>
          <w:szCs w:val="32"/>
          <w:lang w:val="en-US" w:eastAsia="zh-CN"/>
        </w:rPr>
        <w:t>670.53</w:t>
      </w:r>
      <w:r>
        <w:rPr>
          <w:rFonts w:hint="eastAsia" w:ascii="仿宋_GB2312" w:eastAsia="仿宋_GB2312"/>
          <w:sz w:val="32"/>
          <w:szCs w:val="32"/>
        </w:rPr>
        <w:t>万元、电费</w:t>
      </w:r>
      <w:r>
        <w:rPr>
          <w:rFonts w:hint="eastAsia" w:ascii="仿宋_GB2312" w:eastAsia="仿宋_GB2312"/>
          <w:sz w:val="32"/>
          <w:szCs w:val="32"/>
          <w:lang w:val="en-US" w:eastAsia="zh-CN"/>
        </w:rPr>
        <w:t>1520.55</w:t>
      </w:r>
      <w:r>
        <w:rPr>
          <w:rFonts w:hint="eastAsia" w:ascii="仿宋_GB2312" w:eastAsia="仿宋_GB2312"/>
          <w:sz w:val="32"/>
          <w:szCs w:val="32"/>
        </w:rPr>
        <w:t>万元、邮电费</w:t>
      </w:r>
      <w:r>
        <w:rPr>
          <w:rFonts w:hint="eastAsia" w:ascii="仿宋_GB2312" w:eastAsia="仿宋_GB2312"/>
          <w:sz w:val="32"/>
          <w:szCs w:val="32"/>
          <w:lang w:val="en-US" w:eastAsia="zh-CN"/>
        </w:rPr>
        <w:t>254.11</w:t>
      </w:r>
      <w:r>
        <w:rPr>
          <w:rFonts w:hint="eastAsia" w:ascii="仿宋_GB2312" w:eastAsia="仿宋_GB2312"/>
          <w:sz w:val="32"/>
          <w:szCs w:val="32"/>
        </w:rPr>
        <w:t>万元、</w:t>
      </w:r>
      <w:r>
        <w:rPr>
          <w:rFonts w:hint="eastAsia" w:ascii="仿宋_GB2312" w:eastAsia="仿宋_GB2312"/>
          <w:sz w:val="32"/>
          <w:szCs w:val="32"/>
          <w:lang w:val="en-US" w:eastAsia="zh-CN"/>
        </w:rPr>
        <w:t>取暖费9.3万元、</w:t>
      </w:r>
      <w:r>
        <w:rPr>
          <w:rFonts w:hint="eastAsia" w:ascii="仿宋_GB2312" w:eastAsia="仿宋_GB2312"/>
          <w:sz w:val="32"/>
          <w:szCs w:val="32"/>
        </w:rPr>
        <w:t>物业管理费</w:t>
      </w:r>
      <w:r>
        <w:rPr>
          <w:rFonts w:hint="eastAsia" w:ascii="仿宋_GB2312" w:eastAsia="仿宋_GB2312"/>
          <w:sz w:val="32"/>
          <w:szCs w:val="32"/>
          <w:lang w:val="en-US" w:eastAsia="zh-CN"/>
        </w:rPr>
        <w:t>925.46</w:t>
      </w:r>
      <w:r>
        <w:rPr>
          <w:rFonts w:hint="eastAsia" w:ascii="仿宋_GB2312" w:eastAsia="仿宋_GB2312"/>
          <w:sz w:val="32"/>
          <w:szCs w:val="32"/>
        </w:rPr>
        <w:t>万元、差旅费</w:t>
      </w:r>
      <w:r>
        <w:rPr>
          <w:rFonts w:hint="eastAsia" w:ascii="仿宋_GB2312" w:eastAsia="仿宋_GB2312"/>
          <w:sz w:val="32"/>
          <w:szCs w:val="32"/>
          <w:lang w:val="en-US" w:eastAsia="zh-CN"/>
        </w:rPr>
        <w:t>198.25</w:t>
      </w:r>
      <w:r>
        <w:rPr>
          <w:rFonts w:hint="eastAsia" w:ascii="仿宋_GB2312" w:eastAsia="仿宋_GB2312"/>
          <w:sz w:val="32"/>
          <w:szCs w:val="32"/>
        </w:rPr>
        <w:t>万元、维修（护）费</w:t>
      </w:r>
      <w:r>
        <w:rPr>
          <w:rFonts w:hint="eastAsia" w:ascii="仿宋_GB2312" w:eastAsia="仿宋_GB2312"/>
          <w:sz w:val="32"/>
          <w:szCs w:val="32"/>
          <w:lang w:val="en-US" w:eastAsia="zh-CN"/>
        </w:rPr>
        <w:t>2126.8</w:t>
      </w:r>
      <w:r>
        <w:rPr>
          <w:rFonts w:hint="eastAsia" w:ascii="仿宋_GB2312" w:eastAsia="仿宋_GB2312"/>
          <w:sz w:val="32"/>
          <w:szCs w:val="32"/>
        </w:rPr>
        <w:t>万元、租赁费</w:t>
      </w:r>
      <w:r>
        <w:rPr>
          <w:rFonts w:hint="eastAsia" w:ascii="仿宋_GB2312" w:eastAsia="仿宋_GB2312"/>
          <w:sz w:val="32"/>
          <w:szCs w:val="32"/>
          <w:lang w:val="en-US" w:eastAsia="zh-CN"/>
        </w:rPr>
        <w:t>93.86</w:t>
      </w:r>
      <w:r>
        <w:rPr>
          <w:rFonts w:hint="eastAsia" w:ascii="仿宋_GB2312" w:eastAsia="仿宋_GB2312"/>
          <w:sz w:val="32"/>
          <w:szCs w:val="32"/>
        </w:rPr>
        <w:t>万元、会议费</w:t>
      </w:r>
      <w:r>
        <w:rPr>
          <w:rFonts w:hint="eastAsia" w:ascii="仿宋_GB2312" w:eastAsia="仿宋_GB2312"/>
          <w:sz w:val="32"/>
          <w:szCs w:val="32"/>
          <w:lang w:val="en-US" w:eastAsia="zh-CN"/>
        </w:rPr>
        <w:t>451.17</w:t>
      </w:r>
      <w:r>
        <w:rPr>
          <w:rFonts w:hint="eastAsia" w:ascii="仿宋_GB2312" w:eastAsia="仿宋_GB2312"/>
          <w:sz w:val="32"/>
          <w:szCs w:val="32"/>
        </w:rPr>
        <w:t>万元、培训费</w:t>
      </w:r>
      <w:r>
        <w:rPr>
          <w:rFonts w:hint="eastAsia" w:ascii="仿宋_GB2312" w:eastAsia="仿宋_GB2312"/>
          <w:sz w:val="32"/>
          <w:szCs w:val="32"/>
          <w:lang w:val="en-US" w:eastAsia="zh-CN"/>
        </w:rPr>
        <w:t>1423.28</w:t>
      </w:r>
      <w:r>
        <w:rPr>
          <w:rFonts w:hint="eastAsia" w:ascii="仿宋_GB2312" w:eastAsia="仿宋_GB2312"/>
          <w:sz w:val="32"/>
          <w:szCs w:val="32"/>
        </w:rPr>
        <w:t>万元、公务接待费</w:t>
      </w:r>
      <w:r>
        <w:rPr>
          <w:rFonts w:hint="eastAsia" w:ascii="仿宋_GB2312" w:eastAsia="仿宋_GB2312"/>
          <w:sz w:val="32"/>
          <w:szCs w:val="32"/>
          <w:lang w:val="en-US" w:eastAsia="zh-CN"/>
        </w:rPr>
        <w:t>1.36</w:t>
      </w:r>
      <w:r>
        <w:rPr>
          <w:rFonts w:hint="eastAsia" w:ascii="仿宋_GB2312" w:eastAsia="仿宋_GB2312"/>
          <w:sz w:val="32"/>
          <w:szCs w:val="32"/>
        </w:rPr>
        <w:t>万元、专用材料费</w:t>
      </w:r>
      <w:r>
        <w:rPr>
          <w:rFonts w:hint="eastAsia" w:ascii="仿宋_GB2312" w:eastAsia="仿宋_GB2312"/>
          <w:sz w:val="32"/>
          <w:szCs w:val="32"/>
          <w:lang w:val="en-US" w:eastAsia="zh-CN"/>
        </w:rPr>
        <w:t>626.05</w:t>
      </w:r>
      <w:r>
        <w:rPr>
          <w:rFonts w:hint="eastAsia" w:ascii="仿宋_GB2312" w:eastAsia="仿宋_GB2312"/>
          <w:sz w:val="32"/>
          <w:szCs w:val="32"/>
        </w:rPr>
        <w:t>万元、劳务费</w:t>
      </w:r>
      <w:r>
        <w:rPr>
          <w:rFonts w:hint="eastAsia" w:ascii="仿宋_GB2312" w:eastAsia="仿宋_GB2312"/>
          <w:sz w:val="32"/>
          <w:szCs w:val="32"/>
          <w:lang w:val="en-US" w:eastAsia="zh-CN"/>
        </w:rPr>
        <w:t>476.55</w:t>
      </w:r>
      <w:r>
        <w:rPr>
          <w:rFonts w:hint="eastAsia" w:ascii="仿宋_GB2312" w:eastAsia="仿宋_GB2312"/>
          <w:sz w:val="32"/>
          <w:szCs w:val="32"/>
        </w:rPr>
        <w:t>万元、</w:t>
      </w:r>
      <w:r>
        <w:rPr>
          <w:rFonts w:hint="eastAsia" w:ascii="仿宋_GB2312" w:eastAsia="仿宋_GB2312"/>
          <w:sz w:val="32"/>
          <w:szCs w:val="32"/>
          <w:lang w:val="en-US" w:eastAsia="zh-CN"/>
        </w:rPr>
        <w:t>委托业务费232.99万元、</w:t>
      </w:r>
      <w:r>
        <w:rPr>
          <w:rFonts w:hint="eastAsia" w:ascii="仿宋_GB2312" w:eastAsia="仿宋_GB2312"/>
          <w:sz w:val="32"/>
          <w:szCs w:val="32"/>
        </w:rPr>
        <w:t>工会经费</w:t>
      </w:r>
      <w:r>
        <w:rPr>
          <w:rFonts w:hint="eastAsia" w:ascii="仿宋_GB2312" w:eastAsia="仿宋_GB2312"/>
          <w:sz w:val="32"/>
          <w:szCs w:val="32"/>
          <w:lang w:val="en-US" w:eastAsia="zh-CN"/>
        </w:rPr>
        <w:t>1823.4</w:t>
      </w:r>
      <w:r>
        <w:rPr>
          <w:rFonts w:hint="eastAsia" w:ascii="仿宋_GB2312" w:eastAsia="仿宋_GB2312"/>
          <w:sz w:val="32"/>
          <w:szCs w:val="32"/>
        </w:rPr>
        <w:t>万元、福利费</w:t>
      </w:r>
      <w:r>
        <w:rPr>
          <w:rFonts w:hint="eastAsia" w:ascii="仿宋_GB2312" w:eastAsia="仿宋_GB2312"/>
          <w:sz w:val="32"/>
          <w:szCs w:val="32"/>
          <w:lang w:val="en-US" w:eastAsia="zh-CN"/>
        </w:rPr>
        <w:t>186.21</w:t>
      </w:r>
      <w:r>
        <w:rPr>
          <w:rFonts w:hint="eastAsia" w:ascii="仿宋_GB2312" w:eastAsia="仿宋_GB2312"/>
          <w:sz w:val="32"/>
          <w:szCs w:val="32"/>
        </w:rPr>
        <w:t>元、其他交通费</w:t>
      </w:r>
      <w:r>
        <w:rPr>
          <w:rFonts w:hint="eastAsia" w:ascii="仿宋_GB2312" w:eastAsia="仿宋_GB2312"/>
          <w:sz w:val="32"/>
          <w:szCs w:val="32"/>
          <w:lang w:val="en-US" w:eastAsia="zh-CN"/>
        </w:rPr>
        <w:t>179.53</w:t>
      </w:r>
      <w:r>
        <w:rPr>
          <w:rFonts w:hint="eastAsia" w:ascii="仿宋_GB2312" w:eastAsia="仿宋_GB2312"/>
          <w:sz w:val="32"/>
          <w:szCs w:val="32"/>
        </w:rPr>
        <w:t>万元、税金及附加费用</w:t>
      </w:r>
      <w:r>
        <w:rPr>
          <w:rFonts w:hint="eastAsia" w:ascii="仿宋_GB2312" w:eastAsia="仿宋_GB2312"/>
          <w:sz w:val="32"/>
          <w:szCs w:val="32"/>
          <w:lang w:val="en-US" w:eastAsia="zh-CN"/>
        </w:rPr>
        <w:t>12.78</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3402.04</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区教育局系统</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7095.82</w:t>
      </w:r>
      <w:r>
        <w:rPr>
          <w:rFonts w:hint="eastAsia" w:ascii="仿宋_GB2312" w:eastAsia="仿宋_GB2312"/>
          <w:sz w:val="32"/>
          <w:szCs w:val="32"/>
        </w:rPr>
        <w:t>万元，其中</w:t>
      </w:r>
      <w:r>
        <w:rPr>
          <w:rFonts w:hint="eastAsia" w:ascii="仿宋_GB2312" w:eastAsia="仿宋_GB2312"/>
          <w:sz w:val="32"/>
          <w:szCs w:val="32"/>
          <w:lang w:val="en-US" w:eastAsia="zh-CN"/>
        </w:rPr>
        <w:t>退休费3.94万元、</w:t>
      </w:r>
      <w:r>
        <w:rPr>
          <w:rFonts w:hint="eastAsia" w:ascii="仿宋_GB2312" w:eastAsia="仿宋_GB2312"/>
          <w:sz w:val="32"/>
          <w:szCs w:val="32"/>
        </w:rPr>
        <w:t>抚恤金</w:t>
      </w:r>
      <w:r>
        <w:rPr>
          <w:rFonts w:hint="eastAsia" w:ascii="仿宋_GB2312" w:eastAsia="仿宋_GB2312"/>
          <w:sz w:val="32"/>
          <w:szCs w:val="32"/>
          <w:lang w:val="en-US" w:eastAsia="zh-CN"/>
        </w:rPr>
        <w:t>747.61</w:t>
      </w:r>
      <w:r>
        <w:rPr>
          <w:rFonts w:hint="eastAsia" w:ascii="仿宋_GB2312" w:eastAsia="仿宋_GB2312"/>
          <w:sz w:val="32"/>
          <w:szCs w:val="32"/>
        </w:rPr>
        <w:t>万元、生活补助</w:t>
      </w:r>
      <w:r>
        <w:rPr>
          <w:rFonts w:hint="eastAsia" w:ascii="仿宋_GB2312" w:eastAsia="仿宋_GB2312"/>
          <w:sz w:val="32"/>
          <w:szCs w:val="32"/>
          <w:lang w:val="en-US" w:eastAsia="zh-CN"/>
        </w:rPr>
        <w:t>2298.65</w:t>
      </w:r>
      <w:r>
        <w:rPr>
          <w:rFonts w:hint="eastAsia" w:ascii="仿宋_GB2312" w:eastAsia="仿宋_GB2312"/>
          <w:sz w:val="32"/>
          <w:szCs w:val="32"/>
        </w:rPr>
        <w:t>万元、助学金</w:t>
      </w:r>
      <w:r>
        <w:rPr>
          <w:rFonts w:hint="eastAsia" w:ascii="仿宋_GB2312" w:eastAsia="仿宋_GB2312"/>
          <w:sz w:val="32"/>
          <w:szCs w:val="32"/>
          <w:lang w:val="en-US" w:eastAsia="zh-CN"/>
        </w:rPr>
        <w:t>3262.54</w:t>
      </w:r>
      <w:r>
        <w:rPr>
          <w:rFonts w:hint="eastAsia" w:ascii="仿宋_GB2312" w:eastAsia="仿宋_GB2312"/>
          <w:sz w:val="32"/>
          <w:szCs w:val="32"/>
        </w:rPr>
        <w:t>万元、奖励金</w:t>
      </w:r>
      <w:r>
        <w:rPr>
          <w:rFonts w:hint="eastAsia" w:ascii="仿宋_GB2312" w:eastAsia="仿宋_GB2312"/>
          <w:sz w:val="32"/>
          <w:szCs w:val="32"/>
          <w:lang w:val="en-US" w:eastAsia="zh-CN"/>
        </w:rPr>
        <w:t>54.57</w:t>
      </w:r>
      <w:r>
        <w:rPr>
          <w:rFonts w:hint="eastAsia" w:ascii="仿宋_GB2312" w:eastAsia="仿宋_GB2312"/>
          <w:sz w:val="32"/>
          <w:szCs w:val="32"/>
        </w:rPr>
        <w:t>万元、其他对个人和家庭的补助</w:t>
      </w:r>
      <w:r>
        <w:rPr>
          <w:rFonts w:hint="eastAsia" w:ascii="仿宋_GB2312" w:eastAsia="仿宋_GB2312"/>
          <w:sz w:val="32"/>
          <w:szCs w:val="32"/>
          <w:lang w:val="en-US" w:eastAsia="zh-CN"/>
        </w:rPr>
        <w:t>728.52</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pPr>
        <w:spacing w:line="540" w:lineRule="exact"/>
        <w:ind w:firstLine="640" w:firstLineChars="200"/>
        <w:rPr>
          <w:rFonts w:hint="eastAsia" w:ascii="楷体_GB2312" w:eastAsia="楷体_GB2312"/>
          <w:sz w:val="32"/>
          <w:szCs w:val="32"/>
        </w:rPr>
      </w:pPr>
      <w:r>
        <w:rPr>
          <w:rFonts w:hint="eastAsia" w:ascii="仿宋_GB2312" w:eastAsia="仿宋_GB2312"/>
          <w:sz w:val="32"/>
          <w:szCs w:val="32"/>
        </w:rPr>
        <w:t>区教育局系统</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资本性支出1046.51元，其中办公设备购置532.99万元、专用设备购置464.04万元、信息网络及软件购置更新49.49万元。</w:t>
      </w:r>
    </w:p>
    <w:p>
      <w:pPr>
        <w:numPr>
          <w:ilvl w:val="0"/>
          <w:numId w:val="3"/>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区教育局系统2025年度一般公共预算财政拨款项目支出7855.01万元,其中商品和服务支出10.42万元、资本性支出7844.59万元。商品和服务支出、资本性支出分别占项目支出的0.13%、99.87%。</w:t>
      </w:r>
    </w:p>
    <w:p>
      <w:pPr>
        <w:spacing w:line="540" w:lineRule="exact"/>
        <w:ind w:firstLine="640" w:firstLineChars="200"/>
        <w:rPr>
          <w:rFonts w:hint="eastAsia" w:ascii="仿宋_GB2312" w:eastAsia="仿宋_GB2312"/>
          <w:sz w:val="32"/>
          <w:szCs w:val="32"/>
          <w:lang w:val="en-US" w:eastAsia="zh-CN"/>
        </w:rPr>
      </w:pP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区教育局系统2025年度政府性基金预算财政拨款8002.37万元。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基本支出7.73万元。</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lang w:val="en-US" w:eastAsia="zh-CN"/>
        </w:rPr>
        <w:t>项目支出7994.65万元，其中三里桥学校教学楼建设544万元、泥江口学校1790万元、益师附小校舍维修维护20万元、龙光桥学校校舍维修维护197万元、沧水铺学校校舍维修维护595万元、八字哨学校校舍维修维护849万元、十六中基础设施维修52.41万元，龙洲幼儿园建设8.24万元、十七中教学楼维修1489万元，龙州中学教学楼建设2450万元。</w:t>
      </w:r>
    </w:p>
    <w:p>
      <w:pPr>
        <w:spacing w:line="540" w:lineRule="exact"/>
        <w:ind w:firstLine="640" w:firstLineChars="200"/>
        <w:rPr>
          <w:rFonts w:hint="eastAsia" w:ascii="黑体" w:hAnsi="黑体" w:eastAsia="黑体"/>
          <w:sz w:val="32"/>
          <w:szCs w:val="32"/>
          <w:lang w:eastAsia="zh-CN"/>
        </w:rPr>
      </w:pPr>
    </w:p>
    <w:p>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lang w:val="en-US" w:eastAsia="zh-CN"/>
        </w:rPr>
        <w:t>本单位本年度无国有资本经营预算支出。</w:t>
      </w:r>
    </w:p>
    <w:p>
      <w:pPr>
        <w:spacing w:line="540" w:lineRule="exact"/>
        <w:ind w:firstLine="640" w:firstLineChars="200"/>
        <w:rPr>
          <w:rFonts w:ascii="黑体" w:hAnsi="黑体" w:eastAsia="黑体"/>
          <w:sz w:val="32"/>
          <w:szCs w:val="32"/>
        </w:rPr>
      </w:pP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pPr>
        <w:spacing w:line="540" w:lineRule="exact"/>
        <w:ind w:firstLine="640" w:firstLineChars="200"/>
        <w:rPr>
          <w:rFonts w:hint="eastAsia" w:ascii="仿宋_GB2312" w:eastAsia="仿宋_GB2312"/>
          <w:sz w:val="32"/>
          <w:szCs w:val="32"/>
          <w:lang w:val="en-US" w:eastAsia="zh-CN"/>
        </w:rPr>
      </w:pPr>
    </w:p>
    <w:p>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赫山区教育局严格执行《预算法》，强化支出责任，不断提高资金使用效益，根据绩效评价相关制度规定对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年度部门整体支出开展绩效评价，认真制定绩效自评工作方案，坚持客观公正和有效性原则，按照设定的指标体系，组织各职能股室对各类项目资金开展预算资金绩效自评。</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1.成立领导小组。教育局抽调计财股、支付中心、审计股等部门、项目部门负责人、项目相关学校财务人员组成绩效评价工作领导小组，学习评价指标体系和绩效评价相关要求，明确工作职责和分工。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区教育局不断加强资金管理，合理分配资金，按照重点倾斜、集中投入的原则，保运转、促发展，对预算支出管理实施动态监控、过程跟踪，依法实施政府采购、集中支付，做到各类预算支出专款专用，分类记账，独立核算，真实反映部门整体收支动态，及时公开资金管理使用情况，接受组织、个人或社会团体监督，圆满完成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年度预算执行任务。</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绩效评价工作组对区教育系统教育经费投入和使用情况进行整体跟踪、综合评价，要根据资金来源分“财政拨款支出”和“其他资金支出”分类进行明细核算，根据支出类别分“基本支出”的“项目支出”进行明细核算，对“财政拨款支出”分“一般公共预算拨款”和“政府性基金预算拨款”进行明细核算，会计核算不存在支出依据不合规、虚列支出的情况，不存在截留、挤占、挪用项目资金情况，资金使用任务目标明确、到位及时，具有较好的经济和社会效益，群众和社会满意度较高。</w:t>
      </w:r>
    </w:p>
    <w:p>
      <w:pPr>
        <w:spacing w:line="540" w:lineRule="exact"/>
        <w:ind w:firstLine="640" w:firstLineChars="200"/>
        <w:rPr>
          <w:rFonts w:hint="eastAsia" w:ascii="仿宋_GB2312" w:eastAsia="仿宋_GB2312"/>
          <w:sz w:val="32"/>
          <w:szCs w:val="32"/>
        </w:rPr>
      </w:pPr>
    </w:p>
    <w:p>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1.项目报批程序复杂，实施时间跨度大，项目实施进度缓慢。</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2.预决算偏离度较大。在编制部门预算时，需进一步加强预算管理，及时调整预算，减小预决算偏离度。</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3.资金使用效率还有待提高。由于各级部门支付进度不一，部分资金不能及时到位，一定程度上影响了资金的使用效益。</w:t>
      </w:r>
    </w:p>
    <w:p>
      <w:pPr>
        <w:numPr>
          <w:ilvl w:val="0"/>
          <w:numId w:val="0"/>
        </w:numPr>
        <w:spacing w:line="540" w:lineRule="exact"/>
        <w:ind w:leftChars="200"/>
        <w:rPr>
          <w:rFonts w:hint="eastAsia" w:ascii="黑体" w:hAnsi="黑体" w:eastAsia="黑体"/>
          <w:sz w:val="32"/>
          <w:szCs w:val="32"/>
        </w:rPr>
      </w:pP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1.组织绩效管理培训，健全绩效管理机制。组织绩效管理培训，健全绩效管理机制，不断推动预算和绩效管理一体化。合理编制预算，设置科学合理的绩效指标是做好预算管理的首要工作。</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科学编制预算，降低预算调整率。提高资金预算编制的准确性是实现财政资金使用效益最大化的根本保证。应进一步强化预算概念，明确其预算职责，科学合理测算项目支出及政府采购计划，提升预算资金安排的精准性、科学性，以降低预算调整率。</w:t>
      </w:r>
    </w:p>
    <w:p>
      <w:pPr>
        <w:numPr>
          <w:ilvl w:val="0"/>
          <w:numId w:val="0"/>
        </w:numPr>
        <w:spacing w:line="540" w:lineRule="exact"/>
        <w:ind w:leftChars="200"/>
        <w:rPr>
          <w:rFonts w:hint="eastAsia" w:ascii="黑体" w:hAnsi="黑体" w:eastAsia="黑体"/>
          <w:sz w:val="32"/>
          <w:szCs w:val="32"/>
        </w:rPr>
      </w:pP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根据财政部门要求，区教育局认真组织开展了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年度赫山区教育局整体支出绩效自评报告和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pPr>
        <w:numPr>
          <w:ilvl w:val="0"/>
          <w:numId w:val="0"/>
        </w:numPr>
        <w:spacing w:line="540" w:lineRule="exact"/>
        <w:ind w:leftChars="200"/>
        <w:rPr>
          <w:rFonts w:hint="eastAsia" w:ascii="黑体" w:hAnsi="黑体" w:eastAsia="黑体"/>
          <w:sz w:val="32"/>
          <w:szCs w:val="32"/>
        </w:rPr>
      </w:pP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D1E1B7"/>
    <w:multiLevelType w:val="singleLevel"/>
    <w:tmpl w:val="32D1E1B7"/>
    <w:lvl w:ilvl="0" w:tentative="0">
      <w:start w:val="2"/>
      <w:numFmt w:val="chineseCounting"/>
      <w:suff w:val="nothing"/>
      <w:lvlText w:val="（%1）"/>
      <w:lvlJc w:val="left"/>
      <w:rPr>
        <w:rFonts w:hint="eastAsia"/>
      </w:rPr>
    </w:lvl>
  </w:abstractNum>
  <w:abstractNum w:abstractNumId="1">
    <w:nsid w:val="3437092A"/>
    <w:multiLevelType w:val="singleLevel"/>
    <w:tmpl w:val="3437092A"/>
    <w:lvl w:ilvl="0" w:tentative="0">
      <w:start w:val="7"/>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wMmU4YTVlNTE2ZGY1ZmE1Yjk4YTA1MTViMzc0ZjM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8A6340"/>
    <w:rsid w:val="01BB41FD"/>
    <w:rsid w:val="02401B2E"/>
    <w:rsid w:val="053C52E0"/>
    <w:rsid w:val="05B253F0"/>
    <w:rsid w:val="0A047F29"/>
    <w:rsid w:val="0B2F7502"/>
    <w:rsid w:val="0D175296"/>
    <w:rsid w:val="0D6D057B"/>
    <w:rsid w:val="0E8F4168"/>
    <w:rsid w:val="0F8E6586"/>
    <w:rsid w:val="1589726A"/>
    <w:rsid w:val="16D35FBF"/>
    <w:rsid w:val="17C96081"/>
    <w:rsid w:val="1A393593"/>
    <w:rsid w:val="1CF01AC4"/>
    <w:rsid w:val="1D97DEFF"/>
    <w:rsid w:val="1DFF72E5"/>
    <w:rsid w:val="1EFC6F07"/>
    <w:rsid w:val="211E7310"/>
    <w:rsid w:val="225B679C"/>
    <w:rsid w:val="261A313C"/>
    <w:rsid w:val="26335BD9"/>
    <w:rsid w:val="2FDE350C"/>
    <w:rsid w:val="2FDF85B8"/>
    <w:rsid w:val="2FFFEE04"/>
    <w:rsid w:val="313F1BAC"/>
    <w:rsid w:val="34DF85B0"/>
    <w:rsid w:val="35D856FF"/>
    <w:rsid w:val="35DC154A"/>
    <w:rsid w:val="366816C1"/>
    <w:rsid w:val="368C0193"/>
    <w:rsid w:val="38E449D1"/>
    <w:rsid w:val="3B8F36BC"/>
    <w:rsid w:val="3C1B315C"/>
    <w:rsid w:val="3E3B4B04"/>
    <w:rsid w:val="3EEB7A55"/>
    <w:rsid w:val="41403A4C"/>
    <w:rsid w:val="41C37C1E"/>
    <w:rsid w:val="41DF3633"/>
    <w:rsid w:val="41E345B6"/>
    <w:rsid w:val="4216748C"/>
    <w:rsid w:val="43675FFC"/>
    <w:rsid w:val="491FF225"/>
    <w:rsid w:val="49716F93"/>
    <w:rsid w:val="49F430A0"/>
    <w:rsid w:val="4DFD12B9"/>
    <w:rsid w:val="4EBC1217"/>
    <w:rsid w:val="4F0E179D"/>
    <w:rsid w:val="4FFD214C"/>
    <w:rsid w:val="50F54B3B"/>
    <w:rsid w:val="51D742B2"/>
    <w:rsid w:val="54014B46"/>
    <w:rsid w:val="5777D4F5"/>
    <w:rsid w:val="577949F3"/>
    <w:rsid w:val="594A62C4"/>
    <w:rsid w:val="59DD8326"/>
    <w:rsid w:val="5D8443B7"/>
    <w:rsid w:val="5DEF592A"/>
    <w:rsid w:val="5F4C470A"/>
    <w:rsid w:val="5FC6BB1E"/>
    <w:rsid w:val="5FF720F1"/>
    <w:rsid w:val="62165F0A"/>
    <w:rsid w:val="63B865E1"/>
    <w:rsid w:val="65B16F71"/>
    <w:rsid w:val="664A490A"/>
    <w:rsid w:val="67FF5C0B"/>
    <w:rsid w:val="6BEC5C84"/>
    <w:rsid w:val="6EFC0924"/>
    <w:rsid w:val="6FB74722"/>
    <w:rsid w:val="6FEF8B7E"/>
    <w:rsid w:val="70176E75"/>
    <w:rsid w:val="71A6591B"/>
    <w:rsid w:val="71EF6D95"/>
    <w:rsid w:val="723E08BB"/>
    <w:rsid w:val="737D59BA"/>
    <w:rsid w:val="75E64FA5"/>
    <w:rsid w:val="75E65576"/>
    <w:rsid w:val="76C620D2"/>
    <w:rsid w:val="776816B3"/>
    <w:rsid w:val="77C37683"/>
    <w:rsid w:val="79D19834"/>
    <w:rsid w:val="79FF515B"/>
    <w:rsid w:val="7BF549BF"/>
    <w:rsid w:val="7CBC52A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12185</Words>
  <Characters>15647</Characters>
  <Lines>69</Lines>
  <Paragraphs>19</Paragraphs>
  <TotalTime>2</TotalTime>
  <ScaleCrop>false</ScaleCrop>
  <LinksUpToDate>false</LinksUpToDate>
  <CharactersWithSpaces>17202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栋栋宏</cp:lastModifiedBy>
  <cp:lastPrinted>2024-08-10T02:20:00Z</cp:lastPrinted>
  <dcterms:modified xsi:type="dcterms:W3CDTF">2026-08-26T01:50:58Z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2628D4CDBB3D458B93EDC0A4B05D94B1_13</vt:lpwstr>
  </property>
</Properties>
</file>