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4"/>
        <w:jc w:val="center"/>
        <w:rPr>
          <w:rFonts w:ascii="Times New Roman" w:hAnsi="Times New Roman" w:cs="Times New Roman"/>
          <w:sz w:val="56"/>
          <w:szCs w:val="56"/>
        </w:rPr>
      </w:pPr>
    </w:p>
    <w:p>
      <w:pPr>
        <w:pStyle w:val="14"/>
        <w:jc w:val="center"/>
        <w:rPr>
          <w:rFonts w:ascii="Times New Roman" w:hAnsi="Times New Roman" w:cs="Times New Roman"/>
          <w:sz w:val="84"/>
          <w:szCs w:val="84"/>
        </w:rPr>
      </w:pPr>
    </w:p>
    <w:p>
      <w:pPr>
        <w:pStyle w:val="14"/>
        <w:jc w:val="center"/>
        <w:rPr>
          <w:rFonts w:ascii="Times New Roman" w:hAnsi="Times New Roman" w:cs="Times New Roman"/>
          <w:sz w:val="84"/>
          <w:szCs w:val="84"/>
        </w:rPr>
      </w:pPr>
    </w:p>
    <w:p>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202</w:t>
      </w:r>
      <w:r>
        <w:rPr>
          <w:rFonts w:hint="eastAsia" w:ascii="Times New Roman" w:hAnsi="Times New Roman" w:eastAsia="方正小标宋简体" w:cs="Times New Roman"/>
          <w:sz w:val="72"/>
          <w:szCs w:val="72"/>
          <w:lang w:val="en-US" w:eastAsia="zh-CN"/>
        </w:rPr>
        <w:t>5</w:t>
      </w:r>
      <w:r>
        <w:rPr>
          <w:rFonts w:ascii="Times New Roman" w:hAnsi="Times New Roman" w:eastAsia="方正小标宋简体" w:cs="Times New Roman"/>
          <w:sz w:val="72"/>
          <w:szCs w:val="72"/>
        </w:rPr>
        <w:t>年度</w:t>
      </w:r>
    </w:p>
    <w:p>
      <w:pPr>
        <w:pStyle w:val="14"/>
        <w:jc w:val="center"/>
        <w:rPr>
          <w:rFonts w:hint="eastAsia" w:ascii="Times New Roman" w:hAnsi="Times New Roman" w:eastAsia="方正小标宋简体" w:cs="Times New Roman"/>
          <w:sz w:val="72"/>
          <w:szCs w:val="72"/>
          <w:lang w:eastAsia="zh-CN"/>
        </w:rPr>
      </w:pPr>
      <w:r>
        <w:rPr>
          <w:rFonts w:hint="eastAsia" w:ascii="Times New Roman" w:hAnsi="Times New Roman" w:eastAsia="方正小标宋简体" w:cs="Times New Roman"/>
          <w:sz w:val="72"/>
          <w:szCs w:val="72"/>
          <w:lang w:eastAsia="zh-CN"/>
        </w:rPr>
        <w:t>益阳市赫山区迎宾小学</w:t>
      </w:r>
    </w:p>
    <w:p>
      <w:pPr>
        <w:pStyle w:val="14"/>
        <w:jc w:val="center"/>
        <w:rPr>
          <w:rFonts w:ascii="Times New Roman" w:hAnsi="Times New Roman" w:eastAsia="方正小标宋简体" w:cs="Times New Roman"/>
          <w:sz w:val="72"/>
          <w:szCs w:val="72"/>
        </w:rPr>
      </w:pPr>
      <w:r>
        <w:rPr>
          <w:rFonts w:ascii="Times New Roman" w:hAnsi="Times New Roman" w:eastAsia="方正小标宋简体" w:cs="Times New Roman"/>
          <w:sz w:val="72"/>
          <w:szCs w:val="72"/>
        </w:rPr>
        <w:t>部门决算</w:t>
      </w:r>
    </w:p>
    <w:p>
      <w:pPr>
        <w:tabs>
          <w:tab w:val="left" w:pos="547"/>
        </w:tabs>
        <w:bidi w:val="0"/>
        <w:jc w:val="left"/>
        <w:rPr>
          <w:rFonts w:hint="eastAsia"/>
          <w:lang w:val="en-US" w:eastAsia="zh-CN"/>
        </w:rPr>
        <w:sectPr>
          <w:footerReference r:id="rId3"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pStyle w:val="14"/>
        <w:spacing w:line="600" w:lineRule="exact"/>
        <w:jc w:val="center"/>
        <w:rPr>
          <w:rFonts w:ascii="Times New Roman" w:hAnsi="Times New Roman" w:cs="Times New Roman"/>
          <w:bCs/>
          <w:sz w:val="36"/>
          <w:szCs w:val="28"/>
        </w:rPr>
      </w:pPr>
      <w:r>
        <w:rPr>
          <w:rFonts w:ascii="Times New Roman" w:hAnsi="Times New Roman" w:cs="Times New Roman"/>
          <w:bCs/>
          <w:sz w:val="36"/>
          <w:szCs w:val="28"/>
        </w:rPr>
        <w:t>目录</w:t>
      </w:r>
    </w:p>
    <w:p>
      <w:pPr>
        <w:pStyle w:val="14"/>
        <w:spacing w:line="600" w:lineRule="exact"/>
        <w:jc w:val="center"/>
        <w:rPr>
          <w:rFonts w:ascii="Times New Roman" w:hAnsi="Times New Roman" w:cs="Times New Roman"/>
          <w:b/>
          <w:sz w:val="36"/>
          <w:szCs w:val="28"/>
        </w:rPr>
      </w:pPr>
    </w:p>
    <w:p>
      <w:pPr>
        <w:pStyle w:val="14"/>
        <w:spacing w:afterLines="50" w:line="600" w:lineRule="exact"/>
        <w:rPr>
          <w:rFonts w:ascii="Times New Roman" w:hAnsi="Times New Roman" w:cs="Times New Roman"/>
          <w:bCs/>
          <w:sz w:val="32"/>
          <w:szCs w:val="32"/>
        </w:rPr>
      </w:pPr>
      <w:r>
        <w:rPr>
          <w:rFonts w:ascii="Times New Roman" w:hAnsi="Times New Roman" w:cs="Times New Roman"/>
          <w:bCs/>
          <w:sz w:val="32"/>
          <w:szCs w:val="32"/>
        </w:rPr>
        <w:t xml:space="preserve">第一部分 </w:t>
      </w:r>
      <w:r>
        <w:rPr>
          <w:rFonts w:hint="eastAsia" w:ascii="Times New Roman" w:hAnsi="Times New Roman" w:cs="Times New Roman"/>
          <w:bCs/>
          <w:sz w:val="32"/>
          <w:szCs w:val="32"/>
          <w:lang w:eastAsia="zh-CN"/>
        </w:rPr>
        <w:t>益阳市赫山区迎宾小学</w:t>
      </w:r>
      <w:r>
        <w:rPr>
          <w:rFonts w:ascii="Times New Roman" w:hAnsi="Times New Roman" w:cs="Times New Roman"/>
          <w:bCs/>
          <w:sz w:val="32"/>
          <w:szCs w:val="32"/>
        </w:rPr>
        <w:t>概况</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一、部门职责</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二、机构设置及决算单位构成</w:t>
      </w:r>
    </w:p>
    <w:p>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第二部分部门决算表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三、支出决算表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四、财政拨款收入支出决算总表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五、一般公共预算财政拨款支出决算表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六、一般公共预算财政拨款基本支出决算明细表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七、政府性基金预算财政拨款收入支出决算表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八、国有资本经营预算财政拨款支出决算表</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九、财政拨款“三公”经费支出决算表</w:t>
      </w:r>
    </w:p>
    <w:p>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第三部分部门决算情况说明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一、收入支出决算总体情况说明</w:t>
      </w:r>
    </w:p>
    <w:p>
      <w:pPr>
        <w:spacing w:line="600" w:lineRule="exact"/>
        <w:jc w:val="left"/>
        <w:rPr>
          <w:rFonts w:ascii="Times New Roman" w:hAnsi="Times New Roman" w:eastAsia="仿宋_GB2312" w:cs="Times New Roman"/>
          <w:sz w:val="32"/>
          <w:szCs w:val="32"/>
        </w:rPr>
      </w:pPr>
      <w:r>
        <w:rPr>
          <w:rFonts w:ascii="Times New Roman" w:hAnsi="Times New Roman" w:eastAsia="仿宋_GB2312" w:cs="Times New Roman"/>
          <w:sz w:val="32"/>
          <w:szCs w:val="32"/>
        </w:rPr>
        <w:t>二、收入决算情况说明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三、支出决算情况说明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四、财政拨款收入支出决算总体情况说明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五、一般公共预算财政拨款支出决算情况说明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sectPr>
          <w:footerReference r:id="rId4"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六、一般公共预算财政拨款基本支出决算情况说明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七、财政拨款“三公”经费支出决算情况说明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八、政府性基金预算收入支出决算情况</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九、关于机关运行经费支出说明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十、一般性支出情况说明</w:t>
      </w:r>
    </w:p>
    <w:p>
      <w:pPr>
        <w:autoSpaceDE w:val="0"/>
        <w:autoSpaceDN w:val="0"/>
        <w:adjustRightInd w:val="0"/>
        <w:spacing w:line="600" w:lineRule="exact"/>
        <w:jc w:val="left"/>
        <w:rPr>
          <w:rFonts w:ascii="Times New Roman" w:hAnsi="Times New Roman" w:eastAsia="仿宋_GB2312" w:cs="Times New Roman"/>
          <w:color w:val="000000"/>
          <w:kern w:val="0"/>
          <w:sz w:val="32"/>
          <w:szCs w:val="32"/>
        </w:rPr>
      </w:pPr>
      <w:r>
        <w:rPr>
          <w:rFonts w:ascii="Times New Roman" w:hAnsi="Times New Roman" w:eastAsia="仿宋_GB2312" w:cs="Times New Roman"/>
          <w:color w:val="000000"/>
          <w:kern w:val="0"/>
          <w:sz w:val="32"/>
          <w:szCs w:val="32"/>
        </w:rPr>
        <w:t>十一、关于政府采购支出说明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十二、关于国有资产占用情况说明</w:t>
      </w:r>
    </w:p>
    <w:p>
      <w:pPr>
        <w:pStyle w:val="14"/>
        <w:spacing w:line="600" w:lineRule="exact"/>
        <w:rPr>
          <w:rFonts w:ascii="Times New Roman" w:hAnsi="Times New Roman" w:eastAsia="仿宋_GB2312" w:cs="Times New Roman"/>
          <w:sz w:val="32"/>
          <w:szCs w:val="32"/>
        </w:rPr>
      </w:pPr>
      <w:r>
        <w:rPr>
          <w:rFonts w:ascii="Times New Roman" w:hAnsi="Times New Roman" w:eastAsia="仿宋_GB2312" w:cs="Times New Roman"/>
          <w:sz w:val="32"/>
          <w:szCs w:val="32"/>
        </w:rPr>
        <w:t>十三、关于202</w:t>
      </w:r>
      <w:r>
        <w:rPr>
          <w:rFonts w:hint="eastAsia" w:ascii="Times New Roman" w:hAnsi="Times New Roman" w:eastAsia="仿宋_GB2312" w:cs="Times New Roman"/>
          <w:sz w:val="32"/>
          <w:szCs w:val="32"/>
          <w:lang w:val="en-US" w:eastAsia="zh-CN"/>
        </w:rPr>
        <w:t>5</w:t>
      </w:r>
      <w:r>
        <w:rPr>
          <w:rFonts w:ascii="Times New Roman" w:hAnsi="Times New Roman" w:eastAsia="仿宋_GB2312" w:cs="Times New Roman"/>
          <w:sz w:val="32"/>
          <w:szCs w:val="32"/>
        </w:rPr>
        <w:t>年度预算绩效管理情况的说明</w:t>
      </w:r>
    </w:p>
    <w:p>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第四部分名词解释</w:t>
      </w:r>
    </w:p>
    <w:p>
      <w:pPr>
        <w:pStyle w:val="14"/>
        <w:spacing w:beforeLines="50" w:afterLines="50" w:line="600" w:lineRule="exact"/>
        <w:rPr>
          <w:rFonts w:ascii="Times New Roman" w:hAnsi="Times New Roman" w:cs="Times New Roman"/>
          <w:bCs/>
          <w:sz w:val="32"/>
          <w:szCs w:val="32"/>
        </w:rPr>
      </w:pPr>
      <w:r>
        <w:rPr>
          <w:rFonts w:ascii="Times New Roman" w:hAnsi="Times New Roman" w:cs="Times New Roman"/>
          <w:bCs/>
          <w:sz w:val="32"/>
          <w:szCs w:val="32"/>
        </w:rPr>
        <w:t>第五部分附件</w:t>
      </w:r>
    </w:p>
    <w:p>
      <w:pPr>
        <w:pStyle w:val="14"/>
        <w:spacing w:line="600" w:lineRule="exact"/>
        <w:rPr>
          <w:rFonts w:ascii="Times New Roman" w:hAnsi="Times New Roman" w:cs="Times New Roman"/>
          <w:bCs/>
          <w:sz w:val="28"/>
          <w:szCs w:val="28"/>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jc w:val="center"/>
        <w:rPr>
          <w:rFonts w:ascii="Times New Roman" w:hAnsi="Times New Roman" w:cs="Times New Roman"/>
          <w:sz w:val="72"/>
          <w:szCs w:val="72"/>
        </w:rPr>
      </w:pPr>
    </w:p>
    <w:p>
      <w:pPr>
        <w:pStyle w:val="9"/>
        <w:rPr>
          <w:rFonts w:ascii="Times New Roman" w:hAnsi="Times New Roman" w:cs="Times New Roman"/>
        </w:rPr>
        <w:sectPr>
          <w:footerReference r:id="rId5"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第一部分</w:t>
      </w:r>
    </w:p>
    <w:p>
      <w:pPr>
        <w:pStyle w:val="14"/>
        <w:spacing w:line="360" w:lineRule="auto"/>
        <w:jc w:val="center"/>
        <w:rPr>
          <w:rFonts w:ascii="Times New Roman" w:hAnsi="Times New Roman" w:eastAsia="方正小标宋_GBK" w:cs="Times New Roman"/>
          <w:sz w:val="52"/>
          <w:szCs w:val="52"/>
        </w:rPr>
      </w:pPr>
      <w:r>
        <w:rPr>
          <w:rFonts w:hint="eastAsia" w:ascii="Times New Roman" w:hAnsi="Times New Roman" w:eastAsia="方正小标宋_GBK" w:cs="Times New Roman"/>
          <w:sz w:val="52"/>
          <w:szCs w:val="52"/>
          <w:lang w:eastAsia="zh-CN"/>
        </w:rPr>
        <w:t>益阳市赫山区迎宾小学</w:t>
      </w:r>
      <w:r>
        <w:rPr>
          <w:rFonts w:ascii="Times New Roman" w:hAnsi="Times New Roman" w:eastAsia="方正小标宋_GBK" w:cs="Times New Roman"/>
          <w:sz w:val="52"/>
          <w:szCs w:val="52"/>
        </w:rPr>
        <w:t>概况</w:t>
      </w:r>
    </w:p>
    <w:p>
      <w:pPr>
        <w:pStyle w:val="5"/>
        <w:ind w:left="0" w:leftChars="0" w:firstLine="0" w:firstLineChars="0"/>
        <w:rPr>
          <w:rFonts w:ascii="Times New Roman" w:hAnsi="Times New Roman" w:cs="Times New Roman"/>
        </w:rPr>
      </w:pPr>
    </w:p>
    <w:p>
      <w:pPr>
        <w:pStyle w:val="15"/>
        <w:spacing w:line="600" w:lineRule="exact"/>
        <w:ind w:firstLine="0" w:firstLineChars="0"/>
        <w:jc w:val="left"/>
        <w:rPr>
          <w:rFonts w:hint="eastAsia" w:ascii="Times New Roman" w:hAnsi="Times New Roman" w:eastAsia="黑体" w:cs="Times New Roman"/>
          <w:sz w:val="32"/>
          <w:szCs w:val="32"/>
        </w:rPr>
      </w:pPr>
    </w:p>
    <w:p>
      <w:pPr>
        <w:pStyle w:val="15"/>
        <w:spacing w:line="600" w:lineRule="exact"/>
        <w:ind w:firstLine="0" w:firstLineChars="0"/>
        <w:jc w:val="left"/>
        <w:rPr>
          <w:rFonts w:hint="eastAsia" w:ascii="Times New Roman" w:hAnsi="Times New Roman" w:eastAsia="黑体" w:cs="Times New Roman"/>
          <w:sz w:val="32"/>
          <w:szCs w:val="32"/>
        </w:rPr>
      </w:pPr>
    </w:p>
    <w:p>
      <w:pPr>
        <w:pStyle w:val="15"/>
        <w:spacing w:line="600" w:lineRule="exact"/>
        <w:ind w:firstLine="0" w:firstLineChars="0"/>
        <w:jc w:val="left"/>
        <w:rPr>
          <w:rFonts w:hint="eastAsia" w:ascii="Times New Roman" w:hAnsi="Times New Roman" w:eastAsia="黑体" w:cs="Times New Roman"/>
          <w:sz w:val="32"/>
          <w:szCs w:val="32"/>
        </w:rPr>
      </w:pPr>
    </w:p>
    <w:p>
      <w:pPr>
        <w:pStyle w:val="15"/>
        <w:spacing w:line="600" w:lineRule="exact"/>
        <w:ind w:firstLine="0" w:firstLineChars="0"/>
        <w:jc w:val="left"/>
        <w:rPr>
          <w:rFonts w:hint="eastAsia" w:ascii="Times New Roman" w:hAnsi="Times New Roman" w:eastAsia="黑体" w:cs="Times New Roman"/>
          <w:sz w:val="32"/>
          <w:szCs w:val="32"/>
        </w:rPr>
      </w:pPr>
    </w:p>
    <w:p>
      <w:pPr>
        <w:pStyle w:val="15"/>
        <w:spacing w:line="600" w:lineRule="exact"/>
        <w:ind w:firstLine="0" w:firstLineChars="0"/>
        <w:jc w:val="left"/>
        <w:rPr>
          <w:rFonts w:hint="eastAsia" w:ascii="Times New Roman" w:hAnsi="Times New Roman" w:eastAsia="黑体" w:cs="Times New Roman"/>
          <w:sz w:val="32"/>
          <w:szCs w:val="32"/>
        </w:rPr>
      </w:pPr>
    </w:p>
    <w:p>
      <w:pPr>
        <w:pStyle w:val="15"/>
        <w:spacing w:line="600" w:lineRule="exact"/>
        <w:ind w:firstLine="0" w:firstLineChars="0"/>
        <w:jc w:val="left"/>
        <w:rPr>
          <w:rFonts w:hint="eastAsia" w:ascii="Times New Roman" w:hAnsi="Times New Roman" w:eastAsia="黑体" w:cs="Times New Roman"/>
          <w:sz w:val="32"/>
          <w:szCs w:val="32"/>
        </w:rPr>
      </w:pPr>
    </w:p>
    <w:p>
      <w:pPr>
        <w:pStyle w:val="15"/>
        <w:spacing w:line="600" w:lineRule="exact"/>
        <w:ind w:firstLine="0" w:firstLineChars="0"/>
        <w:jc w:val="left"/>
        <w:rPr>
          <w:rFonts w:hint="eastAsia" w:ascii="Times New Roman" w:hAnsi="Times New Roman" w:eastAsia="黑体" w:cs="Times New Roman"/>
          <w:sz w:val="32"/>
          <w:szCs w:val="32"/>
        </w:rPr>
      </w:pPr>
    </w:p>
    <w:p>
      <w:pPr>
        <w:pStyle w:val="15"/>
        <w:spacing w:line="600" w:lineRule="exact"/>
        <w:ind w:firstLine="0" w:firstLineChars="0"/>
        <w:jc w:val="left"/>
        <w:rPr>
          <w:rFonts w:hint="eastAsia" w:ascii="Times New Roman" w:hAnsi="Times New Roman" w:eastAsia="黑体" w:cs="Times New Roman"/>
          <w:sz w:val="32"/>
          <w:szCs w:val="32"/>
        </w:rPr>
      </w:pPr>
    </w:p>
    <w:p>
      <w:pPr>
        <w:pStyle w:val="15"/>
        <w:spacing w:line="600" w:lineRule="exact"/>
        <w:ind w:firstLine="0" w:firstLineChars="0"/>
        <w:jc w:val="left"/>
        <w:rPr>
          <w:rFonts w:hint="eastAsia" w:ascii="Times New Roman" w:hAnsi="Times New Roman" w:eastAsia="黑体" w:cs="Times New Roman"/>
          <w:sz w:val="32"/>
          <w:szCs w:val="32"/>
        </w:rPr>
      </w:pPr>
    </w:p>
    <w:p>
      <w:pPr>
        <w:pStyle w:val="15"/>
        <w:spacing w:line="600" w:lineRule="exact"/>
        <w:ind w:firstLine="0" w:firstLineChars="0"/>
        <w:jc w:val="left"/>
        <w:rPr>
          <w:rFonts w:hint="eastAsia" w:ascii="Times New Roman" w:hAnsi="Times New Roman" w:eastAsia="黑体" w:cs="Times New Roman"/>
          <w:sz w:val="32"/>
          <w:szCs w:val="32"/>
        </w:rPr>
      </w:pPr>
    </w:p>
    <w:p>
      <w:pPr>
        <w:pStyle w:val="15"/>
        <w:spacing w:line="600" w:lineRule="exact"/>
        <w:ind w:firstLine="0" w:firstLineChars="0"/>
        <w:jc w:val="left"/>
        <w:rPr>
          <w:rFonts w:hint="eastAsia" w:ascii="Times New Roman" w:hAnsi="Times New Roman" w:eastAsia="黑体" w:cs="Times New Roman"/>
          <w:sz w:val="32"/>
          <w:szCs w:val="32"/>
        </w:rPr>
      </w:pPr>
    </w:p>
    <w:p>
      <w:pPr>
        <w:pStyle w:val="15"/>
        <w:spacing w:line="600" w:lineRule="exact"/>
        <w:ind w:firstLine="0" w:firstLineChars="0"/>
        <w:jc w:val="left"/>
        <w:rPr>
          <w:rFonts w:hint="eastAsia" w:ascii="Times New Roman" w:hAnsi="Times New Roman" w:eastAsia="黑体" w:cs="Times New Roman"/>
          <w:sz w:val="32"/>
          <w:szCs w:val="32"/>
        </w:rPr>
      </w:pPr>
    </w:p>
    <w:p>
      <w:pPr>
        <w:pStyle w:val="15"/>
        <w:spacing w:line="600" w:lineRule="exact"/>
        <w:ind w:firstLine="0" w:firstLineChars="0"/>
        <w:jc w:val="left"/>
        <w:rPr>
          <w:rFonts w:hint="eastAsia" w:ascii="Times New Roman" w:hAnsi="Times New Roman" w:eastAsia="黑体" w:cs="Times New Roman"/>
          <w:sz w:val="32"/>
          <w:szCs w:val="32"/>
        </w:rPr>
      </w:pPr>
    </w:p>
    <w:p>
      <w:pPr>
        <w:pStyle w:val="15"/>
        <w:spacing w:line="600" w:lineRule="exact"/>
        <w:ind w:firstLine="0" w:firstLineChars="0"/>
        <w:jc w:val="left"/>
        <w:rPr>
          <w:rFonts w:hint="eastAsia" w:ascii="Times New Roman" w:hAnsi="Times New Roman" w:eastAsia="黑体" w:cs="Times New Roman"/>
          <w:sz w:val="32"/>
          <w:szCs w:val="32"/>
        </w:rPr>
      </w:pPr>
    </w:p>
    <w:p>
      <w:pPr>
        <w:pStyle w:val="15"/>
        <w:spacing w:line="600" w:lineRule="exact"/>
        <w:ind w:firstLine="0" w:firstLineChars="0"/>
        <w:jc w:val="left"/>
        <w:rPr>
          <w:rFonts w:ascii="Times New Roman" w:hAnsi="Times New Roman" w:eastAsia="黑体" w:cs="Times New Roman"/>
          <w:sz w:val="32"/>
          <w:szCs w:val="32"/>
        </w:rPr>
      </w:pPr>
      <w:r>
        <w:rPr>
          <w:rFonts w:hint="eastAsia" w:ascii="Times New Roman" w:hAnsi="Times New Roman" w:eastAsia="黑体" w:cs="Times New Roman"/>
          <w:sz w:val="32"/>
          <w:szCs w:val="32"/>
        </w:rPr>
        <w:t>一、</w:t>
      </w:r>
      <w:r>
        <w:rPr>
          <w:rFonts w:ascii="Times New Roman" w:hAnsi="Times New Roman" w:eastAsia="黑体" w:cs="Times New Roman"/>
          <w:sz w:val="32"/>
          <w:szCs w:val="32"/>
        </w:rPr>
        <w:t>部门职责</w:t>
      </w:r>
    </w:p>
    <w:p>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益阳赫山区迎宾小学是隶属于益阳市赫山区教育局的基础教育的一所六年制完全小学，其部门职责如下：</w:t>
      </w:r>
    </w:p>
    <w:p>
      <w:pPr>
        <w:widowControl/>
        <w:spacing w:line="600" w:lineRule="exact"/>
        <w:ind w:firstLine="640" w:firstLineChars="200"/>
        <w:rPr>
          <w:rFonts w:hint="eastAsia" w:ascii="Times New Roman" w:hAnsi="Times New Roman" w:eastAsia="仿宋_GB2312" w:cs="仿宋_GB2312"/>
          <w:sz w:val="32"/>
          <w:szCs w:val="32"/>
          <w:lang w:val="en-US"/>
        </w:rPr>
      </w:pPr>
      <w:r>
        <w:rPr>
          <w:rFonts w:hint="eastAsia" w:ascii="Times New Roman" w:hAnsi="Times New Roman" w:eastAsia="仿宋_GB2312" w:cs="仿宋_GB2312"/>
          <w:sz w:val="32"/>
          <w:szCs w:val="32"/>
          <w:lang w:val="en-US"/>
        </w:rPr>
        <w:t>1.负责贯彻党的教育方针,坚持社会主义办学方向,对学生进行德育、智育、体育、美育和劳动教育等方面的教育。</w:t>
      </w:r>
    </w:p>
    <w:p>
      <w:pPr>
        <w:widowControl/>
        <w:spacing w:line="600" w:lineRule="exact"/>
        <w:ind w:firstLine="640" w:firstLineChars="200"/>
        <w:rPr>
          <w:rFonts w:hint="eastAsia" w:ascii="Times New Roman" w:hAnsi="Times New Roman" w:eastAsia="仿宋_GB2312" w:cs="仿宋_GB2312"/>
          <w:sz w:val="32"/>
          <w:szCs w:val="32"/>
          <w:lang w:val="en-US"/>
        </w:rPr>
      </w:pPr>
      <w:r>
        <w:rPr>
          <w:rFonts w:hint="eastAsia" w:ascii="Times New Roman" w:hAnsi="Times New Roman" w:eastAsia="仿宋_GB2312" w:cs="仿宋_GB2312"/>
          <w:sz w:val="32"/>
          <w:szCs w:val="32"/>
          <w:lang w:val="en-US"/>
        </w:rPr>
        <w:t>2.负责配合各级人民政府依法动员适龄儿童、少年入学,严格 控制学生辍学,依法保证适龄儿童、少年接受九年义务教育。</w:t>
      </w:r>
    </w:p>
    <w:p>
      <w:pPr>
        <w:widowControl/>
        <w:spacing w:line="600" w:lineRule="exact"/>
        <w:ind w:firstLine="640" w:firstLineChars="200"/>
        <w:rPr>
          <w:rFonts w:hint="eastAsia" w:ascii="Times New Roman" w:hAnsi="Times New Roman" w:eastAsia="仿宋_GB2312" w:cs="仿宋_GB2312"/>
          <w:sz w:val="32"/>
          <w:szCs w:val="32"/>
          <w:lang w:val="en-US"/>
        </w:rPr>
      </w:pPr>
      <w:r>
        <w:rPr>
          <w:rFonts w:hint="eastAsia" w:ascii="Times New Roman" w:hAnsi="Times New Roman" w:eastAsia="仿宋_GB2312" w:cs="仿宋_GB2312"/>
          <w:sz w:val="32"/>
          <w:szCs w:val="32"/>
          <w:lang w:val="en-US"/>
        </w:rPr>
        <w:t>3.负责制定学校教育发展规划,并抓好组织实施和落实工作。</w:t>
      </w:r>
    </w:p>
    <w:p>
      <w:pPr>
        <w:widowControl/>
        <w:spacing w:line="600" w:lineRule="exact"/>
        <w:ind w:firstLine="640" w:firstLineChars="200"/>
        <w:rPr>
          <w:rFonts w:hint="eastAsia" w:ascii="Times New Roman" w:hAnsi="Times New Roman" w:eastAsia="仿宋_GB2312" w:cs="仿宋_GB2312"/>
          <w:sz w:val="32"/>
          <w:szCs w:val="32"/>
          <w:lang w:val="en-US"/>
        </w:rPr>
      </w:pPr>
      <w:r>
        <w:rPr>
          <w:rFonts w:hint="eastAsia" w:ascii="Times New Roman" w:hAnsi="Times New Roman" w:eastAsia="仿宋_GB2312" w:cs="仿宋_GB2312"/>
          <w:sz w:val="32"/>
          <w:szCs w:val="32"/>
          <w:lang w:val="en-US"/>
        </w:rPr>
        <w:t>4.负责按照教育主管部门发布的指导性教学计划、教学大纲, 组织实施教育教学活动。</w:t>
      </w:r>
    </w:p>
    <w:p>
      <w:pPr>
        <w:widowControl/>
        <w:spacing w:line="600" w:lineRule="exact"/>
        <w:ind w:firstLine="640" w:firstLineChars="200"/>
        <w:rPr>
          <w:rFonts w:hint="eastAsia" w:ascii="Times New Roman" w:hAnsi="Times New Roman" w:eastAsia="仿宋_GB2312" w:cs="仿宋_GB2312"/>
          <w:sz w:val="32"/>
          <w:szCs w:val="32"/>
          <w:lang w:val="en-US"/>
        </w:rPr>
      </w:pPr>
      <w:r>
        <w:rPr>
          <w:rFonts w:hint="eastAsia" w:ascii="Times New Roman" w:hAnsi="Times New Roman" w:eastAsia="仿宋_GB2312" w:cs="仿宋_GB2312"/>
          <w:sz w:val="32"/>
          <w:szCs w:val="32"/>
          <w:lang w:val="en-US"/>
        </w:rPr>
        <w:t>5.负责依据国家主管部门有关教学计划、课程设置等方面的规定,决定和实施本校的教学计划,组织教学评比、集体备课,对学生进行统一考核等。</w:t>
      </w:r>
    </w:p>
    <w:p>
      <w:pPr>
        <w:widowControl/>
        <w:spacing w:line="600" w:lineRule="exact"/>
        <w:ind w:firstLine="640" w:firstLineChars="200"/>
        <w:rPr>
          <w:rFonts w:hint="eastAsia" w:ascii="Times New Roman" w:hAnsi="Times New Roman" w:eastAsia="仿宋_GB2312" w:cs="仿宋_GB2312"/>
          <w:sz w:val="32"/>
          <w:szCs w:val="32"/>
          <w:lang w:val="en-US"/>
        </w:rPr>
      </w:pPr>
      <w:r>
        <w:rPr>
          <w:rFonts w:hint="eastAsia" w:ascii="Times New Roman" w:hAnsi="Times New Roman" w:eastAsia="仿宋_GB2312" w:cs="仿宋_GB2312"/>
          <w:sz w:val="32"/>
          <w:szCs w:val="32"/>
          <w:lang w:val="en-US"/>
        </w:rPr>
        <w:t>6.负责学籍管理。</w:t>
      </w:r>
    </w:p>
    <w:p>
      <w:pPr>
        <w:widowControl/>
        <w:spacing w:line="600" w:lineRule="exact"/>
        <w:ind w:firstLine="640" w:firstLineChars="200"/>
        <w:rPr>
          <w:rFonts w:hint="eastAsia" w:ascii="Times New Roman" w:hAnsi="Times New Roman" w:eastAsia="仿宋_GB2312" w:cs="仿宋_GB2312"/>
          <w:sz w:val="32"/>
          <w:szCs w:val="32"/>
          <w:lang w:val="en-US"/>
        </w:rPr>
      </w:pPr>
      <w:r>
        <w:rPr>
          <w:rFonts w:hint="eastAsia" w:ascii="Times New Roman" w:hAnsi="Times New Roman" w:eastAsia="仿宋_GB2312" w:cs="仿宋_GB2312"/>
          <w:sz w:val="32"/>
          <w:szCs w:val="32"/>
          <w:lang w:val="en-US"/>
        </w:rPr>
        <w:t>7.负责聘任、培训、考核教师,依法奖励或处分有关教师和职工。</w:t>
      </w:r>
    </w:p>
    <w:p>
      <w:pPr>
        <w:widowControl/>
        <w:spacing w:line="600" w:lineRule="exact"/>
        <w:ind w:firstLine="640" w:firstLineChars="200"/>
        <w:rPr>
          <w:rFonts w:hint="eastAsia" w:ascii="Times New Roman" w:hAnsi="Times New Roman" w:eastAsia="仿宋_GB2312" w:cs="仿宋_GB2312"/>
          <w:sz w:val="32"/>
          <w:szCs w:val="32"/>
          <w:lang w:val="en-US"/>
        </w:rPr>
      </w:pPr>
      <w:r>
        <w:rPr>
          <w:rFonts w:hint="eastAsia" w:ascii="Times New Roman" w:hAnsi="Times New Roman" w:eastAsia="仿宋_GB2312" w:cs="仿宋_GB2312"/>
          <w:sz w:val="32"/>
          <w:szCs w:val="32"/>
          <w:lang w:val="en-US"/>
        </w:rPr>
        <w:t>8.负责科学管理、合理使用学校的设施和经费。</w:t>
      </w:r>
    </w:p>
    <w:p>
      <w:pPr>
        <w:widowControl/>
        <w:spacing w:line="600" w:lineRule="exact"/>
        <w:ind w:firstLine="640" w:firstLineChars="200"/>
        <w:rPr>
          <w:rFonts w:hint="eastAsia" w:ascii="Times New Roman" w:hAnsi="Times New Roman" w:eastAsia="仿宋_GB2312" w:cs="仿宋_GB2312"/>
          <w:sz w:val="32"/>
          <w:szCs w:val="32"/>
          <w:lang w:val="en-US"/>
        </w:rPr>
      </w:pPr>
      <w:r>
        <w:rPr>
          <w:rFonts w:hint="eastAsia" w:ascii="Times New Roman" w:hAnsi="Times New Roman" w:eastAsia="仿宋_GB2312" w:cs="仿宋_GB2312"/>
          <w:sz w:val="32"/>
          <w:szCs w:val="32"/>
          <w:lang w:val="en-US"/>
        </w:rPr>
        <w:t>9.负责维护学校、师生的合法权益,有权拒绝任何组织和个人对教育教学活动进行非法干涉。</w:t>
      </w:r>
    </w:p>
    <w:p>
      <w:pPr>
        <w:widowControl/>
        <w:spacing w:line="600" w:lineRule="exact"/>
        <w:ind w:firstLine="640" w:firstLineChars="200"/>
        <w:rPr>
          <w:rFonts w:hint="eastAsia" w:ascii="Times New Roman" w:hAnsi="Times New Roman" w:eastAsia="仿宋_GB2312" w:cs="仿宋_GB2312"/>
          <w:sz w:val="32"/>
          <w:szCs w:val="32"/>
        </w:rPr>
      </w:pPr>
      <w:r>
        <w:rPr>
          <w:rFonts w:hint="eastAsia" w:ascii="Times New Roman" w:hAnsi="Times New Roman" w:eastAsia="仿宋_GB2312" w:cs="仿宋_GB2312"/>
          <w:sz w:val="32"/>
          <w:szCs w:val="32"/>
        </w:rPr>
        <w:t>10.依法接受各级教育行政部门的检查指导和人民群众的监督。</w:t>
      </w:r>
    </w:p>
    <w:p>
      <w:pPr>
        <w:widowControl/>
        <w:spacing w:line="600" w:lineRule="exact"/>
        <w:ind w:firstLine="640" w:firstLineChars="200"/>
        <w:rPr>
          <w:rFonts w:ascii="Times New Roman" w:hAnsi="Times New Roman" w:eastAsia="黑体" w:cs="Times New Roman"/>
          <w:bCs/>
          <w:kern w:val="0"/>
          <w:sz w:val="32"/>
          <w:szCs w:val="32"/>
        </w:rPr>
      </w:pPr>
      <w:r>
        <w:rPr>
          <w:rFonts w:ascii="Times New Roman" w:hAnsi="Times New Roman" w:eastAsia="黑体" w:cs="Times New Roman"/>
          <w:bCs/>
          <w:kern w:val="0"/>
          <w:sz w:val="32"/>
          <w:szCs w:val="32"/>
        </w:rPr>
        <w:t>二、机构设置及决算单位构成</w:t>
      </w:r>
    </w:p>
    <w:p>
      <w:pPr>
        <w:widowControl/>
        <w:spacing w:line="600" w:lineRule="exact"/>
        <w:ind w:firstLine="640" w:firstLineChars="200"/>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（一）内设机构设置。</w:t>
      </w:r>
    </w:p>
    <w:p>
      <w:pPr>
        <w:widowControl/>
        <w:spacing w:line="600" w:lineRule="exact"/>
        <w:ind w:firstLine="640" w:firstLineChars="200"/>
        <w:rPr>
          <w:rFonts w:hint="eastAsia" w:ascii="Times New Roman" w:hAnsi="Times New Roman" w:eastAsia="仿宋_GB2312" w:cs="仿宋_GB2312"/>
          <w:bCs/>
          <w:kern w:val="0"/>
          <w:sz w:val="32"/>
          <w:szCs w:val="32"/>
          <w:lang w:eastAsia="zh-CN"/>
        </w:rPr>
      </w:pPr>
      <w:bookmarkStart w:id="0" w:name="OLE_LINK5"/>
      <w:r>
        <w:rPr>
          <w:rFonts w:hint="eastAsia" w:ascii="Times New Roman" w:hAnsi="Times New Roman" w:eastAsia="仿宋_GB2312" w:cs="仿宋_GB2312"/>
          <w:bCs/>
          <w:kern w:val="0"/>
          <w:sz w:val="32"/>
          <w:szCs w:val="32"/>
        </w:rPr>
        <w:t>益阳市赫山区迎宾小学单位内设职能办公室1</w:t>
      </w:r>
      <w:r>
        <w:rPr>
          <w:rFonts w:hint="eastAsia" w:ascii="Times New Roman" w:hAnsi="Times New Roman" w:eastAsia="仿宋_GB2312" w:cs="仿宋_GB2312"/>
          <w:bCs/>
          <w:kern w:val="0"/>
          <w:sz w:val="32"/>
          <w:szCs w:val="32"/>
          <w:lang w:val="en-US" w:eastAsia="zh-CN"/>
        </w:rPr>
        <w:t>2</w:t>
      </w:r>
      <w:r>
        <w:rPr>
          <w:rFonts w:hint="eastAsia" w:ascii="Times New Roman" w:hAnsi="Times New Roman" w:eastAsia="仿宋_GB2312" w:cs="仿宋_GB2312"/>
          <w:bCs/>
          <w:kern w:val="0"/>
          <w:sz w:val="32"/>
          <w:szCs w:val="32"/>
        </w:rPr>
        <w:t>个</w:t>
      </w:r>
      <w:bookmarkStart w:id="1" w:name="OLE_LINK9"/>
      <w:r>
        <w:rPr>
          <w:rFonts w:hint="eastAsia" w:ascii="Times New Roman" w:hAnsi="Times New Roman" w:eastAsia="仿宋_GB2312" w:cs="仿宋_GB2312"/>
          <w:bCs/>
          <w:kern w:val="0"/>
          <w:sz w:val="32"/>
          <w:szCs w:val="32"/>
        </w:rPr>
        <w:t>（党支部、党建办、校务办、爱卫办、教务处、德育处、少工委、</w:t>
      </w:r>
      <w:r>
        <w:rPr>
          <w:rFonts w:hint="eastAsia" w:ascii="Times New Roman" w:hAnsi="Times New Roman" w:eastAsia="仿宋_GB2312" w:cs="仿宋_GB2312"/>
          <w:bCs/>
          <w:kern w:val="0"/>
          <w:sz w:val="32"/>
          <w:szCs w:val="32"/>
          <w:lang w:val="en-US" w:eastAsia="zh-CN"/>
        </w:rPr>
        <w:t>政教处</w:t>
      </w:r>
      <w:r>
        <w:rPr>
          <w:rFonts w:hint="eastAsia" w:ascii="Times New Roman" w:hAnsi="Times New Roman" w:eastAsia="仿宋_GB2312" w:cs="仿宋_GB2312"/>
          <w:bCs/>
          <w:kern w:val="0"/>
          <w:sz w:val="32"/>
          <w:szCs w:val="32"/>
        </w:rPr>
        <w:t>后勤处、工会、阳光服务中心、卫生室</w:t>
      </w:r>
      <w:bookmarkEnd w:id="1"/>
      <w:r>
        <w:rPr>
          <w:rFonts w:hint="eastAsia" w:ascii="Times New Roman" w:hAnsi="Times New Roman" w:eastAsia="仿宋_GB2312" w:cs="仿宋_GB2312"/>
          <w:bCs/>
          <w:kern w:val="0"/>
          <w:sz w:val="32"/>
          <w:szCs w:val="32"/>
        </w:rPr>
        <w:t>）</w:t>
      </w:r>
      <w:r>
        <w:rPr>
          <w:rFonts w:hint="eastAsia" w:ascii="Times New Roman" w:hAnsi="Times New Roman" w:eastAsia="仿宋_GB2312" w:cs="仿宋_GB2312"/>
          <w:bCs/>
          <w:kern w:val="0"/>
          <w:sz w:val="32"/>
          <w:szCs w:val="32"/>
          <w:lang w:eastAsia="zh-CN"/>
        </w:rPr>
        <w:t>。</w:t>
      </w:r>
    </w:p>
    <w:bookmarkEnd w:id="0"/>
    <w:p>
      <w:pPr>
        <w:widowControl/>
        <w:numPr>
          <w:ilvl w:val="0"/>
          <w:numId w:val="1"/>
        </w:numPr>
        <w:spacing w:line="600" w:lineRule="exact"/>
        <w:rPr>
          <w:rFonts w:hint="eastAsia" w:ascii="Times New Roman" w:hAnsi="Times New Roman" w:eastAsia="仿宋_GB2312" w:cs="仿宋_GB2312"/>
          <w:bCs/>
          <w:kern w:val="0"/>
          <w:sz w:val="32"/>
          <w:szCs w:val="32"/>
        </w:rPr>
      </w:pPr>
      <w:r>
        <w:rPr>
          <w:rFonts w:hint="eastAsia" w:ascii="Times New Roman" w:hAnsi="Times New Roman" w:eastAsia="仿宋_GB2312" w:cs="仿宋_GB2312"/>
          <w:bCs/>
          <w:kern w:val="0"/>
          <w:sz w:val="32"/>
          <w:szCs w:val="32"/>
        </w:rPr>
        <w:t>决算单位构成。</w:t>
      </w:r>
    </w:p>
    <w:p>
      <w:pPr>
        <w:widowControl/>
        <w:numPr>
          <w:ilvl w:val="0"/>
          <w:numId w:val="0"/>
        </w:numPr>
        <w:spacing w:line="600" w:lineRule="exact"/>
        <w:ind w:firstLine="640" w:firstLineChars="200"/>
        <w:rPr>
          <w:rFonts w:ascii="Times New Roman" w:hAnsi="Times New Roman" w:eastAsia="仿宋_GB2312" w:cs="Times New Roman"/>
          <w:sz w:val="28"/>
          <w:szCs w:val="32"/>
        </w:rPr>
      </w:pPr>
      <w:r>
        <w:rPr>
          <w:rFonts w:hint="eastAsia" w:ascii="Times New Roman" w:hAnsi="Times New Roman" w:eastAsia="仿宋_GB2312" w:cs="仿宋_GB2312"/>
          <w:bCs/>
          <w:kern w:val="0"/>
          <w:sz w:val="32"/>
          <w:szCs w:val="32"/>
          <w:lang w:val="en-US" w:eastAsia="zh-CN"/>
        </w:rPr>
        <w:t>益阳市赫山区迎宾小学</w:t>
      </w:r>
      <w:r>
        <w:rPr>
          <w:rFonts w:hint="eastAsia" w:ascii="Times New Roman" w:hAnsi="Times New Roman" w:eastAsia="仿宋_GB2312" w:cs="仿宋_GB2312"/>
          <w:bCs/>
          <w:kern w:val="0"/>
          <w:sz w:val="32"/>
          <w:szCs w:val="32"/>
        </w:rPr>
        <w:t>202</w:t>
      </w:r>
      <w:r>
        <w:rPr>
          <w:rFonts w:hint="eastAsia" w:ascii="Times New Roman" w:hAnsi="Times New Roman" w:eastAsia="仿宋_GB2312" w:cs="仿宋_GB2312"/>
          <w:bCs/>
          <w:kern w:val="0"/>
          <w:sz w:val="32"/>
          <w:szCs w:val="32"/>
          <w:lang w:val="en-US" w:eastAsia="zh-CN"/>
        </w:rPr>
        <w:t>5</w:t>
      </w:r>
      <w:r>
        <w:rPr>
          <w:rFonts w:hint="eastAsia" w:ascii="Times New Roman" w:hAnsi="Times New Roman" w:eastAsia="仿宋_GB2312" w:cs="仿宋_GB2312"/>
          <w:bCs/>
          <w:kern w:val="0"/>
          <w:sz w:val="32"/>
          <w:szCs w:val="32"/>
        </w:rPr>
        <w:t>年部门决算汇总公开单位构成包括：</w:t>
      </w:r>
      <w:r>
        <w:rPr>
          <w:rFonts w:hint="eastAsia" w:ascii="Times New Roman" w:hAnsi="Times New Roman" w:eastAsia="仿宋_GB2312" w:cs="仿宋_GB2312"/>
          <w:bCs/>
          <w:kern w:val="0"/>
          <w:sz w:val="32"/>
          <w:szCs w:val="32"/>
          <w:lang w:val="en-US" w:eastAsia="zh-CN"/>
        </w:rPr>
        <w:t>益阳市赫山区迎宾小学本级。</w:t>
      </w: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jc w:val="center"/>
        <w:rPr>
          <w:rFonts w:ascii="Times New Roman" w:hAnsi="Times New Roman" w:eastAsia="黑体" w:cs="Times New Roman"/>
          <w:sz w:val="28"/>
          <w:szCs w:val="28"/>
        </w:rPr>
      </w:pPr>
    </w:p>
    <w:p>
      <w:pPr>
        <w:pStyle w:val="9"/>
        <w:rPr>
          <w:rFonts w:ascii="Times New Roman" w:hAnsi="Times New Roman" w:cs="Times New Roman"/>
        </w:rPr>
        <w:sectPr>
          <w:footerReference r:id="rId6" w:type="default"/>
          <w:pgSz w:w="11906" w:h="16838"/>
          <w:pgMar w:top="1417" w:right="1588" w:bottom="1417" w:left="1588" w:header="851" w:footer="992" w:gutter="0"/>
          <w:pgBorders>
            <w:top w:val="none" w:sz="0" w:space="0"/>
            <w:left w:val="none" w:sz="0" w:space="0"/>
            <w:bottom w:val="none" w:sz="0" w:space="0"/>
            <w:right w:val="none" w:sz="0" w:space="0"/>
          </w:pgBorders>
          <w:pgNumType w:start="1"/>
          <w:cols w:space="425" w:num="1"/>
          <w:docGrid w:type="lines" w:linePitch="312" w:charSpace="0"/>
        </w:sect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p>
    <w:p>
      <w:pPr>
        <w:pStyle w:val="14"/>
        <w:jc w:val="both"/>
        <w:rPr>
          <w:rFonts w:ascii="Times New Roman" w:hAnsi="Times New Roman" w:eastAsia="方正小标宋_GBK" w:cs="Times New Roman"/>
          <w:sz w:val="52"/>
          <w:szCs w:val="52"/>
        </w:rPr>
      </w:pPr>
    </w:p>
    <w:p>
      <w:pPr>
        <w:pStyle w:val="14"/>
        <w:jc w:val="both"/>
        <w:rPr>
          <w:rFonts w:ascii="Times New Roman" w:hAnsi="Times New Roman" w:eastAsia="方正小标宋_GBK" w:cs="Times New Roman"/>
          <w:sz w:val="52"/>
          <w:szCs w:val="52"/>
        </w:rPr>
      </w:pPr>
    </w:p>
    <w:p>
      <w:pPr>
        <w:pStyle w:val="14"/>
        <w:jc w:val="both"/>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p>
    <w:p>
      <w:pPr>
        <w:pStyle w:val="14"/>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第二部分部门决算表</w:t>
      </w: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sz w:val="36"/>
          <w:szCs w:val="36"/>
        </w:rPr>
      </w:pPr>
      <w:r>
        <w:rPr>
          <w:rFonts w:ascii="Times New Roman" w:hAnsi="Times New Roman" w:eastAsia="黑体" w:cs="Times New Roman"/>
          <w:color w:val="000000"/>
          <w:kern w:val="0"/>
          <w:sz w:val="36"/>
          <w:szCs w:val="36"/>
        </w:rPr>
        <w:t>收入支出决算总表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公开01表</w:t>
      </w:r>
    </w:p>
    <w:p>
      <w:pPr>
        <w:widowControl/>
        <w:tabs>
          <w:tab w:val="left" w:pos="4442"/>
          <w:tab w:val="left" w:pos="5045"/>
          <w:tab w:val="left" w:pos="6444"/>
          <w:tab w:val="left" w:pos="11477"/>
          <w:tab w:val="left" w:pos="13102"/>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sz w:val="24"/>
          <w:szCs w:val="24"/>
        </w:rPr>
        <w:tab/>
      </w:r>
      <w:r>
        <w:rPr>
          <w:rFonts w:ascii="Times New Roman" w:hAnsi="Times New Roman" w:eastAsia="仿宋_GB2312" w:cs="Times New Roman"/>
          <w:color w:val="000000"/>
          <w:kern w:val="0"/>
          <w:sz w:val="20"/>
          <w:szCs w:val="20"/>
        </w:rPr>
        <w:t>单位：万元</w:t>
      </w:r>
    </w:p>
    <w:tbl>
      <w:tblPr>
        <w:tblStyle w:val="10"/>
        <w:tblW w:w="14896" w:type="dxa"/>
        <w:jc w:val="center"/>
        <w:tblLayout w:type="autofit"/>
        <w:tblCellMar>
          <w:top w:w="0" w:type="dxa"/>
          <w:left w:w="108" w:type="dxa"/>
          <w:bottom w:w="0" w:type="dxa"/>
          <w:right w:w="108" w:type="dxa"/>
        </w:tblCellMar>
      </w:tblPr>
      <w:tblGrid>
        <w:gridCol w:w="5674"/>
        <w:gridCol w:w="936"/>
        <w:gridCol w:w="1506"/>
        <w:gridCol w:w="4338"/>
        <w:gridCol w:w="936"/>
        <w:gridCol w:w="1506"/>
      </w:tblGrid>
      <w:tr>
        <w:tblPrEx>
          <w:tblCellMar>
            <w:top w:w="0" w:type="dxa"/>
            <w:left w:w="108" w:type="dxa"/>
            <w:bottom w:w="0" w:type="dxa"/>
            <w:right w:w="108" w:type="dxa"/>
          </w:tblCellMar>
        </w:tblPrEx>
        <w:trPr>
          <w:trHeight w:val="340" w:hRule="exact"/>
          <w:jc w:val="center"/>
        </w:trPr>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收入</w:t>
            </w:r>
          </w:p>
        </w:tc>
        <w:tc>
          <w:tcPr>
            <w:tcW w:w="0" w:type="auto"/>
            <w:gridSpan w:val="3"/>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支出</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项目</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行次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决算数</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ascii="Times New Roman" w:hAnsi="Times New Roman" w:eastAsia="仿宋_GB2312" w:cs="Times New Roman"/>
                <w:color w:val="000000"/>
                <w:sz w:val="24"/>
                <w:szCs w:val="24"/>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r>
              <w:rPr>
                <w:rFonts w:hint="eastAsia" w:ascii="宋体" w:hAnsi="宋体" w:eastAsia="宋体" w:cs="宋体"/>
                <w:i w:val="0"/>
                <w:iCs w:val="0"/>
                <w:color w:val="000000"/>
                <w:kern w:val="0"/>
                <w:sz w:val="22"/>
                <w:szCs w:val="22"/>
                <w:u w:val="none"/>
                <w:lang w:val="en-US" w:eastAsia="zh-CN" w:bidi="ar"/>
              </w:rPr>
              <w:t>1956.63</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一、一般公共服务支出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二、政府性基金预算财政拨款收入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二、外交支出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三、国有资本经营预算财政拨款收入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三、国防支出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四、上级补助收入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四、公共安全支出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17</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五、事业收入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五、教育支出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18</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color w:val="000000"/>
                <w:sz w:val="22"/>
                <w:lang w:val="en-US"/>
              </w:rPr>
            </w:pPr>
            <w:r>
              <w:rPr>
                <w:rFonts w:hint="eastAsia" w:ascii="宋体" w:hAnsi="宋体" w:eastAsia="宋体" w:cs="宋体"/>
                <w:i w:val="0"/>
                <w:iCs w:val="0"/>
                <w:color w:val="000000"/>
                <w:kern w:val="0"/>
                <w:sz w:val="22"/>
                <w:szCs w:val="22"/>
                <w:u w:val="none"/>
                <w:lang w:val="en-US" w:eastAsia="zh-CN" w:bidi="ar"/>
              </w:rPr>
              <w:t>2424.83</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六、经营收入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六、科学技术支出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19</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七、附属单位上缴收入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hint="eastAsia" w:ascii="Times New Roman" w:hAnsi="Times New Roman" w:eastAsia="仿宋_GB2312" w:cs="Times New Roman"/>
                <w:color w:val="000000"/>
                <w:sz w:val="24"/>
                <w:szCs w:val="24"/>
                <w:lang w:eastAsia="zh-CN"/>
              </w:rPr>
            </w:pPr>
            <w:r>
              <w:rPr>
                <w:rFonts w:hint="eastAsia" w:ascii="Times New Roman" w:hAnsi="Times New Roman" w:eastAsia="仿宋_GB2312" w:cs="Times New Roman"/>
                <w:color w:val="000000"/>
                <w:kern w:val="0"/>
                <w:sz w:val="24"/>
                <w:szCs w:val="24"/>
                <w:lang w:eastAsia="zh-CN"/>
              </w:rPr>
              <w:t>七、社会保障和就业支出</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20</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八、其他收入</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468.20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lef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21</w:t>
            </w:r>
          </w:p>
        </w:tc>
        <w:tc>
          <w:tcPr>
            <w:tcW w:w="150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0"/>
                <w:szCs w:val="20"/>
              </w:rPr>
            </w:pP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ascii="Times New Roman" w:hAnsi="Times New Roman" w:eastAsia="仿宋_GB2312" w:cs="Times New Roman"/>
                <w:b/>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本年收入合计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2,424.83 </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本年支出合计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rPr>
            </w:pPr>
            <w:r>
              <w:rPr>
                <w:rFonts w:hint="eastAsia" w:ascii="宋体" w:hAnsi="宋体" w:eastAsia="宋体" w:cs="宋体"/>
                <w:i w:val="0"/>
                <w:iCs w:val="0"/>
                <w:color w:val="000000"/>
                <w:kern w:val="0"/>
                <w:sz w:val="22"/>
                <w:szCs w:val="22"/>
                <w:u w:val="none"/>
                <w:lang w:val="en-US" w:eastAsia="zh-CN" w:bidi="ar"/>
              </w:rPr>
              <w:t>2424.83</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使用非财政拨款结余（含专用结余）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结余分配</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24</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年初结转和结余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年末结转和结余</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25</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color w:val="000000"/>
                <w:sz w:val="22"/>
                <w:lang w:val="en-US" w:eastAsia="zh-CN"/>
              </w:rPr>
            </w:pPr>
            <w:r>
              <w:rPr>
                <w:rFonts w:hint="eastAsia" w:ascii="Times New Roman" w:hAnsi="Times New Roman" w:eastAsia="仿宋_GB2312" w:cs="Times New Roman"/>
                <w:color w:val="000000"/>
                <w:sz w:val="22"/>
                <w:lang w:val="en-US" w:eastAsia="zh-CN"/>
              </w:rPr>
              <w:t>0.00</w:t>
            </w:r>
          </w:p>
        </w:tc>
      </w:tr>
      <w:tr>
        <w:tblPrEx>
          <w:tblCellMar>
            <w:top w:w="0" w:type="dxa"/>
            <w:left w:w="108" w:type="dxa"/>
            <w:bottom w:w="0" w:type="dxa"/>
            <w:right w:w="108" w:type="dxa"/>
          </w:tblCellMar>
        </w:tblPrEx>
        <w:trPr>
          <w:trHeight w:val="340" w:hRule="exact"/>
          <w:jc w:val="center"/>
        </w:trPr>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13</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2,424.83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b/>
                <w:color w:val="000000"/>
                <w:sz w:val="22"/>
              </w:rPr>
            </w:pPr>
            <w:r>
              <w:rPr>
                <w:rFonts w:ascii="Times New Roman" w:hAnsi="Times New Roman" w:eastAsia="仿宋_GB2312" w:cs="Times New Roman"/>
                <w:b/>
                <w:color w:val="000000"/>
                <w:kern w:val="0"/>
                <w:sz w:val="22"/>
              </w:rPr>
              <w:t>总计</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26</w:t>
            </w:r>
          </w:p>
        </w:tc>
        <w:tc>
          <w:tcPr>
            <w:tcW w:w="0" w:type="auto"/>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right"/>
              <w:rPr>
                <w:rFonts w:hint="default" w:ascii="Times New Roman" w:hAnsi="Times New Roman" w:eastAsia="仿宋_GB2312" w:cs="Times New Roman"/>
                <w:b/>
                <w:color w:val="000000"/>
                <w:sz w:val="22"/>
                <w:lang w:val="en-US"/>
              </w:rPr>
            </w:pPr>
            <w:r>
              <w:rPr>
                <w:rFonts w:hint="eastAsia" w:ascii="宋体" w:hAnsi="宋体" w:eastAsia="宋体" w:cs="宋体"/>
                <w:i w:val="0"/>
                <w:iCs w:val="0"/>
                <w:color w:val="000000"/>
                <w:kern w:val="0"/>
                <w:sz w:val="22"/>
                <w:szCs w:val="22"/>
                <w:u w:val="none"/>
                <w:lang w:val="en-US" w:eastAsia="zh-CN" w:bidi="ar"/>
              </w:rPr>
              <w:t>2424.83</w:t>
            </w:r>
          </w:p>
        </w:tc>
      </w:tr>
    </w:tbl>
    <w:p>
      <w:pPr>
        <w:widowControl/>
        <w:jc w:val="left"/>
        <w:textAlignment w:val="center"/>
        <w:rPr>
          <w:rFonts w:ascii="Times New Roman" w:hAnsi="Times New Roman" w:eastAsia="宋体" w:cs="Times New Roman"/>
          <w:color w:val="000000"/>
          <w:kern w:val="0"/>
          <w:sz w:val="24"/>
          <w:szCs w:val="24"/>
        </w:rPr>
      </w:pPr>
    </w:p>
    <w:p>
      <w:pPr>
        <w:widowControl/>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注：1.本表反映部门本年度的总收支和年末结转结余情况。</w:t>
      </w:r>
      <w:r>
        <w:rPr>
          <w:rFonts w:ascii="Times New Roman" w:hAnsi="Times New Roman" w:eastAsia="仿宋_GB2312" w:cs="Times New Roman"/>
          <w:color w:val="000000"/>
          <w:kern w:val="0"/>
          <w:sz w:val="24"/>
          <w:szCs w:val="24"/>
        </w:rPr>
        <w:br w:type="textWrapping"/>
      </w:r>
      <w:r>
        <w:rPr>
          <w:rFonts w:ascii="Times New Roman" w:hAnsi="Times New Roman" w:eastAsia="仿宋_GB2312" w:cs="Times New Roman"/>
          <w:color w:val="000000"/>
          <w:kern w:val="0"/>
          <w:sz w:val="24"/>
          <w:szCs w:val="24"/>
        </w:rPr>
        <w:t xml:space="preserve">    2.本套报表金额单位转换时可能存在尾数误差。</w:t>
      </w:r>
    </w:p>
    <w:p>
      <w:pPr>
        <w:rPr>
          <w:rFonts w:ascii="Times New Roman" w:hAnsi="Times New Roman" w:eastAsia="华文中宋" w:cs="Times New Roman"/>
          <w:color w:val="000000"/>
          <w:sz w:val="32"/>
          <w:szCs w:val="32"/>
        </w:rPr>
      </w:pPr>
      <w:r>
        <w:rPr>
          <w:rFonts w:ascii="Times New Roman" w:hAnsi="Times New Roman" w:eastAsia="华文中宋" w:cs="Times New Roman"/>
          <w:color w:val="000000"/>
          <w:sz w:val="32"/>
          <w:szCs w:val="32"/>
        </w:rPr>
        <w:br w:type="page"/>
      </w:r>
    </w:p>
    <w:p>
      <w:pPr>
        <w:widowControl/>
        <w:spacing w:line="400" w:lineRule="exact"/>
        <w:jc w:val="center"/>
        <w:textAlignment w:val="center"/>
        <w:rPr>
          <w:rFonts w:ascii="Times New Roman" w:hAnsi="Times New Roman" w:eastAsia="黑体" w:cs="Times New Roman"/>
          <w:color w:val="000000"/>
          <w:kern w:val="0"/>
          <w:sz w:val="32"/>
          <w:szCs w:val="32"/>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收入决算表</w:t>
      </w:r>
    </w:p>
    <w:p>
      <w:pPr>
        <w:tabs>
          <w:tab w:val="left" w:pos="315"/>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公开02表</w:t>
      </w:r>
    </w:p>
    <w:p>
      <w:pPr>
        <w:tabs>
          <w:tab w:val="left" w:pos="630"/>
          <w:tab w:val="left" w:pos="2100"/>
          <w:tab w:val="left" w:pos="3895"/>
          <w:tab w:val="left" w:pos="5690"/>
          <w:tab w:val="left" w:pos="7485"/>
          <w:tab w:val="left" w:pos="9280"/>
          <w:tab w:val="left" w:pos="11075"/>
          <w:tab w:val="left" w:pos="12870"/>
        </w:tabs>
        <w:jc w:val="right"/>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　</w:t>
      </w:r>
      <w:r>
        <w:rPr>
          <w:rFonts w:ascii="Times New Roman" w:hAnsi="Times New Roman" w:eastAsia="仿宋_GB2312" w:cs="Times New Roman"/>
          <w:color w:val="000000"/>
          <w:sz w:val="20"/>
          <w:szCs w:val="20"/>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rPr>
        <w:t>　</w:t>
      </w:r>
      <w:r>
        <w:rPr>
          <w:rFonts w:ascii="Times New Roman" w:hAnsi="Times New Roman" w:eastAsia="仿宋_GB2312" w:cs="Times New Roman"/>
          <w:sz w:val="24"/>
          <w:szCs w:val="24"/>
        </w:rPr>
        <w:tab/>
      </w:r>
      <w:r>
        <w:rPr>
          <w:rFonts w:ascii="Times New Roman" w:hAnsi="Times New Roman" w:eastAsia="仿宋_GB2312" w:cs="Times New Roman"/>
          <w:color w:val="000000"/>
          <w:sz w:val="20"/>
          <w:szCs w:val="20"/>
        </w:rPr>
        <w:t>单位：万元</w:t>
      </w:r>
    </w:p>
    <w:tbl>
      <w:tblPr>
        <w:tblStyle w:val="10"/>
        <w:tblW w:w="14666" w:type="dxa"/>
        <w:jc w:val="center"/>
        <w:tblLayout w:type="fixed"/>
        <w:tblCellMar>
          <w:top w:w="0" w:type="dxa"/>
          <w:left w:w="0" w:type="dxa"/>
          <w:bottom w:w="0" w:type="dxa"/>
          <w:right w:w="0" w:type="dxa"/>
        </w:tblCellMar>
      </w:tblPr>
      <w:tblGrid>
        <w:gridCol w:w="1177"/>
        <w:gridCol w:w="709"/>
        <w:gridCol w:w="1300"/>
        <w:gridCol w:w="1640"/>
        <w:gridCol w:w="1640"/>
        <w:gridCol w:w="1640"/>
        <w:gridCol w:w="1640"/>
        <w:gridCol w:w="1640"/>
        <w:gridCol w:w="1897"/>
        <w:gridCol w:w="1383"/>
      </w:tblGrid>
      <w:tr>
        <w:tblPrEx>
          <w:tblCellMar>
            <w:top w:w="0" w:type="dxa"/>
            <w:left w:w="0" w:type="dxa"/>
            <w:bottom w:w="0" w:type="dxa"/>
            <w:right w:w="0" w:type="dxa"/>
          </w:tblCellMar>
        </w:tblPrEx>
        <w:trPr>
          <w:trHeight w:val="450" w:hRule="atLeast"/>
          <w:jc w:val="center"/>
        </w:trPr>
        <w:tc>
          <w:tcPr>
            <w:tcW w:w="3186" w:type="dxa"/>
            <w:gridSpan w:val="3"/>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项目</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本年收入合计</w:t>
            </w:r>
          </w:p>
        </w:tc>
        <w:tc>
          <w:tcPr>
            <w:tcW w:w="1640" w:type="dxa"/>
            <w:vMerge w:val="restart"/>
            <w:tcBorders>
              <w:top w:val="single" w:color="auto" w:sz="4" w:space="0"/>
              <w:left w:val="single" w:color="auto" w:sz="4" w:space="0"/>
              <w:bottom w:val="single" w:color="auto" w:sz="4" w:space="0"/>
              <w:right w:val="single" w:color="auto" w:sz="4" w:space="0"/>
            </w:tcBorders>
            <w:shd w:val="clear" w:color="auto" w:fill="auto"/>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财政拨款收入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上级补助收入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事业收入</w:t>
            </w:r>
          </w:p>
        </w:tc>
        <w:tc>
          <w:tcPr>
            <w:tcW w:w="1640"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经营收入</w:t>
            </w:r>
          </w:p>
        </w:tc>
        <w:tc>
          <w:tcPr>
            <w:tcW w:w="1897"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附属单位上缴收入</w:t>
            </w:r>
          </w:p>
        </w:tc>
        <w:tc>
          <w:tcPr>
            <w:tcW w:w="1383" w:type="dxa"/>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其他收入</w:t>
            </w:r>
          </w:p>
        </w:tc>
      </w:tr>
      <w:tr>
        <w:tblPrEx>
          <w:tblCellMar>
            <w:top w:w="0" w:type="dxa"/>
            <w:left w:w="0" w:type="dxa"/>
            <w:bottom w:w="0" w:type="dxa"/>
            <w:right w:w="0" w:type="dxa"/>
          </w:tblCellMar>
        </w:tblPrEx>
        <w:trPr>
          <w:trHeight w:val="334" w:hRule="exact"/>
          <w:jc w:val="center"/>
        </w:trPr>
        <w:tc>
          <w:tcPr>
            <w:tcW w:w="1886" w:type="dxa"/>
            <w:gridSpan w:val="2"/>
            <w:vMerge w:val="restart"/>
            <w:tcBorders>
              <w:top w:val="single" w:color="auto" w:sz="4" w:space="0"/>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功能分类科目编码</w:t>
            </w:r>
          </w:p>
        </w:tc>
        <w:tc>
          <w:tcPr>
            <w:tcW w:w="1300" w:type="dxa"/>
            <w:vMerge w:val="restart"/>
            <w:tcBorders>
              <w:top w:val="nil"/>
              <w:left w:val="single" w:color="auto" w:sz="4" w:space="0"/>
              <w:bottom w:val="single" w:color="auto" w:sz="4" w:space="0"/>
              <w:right w:val="single" w:color="auto" w:sz="4" w:space="0"/>
            </w:tcBorders>
            <w:shd w:val="clear" w:color="000000" w:fill="FFFFFF"/>
            <w:tcMar>
              <w:top w:w="15" w:type="dxa"/>
              <w:left w:w="15" w:type="dxa"/>
              <w:bottom w:w="0" w:type="dxa"/>
              <w:right w:w="15" w:type="dxa"/>
            </w:tcMar>
            <w:vAlign w:val="center"/>
          </w:tcPr>
          <w:p>
            <w:pPr>
              <w:jc w:val="center"/>
              <w:rPr>
                <w:rFonts w:ascii="Times New Roman" w:hAnsi="Times New Roman" w:eastAsia="仿宋_GB2312" w:cs="Times New Roman"/>
                <w:b/>
                <w:bCs/>
                <w:sz w:val="24"/>
                <w:szCs w:val="24"/>
              </w:rPr>
            </w:pPr>
            <w:r>
              <w:rPr>
                <w:rFonts w:ascii="Times New Roman" w:hAnsi="Times New Roman" w:eastAsia="仿宋_GB2312" w:cs="Times New Roman"/>
                <w:b/>
                <w:bCs/>
              </w:rPr>
              <w:t>科目名称</w:t>
            </w: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312" w:hRule="atLeast"/>
          <w:jc w:val="center"/>
        </w:trPr>
        <w:tc>
          <w:tcPr>
            <w:tcW w:w="1886" w:type="dxa"/>
            <w:gridSpan w:val="2"/>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00" w:type="dxa"/>
            <w:vMerge w:val="continue"/>
            <w:tcBorders>
              <w:top w:val="nil"/>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640"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897"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c>
          <w:tcPr>
            <w:tcW w:w="1383" w:type="dxa"/>
            <w:vMerge w:val="continue"/>
            <w:tcBorders>
              <w:top w:val="single" w:color="auto" w:sz="4" w:space="0"/>
              <w:left w:val="single" w:color="auto" w:sz="4" w:space="0"/>
              <w:bottom w:val="single" w:color="auto" w:sz="4" w:space="0"/>
              <w:right w:val="single" w:color="auto" w:sz="4" w:space="0"/>
            </w:tcBorders>
            <w:vAlign w:val="center"/>
          </w:tcPr>
          <w:p>
            <w:pPr>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3186"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栏次</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1</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2</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3</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4</w:t>
            </w:r>
          </w:p>
        </w:tc>
        <w:tc>
          <w:tcPr>
            <w:tcW w:w="1640"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5</w:t>
            </w:r>
          </w:p>
        </w:tc>
        <w:tc>
          <w:tcPr>
            <w:tcW w:w="1897"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6</w:t>
            </w:r>
          </w:p>
        </w:tc>
        <w:tc>
          <w:tcPr>
            <w:tcW w:w="1383" w:type="dxa"/>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7</w:t>
            </w:r>
          </w:p>
        </w:tc>
      </w:tr>
      <w:tr>
        <w:tblPrEx>
          <w:tblCellMar>
            <w:top w:w="0" w:type="dxa"/>
            <w:left w:w="0" w:type="dxa"/>
            <w:bottom w:w="0" w:type="dxa"/>
            <w:right w:w="0" w:type="dxa"/>
          </w:tblCellMar>
        </w:tblPrEx>
        <w:trPr>
          <w:trHeight w:val="450" w:hRule="atLeast"/>
          <w:jc w:val="center"/>
        </w:trPr>
        <w:tc>
          <w:tcPr>
            <w:tcW w:w="3186" w:type="dxa"/>
            <w:gridSpan w:val="3"/>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jc w:val="center"/>
              <w:rPr>
                <w:rFonts w:ascii="Times New Roman" w:hAnsi="Times New Roman" w:eastAsia="仿宋_GB2312" w:cs="Times New Roman"/>
                <w:sz w:val="24"/>
                <w:szCs w:val="24"/>
              </w:rPr>
            </w:pPr>
            <w:r>
              <w:rPr>
                <w:rFonts w:ascii="Times New Roman" w:hAnsi="Times New Roman" w:eastAsia="仿宋_GB2312" w:cs="Times New Roman"/>
              </w:rPr>
              <w:t>合计</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2,424.83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1,956.63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468.20 </w:t>
            </w:r>
          </w:p>
        </w:tc>
      </w:tr>
      <w:tr>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2050201</w:t>
            </w:r>
          </w:p>
        </w:tc>
        <w:tc>
          <w:tcPr>
            <w:tcW w:w="200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学前教育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bookmarkStart w:id="2" w:name="OLE_LINK1"/>
            <w:r>
              <w:rPr>
                <w:rFonts w:hint="eastAsia" w:ascii="宋体" w:hAnsi="宋体" w:eastAsia="宋体" w:cs="宋体"/>
                <w:i w:val="0"/>
                <w:iCs w:val="0"/>
                <w:color w:val="000000"/>
                <w:kern w:val="0"/>
                <w:sz w:val="22"/>
                <w:szCs w:val="22"/>
                <w:u w:val="none"/>
                <w:lang w:val="en-US" w:eastAsia="zh-CN" w:bidi="ar"/>
              </w:rPr>
              <w:t>95.90</w:t>
            </w:r>
            <w:bookmarkEnd w:id="2"/>
            <w:r>
              <w:rPr>
                <w:rFonts w:hint="eastAsia" w:ascii="宋体" w:hAnsi="宋体" w:eastAsia="宋体" w:cs="宋体"/>
                <w:i w:val="0"/>
                <w:iCs w:val="0"/>
                <w:color w:val="000000"/>
                <w:kern w:val="0"/>
                <w:sz w:val="22"/>
                <w:szCs w:val="22"/>
                <w:u w:val="none"/>
                <w:lang w:val="en-US" w:eastAsia="zh-CN" w:bidi="ar"/>
              </w:rPr>
              <w:t xml:space="preserve">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95.90</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2050202</w:t>
            </w:r>
          </w:p>
        </w:tc>
        <w:tc>
          <w:tcPr>
            <w:tcW w:w="200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小学教育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301.68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301.68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2050203</w:t>
            </w:r>
          </w:p>
        </w:tc>
        <w:tc>
          <w:tcPr>
            <w:tcW w:w="200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初中教育</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200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2,010.26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1,542.06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468.20 </w:t>
            </w:r>
          </w:p>
        </w:tc>
      </w:tr>
      <w:tr>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2050999</w:t>
            </w:r>
          </w:p>
        </w:tc>
        <w:tc>
          <w:tcPr>
            <w:tcW w:w="2009" w:type="dxa"/>
            <w:gridSpan w:val="2"/>
            <w:tcBorders>
              <w:top w:val="nil"/>
              <w:left w:val="nil"/>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16.99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16.99 </w:t>
            </w: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nil"/>
              <w:left w:val="nil"/>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2069999</w:t>
            </w:r>
          </w:p>
        </w:tc>
        <w:tc>
          <w:tcPr>
            <w:tcW w:w="2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sz w:val="24"/>
                <w:szCs w:val="24"/>
              </w:rPr>
            </w:pPr>
            <w:r>
              <w:rPr>
                <w:rFonts w:hint="eastAsia" w:ascii="宋体" w:hAnsi="宋体" w:eastAsia="宋体" w:cs="宋体"/>
                <w:i w:val="0"/>
                <w:iCs w:val="0"/>
                <w:color w:val="000000"/>
                <w:kern w:val="0"/>
                <w:sz w:val="22"/>
                <w:szCs w:val="22"/>
                <w:u w:val="none"/>
                <w:lang w:val="en-US" w:eastAsia="zh-CN" w:bidi="ar"/>
              </w:rPr>
              <w:t>其他科学技术支出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sz w:val="24"/>
                <w:szCs w:val="24"/>
              </w:rPr>
            </w:pPr>
          </w:p>
        </w:tc>
      </w:tr>
      <w:tr>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2080502</w:t>
            </w:r>
          </w:p>
        </w:tc>
        <w:tc>
          <w:tcPr>
            <w:tcW w:w="2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事业单位离退休</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2080801</w:t>
            </w:r>
          </w:p>
        </w:tc>
        <w:tc>
          <w:tcPr>
            <w:tcW w:w="2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死亡抚恤</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2210110</w:t>
            </w:r>
          </w:p>
        </w:tc>
        <w:tc>
          <w:tcPr>
            <w:tcW w:w="2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保障性租赁住房</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r>
        <w:tblPrEx>
          <w:tblCellMar>
            <w:top w:w="0" w:type="dxa"/>
            <w:left w:w="0" w:type="dxa"/>
            <w:bottom w:w="0" w:type="dxa"/>
            <w:right w:w="0" w:type="dxa"/>
          </w:tblCellMar>
        </w:tblPrEx>
        <w:trPr>
          <w:trHeight w:val="450" w:hRule="atLeast"/>
          <w:jc w:val="center"/>
        </w:trPr>
        <w:tc>
          <w:tcPr>
            <w:tcW w:w="1177" w:type="dxa"/>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2296002</w:t>
            </w:r>
          </w:p>
        </w:tc>
        <w:tc>
          <w:tcPr>
            <w:tcW w:w="2009" w:type="dxa"/>
            <w:gridSpan w:val="2"/>
            <w:tcBorders>
              <w:top w:val="single" w:color="auto" w:sz="4" w:space="0"/>
              <w:left w:val="single" w:color="auto" w:sz="4" w:space="0"/>
              <w:bottom w:val="single" w:color="auto" w:sz="4" w:space="0"/>
              <w:right w:val="single" w:color="auto" w:sz="4" w:space="0"/>
            </w:tcBorders>
            <w:shd w:val="clear" w:color="000000" w:fill="FFFFFF"/>
            <w:noWrap/>
            <w:tcMar>
              <w:top w:w="15" w:type="dxa"/>
              <w:left w:w="15" w:type="dxa"/>
              <w:bottom w:w="0" w:type="dxa"/>
              <w:right w:w="15" w:type="dxa"/>
            </w:tcMar>
            <w:vAlign w:val="center"/>
          </w:tcPr>
          <w:p>
            <w:pPr>
              <w:keepNext w:val="0"/>
              <w:keepLines w:val="0"/>
              <w:widowControl/>
              <w:suppressLineNumbers w:val="0"/>
              <w:jc w:val="left"/>
              <w:textAlignment w:val="center"/>
              <w:rPr>
                <w:rFonts w:ascii="Times New Roman" w:hAnsi="Times New Roman" w:eastAsia="仿宋_GB2312" w:cs="Times New Roman"/>
              </w:rPr>
            </w:pPr>
            <w:r>
              <w:rPr>
                <w:rFonts w:hint="eastAsia" w:ascii="宋体" w:hAnsi="宋体" w:eastAsia="宋体" w:cs="宋体"/>
                <w:i w:val="0"/>
                <w:iCs w:val="0"/>
                <w:color w:val="000000"/>
                <w:kern w:val="0"/>
                <w:sz w:val="22"/>
                <w:szCs w:val="22"/>
                <w:u w:val="none"/>
                <w:lang w:val="en-US" w:eastAsia="zh-CN" w:bidi="ar"/>
              </w:rPr>
              <w:t>用于社会福利的彩票公益金支出</w:t>
            </w: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keepNext w:val="0"/>
              <w:keepLines w:val="0"/>
              <w:widowControl/>
              <w:suppressLineNumbers w:val="0"/>
              <w:jc w:val="right"/>
              <w:textAlignment w:val="center"/>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640"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897"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c>
          <w:tcPr>
            <w:tcW w:w="1383" w:type="dxa"/>
            <w:tcBorders>
              <w:top w:val="single" w:color="auto" w:sz="4" w:space="0"/>
              <w:left w:val="single" w:color="auto" w:sz="4" w:space="0"/>
              <w:bottom w:val="single" w:color="auto" w:sz="4" w:space="0"/>
              <w:right w:val="single" w:color="auto" w:sz="4" w:space="0"/>
            </w:tcBorders>
            <w:shd w:val="clear" w:color="auto" w:fill="auto"/>
            <w:noWrap/>
            <w:tcMar>
              <w:top w:w="15" w:type="dxa"/>
              <w:left w:w="15" w:type="dxa"/>
              <w:bottom w:w="0" w:type="dxa"/>
              <w:right w:w="15" w:type="dxa"/>
            </w:tcMar>
            <w:vAlign w:val="center"/>
          </w:tcPr>
          <w:p>
            <w:pPr>
              <w:jc w:val="right"/>
              <w:rPr>
                <w:rFonts w:ascii="Times New Roman" w:hAnsi="Times New Roman" w:eastAsia="仿宋_GB2312" w:cs="Times New Roman"/>
              </w:rPr>
            </w:pPr>
          </w:p>
        </w:tc>
      </w:tr>
    </w:tbl>
    <w:p>
      <w:pPr>
        <w:spacing w:before="120"/>
        <w:rPr>
          <w:rFonts w:ascii="Times New Roman" w:hAnsi="Times New Roman" w:eastAsia="仿宋_GB2312" w:cs="Times New Roman"/>
          <w:sz w:val="24"/>
          <w:szCs w:val="24"/>
        </w:rPr>
      </w:pPr>
      <w:r>
        <w:rPr>
          <w:rFonts w:ascii="Times New Roman" w:hAnsi="Times New Roman" w:eastAsia="仿宋_GB2312" w:cs="Times New Roman"/>
        </w:rPr>
        <w:t>注：本表反映部门本年度取得的各项收入情况。</w:t>
      </w:r>
    </w:p>
    <w:p>
      <w:pPr>
        <w:widowControl/>
        <w:jc w:val="left"/>
        <w:rPr>
          <w:rFonts w:ascii="Times New Roman" w:hAnsi="Times New Roman" w:eastAsia="黑体" w:cs="Times New Roman"/>
          <w:color w:val="000000"/>
          <w:kern w:val="0"/>
          <w:sz w:val="32"/>
          <w:szCs w:val="32"/>
        </w:rPr>
      </w:pPr>
      <w:r>
        <w:rPr>
          <w:rFonts w:ascii="Times New Roman" w:hAnsi="Times New Roman" w:eastAsia="黑体" w:cs="Times New Roman"/>
          <w:bCs/>
          <w:kern w:val="0"/>
          <w:sz w:val="32"/>
          <w:szCs w:val="32"/>
        </w:rPr>
        <w:br w:type="page"/>
      </w: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支出决算表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公开03表</w:t>
      </w:r>
    </w:p>
    <w:p>
      <w:pPr>
        <w:widowControl/>
        <w:tabs>
          <w:tab w:val="left" w:pos="1236"/>
          <w:tab w:val="left" w:pos="1499"/>
          <w:tab w:val="left" w:pos="2980"/>
          <w:tab w:val="left" w:pos="4932"/>
          <w:tab w:val="left" w:pos="6923"/>
          <w:tab w:val="left" w:pos="8914"/>
          <w:tab w:val="left" w:pos="10905"/>
          <w:tab w:val="left" w:pos="12896"/>
        </w:tabs>
        <w:jc w:val="right"/>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　</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color w:val="000000"/>
          <w:kern w:val="0"/>
          <w:sz w:val="20"/>
          <w:szCs w:val="20"/>
        </w:rPr>
        <w:t>单位：万元</w:t>
      </w:r>
    </w:p>
    <w:tbl>
      <w:tblPr>
        <w:tblStyle w:val="10"/>
        <w:tblW w:w="4996" w:type="pct"/>
        <w:jc w:val="center"/>
        <w:tblLayout w:type="fixed"/>
        <w:tblCellMar>
          <w:top w:w="0" w:type="dxa"/>
          <w:left w:w="108" w:type="dxa"/>
          <w:bottom w:w="0" w:type="dxa"/>
          <w:right w:w="108" w:type="dxa"/>
        </w:tblCellMar>
      </w:tblPr>
      <w:tblGrid>
        <w:gridCol w:w="1138"/>
        <w:gridCol w:w="1289"/>
        <w:gridCol w:w="1337"/>
        <w:gridCol w:w="1874"/>
        <w:gridCol w:w="1331"/>
        <w:gridCol w:w="1334"/>
        <w:gridCol w:w="1877"/>
        <w:gridCol w:w="1334"/>
        <w:gridCol w:w="2697"/>
      </w:tblGrid>
      <w:tr>
        <w:tblPrEx>
          <w:tblCellMar>
            <w:top w:w="0" w:type="dxa"/>
            <w:left w:w="108" w:type="dxa"/>
            <w:bottom w:w="0" w:type="dxa"/>
            <w:right w:w="108" w:type="dxa"/>
          </w:tblCellMar>
        </w:tblPrEx>
        <w:trPr>
          <w:trHeight w:val="595" w:hRule="atLeast"/>
          <w:jc w:val="center"/>
        </w:trPr>
        <w:tc>
          <w:tcPr>
            <w:tcW w:w="1324" w:type="pct"/>
            <w:gridSpan w:val="3"/>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w:t>
            </w:r>
          </w:p>
        </w:tc>
        <w:tc>
          <w:tcPr>
            <w:tcW w:w="65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本年支出合计</w:t>
            </w:r>
          </w:p>
        </w:tc>
        <w:tc>
          <w:tcPr>
            <w:tcW w:w="46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基本支出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项目支出</w:t>
            </w:r>
          </w:p>
        </w:tc>
        <w:tc>
          <w:tcPr>
            <w:tcW w:w="660"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上缴上级支出</w:t>
            </w:r>
          </w:p>
        </w:tc>
        <w:tc>
          <w:tcPr>
            <w:tcW w:w="469"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经营支出</w:t>
            </w:r>
          </w:p>
        </w:tc>
        <w:tc>
          <w:tcPr>
            <w:tcW w:w="948" w:type="pct"/>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对附属单位补助支出</w:t>
            </w:r>
          </w:p>
        </w:tc>
      </w:tr>
      <w:tr>
        <w:tblPrEx>
          <w:tblCellMar>
            <w:top w:w="0" w:type="dxa"/>
            <w:left w:w="108" w:type="dxa"/>
            <w:bottom w:w="0" w:type="dxa"/>
            <w:right w:w="108" w:type="dxa"/>
          </w:tblCellMar>
        </w:tblPrEx>
        <w:trPr>
          <w:trHeight w:val="312" w:hRule="exact"/>
          <w:jc w:val="center"/>
        </w:trPr>
        <w:tc>
          <w:tcPr>
            <w:tcW w:w="853" w:type="pct"/>
            <w:gridSpan w:val="2"/>
            <w:vMerge w:val="restart"/>
            <w:tcBorders>
              <w:top w:val="single" w:color="auto" w:sz="4" w:space="0"/>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功能分类科目编码</w:t>
            </w:r>
          </w:p>
        </w:tc>
        <w:tc>
          <w:tcPr>
            <w:tcW w:w="470" w:type="pct"/>
            <w:vMerge w:val="restart"/>
            <w:tcBorders>
              <w:top w:val="nil"/>
              <w:left w:val="single" w:color="auto" w:sz="4" w:space="0"/>
              <w:bottom w:val="single" w:color="auto" w:sz="4" w:space="0"/>
              <w:right w:val="single" w:color="auto" w:sz="4" w:space="0"/>
            </w:tcBorders>
            <w:shd w:val="clear" w:color="000000" w:fill="FFFFFF"/>
            <w:vAlign w:val="center"/>
          </w:tcPr>
          <w:p>
            <w:pPr>
              <w:widowControl/>
              <w:jc w:val="center"/>
              <w:rPr>
                <w:rFonts w:ascii="Times New Roman" w:hAnsi="Times New Roman" w:eastAsia="仿宋_GB2312" w:cs="Times New Roman"/>
                <w:b/>
                <w:bCs/>
                <w:kern w:val="0"/>
                <w:sz w:val="24"/>
                <w:szCs w:val="24"/>
              </w:rPr>
            </w:pPr>
            <w:r>
              <w:rPr>
                <w:rFonts w:ascii="Times New Roman" w:hAnsi="Times New Roman" w:eastAsia="仿宋_GB2312" w:cs="Times New Roman"/>
                <w:b/>
                <w:bCs/>
                <w:kern w:val="0"/>
                <w:sz w:val="24"/>
                <w:szCs w:val="24"/>
              </w:rPr>
              <w:t>科目名称</w:t>
            </w:r>
          </w:p>
        </w:tc>
        <w:tc>
          <w:tcPr>
            <w:tcW w:w="65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
                <w:bCs/>
                <w:kern w:val="0"/>
                <w:sz w:val="24"/>
                <w:szCs w:val="24"/>
              </w:rPr>
            </w:pPr>
          </w:p>
        </w:tc>
      </w:tr>
      <w:tr>
        <w:tblPrEx>
          <w:tblCellMar>
            <w:top w:w="0" w:type="dxa"/>
            <w:left w:w="108" w:type="dxa"/>
            <w:bottom w:w="0" w:type="dxa"/>
            <w:right w:w="108" w:type="dxa"/>
          </w:tblCellMar>
        </w:tblPrEx>
        <w:trPr>
          <w:trHeight w:val="595" w:hRule="atLeast"/>
          <w:jc w:val="center"/>
        </w:trPr>
        <w:tc>
          <w:tcPr>
            <w:tcW w:w="853" w:type="pct"/>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70" w:type="pct"/>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5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660"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469"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c>
          <w:tcPr>
            <w:tcW w:w="948" w:type="pct"/>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1324" w:type="pct"/>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65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46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660"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469"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c>
          <w:tcPr>
            <w:tcW w:w="948" w:type="pct"/>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6</w:t>
            </w:r>
          </w:p>
        </w:tc>
      </w:tr>
      <w:tr>
        <w:tblPrEx>
          <w:tblCellMar>
            <w:top w:w="0" w:type="dxa"/>
            <w:left w:w="108" w:type="dxa"/>
            <w:bottom w:w="0" w:type="dxa"/>
            <w:right w:w="108" w:type="dxa"/>
          </w:tblCellMar>
        </w:tblPrEx>
        <w:trPr>
          <w:trHeight w:val="595" w:hRule="atLeast"/>
          <w:jc w:val="center"/>
        </w:trPr>
        <w:tc>
          <w:tcPr>
            <w:tcW w:w="1324" w:type="pct"/>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65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2,424.83 </w:t>
            </w:r>
          </w:p>
        </w:tc>
        <w:tc>
          <w:tcPr>
            <w:tcW w:w="46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2,407.84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16.99</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57"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2050201</w:t>
            </w:r>
          </w:p>
        </w:tc>
        <w:tc>
          <w:tcPr>
            <w:tcW w:w="923" w:type="pct"/>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学前教育</w:t>
            </w:r>
          </w:p>
        </w:tc>
        <w:tc>
          <w:tcPr>
            <w:tcW w:w="65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95.9</w:t>
            </w:r>
          </w:p>
        </w:tc>
        <w:tc>
          <w:tcPr>
            <w:tcW w:w="46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95.9</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45"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2050202</w:t>
            </w:r>
          </w:p>
        </w:tc>
        <w:tc>
          <w:tcPr>
            <w:tcW w:w="923" w:type="pct"/>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小学教育</w:t>
            </w:r>
          </w:p>
        </w:tc>
        <w:tc>
          <w:tcPr>
            <w:tcW w:w="65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301.68 </w:t>
            </w:r>
          </w:p>
        </w:tc>
        <w:tc>
          <w:tcPr>
            <w:tcW w:w="46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301.68 </w:t>
            </w: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382"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2050203</w:t>
            </w:r>
          </w:p>
        </w:tc>
        <w:tc>
          <w:tcPr>
            <w:tcW w:w="923" w:type="pct"/>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初中教育</w:t>
            </w:r>
          </w:p>
        </w:tc>
        <w:tc>
          <w:tcPr>
            <w:tcW w:w="65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46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469" w:type="pct"/>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70"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2050299</w:t>
            </w:r>
          </w:p>
        </w:tc>
        <w:tc>
          <w:tcPr>
            <w:tcW w:w="923" w:type="pct"/>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其他普通教育支出</w:t>
            </w:r>
          </w:p>
        </w:tc>
        <w:tc>
          <w:tcPr>
            <w:tcW w:w="65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2,010.26 </w:t>
            </w:r>
          </w:p>
        </w:tc>
        <w:tc>
          <w:tcPr>
            <w:tcW w:w="46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2,010.26 </w:t>
            </w: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b/>
                <w:bCs/>
                <w:i w:val="0"/>
                <w:iCs w:val="0"/>
                <w:color w:val="000000"/>
                <w:kern w:val="2"/>
                <w:sz w:val="22"/>
                <w:szCs w:val="22"/>
                <w:u w:val="none"/>
                <w:lang w:val="en-US" w:eastAsia="zh-CN" w:bidi="ar-SA"/>
              </w:rPr>
            </w:pP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595"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2050999</w:t>
            </w:r>
          </w:p>
        </w:tc>
        <w:tc>
          <w:tcPr>
            <w:tcW w:w="923" w:type="pct"/>
            <w:gridSpan w:val="2"/>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65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16.99 </w:t>
            </w:r>
          </w:p>
        </w:tc>
        <w:tc>
          <w:tcPr>
            <w:tcW w:w="468"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p>
        </w:tc>
        <w:tc>
          <w:tcPr>
            <w:tcW w:w="469" w:type="pct"/>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16.99 </w:t>
            </w:r>
          </w:p>
        </w:tc>
        <w:tc>
          <w:tcPr>
            <w:tcW w:w="660"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10"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hint="default" w:ascii="Times New Roman" w:hAnsi="Times New Roman" w:eastAsia="仿宋_GB2312" w:cs="Times New Roman"/>
                <w:kern w:val="0"/>
                <w:sz w:val="24"/>
                <w:szCs w:val="24"/>
                <w:lang w:val="en-US"/>
              </w:rPr>
            </w:pPr>
            <w:r>
              <w:rPr>
                <w:rFonts w:hint="eastAsia" w:ascii="宋体" w:hAnsi="宋体" w:eastAsia="宋体" w:cs="宋体"/>
                <w:i w:val="0"/>
                <w:iCs w:val="0"/>
                <w:color w:val="000000"/>
                <w:kern w:val="0"/>
                <w:sz w:val="22"/>
                <w:szCs w:val="22"/>
                <w:u w:val="none"/>
                <w:lang w:val="en-US" w:eastAsia="zh-CN" w:bidi="ar"/>
              </w:rPr>
              <w:t>2059999</w:t>
            </w:r>
          </w:p>
        </w:tc>
        <w:tc>
          <w:tcPr>
            <w:tcW w:w="92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其他教育支出</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r>
      <w:tr>
        <w:tblPrEx>
          <w:tblCellMar>
            <w:top w:w="0" w:type="dxa"/>
            <w:left w:w="108" w:type="dxa"/>
            <w:bottom w:w="0" w:type="dxa"/>
            <w:right w:w="108" w:type="dxa"/>
          </w:tblCellMar>
        </w:tblPrEx>
        <w:trPr>
          <w:trHeight w:val="447"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2080502</w:t>
            </w:r>
          </w:p>
        </w:tc>
        <w:tc>
          <w:tcPr>
            <w:tcW w:w="92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事业单位离退休</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273"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2080801</w:t>
            </w:r>
          </w:p>
        </w:tc>
        <w:tc>
          <w:tcPr>
            <w:tcW w:w="92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死亡抚恤</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448"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2210110</w:t>
            </w:r>
          </w:p>
        </w:tc>
        <w:tc>
          <w:tcPr>
            <w:tcW w:w="92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保障性租赁住房</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r>
        <w:tblPrEx>
          <w:tblCellMar>
            <w:top w:w="0" w:type="dxa"/>
            <w:left w:w="108" w:type="dxa"/>
            <w:bottom w:w="0" w:type="dxa"/>
            <w:right w:w="108" w:type="dxa"/>
          </w:tblCellMar>
        </w:tblPrEx>
        <w:trPr>
          <w:trHeight w:val="595" w:hRule="atLeast"/>
          <w:jc w:val="center"/>
        </w:trPr>
        <w:tc>
          <w:tcPr>
            <w:tcW w:w="400" w:type="pct"/>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2296002</w:t>
            </w:r>
          </w:p>
        </w:tc>
        <w:tc>
          <w:tcPr>
            <w:tcW w:w="923" w:type="pct"/>
            <w:gridSpan w:val="2"/>
            <w:tcBorders>
              <w:top w:val="single" w:color="auto" w:sz="4" w:space="0"/>
              <w:left w:val="single" w:color="auto" w:sz="4" w:space="0"/>
              <w:bottom w:val="single" w:color="auto" w:sz="4" w:space="0"/>
              <w:right w:val="single" w:color="auto" w:sz="4" w:space="0"/>
            </w:tcBorders>
            <w:shd w:val="clear" w:color="000000" w:fill="FFFFFF"/>
            <w:noWrap/>
            <w:vAlign w:val="center"/>
          </w:tcPr>
          <w:p>
            <w:pPr>
              <w:keepNext w:val="0"/>
              <w:keepLines w:val="0"/>
              <w:widowControl/>
              <w:suppressLineNumbers w:val="0"/>
              <w:jc w:val="left"/>
              <w:textAlignment w:val="center"/>
              <w:rPr>
                <w:rFonts w:ascii="Times New Roman" w:hAnsi="Times New Roman" w:eastAsia="仿宋_GB2312" w:cs="Times New Roman"/>
                <w:kern w:val="0"/>
                <w:sz w:val="24"/>
                <w:szCs w:val="24"/>
              </w:rPr>
            </w:pPr>
            <w:r>
              <w:rPr>
                <w:rFonts w:hint="eastAsia" w:ascii="宋体" w:hAnsi="宋体" w:eastAsia="宋体" w:cs="宋体"/>
                <w:i w:val="0"/>
                <w:iCs w:val="0"/>
                <w:color w:val="000000"/>
                <w:kern w:val="0"/>
                <w:sz w:val="22"/>
                <w:szCs w:val="22"/>
                <w:u w:val="none"/>
                <w:lang w:val="en-US" w:eastAsia="zh-CN" w:bidi="ar"/>
              </w:rPr>
              <w:t>用于社会福利的彩票公益金支出</w:t>
            </w:r>
          </w:p>
        </w:tc>
        <w:tc>
          <w:tcPr>
            <w:tcW w:w="659"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468" w:type="pct"/>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kern w:val="0"/>
                <w:sz w:val="24"/>
                <w:szCs w:val="24"/>
              </w:rPr>
            </w:pPr>
          </w:p>
        </w:tc>
        <w:tc>
          <w:tcPr>
            <w:tcW w:w="660"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469"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c>
          <w:tcPr>
            <w:tcW w:w="948" w:type="pct"/>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4"/>
                <w:szCs w:val="24"/>
              </w:rPr>
            </w:pPr>
          </w:p>
        </w:tc>
      </w:tr>
    </w:tbl>
    <w:p>
      <w:pPr>
        <w:widowControl/>
        <w:spacing w:before="120"/>
        <w:jc w:val="left"/>
        <w:rPr>
          <w:rFonts w:ascii="Times New Roman" w:hAnsi="Times New Roman" w:eastAsia="方正小标宋_GBK" w:cs="Times New Roman"/>
          <w:color w:val="000000"/>
          <w:kern w:val="0"/>
          <w:sz w:val="36"/>
          <w:szCs w:val="21"/>
        </w:rPr>
      </w:pPr>
      <w:r>
        <w:rPr>
          <w:rFonts w:ascii="Times New Roman" w:hAnsi="Times New Roman" w:eastAsia="仿宋_GB2312" w:cs="Times New Roman"/>
          <w:kern w:val="0"/>
          <w:sz w:val="24"/>
          <w:szCs w:val="24"/>
        </w:rPr>
        <w:t>注：本表反映部门本年度各项支出情况。</w:t>
      </w:r>
    </w:p>
    <w:p>
      <w:pPr>
        <w:widowControl/>
        <w:spacing w:afterLines="50"/>
        <w:jc w:val="center"/>
        <w:textAlignment w:val="center"/>
        <w:rPr>
          <w:rFonts w:ascii="Times New Roman" w:hAnsi="Times New Roman" w:eastAsia="黑体" w:cs="Times New Roman"/>
          <w:color w:val="000000"/>
          <w:kern w:val="0"/>
          <w:sz w:val="36"/>
          <w:szCs w:val="36"/>
        </w:rPr>
      </w:pPr>
      <w:bookmarkStart w:id="3" w:name="RANGE!A1:I22"/>
      <w:bookmarkEnd w:id="3"/>
      <w:bookmarkStart w:id="4" w:name="RANGE!A1:F16"/>
      <w:r>
        <w:rPr>
          <w:rFonts w:ascii="Times New Roman" w:hAnsi="Times New Roman" w:eastAsia="黑体" w:cs="Times New Roman"/>
          <w:color w:val="000000"/>
          <w:kern w:val="0"/>
          <w:sz w:val="36"/>
          <w:szCs w:val="36"/>
        </w:rPr>
        <w:t>财政拨款收入支出决算总表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公开04表</w:t>
      </w:r>
    </w:p>
    <w:p>
      <w:pPr>
        <w:widowControl/>
        <w:tabs>
          <w:tab w:val="left" w:pos="3595"/>
          <w:tab w:val="left" w:pos="4031"/>
          <w:tab w:val="left" w:pos="5109"/>
          <w:tab w:val="left" w:pos="9152"/>
          <w:tab w:val="left" w:pos="9587"/>
          <w:tab w:val="left" w:pos="11160"/>
          <w:tab w:val="left" w:pos="12554"/>
          <w:tab w:val="left" w:pos="13948"/>
        </w:tabs>
        <w:jc w:val="center"/>
        <w:rPr>
          <w:rFonts w:ascii="Times New Roman" w:hAnsi="Times New Roman" w:eastAsia="仿宋_GB2312" w:cs="Times New Roman"/>
          <w:color w:val="000000"/>
          <w:kern w:val="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kern w:val="0"/>
          <w:sz w:val="20"/>
          <w:szCs w:val="20"/>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kern w:val="0"/>
          <w:sz w:val="24"/>
          <w:szCs w:val="24"/>
        </w:rPr>
        <w:tab/>
      </w:r>
      <w:r>
        <w:rPr>
          <w:rFonts w:ascii="Times New Roman" w:hAnsi="Times New Roman" w:eastAsia="仿宋_GB2312" w:cs="Times New Roman"/>
          <w:kern w:val="0"/>
          <w:sz w:val="24"/>
          <w:szCs w:val="24"/>
        </w:rPr>
        <w:t>　</w:t>
      </w:r>
      <w:r>
        <w:rPr>
          <w:rFonts w:ascii="Times New Roman" w:hAnsi="Times New Roman" w:eastAsia="仿宋_GB2312" w:cs="Times New Roman"/>
          <w:color w:val="000000"/>
          <w:kern w:val="0"/>
          <w:sz w:val="20"/>
          <w:szCs w:val="20"/>
        </w:rPr>
        <w:t>单位：万元</w:t>
      </w:r>
    </w:p>
    <w:tbl>
      <w:tblPr>
        <w:tblStyle w:val="10"/>
        <w:tblW w:w="0" w:type="auto"/>
        <w:jc w:val="center"/>
        <w:tblLayout w:type="autofit"/>
        <w:tblCellMar>
          <w:top w:w="0" w:type="dxa"/>
          <w:left w:w="108" w:type="dxa"/>
          <w:bottom w:w="0" w:type="dxa"/>
          <w:right w:w="108" w:type="dxa"/>
        </w:tblCellMar>
      </w:tblPr>
      <w:tblGrid>
        <w:gridCol w:w="3296"/>
        <w:gridCol w:w="616"/>
        <w:gridCol w:w="1096"/>
        <w:gridCol w:w="2856"/>
        <w:gridCol w:w="616"/>
        <w:gridCol w:w="1096"/>
        <w:gridCol w:w="1624"/>
        <w:gridCol w:w="1460"/>
        <w:gridCol w:w="1560"/>
      </w:tblGrid>
      <w:tr>
        <w:tblPrEx>
          <w:tblCellMar>
            <w:top w:w="0" w:type="dxa"/>
            <w:left w:w="108" w:type="dxa"/>
            <w:bottom w:w="0" w:type="dxa"/>
            <w:right w:w="108" w:type="dxa"/>
          </w:tblCellMar>
        </w:tblPrEx>
        <w:trPr>
          <w:trHeight w:val="402" w:hRule="atLeast"/>
          <w:jc w:val="center"/>
        </w:trPr>
        <w:tc>
          <w:tcPr>
            <w:tcW w:w="0" w:type="auto"/>
            <w:gridSpan w:val="3"/>
            <w:tcBorders>
              <w:top w:val="single" w:color="auto" w:sz="4" w:space="0"/>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收入</w:t>
            </w:r>
          </w:p>
        </w:tc>
        <w:tc>
          <w:tcPr>
            <w:tcW w:w="0" w:type="auto"/>
            <w:gridSpan w:val="6"/>
            <w:tcBorders>
              <w:top w:val="single" w:color="auto" w:sz="4" w:space="0"/>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支出</w:t>
            </w:r>
          </w:p>
        </w:tc>
      </w:tr>
      <w:tr>
        <w:tblPrEx>
          <w:tblCellMar>
            <w:top w:w="0" w:type="dxa"/>
            <w:left w:w="108" w:type="dxa"/>
            <w:bottom w:w="0" w:type="dxa"/>
            <w:right w:w="108" w:type="dxa"/>
          </w:tblCellMar>
        </w:tblPrEx>
        <w:trPr>
          <w:trHeight w:val="630"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金额</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项目</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0"/>
                <w:szCs w:val="20"/>
              </w:rPr>
            </w:pPr>
            <w:r>
              <w:rPr>
                <w:rFonts w:ascii="Times New Roman" w:hAnsi="Times New Roman" w:eastAsia="仿宋_GB2312" w:cs="Times New Roman"/>
                <w:kern w:val="0"/>
                <w:sz w:val="20"/>
                <w:szCs w:val="20"/>
              </w:rPr>
              <w:t>行次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合计</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一般公共预算财政拨款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政府性基金预算财政拨款</w:t>
            </w:r>
          </w:p>
        </w:tc>
        <w:tc>
          <w:tcPr>
            <w:tcW w:w="0" w:type="auto"/>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国有资本经营预算财政拨款</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1</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栏次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2</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5</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1,956.63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一、一般公共服务支出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二、外交支出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三、国防支出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32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四、公共安全支出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3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五、教育支出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19</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1956.63</w:t>
            </w:r>
          </w:p>
        </w:tc>
        <w:tc>
          <w:tcPr>
            <w:tcW w:w="162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1956.63</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327"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六、科学技术支出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20</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p>
        </w:tc>
        <w:tc>
          <w:tcPr>
            <w:tcW w:w="162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3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4"/>
                <w:szCs w:val="24"/>
                <w:lang w:eastAsia="zh-CN"/>
              </w:rPr>
            </w:pPr>
            <w:r>
              <w:rPr>
                <w:rFonts w:hint="eastAsia" w:ascii="Times New Roman" w:hAnsi="Times New Roman" w:eastAsia="仿宋_GB2312" w:cs="Times New Roman"/>
                <w:kern w:val="0"/>
                <w:sz w:val="24"/>
                <w:szCs w:val="24"/>
                <w:lang w:eastAsia="zh-CN"/>
              </w:rPr>
              <w:t>七、社会保障和就业支出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21</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2"/>
                <w:lang w:val="en-US"/>
              </w:rPr>
            </w:pPr>
          </w:p>
        </w:tc>
        <w:tc>
          <w:tcPr>
            <w:tcW w:w="162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default" w:ascii="Times New Roman" w:hAnsi="Times New Roman" w:eastAsia="仿宋_GB2312" w:cs="Times New Roman"/>
                <w:kern w:val="0"/>
                <w:sz w:val="22"/>
                <w:lang w:val="en-US"/>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hint="eastAsia" w:ascii="Times New Roman" w:hAnsi="Times New Roman" w:eastAsia="仿宋_GB2312" w:cs="Times New Roman"/>
                <w:kern w:val="0"/>
                <w:sz w:val="22"/>
                <w:lang w:eastAsia="zh-CN"/>
              </w:rPr>
            </w:pPr>
            <w:r>
              <w:rPr>
                <w:rFonts w:hint="eastAsia" w:ascii="Times New Roman" w:hAnsi="Times New Roman" w:eastAsia="仿宋_GB2312" w:cs="Times New Roman"/>
                <w:kern w:val="0"/>
                <w:sz w:val="22"/>
                <w:lang w:eastAsia="zh-CN"/>
              </w:rPr>
              <w:t>八、住房保障支出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22</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p>
        </w:tc>
        <w:tc>
          <w:tcPr>
            <w:tcW w:w="162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9</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0"/>
                <w:sz w:val="22"/>
                <w:szCs w:val="22"/>
                <w:u w:val="none"/>
                <w:lang w:val="en-US" w:eastAsia="zh-CN" w:bidi="ar"/>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both"/>
              <w:rPr>
                <w:rFonts w:hint="eastAsia" w:ascii="Times New Roman" w:hAnsi="Times New Roman" w:eastAsia="仿宋_GB2312" w:cs="Times New Roman"/>
                <w:b/>
                <w:bCs/>
                <w:kern w:val="0"/>
                <w:sz w:val="22"/>
                <w:lang w:eastAsia="zh-CN"/>
              </w:rPr>
            </w:pPr>
            <w:r>
              <w:rPr>
                <w:rFonts w:hint="eastAsia" w:ascii="Times New Roman" w:hAnsi="Times New Roman" w:eastAsia="仿宋_GB2312" w:cs="Times New Roman"/>
                <w:kern w:val="0"/>
                <w:sz w:val="22"/>
                <w:lang w:eastAsia="zh-CN"/>
              </w:rPr>
              <w:t>九、其他支出</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23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hint="default" w:ascii="Times New Roman" w:hAnsi="Times New Roman" w:eastAsia="仿宋_GB2312" w:cs="Times New Roman"/>
                <w:kern w:val="0"/>
                <w:sz w:val="22"/>
                <w:lang w:val="en-US" w:eastAsia="zh-CN"/>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本年收入合计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10</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1,956.63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本年支出合计</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4</w:t>
            </w:r>
          </w:p>
        </w:tc>
        <w:tc>
          <w:tcPr>
            <w:tcW w:w="1096"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1956.63</w:t>
            </w:r>
          </w:p>
        </w:tc>
        <w:tc>
          <w:tcPr>
            <w:tcW w:w="1624"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2"/>
                <w:sz w:val="22"/>
                <w:szCs w:val="22"/>
                <w:u w:val="none"/>
                <w:lang w:val="en-US" w:eastAsia="zh-CN" w:bidi="ar-SA"/>
              </w:rPr>
              <w:t>1956.63</w:t>
            </w:r>
          </w:p>
        </w:tc>
        <w:tc>
          <w:tcPr>
            <w:tcW w:w="14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年初财政拨款结转和结余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11</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年末财政拨款结转和结余</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5</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一般公共预算财政拨款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12</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6</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政府性基金预算财政拨款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13</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7</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国有资本经营预算财政拨款</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14</w:t>
            </w:r>
          </w:p>
        </w:tc>
        <w:tc>
          <w:tcPr>
            <w:tcW w:w="0" w:type="auto"/>
            <w:tcBorders>
              <w:top w:val="nil"/>
              <w:left w:val="nil"/>
              <w:bottom w:val="single" w:color="auto" w:sz="4" w:space="0"/>
              <w:right w:val="single" w:color="auto" w:sz="4" w:space="0"/>
            </w:tcBorders>
            <w:shd w:val="clear" w:color="auto" w:fill="auto"/>
            <w:noWrap/>
            <w:vAlign w:val="center"/>
          </w:tcPr>
          <w:p>
            <w:pPr>
              <w:widowControl/>
              <w:jc w:val="righ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8</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kern w:val="0"/>
                <w:sz w:val="22"/>
              </w:rPr>
            </w:pPr>
            <w:r>
              <w:rPr>
                <w:rFonts w:ascii="Times New Roman" w:hAnsi="Times New Roman" w:eastAsia="仿宋_GB2312" w:cs="Times New Roman"/>
                <w:kern w:val="0"/>
                <w:sz w:val="22"/>
              </w:rPr>
              <w:t>　</w:t>
            </w:r>
          </w:p>
        </w:tc>
      </w:tr>
      <w:tr>
        <w:tblPrEx>
          <w:tblCellMar>
            <w:top w:w="0" w:type="dxa"/>
            <w:left w:w="108" w:type="dxa"/>
            <w:bottom w:w="0" w:type="dxa"/>
            <w:right w:w="108" w:type="dxa"/>
          </w:tblCellMar>
        </w:tblPrEx>
        <w:trPr>
          <w:trHeight w:val="402" w:hRule="atLeast"/>
          <w:jc w:val="center"/>
        </w:trPr>
        <w:tc>
          <w:tcPr>
            <w:tcW w:w="0" w:type="auto"/>
            <w:tcBorders>
              <w:top w:val="nil"/>
              <w:left w:val="single" w:color="auto" w:sz="4" w:space="0"/>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hint="default" w:ascii="Times New Roman" w:hAnsi="Times New Roman" w:eastAsia="仿宋_GB2312" w:cs="Times New Roman"/>
                <w:kern w:val="0"/>
                <w:sz w:val="22"/>
                <w:lang w:val="en-US" w:eastAsia="zh-CN"/>
              </w:rPr>
            </w:pPr>
            <w:r>
              <w:rPr>
                <w:rFonts w:hint="eastAsia" w:ascii="Times New Roman" w:hAnsi="Times New Roman" w:eastAsia="仿宋_GB2312" w:cs="Times New Roman"/>
                <w:kern w:val="0"/>
                <w:sz w:val="22"/>
                <w:lang w:val="en-US" w:eastAsia="zh-CN"/>
              </w:rPr>
              <w:t>15</w:t>
            </w:r>
          </w:p>
        </w:tc>
        <w:tc>
          <w:tcPr>
            <w:tcW w:w="0" w:type="auto"/>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1,956.63 </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总计</w:t>
            </w:r>
          </w:p>
        </w:tc>
        <w:tc>
          <w:tcPr>
            <w:tcW w:w="0" w:type="auto"/>
            <w:tcBorders>
              <w:top w:val="nil"/>
              <w:left w:val="nil"/>
              <w:bottom w:val="single" w:color="auto" w:sz="4" w:space="0"/>
              <w:right w:val="single" w:color="auto" w:sz="4" w:space="0"/>
            </w:tcBorders>
            <w:shd w:val="clear" w:color="000000" w:fill="FFFFFF"/>
            <w:noWrap/>
            <w:vAlign w:val="center"/>
          </w:tcPr>
          <w:p>
            <w:pPr>
              <w:widowControl/>
              <w:jc w:val="center"/>
              <w:rPr>
                <w:rFonts w:hint="eastAsia" w:ascii="Times New Roman" w:hAnsi="Times New Roman" w:eastAsia="仿宋_GB2312" w:cs="Times New Roman"/>
                <w:kern w:val="0"/>
                <w:sz w:val="22"/>
                <w:lang w:eastAsia="zh-CN"/>
              </w:rPr>
            </w:pPr>
            <w:r>
              <w:rPr>
                <w:rFonts w:ascii="Times New Roman" w:hAnsi="Times New Roman" w:eastAsia="仿宋_GB2312" w:cs="Times New Roman"/>
                <w:kern w:val="0"/>
                <w:sz w:val="22"/>
              </w:rPr>
              <w:t>2</w:t>
            </w:r>
            <w:r>
              <w:rPr>
                <w:rFonts w:hint="eastAsia" w:ascii="Times New Roman" w:hAnsi="Times New Roman" w:eastAsia="仿宋_GB2312" w:cs="Times New Roman"/>
                <w:kern w:val="0"/>
                <w:sz w:val="22"/>
                <w:lang w:val="en-US" w:eastAsia="zh-CN"/>
              </w:rPr>
              <w:t>9</w:t>
            </w:r>
          </w:p>
        </w:tc>
        <w:tc>
          <w:tcPr>
            <w:tcW w:w="1096"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1624" w:type="dxa"/>
            <w:tcBorders>
              <w:top w:val="nil"/>
              <w:left w:val="nil"/>
              <w:bottom w:val="single" w:color="auto" w:sz="4" w:space="0"/>
              <w:right w:val="single" w:color="auto" w:sz="4" w:space="0"/>
            </w:tcBorders>
            <w:shd w:val="clear" w:color="000000" w:fill="FFFFFF"/>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p>
        </w:tc>
        <w:tc>
          <w:tcPr>
            <w:tcW w:w="1460"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b/>
                <w:bCs/>
                <w:kern w:val="0"/>
                <w:sz w:val="22"/>
              </w:rPr>
            </w:pPr>
          </w:p>
        </w:tc>
        <w:tc>
          <w:tcPr>
            <w:tcW w:w="0" w:type="auto"/>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b/>
                <w:bCs/>
                <w:kern w:val="0"/>
                <w:sz w:val="22"/>
              </w:rPr>
            </w:pPr>
            <w:r>
              <w:rPr>
                <w:rFonts w:ascii="Times New Roman" w:hAnsi="Times New Roman" w:eastAsia="仿宋_GB2312" w:cs="Times New Roman"/>
                <w:b/>
                <w:bCs/>
                <w:kern w:val="0"/>
                <w:sz w:val="22"/>
              </w:rPr>
              <w:t>　</w:t>
            </w:r>
          </w:p>
        </w:tc>
      </w:tr>
    </w:tbl>
    <w:p>
      <w:pPr>
        <w:widowControl/>
        <w:jc w:val="left"/>
        <w:rPr>
          <w:rFonts w:ascii="Times New Roman" w:hAnsi="Times New Roman" w:eastAsia="仿宋_GB2312" w:cs="Times New Roman"/>
          <w:kern w:val="0"/>
          <w:sz w:val="24"/>
          <w:szCs w:val="24"/>
        </w:rPr>
      </w:pPr>
      <w:r>
        <w:rPr>
          <w:rFonts w:ascii="Times New Roman" w:hAnsi="Times New Roman" w:eastAsia="仿宋_GB2312" w:cs="Times New Roman"/>
          <w:kern w:val="0"/>
          <w:sz w:val="24"/>
          <w:szCs w:val="24"/>
        </w:rPr>
        <w:t>注：</w:t>
      </w:r>
      <w:r>
        <w:rPr>
          <w:rFonts w:ascii="Times New Roman" w:hAnsi="Times New Roman" w:eastAsia="仿宋_GB2312" w:cs="Times New Roman"/>
          <w:spacing w:val="-6"/>
          <w:kern w:val="0"/>
          <w:sz w:val="24"/>
          <w:szCs w:val="24"/>
        </w:rPr>
        <w:t>本表反映部门本年度一般公共预算财政拨款、政府性基金预算财政拨款和国有资本经营预算财政拨款的总收支和年末结转结余情况。</w:t>
      </w:r>
    </w:p>
    <w:p>
      <w:pPr>
        <w:widowControl/>
        <w:jc w:val="center"/>
        <w:rPr>
          <w:rFonts w:ascii="Times New Roman" w:hAnsi="Times New Roman" w:eastAsia="方正小标宋_GBK" w:cs="Times New Roman"/>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一般公共预算财政拨款支出决算表</w:t>
      </w:r>
      <w:bookmarkEnd w:id="4"/>
    </w:p>
    <w:p>
      <w:pPr>
        <w:widowControl/>
        <w:spacing w:beforeLines="50"/>
        <w:jc w:val="lef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部门：公开05表</w:t>
      </w:r>
    </w:p>
    <w:p>
      <w:pPr>
        <w:widowControl/>
        <w:jc w:val="left"/>
        <w:rPr>
          <w:rFonts w:ascii="Times New Roman" w:hAnsi="Times New Roman" w:eastAsia="宋体" w:cs="Times New Roman"/>
          <w:color w:val="000000"/>
          <w:kern w:val="0"/>
          <w:sz w:val="20"/>
          <w:szCs w:val="20"/>
        </w:rPr>
      </w:pPr>
      <w:r>
        <w:rPr>
          <w:rFonts w:ascii="Times New Roman" w:hAnsi="Times New Roman" w:eastAsia="仿宋_GB2312" w:cs="Times New Roman"/>
          <w:color w:val="000000"/>
          <w:kern w:val="0"/>
          <w:szCs w:val="21"/>
        </w:rPr>
        <w:t>单位：万元</w:t>
      </w:r>
    </w:p>
    <w:tbl>
      <w:tblPr>
        <w:tblStyle w:val="10"/>
        <w:tblW w:w="14219" w:type="dxa"/>
        <w:jc w:val="center"/>
        <w:tblLayout w:type="autofit"/>
        <w:tblCellMar>
          <w:top w:w="0" w:type="dxa"/>
          <w:left w:w="108" w:type="dxa"/>
          <w:bottom w:w="0" w:type="dxa"/>
          <w:right w:w="108" w:type="dxa"/>
        </w:tblCellMar>
      </w:tblPr>
      <w:tblGrid>
        <w:gridCol w:w="1200"/>
        <w:gridCol w:w="3527"/>
        <w:gridCol w:w="3000"/>
        <w:gridCol w:w="3492"/>
        <w:gridCol w:w="3000"/>
      </w:tblGrid>
      <w:tr>
        <w:tblPrEx>
          <w:tblCellMar>
            <w:top w:w="0" w:type="dxa"/>
            <w:left w:w="108" w:type="dxa"/>
            <w:bottom w:w="0" w:type="dxa"/>
            <w:right w:w="108" w:type="dxa"/>
          </w:tblCellMar>
        </w:tblPrEx>
        <w:trPr>
          <w:trHeight w:val="545" w:hRule="atLeast"/>
          <w:jc w:val="center"/>
        </w:trPr>
        <w:tc>
          <w:tcPr>
            <w:tcW w:w="4727" w:type="dxa"/>
            <w:gridSpan w:val="2"/>
            <w:tcBorders>
              <w:top w:val="single" w:color="auto" w:sz="8"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w:t>
            </w:r>
          </w:p>
        </w:tc>
        <w:tc>
          <w:tcPr>
            <w:tcW w:w="9492" w:type="dxa"/>
            <w:gridSpan w:val="3"/>
            <w:tcBorders>
              <w:top w:val="single" w:color="auto" w:sz="8" w:space="0"/>
              <w:left w:val="nil"/>
              <w:bottom w:val="single" w:color="auto" w:sz="4" w:space="0"/>
              <w:right w:val="single" w:color="000000"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本年支出</w:t>
            </w:r>
          </w:p>
        </w:tc>
      </w:tr>
      <w:tr>
        <w:tblPrEx>
          <w:tblCellMar>
            <w:top w:w="0" w:type="dxa"/>
            <w:left w:w="108" w:type="dxa"/>
            <w:bottom w:w="0" w:type="dxa"/>
            <w:right w:w="108" w:type="dxa"/>
          </w:tblCellMar>
        </w:tblPrEx>
        <w:trPr>
          <w:trHeight w:val="312" w:hRule="exact"/>
          <w:jc w:val="center"/>
        </w:trPr>
        <w:tc>
          <w:tcPr>
            <w:tcW w:w="1200" w:type="dxa"/>
            <w:vMerge w:val="restart"/>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功能分类科目编码</w:t>
            </w:r>
          </w:p>
        </w:tc>
        <w:tc>
          <w:tcPr>
            <w:tcW w:w="3527" w:type="dxa"/>
            <w:vMerge w:val="restart"/>
            <w:tcBorders>
              <w:top w:val="nil"/>
              <w:left w:val="single" w:color="auto" w:sz="4"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科目名称</w:t>
            </w:r>
          </w:p>
        </w:tc>
        <w:tc>
          <w:tcPr>
            <w:tcW w:w="3000"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小计</w:t>
            </w:r>
          </w:p>
        </w:tc>
        <w:tc>
          <w:tcPr>
            <w:tcW w:w="3492" w:type="dxa"/>
            <w:vMerge w:val="restart"/>
            <w:tcBorders>
              <w:top w:val="nil"/>
              <w:left w:val="single" w:color="auto" w:sz="4" w:space="0"/>
              <w:bottom w:val="single" w:color="000000" w:sz="4" w:space="0"/>
              <w:right w:val="single" w:color="auto" w:sz="4"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基本支出</w:t>
            </w:r>
          </w:p>
        </w:tc>
        <w:tc>
          <w:tcPr>
            <w:tcW w:w="3000" w:type="dxa"/>
            <w:vMerge w:val="restart"/>
            <w:tcBorders>
              <w:top w:val="nil"/>
              <w:left w:val="single" w:color="auto" w:sz="4" w:space="0"/>
              <w:bottom w:val="single" w:color="000000" w:sz="4" w:space="0"/>
              <w:right w:val="single" w:color="auto" w:sz="8" w:space="0"/>
            </w:tcBorders>
            <w:shd w:val="clear" w:color="auto" w:fill="auto"/>
            <w:vAlign w:val="center"/>
          </w:tcPr>
          <w:p>
            <w:pPr>
              <w:widowControl/>
              <w:jc w:val="center"/>
              <w:rPr>
                <w:rFonts w:ascii="Times New Roman" w:hAnsi="Times New Roman" w:eastAsia="仿宋_GB2312" w:cs="Times New Roman"/>
                <w:b/>
                <w:kern w:val="0"/>
                <w:szCs w:val="21"/>
              </w:rPr>
            </w:pPr>
            <w:r>
              <w:rPr>
                <w:rFonts w:ascii="Times New Roman" w:hAnsi="Times New Roman" w:eastAsia="仿宋_GB2312" w:cs="Times New Roman"/>
                <w:b/>
                <w:kern w:val="0"/>
                <w:szCs w:val="21"/>
              </w:rPr>
              <w:t>项目支出</w:t>
            </w:r>
          </w:p>
        </w:tc>
      </w:tr>
      <w:tr>
        <w:tblPrEx>
          <w:tblCellMar>
            <w:top w:w="0" w:type="dxa"/>
            <w:left w:w="108" w:type="dxa"/>
            <w:bottom w:w="0" w:type="dxa"/>
            <w:right w:w="108" w:type="dxa"/>
          </w:tblCellMar>
        </w:tblPrEx>
        <w:trPr>
          <w:trHeight w:val="360"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312" w:hRule="atLeast"/>
          <w:jc w:val="center"/>
        </w:trPr>
        <w:tc>
          <w:tcPr>
            <w:tcW w:w="1200" w:type="dxa"/>
            <w:vMerge w:val="continue"/>
            <w:tcBorders>
              <w:top w:val="single" w:color="auto" w:sz="4" w:space="0"/>
              <w:left w:val="single" w:color="auto" w:sz="8"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527" w:type="dxa"/>
            <w:vMerge w:val="continue"/>
            <w:tcBorders>
              <w:top w:val="nil"/>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492" w:type="dxa"/>
            <w:vMerge w:val="continue"/>
            <w:tcBorders>
              <w:top w:val="nil"/>
              <w:left w:val="single" w:color="auto" w:sz="4" w:space="0"/>
              <w:bottom w:val="single" w:color="000000" w:sz="4" w:space="0"/>
              <w:right w:val="single" w:color="auto" w:sz="4" w:space="0"/>
            </w:tcBorders>
            <w:vAlign w:val="center"/>
          </w:tcPr>
          <w:p>
            <w:pPr>
              <w:widowControl/>
              <w:jc w:val="left"/>
              <w:rPr>
                <w:rFonts w:ascii="Times New Roman" w:hAnsi="Times New Roman" w:eastAsia="仿宋_GB2312" w:cs="Times New Roman"/>
                <w:kern w:val="0"/>
                <w:szCs w:val="21"/>
              </w:rPr>
            </w:pPr>
          </w:p>
        </w:tc>
        <w:tc>
          <w:tcPr>
            <w:tcW w:w="3000" w:type="dxa"/>
            <w:vMerge w:val="continue"/>
            <w:tcBorders>
              <w:top w:val="nil"/>
              <w:left w:val="single" w:color="auto" w:sz="4" w:space="0"/>
              <w:bottom w:val="single" w:color="000000" w:sz="4" w:space="0"/>
              <w:right w:val="single" w:color="auto" w:sz="8" w:space="0"/>
            </w:tcBorders>
            <w:vAlign w:val="center"/>
          </w:tcPr>
          <w:p>
            <w:pPr>
              <w:widowControl/>
              <w:jc w:val="lef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栏次</w:t>
            </w:r>
          </w:p>
        </w:tc>
        <w:tc>
          <w:tcPr>
            <w:tcW w:w="3000"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1</w:t>
            </w:r>
          </w:p>
        </w:tc>
        <w:tc>
          <w:tcPr>
            <w:tcW w:w="3492" w:type="dxa"/>
            <w:tcBorders>
              <w:top w:val="nil"/>
              <w:left w:val="nil"/>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2</w:t>
            </w:r>
          </w:p>
        </w:tc>
        <w:tc>
          <w:tcPr>
            <w:tcW w:w="3000" w:type="dxa"/>
            <w:tcBorders>
              <w:top w:val="nil"/>
              <w:left w:val="nil"/>
              <w:bottom w:val="single" w:color="auto" w:sz="4" w:space="0"/>
              <w:right w:val="single" w:color="auto" w:sz="8"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3</w:t>
            </w:r>
          </w:p>
        </w:tc>
      </w:tr>
      <w:tr>
        <w:tblPrEx>
          <w:tblCellMar>
            <w:top w:w="0" w:type="dxa"/>
            <w:left w:w="108" w:type="dxa"/>
            <w:bottom w:w="0" w:type="dxa"/>
            <w:right w:w="108" w:type="dxa"/>
          </w:tblCellMar>
        </w:tblPrEx>
        <w:trPr>
          <w:trHeight w:val="450" w:hRule="atLeast"/>
          <w:jc w:val="center"/>
        </w:trPr>
        <w:tc>
          <w:tcPr>
            <w:tcW w:w="4727" w:type="dxa"/>
            <w:gridSpan w:val="2"/>
            <w:tcBorders>
              <w:top w:val="single" w:color="auto" w:sz="4" w:space="0"/>
              <w:left w:val="single" w:color="auto" w:sz="8" w:space="0"/>
              <w:bottom w:val="single" w:color="auto" w:sz="4" w:space="0"/>
              <w:right w:val="single" w:color="auto" w:sz="4" w:space="0"/>
            </w:tcBorders>
            <w:shd w:val="clear" w:color="auto" w:fill="auto"/>
            <w:vAlign w:val="center"/>
          </w:tcPr>
          <w:p>
            <w:pPr>
              <w:widowControl/>
              <w:jc w:val="center"/>
              <w:rPr>
                <w:rFonts w:ascii="Times New Roman" w:hAnsi="Times New Roman" w:eastAsia="仿宋_GB2312" w:cs="Times New Roman"/>
                <w:kern w:val="0"/>
                <w:szCs w:val="21"/>
              </w:rPr>
            </w:pPr>
            <w:r>
              <w:rPr>
                <w:rFonts w:ascii="Times New Roman" w:hAnsi="Times New Roman" w:eastAsia="仿宋_GB2312" w:cs="Times New Roman"/>
                <w:kern w:val="0"/>
                <w:szCs w:val="21"/>
              </w:rPr>
              <w:t>合计</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1,956.63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b/>
                <w:bCs/>
                <w:i w:val="0"/>
                <w:iCs w:val="0"/>
                <w:color w:val="000000"/>
                <w:kern w:val="2"/>
                <w:sz w:val="22"/>
                <w:szCs w:val="22"/>
                <w:u w:val="none"/>
                <w:lang w:val="en-US" w:eastAsia="zh-CN" w:bidi="ar-SA"/>
              </w:rPr>
            </w:pPr>
            <w:r>
              <w:rPr>
                <w:rFonts w:hint="eastAsia" w:ascii="宋体" w:hAnsi="宋体" w:eastAsia="宋体" w:cs="宋体"/>
                <w:b w:val="0"/>
                <w:bCs w:val="0"/>
                <w:i w:val="0"/>
                <w:iCs w:val="0"/>
                <w:color w:val="000000"/>
                <w:kern w:val="0"/>
                <w:sz w:val="22"/>
                <w:szCs w:val="22"/>
                <w:u w:val="none"/>
                <w:lang w:val="en-US" w:eastAsia="zh-CN" w:bidi="ar"/>
              </w:rPr>
              <w:t>1939.64</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b w:val="0"/>
                <w:bCs w:val="0"/>
                <w:kern w:val="0"/>
                <w:szCs w:val="21"/>
                <w:lang w:val="en-US"/>
              </w:rPr>
            </w:pPr>
            <w:r>
              <w:rPr>
                <w:rFonts w:hint="eastAsia" w:ascii="宋体" w:hAnsi="宋体" w:eastAsia="宋体" w:cs="宋体"/>
                <w:b w:val="0"/>
                <w:bCs w:val="0"/>
                <w:i w:val="0"/>
                <w:iCs w:val="0"/>
                <w:color w:val="000000"/>
                <w:kern w:val="0"/>
                <w:sz w:val="22"/>
                <w:szCs w:val="22"/>
                <w:u w:val="none"/>
                <w:lang w:val="en-US" w:eastAsia="zh-CN" w:bidi="ar"/>
              </w:rPr>
              <w:t>16.99</w:t>
            </w: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2050201</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学前教育</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95.90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95.90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2050202</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小学教育</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301.68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301.68 </w:t>
            </w: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2050203</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初中教育</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p>
        </w:tc>
        <w:tc>
          <w:tcPr>
            <w:tcW w:w="3000" w:type="dxa"/>
            <w:tcBorders>
              <w:top w:val="nil"/>
              <w:left w:val="nil"/>
              <w:bottom w:val="single" w:color="auto" w:sz="4"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2050299</w:t>
            </w:r>
          </w:p>
        </w:tc>
        <w:tc>
          <w:tcPr>
            <w:tcW w:w="3527"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其他普通教育支出</w:t>
            </w:r>
          </w:p>
        </w:tc>
        <w:tc>
          <w:tcPr>
            <w:tcW w:w="3000"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1,542.06 </w:t>
            </w:r>
          </w:p>
        </w:tc>
        <w:tc>
          <w:tcPr>
            <w:tcW w:w="3492" w:type="dxa"/>
            <w:tcBorders>
              <w:top w:val="nil"/>
              <w:left w:val="nil"/>
              <w:bottom w:val="single" w:color="auto" w:sz="4" w:space="0"/>
              <w:right w:val="single" w:color="auto" w:sz="4"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1,542.06 </w:t>
            </w:r>
          </w:p>
        </w:tc>
        <w:tc>
          <w:tcPr>
            <w:tcW w:w="3000" w:type="dxa"/>
            <w:tcBorders>
              <w:top w:val="nil"/>
              <w:left w:val="nil"/>
              <w:bottom w:val="single" w:color="auto" w:sz="4" w:space="0"/>
              <w:right w:val="single" w:color="auto" w:sz="8" w:space="0"/>
            </w:tcBorders>
            <w:shd w:val="clear" w:color="auto" w:fill="auto"/>
            <w:vAlign w:val="center"/>
          </w:tcPr>
          <w:p>
            <w:pPr>
              <w:keepNext w:val="0"/>
              <w:keepLines w:val="0"/>
              <w:widowControl/>
              <w:suppressLineNumbers w:val="0"/>
              <w:jc w:val="right"/>
              <w:textAlignment w:val="center"/>
              <w:rPr>
                <w:rFonts w:hint="default" w:ascii="Times New Roman" w:hAnsi="Times New Roman" w:eastAsia="仿宋_GB2312" w:cs="Times New Roman"/>
                <w:kern w:val="0"/>
                <w:szCs w:val="21"/>
                <w:lang w:val="en-US"/>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4" w:space="0"/>
              <w:left w:val="single" w:color="auto" w:sz="8" w:space="0"/>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2050999</w:t>
            </w:r>
          </w:p>
        </w:tc>
        <w:tc>
          <w:tcPr>
            <w:tcW w:w="3527"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其他教育费附加安排的支出</w:t>
            </w:r>
          </w:p>
        </w:tc>
        <w:tc>
          <w:tcPr>
            <w:tcW w:w="3000"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16.99 </w:t>
            </w:r>
          </w:p>
        </w:tc>
        <w:tc>
          <w:tcPr>
            <w:tcW w:w="3492" w:type="dxa"/>
            <w:tcBorders>
              <w:top w:val="nil"/>
              <w:left w:val="nil"/>
              <w:bottom w:val="single" w:color="auto" w:sz="8" w:space="0"/>
              <w:right w:val="single" w:color="auto" w:sz="4"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 </w:t>
            </w:r>
          </w:p>
        </w:tc>
        <w:tc>
          <w:tcPr>
            <w:tcW w:w="3000" w:type="dxa"/>
            <w:tcBorders>
              <w:top w:val="nil"/>
              <w:left w:val="nil"/>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16.99 </w:t>
            </w:r>
          </w:p>
        </w:tc>
      </w:tr>
      <w:tr>
        <w:tblPrEx>
          <w:tblCellMar>
            <w:top w:w="0" w:type="dxa"/>
            <w:left w:w="108" w:type="dxa"/>
            <w:bottom w:w="0" w:type="dxa"/>
            <w:right w:w="108" w:type="dxa"/>
          </w:tblCellMar>
        </w:tblPrEx>
        <w:trPr>
          <w:trHeight w:val="450" w:hRule="atLeast"/>
          <w:jc w:val="center"/>
        </w:trPr>
        <w:tc>
          <w:tcPr>
            <w:tcW w:w="120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2059999</w:t>
            </w:r>
          </w:p>
        </w:tc>
        <w:tc>
          <w:tcPr>
            <w:tcW w:w="3527"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其他教育支出</w:t>
            </w: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p>
        </w:tc>
        <w:tc>
          <w:tcPr>
            <w:tcW w:w="3492"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2080502</w:t>
            </w:r>
          </w:p>
        </w:tc>
        <w:tc>
          <w:tcPr>
            <w:tcW w:w="3527"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事业单位离退休</w:t>
            </w: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p>
        </w:tc>
        <w:tc>
          <w:tcPr>
            <w:tcW w:w="3492"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hint="default" w:ascii="宋体" w:hAnsi="宋体" w:eastAsia="宋体" w:cs="宋体"/>
                <w:i w:val="0"/>
                <w:iCs w:val="0"/>
                <w:color w:val="000000"/>
                <w:kern w:val="0"/>
                <w:sz w:val="22"/>
                <w:szCs w:val="22"/>
                <w:u w:val="none"/>
                <w:lang w:val="en-US" w:eastAsia="zh-CN" w:bidi="ar"/>
              </w:rPr>
            </w:pP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2080801</w:t>
            </w:r>
          </w:p>
        </w:tc>
        <w:tc>
          <w:tcPr>
            <w:tcW w:w="3527"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死亡抚恤</w:t>
            </w: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p>
        </w:tc>
        <w:tc>
          <w:tcPr>
            <w:tcW w:w="3492"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r>
      <w:tr>
        <w:tblPrEx>
          <w:tblCellMar>
            <w:top w:w="0" w:type="dxa"/>
            <w:left w:w="108" w:type="dxa"/>
            <w:bottom w:w="0" w:type="dxa"/>
            <w:right w:w="108" w:type="dxa"/>
          </w:tblCellMar>
        </w:tblPrEx>
        <w:trPr>
          <w:trHeight w:val="450" w:hRule="atLeast"/>
          <w:jc w:val="center"/>
        </w:trPr>
        <w:tc>
          <w:tcPr>
            <w:tcW w:w="120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2210110</w:t>
            </w:r>
          </w:p>
        </w:tc>
        <w:tc>
          <w:tcPr>
            <w:tcW w:w="3527"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kern w:val="0"/>
                <w:szCs w:val="21"/>
              </w:rPr>
            </w:pPr>
            <w:r>
              <w:rPr>
                <w:rFonts w:hint="eastAsia" w:ascii="宋体" w:hAnsi="宋体" w:eastAsia="宋体" w:cs="宋体"/>
                <w:i w:val="0"/>
                <w:iCs w:val="0"/>
                <w:color w:val="000000"/>
                <w:kern w:val="0"/>
                <w:sz w:val="22"/>
                <w:szCs w:val="22"/>
                <w:u w:val="none"/>
                <w:lang w:val="en-US" w:eastAsia="zh-CN" w:bidi="ar"/>
              </w:rPr>
              <w:t>保障性租赁住房</w:t>
            </w: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p>
        </w:tc>
        <w:tc>
          <w:tcPr>
            <w:tcW w:w="3492" w:type="dxa"/>
            <w:tcBorders>
              <w:top w:val="single" w:color="auto" w:sz="8" w:space="0"/>
              <w:left w:val="single" w:color="auto" w:sz="8" w:space="0"/>
              <w:bottom w:val="single" w:color="auto" w:sz="8" w:space="0"/>
              <w:right w:val="single" w:color="auto" w:sz="8" w:space="0"/>
            </w:tcBorders>
            <w:shd w:val="clear" w:color="auto" w:fill="auto"/>
            <w:vAlign w:val="center"/>
          </w:tcPr>
          <w:p>
            <w:pPr>
              <w:jc w:val="right"/>
              <w:rPr>
                <w:rFonts w:ascii="Times New Roman" w:hAnsi="Times New Roman" w:eastAsia="仿宋_GB2312" w:cs="Times New Roman"/>
                <w:kern w:val="0"/>
                <w:szCs w:val="21"/>
              </w:rPr>
            </w:pPr>
          </w:p>
        </w:tc>
        <w:tc>
          <w:tcPr>
            <w:tcW w:w="3000" w:type="dxa"/>
            <w:tcBorders>
              <w:top w:val="single" w:color="auto" w:sz="8" w:space="0"/>
              <w:left w:val="single" w:color="auto" w:sz="8" w:space="0"/>
              <w:bottom w:val="single" w:color="auto" w:sz="8" w:space="0"/>
              <w:right w:val="single" w:color="auto" w:sz="8"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kern w:val="0"/>
                <w:szCs w:val="21"/>
              </w:rPr>
            </w:pPr>
          </w:p>
        </w:tc>
      </w:tr>
    </w:tbl>
    <w:p>
      <w:pPr>
        <w:widowControl/>
        <w:spacing w:before="120"/>
        <w:jc w:val="left"/>
        <w:rPr>
          <w:rFonts w:ascii="Times New Roman" w:hAnsi="Times New Roman" w:eastAsia="仿宋_GB2312" w:cs="Times New Roman"/>
          <w:kern w:val="0"/>
          <w:szCs w:val="21"/>
        </w:rPr>
      </w:pPr>
      <w:r>
        <w:rPr>
          <w:rFonts w:ascii="Times New Roman" w:hAnsi="Times New Roman" w:eastAsia="仿宋_GB2312" w:cs="Times New Roman"/>
          <w:kern w:val="0"/>
          <w:szCs w:val="21"/>
        </w:rPr>
        <w:t>注：本表反映部门本年度一般公共预算财政拨款支出情况。</w:t>
      </w:r>
    </w:p>
    <w:p>
      <w:pPr>
        <w:widowControl/>
        <w:jc w:val="left"/>
        <w:rPr>
          <w:rFonts w:ascii="Times New Roman" w:hAnsi="Times New Roman" w:eastAsia="仿宋_GB2312" w:cs="Times New Roman"/>
          <w:bCs/>
          <w:kern w:val="0"/>
          <w:szCs w:val="21"/>
        </w:rPr>
      </w:pPr>
    </w:p>
    <w:p>
      <w:pPr>
        <w:widowControl/>
        <w:jc w:val="left"/>
        <w:rPr>
          <w:rFonts w:ascii="Times New Roman" w:hAnsi="Times New Roman" w:eastAsia="仿宋_GB2312" w:cs="Times New Roman"/>
          <w:bCs/>
          <w:kern w:val="0"/>
          <w:szCs w:val="21"/>
        </w:rPr>
      </w:pPr>
      <w:r>
        <w:rPr>
          <w:rFonts w:ascii="Times New Roman" w:hAnsi="Times New Roman" w:eastAsia="仿宋_GB2312" w:cs="Times New Roman"/>
          <w:bCs/>
          <w:kern w:val="0"/>
          <w:szCs w:val="21"/>
        </w:rPr>
        <w:br w:type="page"/>
      </w:r>
    </w:p>
    <w:p>
      <w:pPr>
        <w:widowControl/>
        <w:spacing w:after="120"/>
        <w:jc w:val="center"/>
        <w:textAlignment w:val="center"/>
        <w:rPr>
          <w:rFonts w:ascii="Times New Roman" w:hAnsi="Times New Roman" w:eastAsia="黑体" w:cs="Times New Roman"/>
          <w:color w:val="000000"/>
          <w:kern w:val="0"/>
          <w:sz w:val="36"/>
          <w:szCs w:val="36"/>
        </w:rPr>
      </w:pPr>
      <w:bookmarkStart w:id="5" w:name="RANGE!A1:I34"/>
      <w:r>
        <w:rPr>
          <w:rFonts w:ascii="Times New Roman" w:hAnsi="Times New Roman" w:eastAsia="黑体" w:cs="Times New Roman"/>
          <w:color w:val="000000"/>
          <w:kern w:val="0"/>
          <w:sz w:val="36"/>
          <w:szCs w:val="36"/>
        </w:rPr>
        <w:t>一般公共预算财政拨款基本支出决算明细表</w:t>
      </w:r>
      <w:bookmarkEnd w:id="5"/>
    </w:p>
    <w:p>
      <w:pPr>
        <w:widowControl/>
        <w:wordWrap w:val="0"/>
        <w:spacing w:line="240" w:lineRule="exact"/>
        <w:jc w:val="right"/>
        <w:rPr>
          <w:rFonts w:ascii="Times New Roman" w:hAnsi="Times New Roman" w:eastAsia="仿宋_GB2312" w:cs="Times New Roman"/>
          <w:color w:val="000000"/>
          <w:kern w:val="0"/>
          <w:szCs w:val="21"/>
        </w:rPr>
      </w:pPr>
      <w:r>
        <w:rPr>
          <w:rFonts w:ascii="Times New Roman" w:hAnsi="Times New Roman" w:eastAsia="仿宋_GB2312" w:cs="Times New Roman"/>
          <w:color w:val="000000"/>
          <w:kern w:val="0"/>
          <w:szCs w:val="21"/>
        </w:rPr>
        <w:t>部门：公开06表</w:t>
      </w:r>
    </w:p>
    <w:p>
      <w:pPr>
        <w:widowControl/>
        <w:spacing w:line="240" w:lineRule="exact"/>
        <w:jc w:val="right"/>
        <w:rPr>
          <w:rFonts w:ascii="Times New Roman" w:hAnsi="Times New Roman" w:eastAsia="华文中宋" w:cs="Times New Roman"/>
          <w:color w:val="000000"/>
          <w:kern w:val="0"/>
          <w:szCs w:val="32"/>
        </w:rPr>
      </w:pPr>
      <w:r>
        <w:rPr>
          <w:rFonts w:ascii="Times New Roman" w:hAnsi="Times New Roman" w:eastAsia="仿宋_GB2312" w:cs="Times New Roman"/>
          <w:color w:val="000000"/>
          <w:kern w:val="0"/>
          <w:szCs w:val="21"/>
        </w:rPr>
        <w:t>单位：万元</w:t>
      </w:r>
    </w:p>
    <w:tbl>
      <w:tblPr>
        <w:tblStyle w:val="10"/>
        <w:tblW w:w="14627" w:type="dxa"/>
        <w:jc w:val="center"/>
        <w:tblLayout w:type="fixed"/>
        <w:tblCellMar>
          <w:top w:w="0" w:type="dxa"/>
          <w:left w:w="108" w:type="dxa"/>
          <w:bottom w:w="0" w:type="dxa"/>
          <w:right w:w="108" w:type="dxa"/>
        </w:tblCellMar>
      </w:tblPr>
      <w:tblGrid>
        <w:gridCol w:w="1081"/>
        <w:gridCol w:w="2850"/>
        <w:gridCol w:w="1111"/>
        <w:gridCol w:w="971"/>
        <w:gridCol w:w="2018"/>
        <w:gridCol w:w="933"/>
        <w:gridCol w:w="1217"/>
        <w:gridCol w:w="3517"/>
        <w:gridCol w:w="929"/>
      </w:tblGrid>
      <w:tr>
        <w:tblPrEx>
          <w:tblCellMar>
            <w:top w:w="0" w:type="dxa"/>
            <w:left w:w="108" w:type="dxa"/>
            <w:bottom w:w="0" w:type="dxa"/>
            <w:right w:w="108" w:type="dxa"/>
          </w:tblCellMar>
        </w:tblPrEx>
        <w:trPr>
          <w:trHeight w:val="530" w:hRule="atLeast"/>
          <w:jc w:val="center"/>
        </w:trPr>
        <w:tc>
          <w:tcPr>
            <w:tcW w:w="1081" w:type="dxa"/>
            <w:tcBorders>
              <w:top w:val="single" w:color="auto" w:sz="4" w:space="0"/>
              <w:left w:val="single" w:color="auto" w:sz="4" w:space="0"/>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 w:val="20"/>
                <w:szCs w:val="20"/>
              </w:rPr>
              <w:t>经济分类科目编码</w:t>
            </w:r>
          </w:p>
        </w:tc>
        <w:tc>
          <w:tcPr>
            <w:tcW w:w="2850"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1111"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971"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2018"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33"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c>
          <w:tcPr>
            <w:tcW w:w="12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经济分类科目编码</w:t>
            </w:r>
          </w:p>
        </w:tc>
        <w:tc>
          <w:tcPr>
            <w:tcW w:w="3517"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科目名称</w:t>
            </w:r>
          </w:p>
        </w:tc>
        <w:tc>
          <w:tcPr>
            <w:tcW w:w="929" w:type="dxa"/>
            <w:tcBorders>
              <w:top w:val="single" w:color="auto" w:sz="4" w:space="0"/>
              <w:left w:val="nil"/>
              <w:bottom w:val="single" w:color="auto" w:sz="4" w:space="0"/>
              <w:right w:val="single" w:color="auto" w:sz="4" w:space="0"/>
            </w:tcBorders>
            <w:shd w:val="clear" w:color="auto" w:fill="auto"/>
            <w:vAlign w:val="center"/>
          </w:tcPr>
          <w:p>
            <w:pPr>
              <w:widowControl/>
              <w:spacing w:line="300" w:lineRule="exact"/>
              <w:jc w:val="center"/>
              <w:rPr>
                <w:rFonts w:ascii="Times New Roman" w:hAnsi="Times New Roman" w:eastAsia="仿宋_GB2312" w:cs="Times New Roman"/>
                <w:b/>
                <w:bCs/>
                <w:color w:val="000000"/>
                <w:kern w:val="0"/>
                <w:szCs w:val="20"/>
              </w:rPr>
            </w:pPr>
            <w:r>
              <w:rPr>
                <w:rFonts w:ascii="Times New Roman" w:hAnsi="Times New Roman" w:eastAsia="仿宋_GB2312" w:cs="Times New Roman"/>
                <w:b/>
                <w:bCs/>
                <w:color w:val="000000"/>
                <w:kern w:val="0"/>
                <w:szCs w:val="20"/>
              </w:rPr>
              <w:t>决算数</w:t>
            </w: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工资福利支出</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1,411.14 </w:t>
            </w:r>
          </w:p>
        </w:tc>
        <w:tc>
          <w:tcPr>
            <w:tcW w:w="9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商品和服务支出</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515.85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债务利息及费用支出</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基本工资</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725.35 </w:t>
            </w:r>
          </w:p>
        </w:tc>
        <w:tc>
          <w:tcPr>
            <w:tcW w:w="9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68.10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国内债务付息</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津贴补贴</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0.36 </w:t>
            </w:r>
          </w:p>
        </w:tc>
        <w:tc>
          <w:tcPr>
            <w:tcW w:w="9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印刷费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38.82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30702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国外债务付息</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奖金</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32.92 </w:t>
            </w:r>
          </w:p>
        </w:tc>
        <w:tc>
          <w:tcPr>
            <w:tcW w:w="9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咨询费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资本性支出</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伙食补助费</w:t>
            </w:r>
          </w:p>
        </w:tc>
        <w:tc>
          <w:tcPr>
            <w:tcW w:w="111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9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手续费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房屋建筑物购建</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绩效工资</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260.24 </w:t>
            </w:r>
          </w:p>
        </w:tc>
        <w:tc>
          <w:tcPr>
            <w:tcW w:w="9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水费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10.07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办公设备购置</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机关事业单位基本养老保险缴费</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115.66 </w:t>
            </w:r>
          </w:p>
        </w:tc>
        <w:tc>
          <w:tcPr>
            <w:tcW w:w="9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电费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40.30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专用设备购置</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职业年金缴费</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28.90 </w:t>
            </w:r>
          </w:p>
        </w:tc>
        <w:tc>
          <w:tcPr>
            <w:tcW w:w="9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邮电费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5.48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31005</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基础设施建设</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职工基本医疗保险缴费</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86.74 </w:t>
            </w:r>
          </w:p>
        </w:tc>
        <w:tc>
          <w:tcPr>
            <w:tcW w:w="9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取暖费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31006</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大型修缮</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公务员医疗补助缴费</w:t>
            </w:r>
          </w:p>
        </w:tc>
        <w:tc>
          <w:tcPr>
            <w:tcW w:w="111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9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30209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物业管理费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35.39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信息网络及软件购置更新</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其他社会保障缴费</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3.88 </w:t>
            </w:r>
          </w:p>
        </w:tc>
        <w:tc>
          <w:tcPr>
            <w:tcW w:w="9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差旅费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1.21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物资储备</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住房公积金</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121.98 </w:t>
            </w:r>
          </w:p>
        </w:tc>
        <w:tc>
          <w:tcPr>
            <w:tcW w:w="9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30212</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因公出国（境）费用</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土地补偿</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30114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医疗费</w:t>
            </w:r>
          </w:p>
        </w:tc>
        <w:tc>
          <w:tcPr>
            <w:tcW w:w="111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9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30213</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维修（护）费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82.45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安置补助</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30199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其他工资福利支出</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35.10 </w:t>
            </w:r>
          </w:p>
        </w:tc>
        <w:tc>
          <w:tcPr>
            <w:tcW w:w="9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租赁费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地上附着物和青苗补偿</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对个人和家庭的补助</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12.65 </w:t>
            </w:r>
          </w:p>
        </w:tc>
        <w:tc>
          <w:tcPr>
            <w:tcW w:w="9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会议费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29.51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拆迁补偿</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离休费</w:t>
            </w:r>
          </w:p>
        </w:tc>
        <w:tc>
          <w:tcPr>
            <w:tcW w:w="111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9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培训费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27.56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31013</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公务用车购置</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30302</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退休费</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9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公务接待费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r>
              <w:rPr>
                <w:rFonts w:hint="eastAsia" w:ascii="宋体" w:hAnsi="宋体" w:eastAsia="宋体" w:cs="宋体"/>
                <w:i w:val="0"/>
                <w:iCs w:val="0"/>
                <w:color w:val="000000"/>
                <w:kern w:val="0"/>
                <w:sz w:val="22"/>
                <w:szCs w:val="22"/>
                <w:u w:val="none"/>
                <w:lang w:val="en-US" w:eastAsia="zh-CN" w:bidi="ar"/>
              </w:rPr>
              <w:t>0.00</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31019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其他交通工具购置</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30303</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退职（役）费</w:t>
            </w:r>
          </w:p>
        </w:tc>
        <w:tc>
          <w:tcPr>
            <w:tcW w:w="111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9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30218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专用材料费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31021</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文物和陈列品购置</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30304</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抚恤金</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ascii="Times New Roman" w:hAnsi="Times New Roman" w:eastAsia="仿宋_GB2312" w:cs="Times New Roman"/>
                <w:color w:val="000000"/>
                <w:kern w:val="0"/>
                <w:szCs w:val="20"/>
              </w:rPr>
            </w:pPr>
          </w:p>
        </w:tc>
        <w:tc>
          <w:tcPr>
            <w:tcW w:w="9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30224</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被装购置费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31022</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无形资产购置</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30305</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生活补助</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7.15 </w:t>
            </w:r>
          </w:p>
        </w:tc>
        <w:tc>
          <w:tcPr>
            <w:tcW w:w="9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30225</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专用燃料费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31099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其他资本性支出</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30306</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救济费</w:t>
            </w:r>
          </w:p>
        </w:tc>
        <w:tc>
          <w:tcPr>
            <w:tcW w:w="111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9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30226</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劳务费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22.20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30307</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医疗费补助</w:t>
            </w:r>
          </w:p>
        </w:tc>
        <w:tc>
          <w:tcPr>
            <w:tcW w:w="111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9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30227</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委托业务费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39907</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国家赔偿费用支出</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30308</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助学金</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4.38 </w:t>
            </w:r>
          </w:p>
        </w:tc>
        <w:tc>
          <w:tcPr>
            <w:tcW w:w="9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30228</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工会经费</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37.63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39908</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对民间非营利组织和群众性自治组织补贴</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30309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奖励金</w:t>
            </w:r>
          </w:p>
        </w:tc>
        <w:tc>
          <w:tcPr>
            <w:tcW w:w="111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9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30229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福利费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39909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经常性赠与</w:t>
            </w:r>
          </w:p>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p>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资本性赠与</w:t>
                  </w:r>
                </w:p>
              </w:tc>
            </w:tr>
          </w:tbl>
          <w:p>
            <w:pPr>
              <w:widowControl/>
              <w:jc w:val="left"/>
              <w:rPr>
                <w:rFonts w:ascii="Times New Roman" w:hAnsi="Times New Roman" w:eastAsia="仿宋_GB2312" w:cs="Times New Roman"/>
                <w:color w:val="000000"/>
                <w:kern w:val="0"/>
                <w:szCs w:val="20"/>
              </w:rPr>
            </w:pPr>
          </w:p>
          <w:tbl>
            <w:tblPr>
              <w:tblStyle w:val="10"/>
              <w:tblW w:w="3946" w:type="dxa"/>
              <w:tblInd w:w="0" w:type="dxa"/>
              <w:tblLayout w:type="fixed"/>
              <w:tblCellMar>
                <w:top w:w="0" w:type="dxa"/>
                <w:left w:w="108" w:type="dxa"/>
                <w:bottom w:w="0" w:type="dxa"/>
                <w:right w:w="108" w:type="dxa"/>
              </w:tblCellMar>
            </w:tblPr>
            <w:tblGrid>
              <w:gridCol w:w="3946"/>
            </w:tblGrid>
            <w:tr>
              <w:tblPrEx>
                <w:tblCellMar>
                  <w:top w:w="0" w:type="dxa"/>
                  <w:left w:w="108" w:type="dxa"/>
                  <w:bottom w:w="0" w:type="dxa"/>
                  <w:right w:w="108" w:type="dxa"/>
                </w:tblCellMar>
              </w:tblPrEx>
              <w:trPr>
                <w:trHeight w:val="252" w:hRule="atLeast"/>
              </w:trPr>
              <w:tc>
                <w:tcPr>
                  <w:tcW w:w="3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经常性赠与</w:t>
                  </w:r>
                </w:p>
              </w:tc>
            </w:tr>
            <w:tr>
              <w:tblPrEx>
                <w:tblCellMar>
                  <w:top w:w="0" w:type="dxa"/>
                  <w:left w:w="108" w:type="dxa"/>
                  <w:bottom w:w="0" w:type="dxa"/>
                  <w:right w:w="108" w:type="dxa"/>
                </w:tblCellMar>
              </w:tblPrEx>
              <w:trPr>
                <w:trHeight w:val="252" w:hRule="atLeast"/>
              </w:trPr>
              <w:tc>
                <w:tcPr>
                  <w:tcW w:w="39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widowControl/>
                    <w:jc w:val="lef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资本性赠与</w:t>
                  </w:r>
                </w:p>
              </w:tc>
            </w:tr>
          </w:tbl>
          <w:p>
            <w:pPr>
              <w:widowControl/>
              <w:jc w:val="left"/>
              <w:rPr>
                <w:rFonts w:ascii="Times New Roman" w:hAnsi="Times New Roman" w:eastAsia="仿宋_GB2312" w:cs="Times New Roman"/>
                <w:color w:val="000000"/>
                <w:kern w:val="0"/>
                <w:szCs w:val="20"/>
              </w:rPr>
            </w:pP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30310</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个人农业生产补贴</w:t>
            </w:r>
          </w:p>
        </w:tc>
        <w:tc>
          <w:tcPr>
            <w:tcW w:w="111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9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30231</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公务用车运行维护费</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39910</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资本性赠与</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30311</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代缴社会保险费</w:t>
            </w:r>
          </w:p>
        </w:tc>
        <w:tc>
          <w:tcPr>
            <w:tcW w:w="111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9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30239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其他交通费用</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4.55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39999</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其他支出</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30399</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其他对个人和家庭的补助</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1.12 </w:t>
            </w:r>
          </w:p>
        </w:tc>
        <w:tc>
          <w:tcPr>
            <w:tcW w:w="9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30240</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税金及附加费用</w:t>
            </w:r>
          </w:p>
        </w:tc>
        <w:tc>
          <w:tcPr>
            <w:tcW w:w="933"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1081" w:type="dxa"/>
            <w:tcBorders>
              <w:top w:val="nil"/>
              <w:left w:val="single" w:color="auto" w:sz="4" w:space="0"/>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2850"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　</w:t>
            </w:r>
          </w:p>
        </w:tc>
        <w:tc>
          <w:tcPr>
            <w:tcW w:w="1111"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c>
          <w:tcPr>
            <w:tcW w:w="971"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30299</w:t>
            </w:r>
          </w:p>
        </w:tc>
        <w:tc>
          <w:tcPr>
            <w:tcW w:w="2018"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其他商品和服务支出</w:t>
            </w:r>
          </w:p>
        </w:tc>
        <w:tc>
          <w:tcPr>
            <w:tcW w:w="933"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112.61 </w:t>
            </w:r>
          </w:p>
        </w:tc>
        <w:tc>
          <w:tcPr>
            <w:tcW w:w="12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3517" w:type="dxa"/>
            <w:tcBorders>
              <w:top w:val="nil"/>
              <w:left w:val="nil"/>
              <w:bottom w:val="single" w:color="auto" w:sz="4" w:space="0"/>
              <w:right w:val="single" w:color="auto" w:sz="4" w:space="0"/>
            </w:tcBorders>
            <w:shd w:val="clear" w:color="auto" w:fill="auto"/>
            <w:noWrap/>
            <w:vAlign w:val="center"/>
          </w:tcPr>
          <w:p>
            <w:pPr>
              <w:widowControl/>
              <w:jc w:val="left"/>
              <w:rPr>
                <w:rFonts w:ascii="Times New Roman" w:hAnsi="Times New Roman" w:eastAsia="仿宋_GB2312" w:cs="Times New Roman"/>
                <w:color w:val="000000"/>
                <w:kern w:val="0"/>
                <w:szCs w:val="18"/>
              </w:rPr>
            </w:pPr>
            <w:r>
              <w:rPr>
                <w:rFonts w:ascii="Times New Roman" w:hAnsi="Times New Roman" w:eastAsia="仿宋_GB2312" w:cs="Times New Roman"/>
                <w:color w:val="000000"/>
                <w:kern w:val="0"/>
                <w:szCs w:val="18"/>
              </w:rPr>
              <w:t>　</w:t>
            </w:r>
          </w:p>
        </w:tc>
        <w:tc>
          <w:tcPr>
            <w:tcW w:w="929" w:type="dxa"/>
            <w:tcBorders>
              <w:top w:val="nil"/>
              <w:left w:val="nil"/>
              <w:bottom w:val="single" w:color="auto" w:sz="4" w:space="0"/>
              <w:right w:val="single" w:color="auto" w:sz="4" w:space="0"/>
            </w:tcBorders>
            <w:shd w:val="clear" w:color="auto" w:fill="auto"/>
            <w:noWrap/>
            <w:vAlign w:val="center"/>
          </w:tcPr>
          <w:p>
            <w:pPr>
              <w:jc w:val="right"/>
              <w:rPr>
                <w:rFonts w:ascii="Times New Roman" w:hAnsi="Times New Roman" w:eastAsia="仿宋_GB2312" w:cs="Times New Roman"/>
                <w:color w:val="000000"/>
                <w:kern w:val="0"/>
                <w:szCs w:val="20"/>
              </w:rPr>
            </w:pPr>
          </w:p>
        </w:tc>
      </w:tr>
      <w:tr>
        <w:tblPrEx>
          <w:tblCellMar>
            <w:top w:w="0" w:type="dxa"/>
            <w:left w:w="108" w:type="dxa"/>
            <w:bottom w:w="0" w:type="dxa"/>
            <w:right w:w="108" w:type="dxa"/>
          </w:tblCellMar>
        </w:tblPrEx>
        <w:trPr>
          <w:trHeight w:val="255" w:hRule="exact"/>
          <w:jc w:val="center"/>
        </w:trPr>
        <w:tc>
          <w:tcPr>
            <w:tcW w:w="3931" w:type="dxa"/>
            <w:gridSpan w:val="2"/>
            <w:tcBorders>
              <w:top w:val="single" w:color="auto" w:sz="4" w:space="0"/>
              <w:left w:val="single" w:color="auto" w:sz="4" w:space="0"/>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人员经费合计</w:t>
            </w:r>
          </w:p>
        </w:tc>
        <w:tc>
          <w:tcPr>
            <w:tcW w:w="1111"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1,423.79 </w:t>
            </w:r>
          </w:p>
        </w:tc>
        <w:tc>
          <w:tcPr>
            <w:tcW w:w="8656" w:type="dxa"/>
            <w:gridSpan w:val="5"/>
            <w:tcBorders>
              <w:top w:val="single" w:color="auto" w:sz="4" w:space="0"/>
              <w:left w:val="nil"/>
              <w:bottom w:val="single" w:color="auto" w:sz="4" w:space="0"/>
              <w:right w:val="single" w:color="auto" w:sz="4" w:space="0"/>
            </w:tcBorders>
            <w:shd w:val="clear" w:color="auto" w:fill="auto"/>
            <w:noWrap/>
            <w:vAlign w:val="center"/>
          </w:tcPr>
          <w:p>
            <w:pPr>
              <w:widowControl/>
              <w:jc w:val="center"/>
              <w:rPr>
                <w:rFonts w:ascii="Times New Roman" w:hAnsi="Times New Roman" w:eastAsia="仿宋_GB2312" w:cs="Times New Roman"/>
                <w:color w:val="000000"/>
                <w:kern w:val="0"/>
                <w:szCs w:val="20"/>
              </w:rPr>
            </w:pPr>
            <w:r>
              <w:rPr>
                <w:rFonts w:ascii="Times New Roman" w:hAnsi="Times New Roman" w:eastAsia="仿宋_GB2312" w:cs="Times New Roman"/>
                <w:color w:val="000000"/>
                <w:kern w:val="0"/>
                <w:szCs w:val="20"/>
              </w:rPr>
              <w:t>公用经费合计</w:t>
            </w:r>
          </w:p>
        </w:tc>
        <w:tc>
          <w:tcPr>
            <w:tcW w:w="929" w:type="dxa"/>
            <w:tcBorders>
              <w:top w:val="nil"/>
              <w:left w:val="nil"/>
              <w:bottom w:val="single" w:color="auto" w:sz="4" w:space="0"/>
              <w:right w:val="single" w:color="auto" w:sz="4" w:space="0"/>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宋体" w:hAnsi="宋体" w:eastAsia="宋体" w:cs="宋体"/>
                <w:i w:val="0"/>
                <w:iCs w:val="0"/>
                <w:color w:val="000000"/>
                <w:kern w:val="0"/>
                <w:sz w:val="22"/>
                <w:szCs w:val="22"/>
                <w:u w:val="none"/>
                <w:lang w:val="en-US" w:eastAsia="zh-CN" w:bidi="ar"/>
              </w:rPr>
              <w:t xml:space="preserve">515.85 </w:t>
            </w:r>
          </w:p>
        </w:tc>
      </w:tr>
    </w:tbl>
    <w:p>
      <w:pPr>
        <w:widowControl/>
        <w:jc w:val="left"/>
        <w:rPr>
          <w:rFonts w:ascii="Times New Roman" w:hAnsi="Times New Roman" w:eastAsia="仿宋_GB2312" w:cs="Times New Roman"/>
          <w:color w:val="000000"/>
          <w:kern w:val="0"/>
          <w:szCs w:val="24"/>
        </w:rPr>
      </w:pPr>
      <w:r>
        <w:rPr>
          <w:rFonts w:ascii="Times New Roman" w:hAnsi="Times New Roman" w:eastAsia="仿宋_GB2312" w:cs="Times New Roman"/>
          <w:color w:val="000000"/>
          <w:kern w:val="0"/>
          <w:szCs w:val="24"/>
        </w:rPr>
        <w:t>注：本表反映部门本年度一般公共预算财政拨款基本支出明细情况。</w:t>
      </w: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政府性基金预算财政拨款收入支出决算表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公开07表</w:t>
      </w:r>
    </w:p>
    <w:p>
      <w:pPr>
        <w:widowControl/>
        <w:tabs>
          <w:tab w:val="left" w:pos="920"/>
          <w:tab w:val="left" w:pos="1157"/>
          <w:tab w:val="left" w:pos="2434"/>
          <w:tab w:val="left" w:pos="4352"/>
          <w:tab w:val="left" w:pos="6295"/>
          <w:tab w:val="left" w:pos="8214"/>
          <w:tab w:val="left" w:pos="10149"/>
          <w:tab w:val="left" w:pos="12067"/>
        </w:tabs>
        <w:jc w:val="right"/>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0"/>
        <w:tblW w:w="14326" w:type="dxa"/>
        <w:jc w:val="center"/>
        <w:tblLayout w:type="fixed"/>
        <w:tblCellMar>
          <w:top w:w="0" w:type="dxa"/>
          <w:left w:w="108" w:type="dxa"/>
          <w:bottom w:w="0" w:type="dxa"/>
          <w:right w:w="108" w:type="dxa"/>
        </w:tblCellMar>
      </w:tblPr>
      <w:tblGrid>
        <w:gridCol w:w="1245"/>
        <w:gridCol w:w="1529"/>
        <w:gridCol w:w="1918"/>
        <w:gridCol w:w="1943"/>
        <w:gridCol w:w="1919"/>
        <w:gridCol w:w="1935"/>
        <w:gridCol w:w="1918"/>
        <w:gridCol w:w="1919"/>
      </w:tblGrid>
      <w:tr>
        <w:tblPrEx>
          <w:tblCellMar>
            <w:top w:w="0" w:type="dxa"/>
            <w:left w:w="108" w:type="dxa"/>
            <w:bottom w:w="0" w:type="dxa"/>
            <w:right w:w="108" w:type="dxa"/>
          </w:tblCellMar>
        </w:tblPrEx>
        <w:trPr>
          <w:trHeight w:val="45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8"/>
                <w:rFonts w:hint="default" w:ascii="Times New Roman" w:hAnsi="Times New Roman" w:eastAsia="仿宋_GB2312" w:cs="Times New Roman"/>
                <w:b/>
                <w:bCs/>
              </w:rPr>
              <w:t>目</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年初结转和结余</w:t>
            </w:r>
          </w:p>
        </w:tc>
        <w:tc>
          <w:tcPr>
            <w:tcW w:w="1943"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本年收入</w:t>
            </w:r>
          </w:p>
        </w:tc>
        <w:tc>
          <w:tcPr>
            <w:tcW w:w="5772" w:type="dxa"/>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年末结转和结余</w:t>
            </w:r>
          </w:p>
        </w:tc>
      </w:tr>
      <w:tr>
        <w:tblPrEx>
          <w:tblCellMar>
            <w:top w:w="0" w:type="dxa"/>
            <w:left w:w="108" w:type="dxa"/>
            <w:bottom w:w="0" w:type="dxa"/>
            <w:right w:w="108" w:type="dxa"/>
          </w:tblCellMar>
        </w:tblPrEx>
        <w:trPr>
          <w:trHeight w:val="312" w:hRule="exact"/>
          <w:jc w:val="center"/>
        </w:trPr>
        <w:tc>
          <w:tcPr>
            <w:tcW w:w="124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52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b/>
                <w:bCs/>
                <w:color w:val="000000"/>
                <w:sz w:val="24"/>
                <w:szCs w:val="24"/>
              </w:rPr>
            </w:pPr>
          </w:p>
        </w:tc>
        <w:tc>
          <w:tcPr>
            <w:tcW w:w="191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小计</w:t>
            </w:r>
          </w:p>
        </w:tc>
        <w:tc>
          <w:tcPr>
            <w:tcW w:w="1935"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91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409" w:hRule="atLeast"/>
          <w:jc w:val="center"/>
        </w:trPr>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5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jc w:val="center"/>
        </w:trPr>
        <w:tc>
          <w:tcPr>
            <w:tcW w:w="124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52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43"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35"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919"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4</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5</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6</w:t>
            </w:r>
          </w:p>
        </w:tc>
      </w:tr>
      <w:tr>
        <w:tblPrEx>
          <w:tblCellMar>
            <w:top w:w="0" w:type="dxa"/>
            <w:left w:w="108" w:type="dxa"/>
            <w:bottom w:w="0" w:type="dxa"/>
            <w:right w:w="108" w:type="dxa"/>
          </w:tblCellMar>
        </w:tblPrEx>
        <w:trPr>
          <w:trHeight w:val="509" w:hRule="atLeast"/>
          <w:jc w:val="center"/>
        </w:trPr>
        <w:tc>
          <w:tcPr>
            <w:tcW w:w="277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b/>
                <w:bCs/>
                <w:i w:val="0"/>
                <w:iCs w:val="0"/>
                <w:color w:val="000000"/>
                <w:kern w:val="0"/>
                <w:sz w:val="22"/>
                <w:szCs w:val="22"/>
                <w:u w:val="none"/>
                <w:lang w:val="en-US" w:eastAsia="zh-CN" w:bidi="ar"/>
              </w:rPr>
              <w:t>0.00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2296002</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0"/>
                <w:szCs w:val="20"/>
              </w:rPr>
            </w:pPr>
            <w:r>
              <w:rPr>
                <w:rFonts w:hint="eastAsia" w:ascii="宋体" w:hAnsi="宋体" w:eastAsia="宋体" w:cs="宋体"/>
                <w:i w:val="0"/>
                <w:iCs w:val="0"/>
                <w:color w:val="000000"/>
                <w:kern w:val="0"/>
                <w:sz w:val="22"/>
                <w:szCs w:val="22"/>
                <w:u w:val="none"/>
                <w:lang w:val="en-US" w:eastAsia="zh-CN" w:bidi="ar"/>
              </w:rPr>
              <w:t>用于社会福利的彩票公益金支出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2296003</w:t>
            </w: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用于体育事业的彩票公益金支出</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hint="default" w:ascii="Times New Roman" w:hAnsi="Times New Roman" w:eastAsia="仿宋_GB2312" w:cs="Times New Roman"/>
                <w:color w:val="000000"/>
                <w:sz w:val="24"/>
                <w:szCs w:val="24"/>
                <w:lang w:val="en-US" w:eastAsia="zh-CN"/>
              </w:rPr>
            </w:pPr>
            <w:r>
              <w:rPr>
                <w:rFonts w:hint="eastAsia" w:ascii="Times New Roman" w:hAnsi="Times New Roman" w:eastAsia="仿宋_GB2312" w:cs="Times New Roman"/>
                <w:color w:val="000000"/>
                <w:sz w:val="24"/>
                <w:szCs w:val="24"/>
                <w:lang w:val="en-US" w:eastAsia="zh-CN"/>
              </w:rPr>
              <w:t>0.00</w:t>
            </w: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right"/>
              <w:textAlignment w:val="center"/>
              <w:rPr>
                <w:rFonts w:ascii="Times New Roman" w:hAnsi="Times New Roman" w:eastAsia="仿宋_GB2312" w:cs="Times New Roman"/>
                <w:color w:val="000000"/>
                <w:sz w:val="24"/>
                <w:szCs w:val="24"/>
              </w:rPr>
            </w:pPr>
            <w:r>
              <w:rPr>
                <w:rFonts w:hint="eastAsia" w:ascii="宋体" w:hAnsi="宋体" w:eastAsia="宋体" w:cs="宋体"/>
                <w:i w:val="0"/>
                <w:iCs w:val="0"/>
                <w:color w:val="000000"/>
                <w:kern w:val="0"/>
                <w:sz w:val="22"/>
                <w:szCs w:val="22"/>
                <w:u w:val="none"/>
                <w:lang w:val="en-US" w:eastAsia="zh-CN" w:bidi="ar"/>
              </w:rPr>
              <w:t>0.00</w:t>
            </w: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right"/>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09" w:hRule="atLeast"/>
          <w:jc w:val="center"/>
        </w:trPr>
        <w:tc>
          <w:tcPr>
            <w:tcW w:w="1245" w:type="dxa"/>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52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43"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35"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8"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919" w:type="dxa"/>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注：本表反映部门本年度政府性基金预算财政拨款收入、支出及结转和结余情况。</w:t>
      </w:r>
    </w:p>
    <w:p>
      <w:pPr>
        <w:widowControl/>
        <w:jc w:val="left"/>
        <w:textAlignment w:val="center"/>
        <w:rPr>
          <w:rFonts w:ascii="Times New Roman" w:hAnsi="Times New Roman" w:eastAsia="仿宋_GB2312" w:cs="Times New Roman"/>
          <w:color w:val="000000"/>
          <w:kern w:val="0"/>
          <w:sz w:val="24"/>
          <w:szCs w:val="24"/>
        </w:rPr>
      </w:pPr>
    </w:p>
    <w:p>
      <w:pPr>
        <w:widowControl/>
        <w:jc w:val="center"/>
        <w:rPr>
          <w:rFonts w:ascii="Times New Roman" w:hAnsi="Times New Roman" w:eastAsia="方正小标宋_GBK" w:cs="Times New Roman"/>
          <w:color w:val="000000"/>
          <w:kern w:val="0"/>
          <w:sz w:val="36"/>
          <w:szCs w:val="36"/>
        </w:rPr>
      </w:pPr>
    </w:p>
    <w:p>
      <w:pPr>
        <w:widowControl/>
        <w:spacing w:line="400" w:lineRule="exact"/>
        <w:textAlignment w:val="center"/>
        <w:rPr>
          <w:rFonts w:ascii="Times New Roman" w:hAnsi="Times New Roman" w:eastAsia="黑体" w:cs="Times New Roman"/>
          <w:color w:val="000000"/>
          <w:kern w:val="0"/>
          <w:sz w:val="36"/>
          <w:szCs w:val="36"/>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国有资本经营预算财政拨款支出决算表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公开08表</w:t>
      </w:r>
    </w:p>
    <w:p>
      <w:pPr>
        <w:widowControl/>
        <w:tabs>
          <w:tab w:val="left" w:pos="1326"/>
          <w:tab w:val="left" w:pos="2027"/>
          <w:tab w:val="left" w:pos="4319"/>
          <w:tab w:val="left" w:pos="7634"/>
          <w:tab w:val="left" w:pos="10949"/>
        </w:tabs>
        <w:jc w:val="center"/>
        <w:textAlignment w:val="center"/>
        <w:rPr>
          <w:rFonts w:ascii="Times New Roman" w:hAnsi="Times New Roman" w:eastAsia="仿宋_GB2312" w:cs="Times New Roman"/>
          <w:color w:val="000000"/>
          <w:sz w:val="20"/>
          <w:szCs w:val="20"/>
        </w:rPr>
      </w:pPr>
      <w:r>
        <w:rPr>
          <w:rFonts w:ascii="Times New Roman" w:hAnsi="Times New Roman" w:eastAsia="仿宋_GB2312" w:cs="Times New Roman"/>
          <w:color w:val="000000"/>
          <w:kern w:val="0"/>
          <w:sz w:val="20"/>
          <w:szCs w:val="20"/>
        </w:rPr>
        <w:t>部门：</w:t>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sz w:val="20"/>
          <w:szCs w:val="20"/>
        </w:rPr>
        <w:tab/>
      </w:r>
      <w:r>
        <w:rPr>
          <w:rFonts w:ascii="Times New Roman" w:hAnsi="Times New Roman" w:eastAsia="仿宋_GB2312" w:cs="Times New Roman"/>
          <w:color w:val="000000"/>
          <w:kern w:val="0"/>
          <w:sz w:val="20"/>
          <w:szCs w:val="20"/>
        </w:rPr>
        <w:t>单位：万元</w:t>
      </w:r>
    </w:p>
    <w:tbl>
      <w:tblPr>
        <w:tblStyle w:val="10"/>
        <w:tblW w:w="4999" w:type="pct"/>
        <w:tblInd w:w="0" w:type="dxa"/>
        <w:tblLayout w:type="autofit"/>
        <w:tblCellMar>
          <w:top w:w="0" w:type="dxa"/>
          <w:left w:w="108" w:type="dxa"/>
          <w:bottom w:w="0" w:type="dxa"/>
          <w:right w:w="108" w:type="dxa"/>
        </w:tblCellMar>
      </w:tblPr>
      <w:tblGrid>
        <w:gridCol w:w="3094"/>
        <w:gridCol w:w="3097"/>
        <w:gridCol w:w="1832"/>
        <w:gridCol w:w="3097"/>
        <w:gridCol w:w="3097"/>
      </w:tblGrid>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w:t>
            </w:r>
            <w:r>
              <w:rPr>
                <w:rStyle w:val="19"/>
                <w:rFonts w:hint="default" w:ascii="Times New Roman" w:hAnsi="Times New Roman" w:eastAsia="仿宋_GB2312" w:cs="Times New Roman"/>
                <w:b/>
                <w:bCs/>
              </w:rPr>
              <w:t>目</w:t>
            </w:r>
          </w:p>
        </w:tc>
        <w:tc>
          <w:tcPr>
            <w:tcW w:w="2822"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本年支出</w:t>
            </w:r>
          </w:p>
        </w:tc>
      </w:tr>
      <w:tr>
        <w:tblPrEx>
          <w:tblCellMar>
            <w:top w:w="0" w:type="dxa"/>
            <w:left w:w="108" w:type="dxa"/>
            <w:bottom w:w="0" w:type="dxa"/>
            <w:right w:w="108" w:type="dxa"/>
          </w:tblCellMar>
        </w:tblPrEx>
        <w:trPr>
          <w:trHeight w:val="312" w:hRule="exact"/>
        </w:trPr>
        <w:tc>
          <w:tcPr>
            <w:tcW w:w="108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科目代码</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科目名称</w:t>
            </w:r>
          </w:p>
        </w:tc>
        <w:tc>
          <w:tcPr>
            <w:tcW w:w="6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合计</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基本支出</w:t>
            </w:r>
          </w:p>
        </w:tc>
        <w:tc>
          <w:tcPr>
            <w:tcW w:w="1089"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4"/>
                <w:szCs w:val="24"/>
              </w:rPr>
            </w:pPr>
            <w:r>
              <w:rPr>
                <w:rFonts w:ascii="Times New Roman" w:hAnsi="Times New Roman" w:eastAsia="仿宋_GB2312" w:cs="Times New Roman"/>
                <w:b/>
                <w:bCs/>
                <w:color w:val="000000"/>
                <w:kern w:val="0"/>
                <w:sz w:val="24"/>
                <w:szCs w:val="24"/>
              </w:rPr>
              <w:t>项目支出</w:t>
            </w:r>
          </w:p>
        </w:tc>
      </w:tr>
      <w:tr>
        <w:tblPrEx>
          <w:tblCellMar>
            <w:top w:w="0" w:type="dxa"/>
            <w:left w:w="108" w:type="dxa"/>
            <w:bottom w:w="0" w:type="dxa"/>
            <w:right w:w="108" w:type="dxa"/>
          </w:tblCellMar>
        </w:tblPrEx>
        <w:trPr>
          <w:trHeight w:val="312" w:hRule="exac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312" w:hRule="atLeast"/>
        </w:trPr>
        <w:tc>
          <w:tcPr>
            <w:tcW w:w="108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6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栏次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1</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2</w:t>
            </w: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3</w:t>
            </w:r>
          </w:p>
        </w:tc>
      </w:tr>
      <w:tr>
        <w:tblPrEx>
          <w:tblCellMar>
            <w:top w:w="0" w:type="dxa"/>
            <w:left w:w="108" w:type="dxa"/>
            <w:bottom w:w="0" w:type="dxa"/>
            <w:right w:w="108" w:type="dxa"/>
          </w:tblCellMar>
        </w:tblPrEx>
        <w:trPr>
          <w:trHeight w:val="548" w:hRule="atLeast"/>
        </w:trPr>
        <w:tc>
          <w:tcPr>
            <w:tcW w:w="2177"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合计</w:t>
            </w: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0"/>
                <w:szCs w:val="20"/>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r>
        <w:tblPrEx>
          <w:tblCellMar>
            <w:top w:w="0" w:type="dxa"/>
            <w:left w:w="108" w:type="dxa"/>
            <w:bottom w:w="0" w:type="dxa"/>
            <w:right w:w="108" w:type="dxa"/>
          </w:tblCellMar>
        </w:tblPrEx>
        <w:trPr>
          <w:trHeight w:val="548" w:hRule="atLeast"/>
        </w:trPr>
        <w:tc>
          <w:tcPr>
            <w:tcW w:w="1088" w:type="pct"/>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644"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c>
          <w:tcPr>
            <w:tcW w:w="1089"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宋体" w:cs="Times New Roman"/>
                <w:color w:val="000000"/>
                <w:sz w:val="24"/>
                <w:szCs w:val="24"/>
              </w:rPr>
            </w:pPr>
          </w:p>
        </w:tc>
      </w:tr>
    </w:tbl>
    <w:p>
      <w:pPr>
        <w:widowControl/>
        <w:spacing w:before="120"/>
        <w:jc w:val="left"/>
        <w:textAlignment w:val="center"/>
        <w:rPr>
          <w:rFonts w:ascii="Times New Roman" w:hAnsi="Times New Roman" w:eastAsia="仿宋_GB2312" w:cs="Times New Roman"/>
          <w:color w:val="000000"/>
          <w:kern w:val="0"/>
          <w:sz w:val="24"/>
          <w:szCs w:val="24"/>
        </w:rPr>
      </w:pPr>
      <w:r>
        <w:rPr>
          <w:rFonts w:ascii="Times New Roman" w:hAnsi="Times New Roman" w:eastAsia="仿宋_GB2312" w:cs="Times New Roman"/>
          <w:color w:val="000000"/>
          <w:kern w:val="0"/>
          <w:sz w:val="24"/>
          <w:szCs w:val="24"/>
        </w:rPr>
        <w:t>注：本表反映部门本年度国有资本经营预算财政拨款支出情况。</w:t>
      </w:r>
    </w:p>
    <w:p>
      <w:pPr>
        <w:widowControl/>
        <w:jc w:val="left"/>
        <w:textAlignment w:val="center"/>
        <w:rPr>
          <w:rFonts w:ascii="Times New Roman" w:hAnsi="Times New Roman" w:eastAsia="楷体_GB2312" w:cs="Times New Roman"/>
          <w:color w:val="000000"/>
          <w:kern w:val="0"/>
          <w:sz w:val="24"/>
          <w:szCs w:val="24"/>
        </w:rPr>
      </w:pPr>
      <w:r>
        <w:rPr>
          <w:rFonts w:ascii="Times New Roman" w:hAnsi="Times New Roman" w:eastAsia="楷体_GB2312" w:cs="Times New Roman"/>
          <w:b/>
          <w:bCs/>
          <w:kern w:val="0"/>
          <w:sz w:val="24"/>
          <w:szCs w:val="24"/>
        </w:rPr>
        <w:t>说明：我单位没有使用国有资本经营预算安排的支出，故本表无数据。</w:t>
      </w:r>
    </w:p>
    <w:p>
      <w:pPr>
        <w:widowControl/>
        <w:jc w:val="center"/>
        <w:rPr>
          <w:rFonts w:ascii="Times New Roman" w:hAnsi="Times New Roman" w:eastAsia="方正小标宋_GBK" w:cs="Times New Roman"/>
          <w:color w:val="000000"/>
          <w:kern w:val="0"/>
          <w:sz w:val="36"/>
          <w:szCs w:val="36"/>
        </w:rPr>
      </w:pPr>
    </w:p>
    <w:p>
      <w:pPr>
        <w:pStyle w:val="9"/>
        <w:spacing w:line="400" w:lineRule="exact"/>
        <w:rPr>
          <w:rFonts w:ascii="Times New Roman" w:hAnsi="Times New Roman" w:eastAsia="华文中宋" w:cs="Times New Roman"/>
          <w:color w:val="000000"/>
          <w:kern w:val="0"/>
          <w:sz w:val="32"/>
          <w:szCs w:val="32"/>
        </w:rPr>
      </w:pPr>
    </w:p>
    <w:p>
      <w:pPr>
        <w:widowControl/>
        <w:spacing w:afterLines="50"/>
        <w:jc w:val="center"/>
        <w:textAlignment w:val="center"/>
        <w:rPr>
          <w:rFonts w:ascii="Times New Roman" w:hAnsi="Times New Roman" w:eastAsia="黑体" w:cs="Times New Roman"/>
          <w:color w:val="000000"/>
          <w:kern w:val="0"/>
          <w:sz w:val="36"/>
          <w:szCs w:val="36"/>
        </w:rPr>
      </w:pPr>
      <w:r>
        <w:rPr>
          <w:rFonts w:ascii="Times New Roman" w:hAnsi="Times New Roman" w:eastAsia="黑体" w:cs="Times New Roman"/>
          <w:color w:val="000000"/>
          <w:kern w:val="0"/>
          <w:sz w:val="36"/>
          <w:szCs w:val="36"/>
        </w:rPr>
        <w:t>财政拨款“三公”经费支出决算表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宋体"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公开09表</w:t>
      </w:r>
    </w:p>
    <w:p>
      <w:pPr>
        <w:widowControl/>
        <w:tabs>
          <w:tab w:val="left" w:pos="1260"/>
          <w:tab w:val="left" w:pos="2521"/>
          <w:tab w:val="left" w:pos="3782"/>
          <w:tab w:val="left" w:pos="5043"/>
          <w:tab w:val="left" w:pos="6304"/>
          <w:tab w:val="left" w:pos="7565"/>
          <w:tab w:val="left" w:pos="8826"/>
          <w:tab w:val="left" w:pos="10087"/>
          <w:tab w:val="left" w:pos="11348"/>
          <w:tab w:val="left" w:pos="12609"/>
          <w:tab w:val="left" w:pos="13870"/>
        </w:tabs>
        <w:jc w:val="right"/>
        <w:textAlignment w:val="center"/>
        <w:rPr>
          <w:rFonts w:ascii="Times New Roman" w:hAnsi="Times New Roman" w:eastAsia="楷体_GB2312" w:cs="Times New Roman"/>
          <w:color w:val="000000"/>
          <w:sz w:val="20"/>
          <w:szCs w:val="20"/>
        </w:rPr>
      </w:pPr>
      <w:r>
        <w:rPr>
          <w:rFonts w:ascii="Times New Roman" w:hAnsi="Times New Roman" w:eastAsia="楷体_GB2312" w:cs="Times New Roman"/>
          <w:color w:val="000000"/>
          <w:kern w:val="0"/>
          <w:sz w:val="20"/>
          <w:szCs w:val="20"/>
        </w:rPr>
        <w:t>部门：</w:t>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sz w:val="20"/>
          <w:szCs w:val="20"/>
        </w:rPr>
        <w:tab/>
      </w:r>
      <w:r>
        <w:rPr>
          <w:rFonts w:ascii="Times New Roman" w:hAnsi="Times New Roman" w:eastAsia="楷体_GB2312" w:cs="Times New Roman"/>
          <w:color w:val="000000"/>
          <w:kern w:val="0"/>
          <w:sz w:val="20"/>
          <w:szCs w:val="20"/>
        </w:rPr>
        <w:t>单位：万元</w:t>
      </w:r>
    </w:p>
    <w:tbl>
      <w:tblPr>
        <w:tblStyle w:val="10"/>
        <w:tblW w:w="5114" w:type="pct"/>
        <w:jc w:val="center"/>
        <w:tblLayout w:type="autofit"/>
        <w:tblCellMar>
          <w:top w:w="0" w:type="dxa"/>
          <w:left w:w="108" w:type="dxa"/>
          <w:bottom w:w="0" w:type="dxa"/>
          <w:right w:w="108" w:type="dxa"/>
        </w:tblCellMar>
      </w:tblPr>
      <w:tblGrid>
        <w:gridCol w:w="934"/>
        <w:gridCol w:w="1228"/>
        <w:gridCol w:w="1085"/>
        <w:gridCol w:w="1187"/>
        <w:gridCol w:w="1425"/>
        <w:gridCol w:w="1379"/>
        <w:gridCol w:w="1050"/>
        <w:gridCol w:w="1166"/>
        <w:gridCol w:w="1166"/>
        <w:gridCol w:w="1166"/>
        <w:gridCol w:w="1358"/>
        <w:gridCol w:w="1400"/>
      </w:tblGrid>
      <w:tr>
        <w:tblPrEx>
          <w:tblCellMar>
            <w:top w:w="0" w:type="dxa"/>
            <w:left w:w="108" w:type="dxa"/>
            <w:bottom w:w="0" w:type="dxa"/>
            <w:right w:w="108" w:type="dxa"/>
          </w:tblCellMar>
        </w:tblPrEx>
        <w:trPr>
          <w:trHeight w:val="606" w:hRule="atLeast"/>
          <w:jc w:val="center"/>
        </w:trPr>
        <w:tc>
          <w:tcPr>
            <w:tcW w:w="2486"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预算数</w:t>
            </w:r>
          </w:p>
        </w:tc>
        <w:tc>
          <w:tcPr>
            <w:tcW w:w="2513"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决算数</w:t>
            </w:r>
          </w:p>
        </w:tc>
      </w:tr>
      <w:tr>
        <w:tblPrEx>
          <w:tblCellMar>
            <w:top w:w="0" w:type="dxa"/>
            <w:left w:w="108" w:type="dxa"/>
            <w:bottom w:w="0" w:type="dxa"/>
            <w:right w:w="108" w:type="dxa"/>
          </w:tblCellMar>
        </w:tblPrEx>
        <w:trPr>
          <w:trHeight w:val="495" w:hRule="atLeast"/>
          <w:jc w:val="center"/>
        </w:trPr>
        <w:tc>
          <w:tcPr>
            <w:tcW w:w="32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2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71"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7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c>
          <w:tcPr>
            <w:tcW w:w="36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合计</w:t>
            </w:r>
          </w:p>
        </w:tc>
        <w:tc>
          <w:tcPr>
            <w:tcW w:w="401"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因公出国（境）费</w:t>
            </w:r>
          </w:p>
        </w:tc>
        <w:tc>
          <w:tcPr>
            <w:tcW w:w="1269"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公务用车购置及运行维护费</w:t>
            </w:r>
          </w:p>
        </w:tc>
        <w:tc>
          <w:tcPr>
            <w:tcW w:w="48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公务接待费</w:t>
            </w:r>
          </w:p>
        </w:tc>
      </w:tr>
      <w:tr>
        <w:tblPrEx>
          <w:tblCellMar>
            <w:top w:w="0" w:type="dxa"/>
            <w:left w:w="108" w:type="dxa"/>
            <w:bottom w:w="0" w:type="dxa"/>
            <w:right w:w="108" w:type="dxa"/>
          </w:tblCellMar>
        </w:tblPrEx>
        <w:trPr>
          <w:trHeight w:val="864" w:hRule="atLeast"/>
          <w:jc w:val="center"/>
        </w:trPr>
        <w:tc>
          <w:tcPr>
            <w:tcW w:w="32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2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7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36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小计</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购置费</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b/>
                <w:bCs/>
                <w:color w:val="000000"/>
                <w:sz w:val="22"/>
              </w:rPr>
            </w:pPr>
            <w:r>
              <w:rPr>
                <w:rFonts w:ascii="Times New Roman" w:hAnsi="Times New Roman" w:eastAsia="仿宋_GB2312" w:cs="Times New Roman"/>
                <w:b/>
                <w:bCs/>
                <w:color w:val="000000"/>
                <w:kern w:val="0"/>
                <w:sz w:val="22"/>
              </w:rPr>
              <w:t>公务用车</w:t>
            </w:r>
            <w:r>
              <w:rPr>
                <w:rFonts w:ascii="Times New Roman" w:hAnsi="Times New Roman" w:eastAsia="仿宋_GB2312" w:cs="Times New Roman"/>
                <w:b/>
                <w:bCs/>
                <w:color w:val="000000"/>
                <w:kern w:val="0"/>
                <w:sz w:val="22"/>
              </w:rPr>
              <w:br w:type="textWrapping"/>
            </w:r>
            <w:r>
              <w:rPr>
                <w:rFonts w:ascii="Times New Roman" w:hAnsi="Times New Roman" w:eastAsia="仿宋_GB2312" w:cs="Times New Roman"/>
                <w:b/>
                <w:bCs/>
                <w:color w:val="000000"/>
                <w:kern w:val="0"/>
                <w:sz w:val="22"/>
              </w:rPr>
              <w:t>运行维护费</w:t>
            </w:r>
          </w:p>
        </w:tc>
        <w:tc>
          <w:tcPr>
            <w:tcW w:w="48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ascii="Times New Roman" w:hAnsi="Times New Roman" w:eastAsia="仿宋_GB2312" w:cs="Times New Roman"/>
                <w:color w:val="000000"/>
                <w:sz w:val="22"/>
              </w:rPr>
            </w:pPr>
          </w:p>
        </w:tc>
      </w:tr>
      <w:tr>
        <w:tblPrEx>
          <w:tblCellMar>
            <w:top w:w="0" w:type="dxa"/>
            <w:left w:w="108" w:type="dxa"/>
            <w:bottom w:w="0" w:type="dxa"/>
            <w:right w:w="108" w:type="dxa"/>
          </w:tblCellMar>
        </w:tblPrEx>
        <w:trPr>
          <w:trHeight w:val="614"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w:t>
            </w: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2</w:t>
            </w: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3</w:t>
            </w: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4</w:t>
            </w: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5</w:t>
            </w: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6</w:t>
            </w: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7</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8</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9</w:t>
            </w: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10</w:t>
            </w: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11</w:t>
            </w: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ascii="Times New Roman" w:hAnsi="Times New Roman" w:eastAsia="仿宋_GB2312" w:cs="Times New Roman"/>
                <w:color w:val="000000"/>
                <w:sz w:val="22"/>
              </w:rPr>
            </w:pPr>
            <w:r>
              <w:rPr>
                <w:rFonts w:ascii="Times New Roman" w:hAnsi="Times New Roman" w:eastAsia="仿宋_GB2312" w:cs="Times New Roman"/>
                <w:color w:val="000000"/>
                <w:kern w:val="0"/>
                <w:sz w:val="22"/>
              </w:rPr>
              <w:t>12</w:t>
            </w:r>
          </w:p>
        </w:tc>
      </w:tr>
      <w:tr>
        <w:tblPrEx>
          <w:tblCellMar>
            <w:top w:w="0" w:type="dxa"/>
            <w:left w:w="108" w:type="dxa"/>
            <w:bottom w:w="0" w:type="dxa"/>
            <w:right w:w="108" w:type="dxa"/>
          </w:tblCellMar>
        </w:tblPrEx>
        <w:trPr>
          <w:trHeight w:val="579" w:hRule="atLeast"/>
          <w:jc w:val="center"/>
        </w:trPr>
        <w:tc>
          <w:tcPr>
            <w:tcW w:w="32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22"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73"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8"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7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36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01"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66"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c>
          <w:tcPr>
            <w:tcW w:w="480" w:type="pct"/>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ascii="Times New Roman" w:hAnsi="Times New Roman" w:eastAsia="仿宋_GB2312" w:cs="Times New Roman"/>
                <w:color w:val="000000"/>
                <w:sz w:val="22"/>
              </w:rPr>
            </w:pPr>
          </w:p>
        </w:tc>
      </w:tr>
    </w:tbl>
    <w:p>
      <w:pPr>
        <w:widowControl/>
        <w:spacing w:before="120"/>
        <w:jc w:val="left"/>
        <w:textAlignment w:val="center"/>
        <w:rPr>
          <w:rFonts w:ascii="Times New Roman" w:hAnsi="Times New Roman" w:eastAsia="仿宋_GB2312" w:cs="Times New Roman"/>
          <w:color w:val="000000"/>
          <w:sz w:val="24"/>
          <w:szCs w:val="24"/>
        </w:rPr>
      </w:pPr>
      <w:r>
        <w:rPr>
          <w:rFonts w:ascii="Times New Roman" w:hAnsi="Times New Roman" w:eastAsia="仿宋_GB2312" w:cs="Times New Roman"/>
          <w:color w:val="000000"/>
          <w:kern w:val="0"/>
          <w:sz w:val="24"/>
          <w:szCs w:val="24"/>
        </w:rPr>
        <w:t>注：本表反映部门本年度财政拨款“三公”经费支出预决算情况。其中，预算数为“三公”经费全年预算数，反映按规定程序调整后的预算数；决算数是包括当年财政拨款和以前年度结转资金安排的实际支出。</w:t>
      </w: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autoSpaceDE w:val="0"/>
        <w:autoSpaceDN w:val="0"/>
        <w:adjustRightInd w:val="0"/>
        <w:ind w:left="315" w:leftChars="150"/>
        <w:jc w:val="left"/>
        <w:rPr>
          <w:rFonts w:ascii="Times New Roman" w:hAnsi="Times New Roman" w:eastAsia="宋体" w:cs="Times New Roman"/>
          <w:kern w:val="0"/>
          <w:sz w:val="24"/>
          <w:szCs w:val="24"/>
        </w:rPr>
      </w:pPr>
    </w:p>
    <w:p>
      <w:pPr>
        <w:widowControl/>
        <w:rPr>
          <w:rFonts w:ascii="Times New Roman" w:hAnsi="Times New Roman" w:cs="Times New Roman"/>
          <w:sz w:val="72"/>
          <w:szCs w:val="72"/>
        </w:rPr>
        <w:sectPr>
          <w:pgSz w:w="16838" w:h="11906" w:orient="landscape"/>
          <w:pgMar w:top="1134" w:right="1417" w:bottom="1134" w:left="1417" w:header="851" w:footer="992" w:gutter="0"/>
          <w:pgBorders>
            <w:top w:val="none" w:sz="0" w:space="0"/>
            <w:left w:val="none" w:sz="0" w:space="0"/>
            <w:bottom w:val="none" w:sz="0" w:space="0"/>
            <w:right w:val="none" w:sz="0" w:space="0"/>
          </w:pgBorders>
          <w:cols w:space="425" w:num="1"/>
          <w:docGrid w:type="lines" w:linePitch="312" w:charSpace="0"/>
        </w:sectPr>
      </w:pPr>
      <w:r>
        <w:rPr>
          <w:rFonts w:ascii="Times New Roman" w:hAnsi="Times New Roman" w:eastAsia="黑体" w:cs="Times New Roman"/>
          <w:szCs w:val="21"/>
        </w:rPr>
        <w:br w:type="page"/>
      </w: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eastAsia="方正小标宋_GBK"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第三部分</w:t>
      </w: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202</w:t>
      </w:r>
      <w:r>
        <w:rPr>
          <w:rFonts w:hint="eastAsia" w:ascii="Times New Roman" w:hAnsi="Times New Roman" w:eastAsia="方正小标宋_GBK" w:cs="Times New Roman"/>
          <w:sz w:val="52"/>
          <w:szCs w:val="52"/>
          <w:lang w:val="en-US" w:eastAsia="zh-CN"/>
        </w:rPr>
        <w:t>5</w:t>
      </w:r>
      <w:r>
        <w:rPr>
          <w:rFonts w:ascii="Times New Roman" w:hAnsi="Times New Roman" w:eastAsia="方正小标宋_GBK" w:cs="Times New Roman"/>
          <w:sz w:val="52"/>
          <w:szCs w:val="52"/>
        </w:rPr>
        <w:t>年度部门决算情况说明</w:t>
      </w:r>
    </w:p>
    <w:p>
      <w:pPr>
        <w:widowControl/>
        <w:jc w:val="left"/>
        <w:rPr>
          <w:rFonts w:ascii="Times New Roman" w:hAnsi="Times New Roman" w:cs="Times New Roman"/>
          <w:sz w:val="32"/>
          <w:szCs w:val="32"/>
        </w:rPr>
      </w:pPr>
      <w:r>
        <w:rPr>
          <w:rFonts w:ascii="Times New Roman" w:hAnsi="Times New Roman" w:eastAsia="方正小标宋_GBK" w:cs="Times New Roman"/>
          <w:sz w:val="70"/>
          <w:szCs w:val="70"/>
        </w:rPr>
        <w:br w:type="page"/>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一、收入支出决算总体情况说明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年度收</w:t>
      </w:r>
      <w:r>
        <w:rPr>
          <w:rFonts w:hint="eastAsia" w:ascii="Times New Roman" w:hAnsi="Times New Roman" w:eastAsia="仿宋_GB2312" w:cs="Times New Roman"/>
          <w:sz w:val="32"/>
          <w:szCs w:val="32"/>
          <w:lang w:eastAsia="zh-CN"/>
        </w:rPr>
        <w:t>入</w:t>
      </w:r>
      <w:r>
        <w:rPr>
          <w:rFonts w:ascii="Times New Roman" w:hAnsi="Times New Roman" w:eastAsia="仿宋_GB2312" w:cs="Times New Roman"/>
          <w:sz w:val="32"/>
          <w:szCs w:val="32"/>
        </w:rPr>
        <w:t>总计</w:t>
      </w:r>
      <w:bookmarkStart w:id="6" w:name="OLE_LINK2"/>
      <w:r>
        <w:rPr>
          <w:rFonts w:hint="eastAsia" w:ascii="Times New Roman" w:hAnsi="Times New Roman" w:eastAsia="仿宋_GB2312" w:cs="Times New Roman"/>
          <w:sz w:val="32"/>
          <w:szCs w:val="32"/>
          <w:lang w:val="en-US" w:eastAsia="zh-CN"/>
        </w:rPr>
        <w:t>2424.83</w:t>
      </w:r>
      <w:bookmarkEnd w:id="6"/>
      <w:r>
        <w:rPr>
          <w:rFonts w:ascii="Times New Roman" w:hAnsi="Times New Roman" w:eastAsia="仿宋_GB2312" w:cs="Times New Roman"/>
          <w:sz w:val="32"/>
          <w:szCs w:val="32"/>
        </w:rPr>
        <w:t>万元。与上年相比，增加</w:t>
      </w:r>
      <w:bookmarkStart w:id="7" w:name="OLE_LINK6"/>
      <w:r>
        <w:rPr>
          <w:rFonts w:hint="eastAsia" w:ascii="Times New Roman" w:hAnsi="Times New Roman" w:eastAsia="仿宋_GB2312" w:cs="Times New Roman"/>
          <w:sz w:val="32"/>
          <w:szCs w:val="32"/>
          <w:lang w:val="en-US" w:eastAsia="zh-CN"/>
        </w:rPr>
        <w:t>24.28</w:t>
      </w:r>
      <w:bookmarkEnd w:id="7"/>
      <w:r>
        <w:rPr>
          <w:rFonts w:ascii="Times New Roman" w:hAnsi="Times New Roman" w:eastAsia="仿宋_GB2312" w:cs="Times New Roman"/>
          <w:sz w:val="32"/>
          <w:szCs w:val="32"/>
        </w:rPr>
        <w:t>万元，增</w:t>
      </w:r>
      <w:r>
        <w:rPr>
          <w:rFonts w:hint="eastAsia" w:ascii="Times New Roman" w:hAnsi="Times New Roman" w:eastAsia="仿宋_GB2312" w:cs="Times New Roman"/>
          <w:sz w:val="32"/>
          <w:szCs w:val="32"/>
          <w:lang w:eastAsia="zh-CN"/>
        </w:rPr>
        <w:t>加</w:t>
      </w:r>
      <w:bookmarkStart w:id="8" w:name="OLE_LINK7"/>
      <w:r>
        <w:rPr>
          <w:rFonts w:hint="eastAsia" w:ascii="Times New Roman" w:hAnsi="Times New Roman" w:eastAsia="仿宋_GB2312" w:cs="Times New Roman"/>
          <w:sz w:val="32"/>
          <w:szCs w:val="32"/>
          <w:lang w:val="en-US" w:eastAsia="zh-CN"/>
        </w:rPr>
        <w:t>1.01</w:t>
      </w:r>
      <w:bookmarkEnd w:id="8"/>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教职工工资增长，人员经费增加，财政拨款增加。</w:t>
      </w:r>
    </w:p>
    <w:p>
      <w:pPr>
        <w:pStyle w:val="14"/>
        <w:overflowPunct w:val="0"/>
        <w:autoSpaceDE/>
        <w:autoSpaceDN/>
        <w:spacing w:line="600" w:lineRule="exact"/>
        <w:ind w:firstLine="640" w:firstLineChars="200"/>
        <w:jc w:val="both"/>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2025年度支出总计2424.83万元。与上年相比，增加24.28万元，增加1.01%，主要是因为教职工工资增长，人员经费增加，</w:t>
      </w:r>
      <w:r>
        <w:rPr>
          <w:rFonts w:hint="eastAsia" w:ascii="Times New Roman" w:hAnsi="Times New Roman" w:eastAsia="仿宋_GB2312" w:cs="Times New Roman"/>
          <w:sz w:val="32"/>
          <w:szCs w:val="32"/>
          <w:lang w:eastAsia="zh-CN"/>
        </w:rPr>
        <w:t>财政拨款增加。</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二、收入决算情况说明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年度收入合计</w:t>
      </w:r>
      <w:bookmarkStart w:id="9" w:name="OLE_LINK8"/>
      <w:r>
        <w:rPr>
          <w:rFonts w:hint="eastAsia" w:ascii="Times New Roman" w:hAnsi="Times New Roman" w:eastAsia="仿宋_GB2312" w:cs="Times New Roman"/>
          <w:sz w:val="32"/>
          <w:szCs w:val="32"/>
          <w:lang w:val="en-US" w:eastAsia="zh-CN"/>
        </w:rPr>
        <w:t>2424.83</w:t>
      </w:r>
      <w:bookmarkEnd w:id="9"/>
      <w:r>
        <w:rPr>
          <w:rFonts w:ascii="Times New Roman" w:hAnsi="Times New Roman" w:eastAsia="仿宋_GB2312" w:cs="Times New Roman"/>
          <w:sz w:val="32"/>
          <w:szCs w:val="32"/>
        </w:rPr>
        <w:t>万元，其中：财政拨款收入</w:t>
      </w:r>
      <w:r>
        <w:rPr>
          <w:rFonts w:hint="eastAsia" w:ascii="Times New Roman" w:hAnsi="Times New Roman" w:eastAsia="仿宋_GB2312" w:cs="Times New Roman"/>
          <w:sz w:val="32"/>
          <w:szCs w:val="32"/>
          <w:lang w:val="en-US" w:eastAsia="zh-CN"/>
        </w:rPr>
        <w:t>1956.63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80.69</w:t>
      </w:r>
      <w:r>
        <w:rPr>
          <w:rFonts w:ascii="Times New Roman" w:hAnsi="Times New Roman" w:eastAsia="仿宋_GB2312" w:cs="Times New Roman"/>
          <w:sz w:val="32"/>
          <w:szCs w:val="32"/>
        </w:rPr>
        <w:t>%；上级补助收入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%；事业收入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%；附属单位上缴收入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%；其他收入</w:t>
      </w:r>
      <w:r>
        <w:rPr>
          <w:rFonts w:hint="eastAsia" w:ascii="Times New Roman" w:hAnsi="Times New Roman" w:eastAsia="仿宋_GB2312" w:cs="Times New Roman"/>
          <w:sz w:val="32"/>
          <w:szCs w:val="32"/>
          <w:lang w:val="en-US" w:eastAsia="zh-CN"/>
        </w:rPr>
        <w:t>468.2</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19.31</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三、支出决算情况说明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年度支出合计</w:t>
      </w:r>
      <w:r>
        <w:rPr>
          <w:rFonts w:hint="eastAsia" w:ascii="Times New Roman" w:hAnsi="Times New Roman" w:eastAsia="仿宋_GB2312" w:cs="Times New Roman"/>
          <w:sz w:val="32"/>
          <w:szCs w:val="32"/>
          <w:lang w:val="en-US" w:eastAsia="zh-CN"/>
        </w:rPr>
        <w:t>2424.83</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2407.84</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99.3</w:t>
      </w:r>
      <w:r>
        <w:rPr>
          <w:rFonts w:ascii="Times New Roman" w:hAnsi="Times New Roman" w:eastAsia="仿宋_GB2312" w:cs="Times New Roman"/>
          <w:sz w:val="32"/>
          <w:szCs w:val="32"/>
        </w:rPr>
        <w:t>%；项目支出</w:t>
      </w:r>
      <w:r>
        <w:rPr>
          <w:rFonts w:hint="eastAsia" w:ascii="Times New Roman" w:hAnsi="Times New Roman" w:eastAsia="仿宋_GB2312" w:cs="Times New Roman"/>
          <w:sz w:val="32"/>
          <w:szCs w:val="32"/>
          <w:lang w:val="en-US" w:eastAsia="zh-CN"/>
        </w:rPr>
        <w:t>16.99</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0.07</w:t>
      </w:r>
      <w:r>
        <w:rPr>
          <w:rFonts w:ascii="Times New Roman" w:hAnsi="Times New Roman" w:eastAsia="仿宋_GB2312" w:cs="Times New Roman"/>
          <w:sz w:val="32"/>
          <w:szCs w:val="32"/>
        </w:rPr>
        <w:t>%；上缴上级支出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%；经营支出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%；对附属单位补助支出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四、财政拨款收入支出决算总体情况说明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年度财政拨款收、支总计</w:t>
      </w:r>
      <w:r>
        <w:rPr>
          <w:rFonts w:hint="eastAsia" w:ascii="Times New Roman" w:hAnsi="Times New Roman" w:eastAsia="仿宋_GB2312" w:cs="Times New Roman"/>
          <w:sz w:val="32"/>
          <w:szCs w:val="32"/>
          <w:lang w:val="en-US" w:eastAsia="zh-CN"/>
        </w:rPr>
        <w:t>1956.63</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val="en-US" w:eastAsia="zh-CN"/>
        </w:rPr>
        <w:t>增加151.16</w:t>
      </w:r>
      <w:r>
        <w:rPr>
          <w:rFonts w:ascii="Times New Roman" w:hAnsi="Times New Roman" w:eastAsia="仿宋_GB2312" w:cs="Times New Roman"/>
          <w:sz w:val="32"/>
          <w:szCs w:val="32"/>
        </w:rPr>
        <w:t>万元,</w:t>
      </w:r>
      <w:r>
        <w:rPr>
          <w:rFonts w:hint="eastAsia" w:ascii="Times New Roman" w:hAnsi="Times New Roman" w:eastAsia="仿宋_GB2312" w:cs="Times New Roman"/>
          <w:sz w:val="32"/>
          <w:szCs w:val="32"/>
          <w:lang w:val="en-US" w:eastAsia="zh-CN"/>
        </w:rPr>
        <w:t>增加83.72</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主要是因为教职工工资增长，人员经费增加，财政拨款增加。</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五、一般公共预算财政拨款支出决算情况说明</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（一）一般公共预算财政拨款支出决算总体情况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年度财政拨款支出</w:t>
      </w:r>
      <w:bookmarkStart w:id="10" w:name="OLE_LINK4"/>
      <w:r>
        <w:rPr>
          <w:rFonts w:hint="eastAsia" w:ascii="Times New Roman" w:hAnsi="Times New Roman" w:eastAsia="仿宋_GB2312" w:cs="Times New Roman"/>
          <w:sz w:val="32"/>
          <w:szCs w:val="32"/>
          <w:lang w:val="en-US" w:eastAsia="zh-CN"/>
        </w:rPr>
        <w:t>1956.63</w:t>
      </w:r>
      <w:bookmarkEnd w:id="10"/>
      <w:r>
        <w:rPr>
          <w:rFonts w:ascii="Times New Roman" w:hAnsi="Times New Roman" w:eastAsia="仿宋_GB2312" w:cs="Times New Roman"/>
          <w:sz w:val="32"/>
          <w:szCs w:val="32"/>
        </w:rPr>
        <w:t>万元，占本年支出合计的</w:t>
      </w:r>
      <w:r>
        <w:rPr>
          <w:rFonts w:hint="eastAsia" w:ascii="Times New Roman" w:hAnsi="Times New Roman" w:eastAsia="仿宋_GB2312" w:cs="Times New Roman"/>
          <w:sz w:val="32"/>
          <w:szCs w:val="32"/>
          <w:lang w:val="en-US" w:eastAsia="zh-CN"/>
        </w:rPr>
        <w:t>80.69</w:t>
      </w:r>
      <w:r>
        <w:rPr>
          <w:rFonts w:ascii="Times New Roman" w:hAnsi="Times New Roman" w:eastAsia="仿宋_GB2312" w:cs="Times New Roman"/>
          <w:sz w:val="32"/>
          <w:szCs w:val="32"/>
        </w:rPr>
        <w:t>%，与上年相比，财政拨款支出增加</w:t>
      </w:r>
      <w:r>
        <w:rPr>
          <w:rFonts w:hint="eastAsia" w:ascii="Times New Roman" w:hAnsi="Times New Roman" w:eastAsia="仿宋_GB2312" w:cs="Times New Roman"/>
          <w:sz w:val="32"/>
          <w:szCs w:val="32"/>
          <w:lang w:val="en-US" w:eastAsia="zh-CN"/>
        </w:rPr>
        <w:t>151.16</w:t>
      </w:r>
      <w:r>
        <w:rPr>
          <w:rFonts w:ascii="Times New Roman" w:hAnsi="Times New Roman" w:eastAsia="仿宋_GB2312" w:cs="Times New Roman"/>
          <w:sz w:val="32"/>
          <w:szCs w:val="32"/>
        </w:rPr>
        <w:t>万元，增长</w:t>
      </w:r>
      <w:r>
        <w:rPr>
          <w:rFonts w:hint="eastAsia" w:ascii="Times New Roman" w:hAnsi="Times New Roman" w:eastAsia="仿宋_GB2312" w:cs="Times New Roman"/>
          <w:sz w:val="32"/>
          <w:szCs w:val="32"/>
          <w:lang w:val="en-US" w:eastAsia="zh-CN"/>
        </w:rPr>
        <w:t>83.72</w:t>
      </w:r>
      <w:r>
        <w:rPr>
          <w:rFonts w:ascii="Times New Roman" w:hAnsi="Times New Roman" w:eastAsia="仿宋_GB2312" w:cs="Times New Roman"/>
          <w:sz w:val="32"/>
          <w:szCs w:val="32"/>
        </w:rPr>
        <w:t>%，主要是因为</w:t>
      </w:r>
      <w:r>
        <w:rPr>
          <w:rFonts w:hint="eastAsia" w:ascii="Times New Roman" w:hAnsi="Times New Roman" w:eastAsia="仿宋_GB2312" w:cs="Times New Roman"/>
          <w:sz w:val="32"/>
          <w:szCs w:val="32"/>
          <w:lang w:eastAsia="zh-CN"/>
        </w:rPr>
        <w:t>教职工工资增长，人员经费增加，</w:t>
      </w:r>
      <w:bookmarkStart w:id="11" w:name="OLE_LINK3"/>
      <w:r>
        <w:rPr>
          <w:rFonts w:hint="eastAsia" w:ascii="Times New Roman" w:hAnsi="Times New Roman" w:eastAsia="仿宋_GB2312" w:cs="Times New Roman"/>
          <w:sz w:val="32"/>
          <w:szCs w:val="32"/>
          <w:lang w:eastAsia="zh-CN"/>
        </w:rPr>
        <w:t>财政拨款增加。</w:t>
      </w:r>
    </w:p>
    <w:bookmarkEnd w:id="11"/>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（二）一般公共预算财政拨款支出决算结构情况</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年度财政拨款支出</w:t>
      </w:r>
      <w:r>
        <w:rPr>
          <w:rFonts w:hint="eastAsia" w:ascii="Times New Roman" w:hAnsi="Times New Roman" w:eastAsia="仿宋_GB2312" w:cs="Times New Roman"/>
          <w:sz w:val="32"/>
          <w:szCs w:val="32"/>
          <w:lang w:val="en-US" w:eastAsia="zh-CN"/>
        </w:rPr>
        <w:t>1956.63</w:t>
      </w:r>
      <w:r>
        <w:rPr>
          <w:rFonts w:ascii="Times New Roman" w:hAnsi="Times New Roman" w:eastAsia="仿宋_GB2312" w:cs="Times New Roman"/>
          <w:sz w:val="32"/>
          <w:szCs w:val="32"/>
        </w:rPr>
        <w:t>万元，主要用于以下方面：教育（类）支出</w:t>
      </w:r>
      <w:r>
        <w:rPr>
          <w:rFonts w:hint="eastAsia" w:ascii="Times New Roman" w:hAnsi="Times New Roman" w:eastAsia="仿宋_GB2312" w:cs="Times New Roman"/>
          <w:sz w:val="32"/>
          <w:szCs w:val="32"/>
          <w:lang w:val="en-US" w:eastAsia="zh-CN"/>
        </w:rPr>
        <w:t>1956.63</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100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科学技术</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；社会保障和就业</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；住房保障</w:t>
      </w:r>
      <w:r>
        <w:rPr>
          <w:rFonts w:ascii="Times New Roman" w:hAnsi="Times New Roman" w:eastAsia="仿宋_GB2312" w:cs="Times New Roman"/>
          <w:sz w:val="32"/>
          <w:szCs w:val="32"/>
        </w:rPr>
        <w:t>（类）支出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万元，占</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（三）一般公共预算财政拨款支出决算具体情况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年度财政拨款支出年初预算数为</w:t>
      </w:r>
      <w:r>
        <w:rPr>
          <w:rFonts w:hint="eastAsia" w:ascii="Times New Roman" w:hAnsi="Times New Roman" w:eastAsia="仿宋_GB2312" w:cs="Times New Roman"/>
          <w:color w:val="auto"/>
          <w:sz w:val="32"/>
          <w:szCs w:val="32"/>
          <w:lang w:val="en-US" w:eastAsia="zh-CN"/>
        </w:rPr>
        <w:t>2000.48</w:t>
      </w:r>
      <w:r>
        <w:rPr>
          <w:rFonts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1956.63</w:t>
      </w:r>
      <w:r>
        <w:rPr>
          <w:rFonts w:ascii="Times New Roman" w:hAnsi="Times New Roman" w:eastAsia="仿宋_GB2312" w:cs="Times New Roman"/>
          <w:sz w:val="32"/>
          <w:szCs w:val="32"/>
        </w:rPr>
        <w:t>万元，完成年初预算的</w:t>
      </w:r>
      <w:r>
        <w:rPr>
          <w:rFonts w:hint="eastAsia" w:ascii="Times New Roman" w:hAnsi="Times New Roman" w:eastAsia="仿宋_GB2312" w:cs="Times New Roman"/>
          <w:sz w:val="32"/>
          <w:szCs w:val="32"/>
          <w:lang w:val="en-US" w:eastAsia="zh-CN"/>
        </w:rPr>
        <w:t>97.81</w:t>
      </w:r>
      <w:r>
        <w:rPr>
          <w:rFonts w:ascii="Times New Roman" w:hAnsi="Times New Roman" w:eastAsia="仿宋_GB2312" w:cs="Times New Roman"/>
          <w:sz w:val="32"/>
          <w:szCs w:val="32"/>
        </w:rPr>
        <w:t>%，其中：</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1.教育支出（类）普通教育（款）学前教育（项）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95.90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2.教育支出（类）普通教育（款）小学教育（项）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w:t>
      </w:r>
      <w:r>
        <w:rPr>
          <w:rFonts w:hint="eastAsia" w:ascii="Times New Roman" w:hAnsi="Times New Roman" w:eastAsia="仿宋_GB2312" w:cs="Times New Roman"/>
          <w:sz w:val="32"/>
          <w:szCs w:val="32"/>
          <w:lang w:val="en-US" w:eastAsia="zh-CN"/>
        </w:rPr>
        <w:t>301.68</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3.教育支出（类）普通教育（款）初中教育（项）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4.教育支出（类）其他教育支出（款）其他教育费附加安排的支出（项）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16.99</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5.教育支出（类）普通教育（款）其他普通教育支出（项）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w:t>
      </w:r>
      <w:r>
        <w:rPr>
          <w:rFonts w:hint="eastAsia" w:ascii="Times New Roman" w:hAnsi="Times New Roman" w:eastAsia="仿宋_GB2312" w:cs="Times New Roman"/>
          <w:color w:val="auto"/>
          <w:sz w:val="32"/>
          <w:szCs w:val="32"/>
          <w:lang w:val="en-US" w:eastAsia="zh-CN"/>
        </w:rPr>
        <w:t>1542.06</w:t>
      </w:r>
      <w:r>
        <w:rPr>
          <w:rFonts w:hint="eastAsia" w:ascii="Times New Roman" w:hAnsi="Times New Roman" w:eastAsia="仿宋_GB2312" w:cs="Times New Roman"/>
          <w:sz w:val="32"/>
          <w:szCs w:val="32"/>
        </w:rPr>
        <w:t>万元，支出决算数为</w:t>
      </w:r>
      <w:r>
        <w:rPr>
          <w:rFonts w:hint="eastAsia" w:ascii="Times New Roman" w:hAnsi="Times New Roman" w:eastAsia="仿宋_GB2312" w:cs="Times New Roman"/>
          <w:sz w:val="32"/>
          <w:szCs w:val="32"/>
          <w:lang w:val="en-US" w:eastAsia="zh-CN"/>
        </w:rPr>
        <w:t>1542.06</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决算数大于预算数主要是因为教职工资增长，年中追加了人员经费。</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6</w:t>
      </w:r>
      <w:r>
        <w:rPr>
          <w:rFonts w:hint="eastAsia" w:ascii="Times New Roman" w:hAnsi="Times New Roman" w:eastAsia="仿宋_GB2312" w:cs="Times New Roman"/>
          <w:sz w:val="32"/>
          <w:szCs w:val="32"/>
        </w:rPr>
        <w:t>.教育支出（类）其他教育支出（款）其他教育支出（项）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hint="eastAsia" w:ascii="Times New Roman" w:hAnsi="Times New Roman" w:eastAsia="仿宋_GB2312" w:cs="Times New Roman"/>
          <w:sz w:val="32"/>
          <w:szCs w:val="32"/>
        </w:rPr>
        <w:t>年初预算为0万元，支出决算数为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万元。决算数大于预算数的主要原因是预算时全部纳入教育支出（类）普通教育（款）其他普通教育支出（项），决算时进行了分类。</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6.科学技术支出（类）其他科学技术支出（款）其他科学技术支出（项）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7.社会保障和就业支出（类）行政事业单位离退休（款）事业单位离退休（项）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年初预算为0万元，支出决算为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8.社会保障和就业支出（类）行政事业单位离退休（款）死亡抚恤（项）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 xml:space="preserve">  年初预算为0万元，支出决算为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9.住房保障支出（类）保障性安居工程支出（款）其他保障性租赁住房（项）</w:t>
      </w:r>
    </w:p>
    <w:p>
      <w:pPr>
        <w:pStyle w:val="14"/>
        <w:overflowPunct w:val="0"/>
        <w:autoSpaceDE/>
        <w:autoSpaceDN/>
        <w:spacing w:line="600" w:lineRule="exact"/>
        <w:ind w:firstLine="640" w:firstLineChars="200"/>
        <w:jc w:val="both"/>
        <w:rPr>
          <w:rFonts w:hint="eastAsia" w:ascii="Times New Roman" w:hAnsi="Times New Roman" w:eastAsia="仿宋_GB2312" w:cs="Times New Roman"/>
          <w:sz w:val="32"/>
          <w:szCs w:val="32"/>
        </w:rPr>
      </w:pPr>
      <w:r>
        <w:rPr>
          <w:rFonts w:hint="eastAsia" w:ascii="Times New Roman" w:hAnsi="Times New Roman" w:eastAsia="仿宋_GB2312" w:cs="Times New Roman"/>
          <w:sz w:val="32"/>
          <w:szCs w:val="32"/>
        </w:rPr>
        <w:t>年初预算为0万元，支出决算为</w:t>
      </w:r>
      <w:r>
        <w:rPr>
          <w:rFonts w:hint="eastAsia" w:ascii="Times New Roman" w:hAnsi="Times New Roman" w:eastAsia="仿宋_GB2312" w:cs="Times New Roman"/>
          <w:sz w:val="32"/>
          <w:szCs w:val="32"/>
          <w:lang w:val="en-US" w:eastAsia="zh-CN"/>
        </w:rPr>
        <w:t>0</w:t>
      </w:r>
      <w:r>
        <w:rPr>
          <w:rFonts w:hint="eastAsia" w:ascii="Times New Roman" w:hAnsi="Times New Roman" w:eastAsia="仿宋_GB2312" w:cs="Times New Roman"/>
          <w:sz w:val="32"/>
          <w:szCs w:val="32"/>
        </w:rPr>
        <w:t>万元。</w:t>
      </w:r>
      <w:r>
        <w:rPr>
          <w:rFonts w:hint="eastAsia" w:ascii="Times New Roman" w:hAnsi="Times New Roman" w:eastAsia="仿宋_GB2312" w:cs="Times New Roman"/>
          <w:sz w:val="32"/>
          <w:szCs w:val="32"/>
          <w:lang w:eastAsia="zh-CN"/>
        </w:rPr>
        <w:t>决算数大于预算数的主要原因是预算时全部纳入</w:t>
      </w:r>
      <w:r>
        <w:rPr>
          <w:rFonts w:hint="eastAsia" w:ascii="Times New Roman" w:hAnsi="Times New Roman" w:eastAsia="仿宋_GB2312" w:cs="Times New Roman"/>
          <w:sz w:val="32"/>
          <w:szCs w:val="32"/>
        </w:rPr>
        <w:t>教育支出（类）普通教育（款）其他普通教育支出（项）</w:t>
      </w:r>
      <w:r>
        <w:rPr>
          <w:rFonts w:hint="eastAsia" w:ascii="Times New Roman" w:hAnsi="Times New Roman" w:eastAsia="仿宋_GB2312" w:cs="Times New Roman"/>
          <w:sz w:val="32"/>
          <w:szCs w:val="32"/>
          <w:lang w:eastAsia="zh-CN"/>
        </w:rPr>
        <w:t>，决算时进行了分类。</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六、一般公共预算财政拨款基本支出决算情况说明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年度一般公共预算财政拨款基本支出</w:t>
      </w:r>
      <w:r>
        <w:rPr>
          <w:rFonts w:hint="eastAsia" w:ascii="Times New Roman" w:hAnsi="Times New Roman" w:eastAsia="仿宋_GB2312" w:cs="Times New Roman"/>
          <w:sz w:val="32"/>
          <w:szCs w:val="32"/>
          <w:lang w:val="en-US" w:eastAsia="zh-CN"/>
        </w:rPr>
        <w:t>1956.63</w:t>
      </w:r>
      <w:r>
        <w:rPr>
          <w:rFonts w:ascii="Times New Roman" w:hAnsi="Times New Roman" w:eastAsia="仿宋_GB2312" w:cs="Times New Roman"/>
          <w:sz w:val="32"/>
          <w:szCs w:val="32"/>
        </w:rPr>
        <w:t>万元，其中：</w:t>
      </w:r>
    </w:p>
    <w:p>
      <w:pPr>
        <w:pStyle w:val="14"/>
        <w:overflowPunct w:val="0"/>
        <w:autoSpaceDE/>
        <w:autoSpaceDN/>
        <w:spacing w:line="600" w:lineRule="exact"/>
        <w:ind w:firstLine="640" w:firstLineChars="200"/>
        <w:jc w:val="both"/>
        <w:rPr>
          <w:rFonts w:ascii="Times New Roman" w:hAnsi="Times New Roman" w:eastAsia="楷体_GB2312" w:cs="Times New Roman"/>
          <w:b/>
          <w:bCs/>
          <w:i/>
          <w:color w:val="auto"/>
          <w:sz w:val="32"/>
          <w:szCs w:val="32"/>
        </w:rPr>
      </w:pPr>
      <w:r>
        <w:rPr>
          <w:rFonts w:ascii="Times New Roman" w:hAnsi="Times New Roman" w:eastAsia="仿宋_GB2312" w:cs="Times New Roman"/>
          <w:b/>
          <w:bCs/>
          <w:sz w:val="32"/>
          <w:szCs w:val="32"/>
        </w:rPr>
        <w:t>人员经费</w:t>
      </w:r>
      <w:r>
        <w:rPr>
          <w:rFonts w:hint="eastAsia" w:ascii="Times New Roman" w:hAnsi="Times New Roman" w:eastAsia="仿宋_GB2312" w:cs="Times New Roman"/>
          <w:sz w:val="32"/>
          <w:szCs w:val="32"/>
          <w:lang w:val="en-US" w:eastAsia="zh-CN"/>
        </w:rPr>
        <w:t>1423.79</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72.78</w:t>
      </w:r>
      <w:r>
        <w:rPr>
          <w:rFonts w:ascii="Times New Roman" w:hAnsi="Times New Roman" w:eastAsia="仿宋_GB2312" w:cs="Times New Roman"/>
          <w:sz w:val="32"/>
          <w:szCs w:val="32"/>
        </w:rPr>
        <w:t>%,主要包括基本工资、津贴补贴、奖金、</w:t>
      </w:r>
      <w:r>
        <w:rPr>
          <w:rFonts w:hint="eastAsia" w:ascii="Times New Roman" w:hAnsi="Times New Roman" w:eastAsia="仿宋_GB2312" w:cs="Times New Roman"/>
          <w:sz w:val="32"/>
          <w:szCs w:val="32"/>
          <w:lang w:val="en-US" w:eastAsia="zh-CN"/>
        </w:rPr>
        <w:t>绩效工资、社会保障缴费、</w:t>
      </w:r>
      <w:r>
        <w:rPr>
          <w:rFonts w:hint="eastAsia" w:ascii="Times New Roman" w:hAnsi="Times New Roman" w:eastAsia="仿宋_GB2312" w:cs="Times New Roman"/>
          <w:sz w:val="32"/>
          <w:szCs w:val="32"/>
          <w:lang w:eastAsia="zh-CN"/>
        </w:rPr>
        <w:t>生活补助、其他对个人和家庭补助、</w:t>
      </w:r>
      <w:r>
        <w:rPr>
          <w:rFonts w:hint="eastAsia" w:ascii="Times New Roman" w:hAnsi="Times New Roman" w:eastAsia="仿宋_GB2312" w:cs="Times New Roman"/>
          <w:sz w:val="32"/>
          <w:szCs w:val="32"/>
          <w:lang w:val="en-US" w:eastAsia="zh-CN"/>
        </w:rPr>
        <w:t>助学金</w:t>
      </w:r>
      <w:r>
        <w:rPr>
          <w:rFonts w:hint="eastAsia" w:ascii="Times New Roman" w:hAnsi="Times New Roman" w:eastAsia="仿宋_GB2312" w:cs="Times New Roman"/>
          <w:sz w:val="32"/>
          <w:szCs w:val="32"/>
          <w:lang w:eastAsia="zh-CN"/>
        </w:rPr>
        <w:t>等</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eastAsia="仿宋_GB2312" w:cs="Times New Roman"/>
          <w:b/>
          <w:bCs/>
          <w:sz w:val="32"/>
          <w:szCs w:val="32"/>
        </w:rPr>
        <w:t>公用经费</w:t>
      </w:r>
      <w:r>
        <w:rPr>
          <w:rFonts w:hint="eastAsia" w:ascii="Times New Roman" w:hAnsi="Times New Roman" w:eastAsia="仿宋_GB2312" w:cs="Times New Roman"/>
          <w:sz w:val="32"/>
          <w:szCs w:val="32"/>
          <w:lang w:val="en-US" w:eastAsia="zh-CN"/>
        </w:rPr>
        <w:t>515.85</w:t>
      </w:r>
      <w:r>
        <w:rPr>
          <w:rFonts w:ascii="Times New Roman" w:hAnsi="Times New Roman" w:eastAsia="仿宋_GB2312" w:cs="Times New Roman"/>
          <w:sz w:val="32"/>
          <w:szCs w:val="32"/>
        </w:rPr>
        <w:t>万元，占基本支出的</w:t>
      </w:r>
      <w:r>
        <w:rPr>
          <w:rFonts w:hint="eastAsia" w:ascii="Times New Roman" w:hAnsi="Times New Roman" w:eastAsia="仿宋_GB2312" w:cs="Times New Roman"/>
          <w:sz w:val="32"/>
          <w:szCs w:val="32"/>
          <w:lang w:val="en-US" w:eastAsia="zh-CN"/>
        </w:rPr>
        <w:t>26.36</w:t>
      </w:r>
      <w:r>
        <w:rPr>
          <w:rFonts w:ascii="Times New Roman" w:hAnsi="Times New Roman" w:eastAsia="仿宋_GB2312" w:cs="Times New Roman"/>
          <w:sz w:val="32"/>
          <w:szCs w:val="32"/>
        </w:rPr>
        <w:t>%，主要包括办公费、印刷费、</w:t>
      </w:r>
      <w:r>
        <w:rPr>
          <w:rFonts w:hint="eastAsia" w:ascii="Times New Roman" w:hAnsi="Times New Roman" w:eastAsia="仿宋_GB2312" w:cs="Times New Roman"/>
          <w:sz w:val="32"/>
          <w:szCs w:val="32"/>
          <w:lang w:eastAsia="zh-CN"/>
        </w:rPr>
        <w:t>水费、电费、维修维护费、会议费、培训费、工会经费、其他商品和服务支出</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b/>
          <w:sz w:val="32"/>
          <w:szCs w:val="32"/>
        </w:rPr>
      </w:pPr>
      <w:r>
        <w:rPr>
          <w:rFonts w:ascii="Times New Roman" w:hAnsi="Times New Roman" w:cs="Times New Roman"/>
          <w:bCs/>
          <w:sz w:val="32"/>
          <w:szCs w:val="32"/>
        </w:rPr>
        <w:t>七、财政拨款“三公”经费支出决算情况说明</w:t>
      </w:r>
      <w:r>
        <w:rPr>
          <w:rFonts w:ascii="Times New Roman" w:hAnsi="Times New Roman" w:eastAsia="楷体_GB2312" w:cs="Times New Roman"/>
          <w:b/>
          <w:bCs/>
          <w:i/>
          <w:color w:val="auto"/>
          <w:sz w:val="32"/>
          <w:szCs w:val="32"/>
        </w:rPr>
        <w:t>（注意：“三公”经费不再是一般公共预算财政拨款口径，而是财政拨款口径）</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（一）“三公”经费财政拨款支出决算总体情况说明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highlight w:val="yellow"/>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年度“三公”经费财政拨款支出预算为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持平</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eastAsia="楷体_GB2312" w:cs="Times New Roman"/>
          <w:b/>
          <w:sz w:val="32"/>
          <w:szCs w:val="32"/>
        </w:rPr>
      </w:pPr>
      <w:r>
        <w:rPr>
          <w:rFonts w:ascii="Times New Roman" w:hAnsi="Times New Roman" w:eastAsia="楷体_GB2312" w:cs="Times New Roman"/>
          <w:b/>
          <w:sz w:val="32"/>
          <w:szCs w:val="32"/>
        </w:rPr>
        <w:t>（二）“三公”经费财政拨款支出决算具体情况说明</w:t>
      </w:r>
    </w:p>
    <w:p>
      <w:pPr>
        <w:pStyle w:val="14"/>
        <w:overflowPunct w:val="0"/>
        <w:autoSpaceDE/>
        <w:autoSpaceDN/>
        <w:spacing w:line="600" w:lineRule="exact"/>
        <w:ind w:firstLine="640" w:firstLineChars="200"/>
        <w:jc w:val="both"/>
        <w:rPr>
          <w:rFonts w:hint="eastAsia" w:ascii="Times New Roman" w:hAnsi="Times New Roman" w:eastAsia="仿宋_GB2312" w:cs="Times New Roman"/>
          <w:b/>
          <w:bCs/>
          <w:i/>
          <w:color w:val="auto"/>
          <w:sz w:val="32"/>
          <w:szCs w:val="32"/>
          <w:lang w:eastAsia="zh-CN"/>
        </w:rPr>
      </w:pPr>
      <w:r>
        <w:rPr>
          <w:rFonts w:ascii="Times New Roman" w:hAnsi="Times New Roman" w:eastAsia="仿宋_GB2312" w:cs="Times New Roman"/>
          <w:sz w:val="32"/>
          <w:szCs w:val="32"/>
        </w:rPr>
        <w:t>1.因公出国（境）费支出预算为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无增减。</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2.公务用车购置费及运行维护费支出预算为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万元；与上年相比</w:t>
      </w:r>
      <w:r>
        <w:rPr>
          <w:rFonts w:hint="eastAsia" w:ascii="Times New Roman" w:hAnsi="Times New Roman" w:eastAsia="仿宋_GB2312" w:cs="Times New Roman"/>
          <w:sz w:val="32"/>
          <w:szCs w:val="32"/>
          <w:lang w:eastAsia="zh-CN"/>
        </w:rPr>
        <w:t>无增减</w:t>
      </w:r>
      <w:r>
        <w:rPr>
          <w:rFonts w:ascii="Times New Roman" w:hAnsi="Times New Roman" w:eastAsia="仿宋_GB2312" w:cs="Times New Roman"/>
          <w:sz w:val="32"/>
          <w:szCs w:val="32"/>
        </w:rPr>
        <w:t>。其中：</w:t>
      </w:r>
    </w:p>
    <w:p>
      <w:pPr>
        <w:pStyle w:val="14"/>
        <w:overflowPunct w:val="0"/>
        <w:autoSpaceDE/>
        <w:autoSpaceDN/>
        <w:spacing w:line="600" w:lineRule="exact"/>
        <w:ind w:left="638" w:leftChars="304" w:firstLine="0" w:firstLineChars="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公务用车购置费支出预算为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万公务用车运行维护费支出预算为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p>
    <w:p>
      <w:pPr>
        <w:pStyle w:val="14"/>
        <w:overflowPunct w:val="0"/>
        <w:autoSpaceDE/>
        <w:autoSpaceDN/>
        <w:spacing w:line="600" w:lineRule="exact"/>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w:t>
      </w:r>
    </w:p>
    <w:p>
      <w:pPr>
        <w:pStyle w:val="14"/>
        <w:numPr>
          <w:ilvl w:val="0"/>
          <w:numId w:val="2"/>
        </w:numPr>
        <w:overflowPunct w:val="0"/>
        <w:autoSpaceDE/>
        <w:autoSpaceDN/>
        <w:spacing w:line="600" w:lineRule="exact"/>
        <w:ind w:firstLine="640" w:firstLineChars="200"/>
        <w:jc w:val="both"/>
        <w:rPr>
          <w:rFonts w:hint="eastAsia" w:ascii="Times New Roman" w:hAnsi="Times New Roman" w:eastAsia="仿宋_GB2312" w:cs="Times New Roman"/>
          <w:sz w:val="32"/>
          <w:szCs w:val="32"/>
          <w:lang w:eastAsia="zh-CN"/>
        </w:rPr>
      </w:pPr>
      <w:r>
        <w:rPr>
          <w:rFonts w:ascii="Times New Roman" w:hAnsi="Times New Roman" w:eastAsia="仿宋_GB2312" w:cs="Times New Roman"/>
          <w:sz w:val="32"/>
          <w:szCs w:val="32"/>
        </w:rPr>
        <w:t>公务接待费支出预算为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万元，支出决算为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万元，；与上年</w:t>
      </w:r>
      <w:r>
        <w:rPr>
          <w:rFonts w:hint="eastAsia" w:ascii="Times New Roman" w:hAnsi="Times New Roman" w:eastAsia="仿宋_GB2312" w:cs="Times New Roman"/>
          <w:sz w:val="32"/>
          <w:szCs w:val="32"/>
          <w:lang w:eastAsia="zh-CN"/>
        </w:rPr>
        <w:t>无增减。</w:t>
      </w:r>
    </w:p>
    <w:p>
      <w:pPr>
        <w:pStyle w:val="14"/>
        <w:numPr>
          <w:ilvl w:val="0"/>
          <w:numId w:val="0"/>
        </w:numPr>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八、政府性基金预算收入支出决算情况</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年度政府性基金预算财政拨款收入</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万元；年初结转和结余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万元，其中基本支出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万元，项目支出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万元；年末结转和结余</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万元。具体情况如下：</w:t>
      </w:r>
    </w:p>
    <w:p>
      <w:pPr>
        <w:pStyle w:val="2"/>
        <w:numPr>
          <w:ilvl w:val="0"/>
          <w:numId w:val="0"/>
        </w:numPr>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1.其他支出</w:t>
      </w:r>
      <w:r>
        <w:rPr>
          <w:rFonts w:hint="eastAsia" w:ascii="仿宋_GB2312" w:hAnsi="仿宋" w:eastAsia="仿宋_GB2312"/>
          <w:sz w:val="32"/>
          <w:szCs w:val="32"/>
          <w:highlight w:val="none"/>
        </w:rPr>
        <w:t>（类）彩票公益金安排的支出（款）</w:t>
      </w:r>
      <w:r>
        <w:rPr>
          <w:rFonts w:hint="eastAsia" w:ascii="仿宋_GB2312" w:hAnsi="仿宋" w:eastAsia="仿宋_GB2312"/>
          <w:sz w:val="32"/>
          <w:szCs w:val="32"/>
          <w:highlight w:val="none"/>
          <w:lang w:val="en-US" w:eastAsia="zh-CN"/>
        </w:rPr>
        <w:t>用于社会福利的彩票公益金支出</w:t>
      </w:r>
      <w:r>
        <w:rPr>
          <w:rFonts w:hint="eastAsia" w:ascii="仿宋_GB2312" w:hAnsi="仿宋" w:eastAsia="仿宋_GB2312"/>
          <w:sz w:val="32"/>
          <w:szCs w:val="32"/>
          <w:highlight w:val="none"/>
        </w:rPr>
        <w:t>（项）</w:t>
      </w:r>
    </w:p>
    <w:p>
      <w:pPr>
        <w:pStyle w:val="2"/>
        <w:rPr>
          <w:rFonts w:hint="eastAsia" w:eastAsia="仿宋_GB2312"/>
          <w:lang w:eastAsia="zh-CN"/>
        </w:rPr>
      </w:pPr>
      <w:r>
        <w:rPr>
          <w:rFonts w:hint="eastAsia"/>
          <w:lang w:val="en-US" w:eastAsia="zh-CN"/>
        </w:rPr>
        <w:t xml:space="preserve">  </w:t>
      </w:r>
      <w:r>
        <w:rPr>
          <w:rFonts w:hint="eastAsia" w:ascii="仿宋_GB2312" w:hAnsi="仿宋" w:eastAsia="仿宋_GB2312"/>
          <w:sz w:val="32"/>
          <w:szCs w:val="32"/>
          <w:highlight w:val="none"/>
        </w:rPr>
        <w:t>年初预算为0万元，支出决算为</w:t>
      </w:r>
      <w:r>
        <w:rPr>
          <w:rFonts w:hint="eastAsia" w:ascii="仿宋_GB2312" w:hAnsi="仿宋" w:eastAsia="仿宋_GB2312"/>
          <w:sz w:val="32"/>
          <w:szCs w:val="32"/>
          <w:highlight w:val="none"/>
          <w:lang w:val="en-US" w:eastAsia="zh-CN"/>
        </w:rPr>
        <w:t>0</w:t>
      </w:r>
      <w:r>
        <w:rPr>
          <w:rFonts w:hint="eastAsia" w:ascii="仿宋_GB2312" w:hAnsi="仿宋" w:eastAsia="仿宋_GB2312"/>
          <w:sz w:val="32"/>
          <w:szCs w:val="32"/>
          <w:highlight w:val="none"/>
        </w:rPr>
        <w:t>万元。</w:t>
      </w:r>
    </w:p>
    <w:p>
      <w:pPr>
        <w:pStyle w:val="2"/>
        <w:numPr>
          <w:ilvl w:val="0"/>
          <w:numId w:val="0"/>
        </w:numPr>
        <w:ind w:firstLine="640" w:firstLineChars="200"/>
        <w:rPr>
          <w:rFonts w:hint="eastAsia" w:ascii="仿宋_GB2312" w:hAnsi="仿宋" w:eastAsia="仿宋_GB2312"/>
          <w:sz w:val="32"/>
          <w:szCs w:val="32"/>
          <w:highlight w:val="none"/>
        </w:rPr>
      </w:pPr>
      <w:r>
        <w:rPr>
          <w:rFonts w:hint="eastAsia" w:ascii="仿宋_GB2312" w:hAnsi="仿宋" w:eastAsia="仿宋_GB2312"/>
          <w:sz w:val="32"/>
          <w:szCs w:val="32"/>
          <w:highlight w:val="none"/>
          <w:lang w:val="en-US" w:eastAsia="zh-CN"/>
        </w:rPr>
        <w:t>2.其他支出</w:t>
      </w:r>
      <w:r>
        <w:rPr>
          <w:rFonts w:hint="eastAsia" w:ascii="仿宋_GB2312" w:hAnsi="仿宋" w:eastAsia="仿宋_GB2312"/>
          <w:sz w:val="32"/>
          <w:szCs w:val="32"/>
          <w:highlight w:val="none"/>
        </w:rPr>
        <w:t>（类）彩票公益金安排的支出（款）</w:t>
      </w:r>
      <w:r>
        <w:rPr>
          <w:rFonts w:hint="eastAsia" w:ascii="仿宋_GB2312" w:hAnsi="仿宋" w:eastAsia="仿宋_GB2312"/>
          <w:sz w:val="32"/>
          <w:szCs w:val="32"/>
          <w:highlight w:val="none"/>
          <w:lang w:val="en-US" w:eastAsia="zh-CN"/>
        </w:rPr>
        <w:t>用于体育事业的彩票公益金支出</w:t>
      </w:r>
      <w:r>
        <w:rPr>
          <w:rFonts w:hint="eastAsia" w:ascii="仿宋_GB2312" w:hAnsi="仿宋" w:eastAsia="仿宋_GB2312"/>
          <w:sz w:val="32"/>
          <w:szCs w:val="32"/>
          <w:highlight w:val="none"/>
        </w:rPr>
        <w:t>（项）</w:t>
      </w:r>
    </w:p>
    <w:p>
      <w:pPr>
        <w:pStyle w:val="2"/>
        <w:rPr>
          <w:rFonts w:ascii="Times New Roman" w:hAnsi="Times New Roman" w:eastAsia="仿宋_GB2312" w:cs="Times New Roman"/>
          <w:sz w:val="32"/>
          <w:szCs w:val="32"/>
        </w:rPr>
      </w:pPr>
      <w:r>
        <w:rPr>
          <w:rFonts w:hint="eastAsia"/>
          <w:lang w:val="en-US" w:eastAsia="zh-CN"/>
        </w:rPr>
        <w:t xml:space="preserve">  </w:t>
      </w:r>
      <w:r>
        <w:rPr>
          <w:rFonts w:hint="eastAsia" w:ascii="仿宋_GB2312" w:hAnsi="仿宋" w:eastAsia="仿宋_GB2312"/>
          <w:sz w:val="32"/>
          <w:szCs w:val="32"/>
          <w:highlight w:val="none"/>
        </w:rPr>
        <w:t>年初预算为0万元，支出决算为</w:t>
      </w:r>
      <w:r>
        <w:rPr>
          <w:rFonts w:hint="eastAsia" w:ascii="仿宋_GB2312" w:hAnsi="仿宋" w:eastAsia="仿宋_GB2312"/>
          <w:sz w:val="32"/>
          <w:szCs w:val="32"/>
          <w:highlight w:val="none"/>
          <w:lang w:val="en-US" w:eastAsia="zh-CN"/>
        </w:rPr>
        <w:t>0</w:t>
      </w:r>
      <w:r>
        <w:rPr>
          <w:rFonts w:hint="eastAsia" w:ascii="仿宋_GB2312" w:hAnsi="仿宋" w:eastAsia="仿宋_GB2312"/>
          <w:sz w:val="32"/>
          <w:szCs w:val="32"/>
          <w:highlight w:val="none"/>
        </w:rPr>
        <w:t>万元。</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九、关于机关运行经费支出说明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ascii="Times New Roman" w:hAnsi="Times New Roman" w:eastAsia="仿宋_GB2312" w:cs="Times New Roman"/>
          <w:sz w:val="32"/>
          <w:szCs w:val="32"/>
        </w:rPr>
        <w:t>本部门</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w:t>
      </w:r>
      <w:r>
        <w:rPr>
          <w:rFonts w:hint="eastAsia" w:ascii="Times New Roman" w:hAnsi="Times New Roman" w:eastAsia="仿宋_GB2312" w:cs="Times New Roman"/>
          <w:sz w:val="32"/>
          <w:szCs w:val="32"/>
          <w:lang w:eastAsia="zh-CN"/>
        </w:rPr>
        <w:t>无</w:t>
      </w:r>
      <w:r>
        <w:rPr>
          <w:rFonts w:ascii="Times New Roman" w:hAnsi="Times New Roman" w:eastAsia="仿宋_GB2312" w:cs="Times New Roman"/>
          <w:sz w:val="32"/>
          <w:szCs w:val="32"/>
        </w:rPr>
        <w:t>机关运行经费支出。</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十、一般性支出情况说明</w:t>
      </w:r>
    </w:p>
    <w:p>
      <w:pPr>
        <w:pStyle w:val="14"/>
        <w:overflowPunct w:val="0"/>
        <w:autoSpaceDE/>
        <w:autoSpaceDN/>
        <w:spacing w:line="600" w:lineRule="exact"/>
        <w:ind w:firstLine="640" w:firstLineChars="200"/>
        <w:jc w:val="both"/>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年本部门开支会议费</w:t>
      </w:r>
      <w:r>
        <w:rPr>
          <w:rFonts w:hint="eastAsia" w:ascii="Times New Roman" w:hAnsi="Times New Roman" w:eastAsia="仿宋_GB2312" w:cs="Times New Roman"/>
          <w:sz w:val="32"/>
          <w:szCs w:val="32"/>
          <w:lang w:val="en-US" w:eastAsia="zh-CN"/>
        </w:rPr>
        <w:t>29.51</w:t>
      </w:r>
      <w:r>
        <w:rPr>
          <w:rFonts w:ascii="Times New Roman" w:hAnsi="Times New Roman" w:eastAsia="仿宋_GB2312" w:cs="Times New Roman"/>
          <w:sz w:val="32"/>
          <w:szCs w:val="32"/>
        </w:rPr>
        <w:t>万元，用于召开</w:t>
      </w:r>
      <w:r>
        <w:rPr>
          <w:rFonts w:hint="eastAsia" w:ascii="Times New Roman" w:hAnsi="Times New Roman" w:eastAsia="仿宋_GB2312" w:cs="Times New Roman"/>
          <w:sz w:val="32"/>
          <w:szCs w:val="32"/>
          <w:lang w:eastAsia="zh-CN"/>
        </w:rPr>
        <w:t>安全工作、教师会、开学工作会、财务工作、运动会等</w:t>
      </w:r>
      <w:r>
        <w:rPr>
          <w:rFonts w:ascii="Times New Roman" w:hAnsi="Times New Roman" w:eastAsia="仿宋_GB2312" w:cs="Times New Roman"/>
          <w:sz w:val="32"/>
          <w:szCs w:val="32"/>
        </w:rPr>
        <w:t>会议，人数</w:t>
      </w:r>
      <w:r>
        <w:rPr>
          <w:rFonts w:hint="eastAsia" w:ascii="Times New Roman" w:hAnsi="Times New Roman" w:eastAsia="仿宋_GB2312" w:cs="Times New Roman"/>
          <w:sz w:val="32"/>
          <w:szCs w:val="32"/>
          <w:lang w:val="en-US" w:eastAsia="zh-CN"/>
        </w:rPr>
        <w:t>153</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校园安全、师德师风教育、固定资产管理、财务管理、活动开展等</w:t>
      </w:r>
      <w:r>
        <w:rPr>
          <w:rFonts w:ascii="Times New Roman" w:hAnsi="Times New Roman" w:eastAsia="仿宋_GB2312" w:cs="Times New Roman"/>
          <w:sz w:val="32"/>
          <w:szCs w:val="32"/>
        </w:rPr>
        <w:t>；开支培训费</w:t>
      </w:r>
      <w:r>
        <w:rPr>
          <w:rFonts w:hint="eastAsia" w:ascii="Times New Roman" w:hAnsi="Times New Roman" w:eastAsia="仿宋_GB2312" w:cs="Times New Roman"/>
          <w:sz w:val="32"/>
          <w:szCs w:val="32"/>
          <w:lang w:val="en-US" w:eastAsia="zh-CN"/>
        </w:rPr>
        <w:t>27.56</w:t>
      </w:r>
      <w:r>
        <w:rPr>
          <w:rFonts w:ascii="Times New Roman" w:hAnsi="Times New Roman" w:eastAsia="仿宋_GB2312" w:cs="Times New Roman"/>
          <w:sz w:val="32"/>
          <w:szCs w:val="32"/>
        </w:rPr>
        <w:t>万元，用于开展</w:t>
      </w:r>
      <w:r>
        <w:rPr>
          <w:rFonts w:hint="eastAsia" w:ascii="Times New Roman" w:hAnsi="Times New Roman" w:eastAsia="仿宋_GB2312" w:cs="Times New Roman"/>
          <w:sz w:val="32"/>
          <w:szCs w:val="32"/>
          <w:lang w:eastAsia="zh-CN"/>
        </w:rPr>
        <w:t>青年教师、食堂账务处理、教师政治业务培训等</w:t>
      </w:r>
      <w:r>
        <w:rPr>
          <w:rFonts w:ascii="Times New Roman" w:hAnsi="Times New Roman" w:eastAsia="仿宋_GB2312" w:cs="Times New Roman"/>
          <w:sz w:val="32"/>
          <w:szCs w:val="32"/>
        </w:rPr>
        <w:t>培训，人数</w:t>
      </w:r>
      <w:r>
        <w:rPr>
          <w:rFonts w:hint="eastAsia" w:ascii="Times New Roman" w:hAnsi="Times New Roman" w:eastAsia="仿宋_GB2312" w:cs="Times New Roman"/>
          <w:sz w:val="32"/>
          <w:szCs w:val="32"/>
          <w:lang w:val="en-US" w:eastAsia="zh-CN"/>
        </w:rPr>
        <w:t>184</w:t>
      </w:r>
      <w:r>
        <w:rPr>
          <w:rFonts w:ascii="Times New Roman" w:hAnsi="Times New Roman" w:eastAsia="仿宋_GB2312" w:cs="Times New Roman"/>
          <w:sz w:val="32"/>
          <w:szCs w:val="32"/>
        </w:rPr>
        <w:t>人，内容为</w:t>
      </w:r>
      <w:r>
        <w:rPr>
          <w:rFonts w:hint="eastAsia" w:ascii="Times New Roman" w:hAnsi="Times New Roman" w:eastAsia="仿宋_GB2312" w:cs="Times New Roman"/>
          <w:sz w:val="32"/>
          <w:szCs w:val="32"/>
          <w:lang w:eastAsia="zh-CN"/>
        </w:rPr>
        <w:t>青年教师比武、新教师培训、教师外出学习、教师师德师风和教学能力提升、食堂财务人员业务培训等</w:t>
      </w:r>
      <w:r>
        <w:rPr>
          <w:rFonts w:ascii="Times New Roman" w:hAnsi="Times New Roman" w:eastAsia="仿宋_GB2312" w:cs="Times New Roman"/>
          <w:sz w:val="32"/>
          <w:szCs w:val="32"/>
        </w:rPr>
        <w:t>。</w:t>
      </w:r>
    </w:p>
    <w:p>
      <w:pPr>
        <w:pStyle w:val="14"/>
        <w:overflowPunct w:val="0"/>
        <w:autoSpaceDE/>
        <w:autoSpaceDN/>
        <w:spacing w:line="600" w:lineRule="exact"/>
        <w:ind w:firstLine="640" w:firstLineChars="200"/>
        <w:jc w:val="both"/>
        <w:rPr>
          <w:rFonts w:ascii="Times New Roman" w:hAnsi="Times New Roman" w:cs="Times New Roman"/>
          <w:bCs/>
          <w:sz w:val="32"/>
          <w:szCs w:val="32"/>
        </w:rPr>
      </w:pPr>
      <w:r>
        <w:rPr>
          <w:rFonts w:ascii="Times New Roman" w:hAnsi="Times New Roman" w:cs="Times New Roman"/>
          <w:bCs/>
          <w:sz w:val="32"/>
          <w:szCs w:val="32"/>
        </w:rPr>
        <w:t>十一、关于政府采购支出说明</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sz w:val="32"/>
          <w:szCs w:val="32"/>
        </w:rPr>
        <w:t>本部门</w:t>
      </w: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年度政府采购支出总额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万元，其中：政府采购货物支出</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万元、政府采购工程支出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万元、政府采购服务支出</w:t>
      </w:r>
      <w:r>
        <w:rPr>
          <w:rFonts w:hint="eastAsia" w:ascii="Times New Roman" w:hAnsi="Times New Roman" w:eastAsia="仿宋_GB2312" w:cs="Times New Roman"/>
          <w:sz w:val="32"/>
          <w:szCs w:val="32"/>
          <w:lang w:val="en-US" w:eastAsia="zh-CN"/>
        </w:rPr>
        <w:t>0.00</w:t>
      </w:r>
      <w:r>
        <w:rPr>
          <w:rFonts w:ascii="Times New Roman" w:hAnsi="Times New Roman" w:eastAsia="仿宋_GB2312" w:cs="Times New Roman"/>
          <w:sz w:val="32"/>
          <w:szCs w:val="32"/>
        </w:rPr>
        <w:t>万元。授予中小企业合同金额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万元，占政府采购支出总额的</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%，其中：授予小微企业合同金额</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w:t>
      </w:r>
      <w:r>
        <w:rPr>
          <w:rFonts w:ascii="Times New Roman" w:hAnsi="Times New Roman" w:eastAsia="仿宋_GB2312" w:cs="Times New Roman"/>
          <w:color w:val="auto"/>
          <w:sz w:val="32"/>
          <w:szCs w:val="32"/>
        </w:rPr>
        <w:t>占授予中小企业合同金额的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%。货物采购授予中小企业合同金额占货物支出金额的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%，工程采购授予中小企业合同金额占工程支出金额的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%，服务采购授予中小企业合同金额占服务支出金额的</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十二、关于国有资产占用情况说明</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32"/>
          <w:szCs w:val="32"/>
        </w:rPr>
      </w:pPr>
      <w:r>
        <w:rPr>
          <w:rFonts w:ascii="Times New Roman" w:hAnsi="Times New Roman" w:eastAsia="仿宋_GB2312" w:cs="Times New Roman"/>
          <w:color w:val="auto"/>
          <w:sz w:val="32"/>
          <w:szCs w:val="32"/>
        </w:rPr>
        <w:t>截至</w:t>
      </w:r>
      <w:r>
        <w:rPr>
          <w:rFonts w:hint="eastAsia" w:ascii="Times New Roman" w:hAnsi="Times New Roman" w:eastAsia="仿宋_GB2312" w:cs="Times New Roman"/>
          <w:color w:val="auto"/>
          <w:sz w:val="32"/>
          <w:szCs w:val="32"/>
          <w:lang w:eastAsia="zh-CN"/>
        </w:rPr>
        <w:t>2025</w:t>
      </w:r>
      <w:r>
        <w:rPr>
          <w:rFonts w:ascii="Times New Roman" w:hAnsi="Times New Roman" w:eastAsia="仿宋_GB2312" w:cs="Times New Roman"/>
          <w:color w:val="auto"/>
          <w:sz w:val="32"/>
          <w:szCs w:val="32"/>
        </w:rPr>
        <w:t>年12月31日，部门（单位）共有车辆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辆，其中，副部（省）级及以上领导用车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辆、主要负责人用车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辆、机要通信用车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辆、应急保障用车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辆、执法执勤用车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辆、特种专业技术用车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辆、离退休干部服务用车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辆、其他用车</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辆；单位价值100万元以上设备（不含车辆）</w:t>
      </w:r>
      <w:r>
        <w:rPr>
          <w:rFonts w:hint="eastAsia" w:ascii="Times New Roman" w:hAnsi="Times New Roman" w:eastAsia="仿宋_GB2312" w:cs="Times New Roman"/>
          <w:color w:val="auto"/>
          <w:sz w:val="32"/>
          <w:szCs w:val="32"/>
          <w:lang w:val="en-US" w:eastAsia="zh-CN"/>
        </w:rPr>
        <w:t>0</w:t>
      </w:r>
      <w:r>
        <w:rPr>
          <w:rFonts w:ascii="Times New Roman" w:hAnsi="Times New Roman" w:eastAsia="仿宋_GB2312" w:cs="Times New Roman"/>
          <w:color w:val="auto"/>
          <w:sz w:val="32"/>
          <w:szCs w:val="32"/>
        </w:rPr>
        <w:t>台（套）。</w:t>
      </w:r>
    </w:p>
    <w:p>
      <w:pPr>
        <w:pStyle w:val="14"/>
        <w:overflowPunct w:val="0"/>
        <w:autoSpaceDE/>
        <w:autoSpaceDN/>
        <w:spacing w:line="600" w:lineRule="exact"/>
        <w:ind w:firstLine="640" w:firstLineChars="200"/>
        <w:jc w:val="both"/>
        <w:rPr>
          <w:rFonts w:ascii="Times New Roman" w:hAnsi="Times New Roman" w:cs="Times New Roman"/>
          <w:bCs/>
          <w:color w:val="auto"/>
          <w:sz w:val="32"/>
          <w:szCs w:val="32"/>
        </w:rPr>
      </w:pPr>
      <w:r>
        <w:rPr>
          <w:rFonts w:ascii="Times New Roman" w:hAnsi="Times New Roman" w:cs="Times New Roman"/>
          <w:bCs/>
          <w:color w:val="auto"/>
          <w:sz w:val="32"/>
          <w:szCs w:val="32"/>
        </w:rPr>
        <w:t>十三、关于</w:t>
      </w:r>
      <w:r>
        <w:rPr>
          <w:rFonts w:hint="eastAsia" w:ascii="Times New Roman" w:hAnsi="Times New Roman" w:eastAsia="仿宋_GB2312" w:cs="Times New Roman"/>
          <w:color w:val="auto"/>
          <w:sz w:val="32"/>
          <w:szCs w:val="32"/>
          <w:lang w:eastAsia="zh-CN"/>
        </w:rPr>
        <w:t>2025</w:t>
      </w:r>
      <w:r>
        <w:rPr>
          <w:rFonts w:ascii="Times New Roman" w:hAnsi="Times New Roman" w:cs="Times New Roman"/>
          <w:bCs/>
          <w:color w:val="auto"/>
          <w:sz w:val="32"/>
          <w:szCs w:val="32"/>
        </w:rPr>
        <w:t>年度预算绩效情况的说明</w:t>
      </w:r>
    </w:p>
    <w:p>
      <w:pPr>
        <w:overflowPunct w:val="0"/>
        <w:spacing w:line="600" w:lineRule="exact"/>
        <w:ind w:firstLine="640" w:firstLineChars="200"/>
        <w:rPr>
          <w:rFonts w:ascii="Times New Roman" w:hAnsi="Times New Roman" w:eastAsia="仿宋_GB2312" w:cs="Times New Roman"/>
          <w:kern w:val="0"/>
          <w:sz w:val="32"/>
          <w:szCs w:val="32"/>
        </w:rPr>
      </w:pPr>
      <w:r>
        <w:rPr>
          <w:rFonts w:ascii="Times New Roman" w:hAnsi="Times New Roman" w:eastAsia="楷体_GB2312" w:cs="Times New Roman"/>
          <w:b/>
          <w:bCs/>
          <w:sz w:val="32"/>
          <w:szCs w:val="32"/>
        </w:rPr>
        <w:t>（一）绩效评价工作开展情况。</w:t>
      </w:r>
      <w:r>
        <w:rPr>
          <w:rFonts w:ascii="Times New Roman" w:hAnsi="Times New Roman" w:eastAsia="仿宋_GB2312" w:cs="Times New Roman"/>
          <w:b/>
          <w:bCs/>
          <w:kern w:val="0"/>
          <w:sz w:val="32"/>
          <w:szCs w:val="32"/>
        </w:rPr>
        <w:t>一是绩效自评开展情况。</w:t>
      </w:r>
      <w:r>
        <w:rPr>
          <w:rFonts w:ascii="Times New Roman" w:hAnsi="Times New Roman" w:eastAsia="仿宋_GB2312" w:cs="Times New Roman"/>
          <w:kern w:val="0"/>
          <w:sz w:val="32"/>
          <w:szCs w:val="32"/>
        </w:rPr>
        <w:t>组织对202</w:t>
      </w:r>
      <w:r>
        <w:rPr>
          <w:rFonts w:hint="eastAsia" w:ascii="Times New Roman" w:hAnsi="Times New Roman" w:eastAsia="仿宋_GB2312" w:cs="Times New Roman"/>
          <w:kern w:val="0"/>
          <w:sz w:val="32"/>
          <w:szCs w:val="32"/>
          <w:lang w:val="en-US" w:eastAsia="zh-CN"/>
        </w:rPr>
        <w:t>5</w:t>
      </w:r>
      <w:r>
        <w:rPr>
          <w:rFonts w:ascii="Times New Roman" w:hAnsi="Times New Roman" w:eastAsia="仿宋_GB2312" w:cs="Times New Roman"/>
          <w:kern w:val="0"/>
          <w:sz w:val="32"/>
          <w:szCs w:val="32"/>
        </w:rPr>
        <w:t>年度本部门（单位）整体支出开展绩效自评，涉及项目</w:t>
      </w:r>
      <w:r>
        <w:rPr>
          <w:rFonts w:hint="eastAsia" w:ascii="Times New Roman" w:hAnsi="Times New Roman" w:eastAsia="仿宋_GB2312" w:cs="Times New Roman"/>
          <w:kern w:val="0"/>
          <w:sz w:val="32"/>
          <w:szCs w:val="32"/>
          <w:lang w:val="en-US" w:eastAsia="zh-CN"/>
        </w:rPr>
        <w:t>2</w:t>
      </w:r>
      <w:r>
        <w:rPr>
          <w:rFonts w:ascii="Times New Roman" w:hAnsi="Times New Roman" w:eastAsia="仿宋_GB2312" w:cs="Times New Roman"/>
          <w:kern w:val="0"/>
          <w:sz w:val="32"/>
          <w:szCs w:val="32"/>
        </w:rPr>
        <w:t xml:space="preserve"> 个，共涉及资金</w:t>
      </w:r>
      <w:r>
        <w:rPr>
          <w:rFonts w:hint="eastAsia" w:ascii="Times New Roman" w:hAnsi="Times New Roman" w:eastAsia="仿宋_GB2312" w:cs="Times New Roman"/>
          <w:kern w:val="0"/>
          <w:sz w:val="32"/>
          <w:szCs w:val="32"/>
          <w:lang w:val="en-US" w:eastAsia="zh-CN"/>
        </w:rPr>
        <w:t>16.99</w:t>
      </w:r>
      <w:r>
        <w:rPr>
          <w:rFonts w:ascii="Times New Roman" w:hAnsi="Times New Roman" w:eastAsia="仿宋_GB2312" w:cs="Times New Roman"/>
          <w:kern w:val="0"/>
          <w:sz w:val="32"/>
          <w:szCs w:val="32"/>
        </w:rPr>
        <w:t>万元。其中，一般公共预算项目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16.99</w:t>
      </w:r>
      <w:r>
        <w:rPr>
          <w:rFonts w:ascii="Times New Roman" w:hAnsi="Times New Roman" w:eastAsia="仿宋_GB2312" w:cs="Times New Roman"/>
          <w:kern w:val="0"/>
          <w:sz w:val="32"/>
          <w:szCs w:val="32"/>
        </w:rPr>
        <w:t>万元，占一般公共预算支出总额的</w:t>
      </w:r>
      <w:r>
        <w:rPr>
          <w:rFonts w:hint="eastAsia" w:ascii="Times New Roman" w:hAnsi="Times New Roman" w:eastAsia="仿宋_GB2312" w:cs="Times New Roman"/>
          <w:kern w:val="0"/>
          <w:sz w:val="32"/>
          <w:szCs w:val="32"/>
          <w:lang w:val="en-US" w:eastAsia="zh-CN"/>
        </w:rPr>
        <w:t>100</w:t>
      </w:r>
      <w:r>
        <w:rPr>
          <w:rFonts w:ascii="Times New Roman" w:hAnsi="Times New Roman" w:eastAsia="仿宋_GB2312" w:cs="Times New Roman"/>
          <w:kern w:val="0"/>
          <w:sz w:val="32"/>
          <w:szCs w:val="32"/>
        </w:rPr>
        <w:t>%；政府性基金预算项目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万元；国有资本经营预算项目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万元；社会保险基金预算项目</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 xml:space="preserve"> 个</w:t>
      </w:r>
      <w:r>
        <w:rPr>
          <w:rFonts w:hint="eastAsia" w:ascii="Times New Roman" w:hAnsi="Times New Roman" w:eastAsia="仿宋_GB2312" w:cs="Times New Roman"/>
          <w:kern w:val="0"/>
          <w:sz w:val="32"/>
          <w:szCs w:val="32"/>
          <w:lang w:val="en-US" w:eastAsia="zh-CN"/>
        </w:rPr>
        <w:t>0</w:t>
      </w:r>
      <w:r>
        <w:rPr>
          <w:rFonts w:ascii="Times New Roman" w:hAnsi="Times New Roman" w:eastAsia="仿宋_GB2312" w:cs="Times New Roman"/>
          <w:kern w:val="0"/>
          <w:sz w:val="32"/>
          <w:szCs w:val="32"/>
        </w:rPr>
        <w:t>万元。</w:t>
      </w:r>
    </w:p>
    <w:p>
      <w:pPr>
        <w:overflowPunct w:val="0"/>
        <w:spacing w:line="600" w:lineRule="exact"/>
        <w:ind w:firstLine="640" w:firstLineChars="200"/>
        <w:rPr>
          <w:rFonts w:ascii="Times New Roman" w:hAnsi="Times New Roman" w:eastAsia="仿宋_GB2312" w:cs="Times New Roman"/>
          <w:bCs/>
          <w:sz w:val="32"/>
          <w:szCs w:val="32"/>
        </w:rPr>
      </w:pPr>
      <w:r>
        <w:rPr>
          <w:rFonts w:ascii="Times New Roman" w:hAnsi="Times New Roman" w:eastAsia="楷体_GB2312" w:cs="Times New Roman"/>
          <w:b/>
          <w:bCs/>
          <w:sz w:val="32"/>
          <w:szCs w:val="32"/>
        </w:rPr>
        <w:t>（二）绩效评价结果。</w:t>
      </w:r>
      <w:r>
        <w:rPr>
          <w:rFonts w:ascii="Times New Roman" w:hAnsi="Times New Roman" w:eastAsia="仿宋_GB2312" w:cs="Times New Roman"/>
          <w:b/>
          <w:bCs/>
          <w:kern w:val="0"/>
          <w:sz w:val="32"/>
          <w:szCs w:val="32"/>
        </w:rPr>
        <w:t>一是绩效自评结果。</w:t>
      </w:r>
      <w:r>
        <w:rPr>
          <w:rFonts w:hint="eastAsia" w:ascii="Times New Roman" w:hAnsi="Times New Roman" w:eastAsia="仿宋_GB2312" w:cs="Times New Roman"/>
          <w:kern w:val="0"/>
          <w:sz w:val="32"/>
          <w:szCs w:val="32"/>
          <w:lang w:eastAsia="zh-CN"/>
        </w:rPr>
        <w:t>2025</w:t>
      </w:r>
      <w:r>
        <w:rPr>
          <w:rFonts w:ascii="Times New Roman" w:hAnsi="Times New Roman" w:eastAsia="仿宋_GB2312" w:cs="Times New Roman"/>
          <w:kern w:val="0"/>
          <w:sz w:val="32"/>
          <w:szCs w:val="32"/>
        </w:rPr>
        <w:t>年度本部门（单位）整体支出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2468.68</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2424.83</w:t>
      </w:r>
      <w:r>
        <w:rPr>
          <w:rFonts w:ascii="Times New Roman" w:hAnsi="Times New Roman" w:eastAsia="仿宋_GB2312" w:cs="Times New Roman"/>
          <w:sz w:val="32"/>
          <w:szCs w:val="32"/>
        </w:rPr>
        <w:t>万元，完成预算的</w:t>
      </w:r>
      <w:r>
        <w:rPr>
          <w:rFonts w:hint="eastAsia" w:ascii="Times New Roman" w:hAnsi="Times New Roman" w:eastAsia="仿宋_GB2312" w:cs="Times New Roman"/>
          <w:sz w:val="32"/>
          <w:szCs w:val="32"/>
          <w:lang w:val="en-US" w:eastAsia="zh-CN"/>
        </w:rPr>
        <w:t>98.22</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，绩效自评得分</w:t>
      </w:r>
      <w:r>
        <w:rPr>
          <w:rFonts w:hint="eastAsia" w:ascii="Times New Roman" w:hAnsi="Times New Roman" w:eastAsia="仿宋_GB2312" w:cs="Times New Roman"/>
          <w:sz w:val="32"/>
          <w:szCs w:val="32"/>
          <w:lang w:val="en-US" w:eastAsia="zh-CN"/>
        </w:rPr>
        <w:t>97</w:t>
      </w:r>
      <w:r>
        <w:rPr>
          <w:rFonts w:ascii="Times New Roman" w:hAnsi="Times New Roman" w:eastAsia="仿宋_GB2312" w:cs="Times New Roman"/>
          <w:sz w:val="32"/>
          <w:szCs w:val="32"/>
        </w:rPr>
        <w:t>分</w:t>
      </w:r>
      <w:r>
        <w:rPr>
          <w:rFonts w:ascii="Times New Roman" w:hAnsi="Times New Roman" w:eastAsia="仿宋_GB2312" w:cs="Times New Roman"/>
          <w:kern w:val="0"/>
          <w:sz w:val="32"/>
          <w:szCs w:val="32"/>
        </w:rPr>
        <w:t>，评价等级为</w:t>
      </w:r>
      <w:r>
        <w:rPr>
          <w:rFonts w:ascii="Times New Roman" w:hAnsi="Times New Roman" w:eastAsia="仿宋_GB2312" w:cs="Times New Roman"/>
          <w:sz w:val="32"/>
          <w:szCs w:val="32"/>
        </w:rPr>
        <w:t>“</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”。绩效目标完成情况：一是</w:t>
      </w:r>
      <w:r>
        <w:rPr>
          <w:rFonts w:hint="eastAsia" w:ascii="Times New Roman" w:hAnsi="Times New Roman" w:eastAsia="仿宋_GB2312" w:cs="Times New Roman"/>
          <w:sz w:val="32"/>
          <w:szCs w:val="32"/>
          <w:lang w:eastAsia="zh-CN"/>
        </w:rPr>
        <w:t>满足了教职工工资等人员经费</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使用好了学生公用经费，教育教学工作取得好的成绩</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固定资产管理不规范</w:t>
      </w:r>
      <w:r>
        <w:rPr>
          <w:rFonts w:ascii="Times New Roman" w:hAnsi="Times New Roman" w:eastAsia="仿宋_GB2312" w:cs="Times New Roman"/>
          <w:sz w:val="32"/>
          <w:szCs w:val="32"/>
        </w:rPr>
        <w:t>。下一步改进措施：一是</w:t>
      </w:r>
      <w:r>
        <w:rPr>
          <w:rFonts w:hint="eastAsia" w:ascii="Times New Roman" w:hAnsi="Times New Roman" w:eastAsia="仿宋_GB2312" w:cs="Times New Roman"/>
          <w:sz w:val="32"/>
          <w:szCs w:val="32"/>
          <w:lang w:eastAsia="zh-CN"/>
        </w:rPr>
        <w:t>摸清底数，及时处置资产</w:t>
      </w:r>
      <w:r>
        <w:rPr>
          <w:rFonts w:ascii="Times New Roman" w:hAnsi="Times New Roman" w:eastAsia="仿宋_GB2312" w:cs="Times New Roman"/>
          <w:sz w:val="32"/>
          <w:szCs w:val="32"/>
        </w:rPr>
        <w:t>；二是</w:t>
      </w:r>
      <w:r>
        <w:rPr>
          <w:rFonts w:hint="eastAsia" w:ascii="Times New Roman" w:hAnsi="Times New Roman" w:eastAsia="仿宋_GB2312" w:cs="Times New Roman"/>
          <w:sz w:val="32"/>
          <w:szCs w:val="32"/>
          <w:lang w:eastAsia="zh-CN"/>
        </w:rPr>
        <w:t>加强固定资产管理人员责任</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r>
        <w:rPr>
          <w:rFonts w:ascii="Times New Roman" w:hAnsi="Times New Roman" w:eastAsia="仿宋_GB2312" w:cs="Times New Roman"/>
          <w:b/>
          <w:bCs/>
          <w:kern w:val="0"/>
          <w:sz w:val="32"/>
          <w:szCs w:val="32"/>
        </w:rPr>
        <w:t>二是部门评价结果。</w:t>
      </w:r>
      <w:r>
        <w:rPr>
          <w:rFonts w:hint="eastAsia" w:ascii="Times New Roman" w:hAnsi="Times New Roman" w:eastAsia="仿宋_GB2312" w:cs="Times New Roman"/>
          <w:sz w:val="32"/>
          <w:szCs w:val="32"/>
        </w:rPr>
        <w:t>其他教育费附加安排的支出</w:t>
      </w:r>
      <w:r>
        <w:rPr>
          <w:rFonts w:ascii="Times New Roman" w:hAnsi="Times New Roman" w:eastAsia="仿宋_GB2312" w:cs="Times New Roman"/>
          <w:sz w:val="32"/>
          <w:szCs w:val="32"/>
        </w:rPr>
        <w:t>全年预算数</w:t>
      </w:r>
      <w:r>
        <w:rPr>
          <w:rFonts w:hint="eastAsia" w:ascii="Times New Roman" w:hAnsi="Times New Roman" w:eastAsia="仿宋_GB2312" w:cs="Times New Roman"/>
          <w:sz w:val="32"/>
          <w:szCs w:val="32"/>
          <w:lang w:val="en-US" w:eastAsia="zh-CN"/>
        </w:rPr>
        <w:t>0</w:t>
      </w:r>
      <w:r>
        <w:rPr>
          <w:rFonts w:ascii="Times New Roman" w:hAnsi="Times New Roman" w:eastAsia="仿宋_GB2312" w:cs="Times New Roman"/>
          <w:sz w:val="32"/>
          <w:szCs w:val="32"/>
        </w:rPr>
        <w:t>万元，执行数</w:t>
      </w:r>
      <w:r>
        <w:rPr>
          <w:rFonts w:hint="eastAsia" w:ascii="Times New Roman" w:hAnsi="Times New Roman" w:eastAsia="仿宋_GB2312" w:cs="Times New Roman"/>
          <w:sz w:val="32"/>
          <w:szCs w:val="32"/>
          <w:lang w:val="en-US" w:eastAsia="zh-CN"/>
        </w:rPr>
        <w:t>16.99</w:t>
      </w:r>
      <w:r>
        <w:rPr>
          <w:rFonts w:ascii="Times New Roman" w:hAnsi="Times New Roman" w:eastAsia="仿宋_GB2312" w:cs="Times New Roman"/>
          <w:sz w:val="32"/>
          <w:szCs w:val="32"/>
        </w:rPr>
        <w:t>万元</w:t>
      </w:r>
      <w:r>
        <w:rPr>
          <w:rFonts w:ascii="Times New Roman" w:hAnsi="Times New Roman" w:eastAsia="仿宋_GB2312" w:cs="Times New Roman"/>
          <w:kern w:val="0"/>
          <w:sz w:val="32"/>
          <w:szCs w:val="32"/>
        </w:rPr>
        <w:t>，</w:t>
      </w:r>
      <w:r>
        <w:rPr>
          <w:rFonts w:ascii="Times New Roman" w:hAnsi="Times New Roman" w:eastAsia="仿宋_GB2312" w:cs="Times New Roman"/>
          <w:sz w:val="32"/>
          <w:szCs w:val="32"/>
        </w:rPr>
        <w:t>部门评价得分</w:t>
      </w:r>
      <w:r>
        <w:rPr>
          <w:rFonts w:hint="eastAsia" w:ascii="Times New Roman" w:hAnsi="Times New Roman" w:eastAsia="仿宋_GB2312" w:cs="Times New Roman"/>
          <w:sz w:val="32"/>
          <w:szCs w:val="32"/>
          <w:lang w:val="en-US" w:eastAsia="zh-CN"/>
        </w:rPr>
        <w:t>98</w:t>
      </w:r>
      <w:r>
        <w:rPr>
          <w:rFonts w:ascii="Times New Roman" w:hAnsi="Times New Roman" w:eastAsia="仿宋_GB2312" w:cs="Times New Roman"/>
          <w:sz w:val="32"/>
          <w:szCs w:val="32"/>
        </w:rPr>
        <w:t>分，评价等级为“</w:t>
      </w:r>
      <w:r>
        <w:rPr>
          <w:rFonts w:hint="eastAsia" w:ascii="Times New Roman" w:hAnsi="Times New Roman" w:eastAsia="仿宋_GB2312" w:cs="Times New Roman"/>
          <w:sz w:val="32"/>
          <w:szCs w:val="32"/>
          <w:lang w:eastAsia="zh-CN"/>
        </w:rPr>
        <w:t>优秀</w:t>
      </w:r>
      <w:r>
        <w:rPr>
          <w:rFonts w:ascii="Times New Roman" w:hAnsi="Times New Roman" w:eastAsia="仿宋_GB2312" w:cs="Times New Roman"/>
          <w:sz w:val="32"/>
          <w:szCs w:val="32"/>
        </w:rPr>
        <w:t>”。发现的主要问题及原因：</w:t>
      </w:r>
      <w:r>
        <w:rPr>
          <w:rFonts w:hint="eastAsia" w:ascii="Times New Roman" w:hAnsi="Times New Roman" w:eastAsia="仿宋_GB2312" w:cs="Times New Roman"/>
          <w:sz w:val="32"/>
          <w:szCs w:val="32"/>
          <w:lang w:eastAsia="zh-CN"/>
        </w:rPr>
        <w:t>学校设施条件未达到预期</w:t>
      </w:r>
      <w:r>
        <w:rPr>
          <w:rFonts w:ascii="Times New Roman" w:hAnsi="Times New Roman" w:eastAsia="仿宋_GB2312" w:cs="Times New Roman"/>
          <w:sz w:val="32"/>
          <w:szCs w:val="32"/>
        </w:rPr>
        <w:t>。下一步改进措施：</w:t>
      </w:r>
      <w:r>
        <w:rPr>
          <w:rFonts w:hint="eastAsia" w:ascii="Times New Roman" w:hAnsi="Times New Roman" w:eastAsia="仿宋_GB2312" w:cs="Times New Roman"/>
          <w:sz w:val="32"/>
          <w:szCs w:val="32"/>
          <w:lang w:eastAsia="zh-CN"/>
        </w:rPr>
        <w:t>争取资金，进一步优化学校硬件设施</w:t>
      </w:r>
      <w:r>
        <w:rPr>
          <w:rFonts w:ascii="Times New Roman" w:hAnsi="Times New Roman" w:eastAsia="仿宋_GB2312" w:cs="Times New Roman"/>
          <w:sz w:val="32"/>
          <w:szCs w:val="32"/>
        </w:rPr>
        <w:t>。</w:t>
      </w:r>
      <w:r>
        <w:rPr>
          <w:rFonts w:ascii="Times New Roman" w:hAnsi="Times New Roman" w:eastAsia="仿宋_GB2312" w:cs="Times New Roman"/>
          <w:kern w:val="0"/>
          <w:sz w:val="32"/>
          <w:szCs w:val="32"/>
        </w:rPr>
        <w:t>。</w:t>
      </w:r>
    </w:p>
    <w:p>
      <w:pPr>
        <w:pStyle w:val="14"/>
        <w:overflowPunct w:val="0"/>
        <w:autoSpaceDE/>
        <w:autoSpaceDN/>
        <w:spacing w:line="600" w:lineRule="exact"/>
        <w:ind w:firstLine="640" w:firstLineChars="200"/>
        <w:jc w:val="both"/>
        <w:rPr>
          <w:rFonts w:ascii="Times New Roman" w:hAnsi="Times New Roman" w:eastAsia="仿宋_GB2312" w:cs="Times New Roman"/>
          <w:color w:val="auto"/>
          <w:sz w:val="72"/>
          <w:szCs w:val="72"/>
        </w:rPr>
      </w:pPr>
      <w:r>
        <w:rPr>
          <w:rFonts w:ascii="Times New Roman" w:hAnsi="Times New Roman" w:eastAsia="楷体_GB2312" w:cs="Times New Roman"/>
          <w:b/>
          <w:bCs/>
          <w:color w:val="auto"/>
          <w:kern w:val="2"/>
          <w:sz w:val="32"/>
          <w:szCs w:val="32"/>
        </w:rPr>
        <w:t>（三）评价结果应用情况。</w:t>
      </w:r>
      <w:r>
        <w:rPr>
          <w:rFonts w:hint="eastAsia" w:ascii="Times New Roman" w:hAnsi="Times New Roman" w:eastAsia="仿宋_GB2312" w:cs="Times New Roman"/>
          <w:color w:val="auto"/>
          <w:sz w:val="32"/>
          <w:szCs w:val="32"/>
        </w:rPr>
        <w:t>优化教育经费使用效率，向教学一线和薄弱环节倾斜</w:t>
      </w:r>
      <w:r>
        <w:rPr>
          <w:rFonts w:hint="eastAsia" w:ascii="Times New Roman" w:hAnsi="Times New Roman" w:eastAsia="仿宋_GB2312" w:cs="Times New Roman"/>
          <w:color w:val="auto"/>
          <w:sz w:val="32"/>
          <w:szCs w:val="32"/>
          <w:lang w:eastAsia="zh-CN"/>
        </w:rPr>
        <w:t>，压减办公费、水电费等支出，加大教师培训力度，提高培训费；强化预算执行与绩效挂钩，提升资金使用透明度；细化预算编制、执行与监督流程；202</w:t>
      </w:r>
      <w:r>
        <w:rPr>
          <w:rFonts w:hint="eastAsia" w:ascii="Times New Roman" w:hAnsi="Times New Roman" w:eastAsia="仿宋_GB2312" w:cs="Times New Roman"/>
          <w:color w:val="auto"/>
          <w:sz w:val="32"/>
          <w:szCs w:val="32"/>
          <w:lang w:val="en-US" w:eastAsia="zh-CN"/>
        </w:rPr>
        <w:t>6</w:t>
      </w:r>
      <w:r>
        <w:rPr>
          <w:rFonts w:hint="eastAsia" w:ascii="Times New Roman" w:hAnsi="Times New Roman" w:eastAsia="仿宋_GB2312" w:cs="Times New Roman"/>
          <w:color w:val="auto"/>
          <w:sz w:val="32"/>
          <w:szCs w:val="32"/>
          <w:lang w:eastAsia="zh-CN"/>
        </w:rPr>
        <w:t>年预算安排需以“精准化、绩效化、法治化”为核心；进一步加强绩效评价，让经费投入取得的效益最大化。</w:t>
      </w: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spacing w:line="360" w:lineRule="auto"/>
        <w:jc w:val="center"/>
        <w:rPr>
          <w:rFonts w:ascii="Times New Roman" w:hAnsi="Times New Roman" w:eastAsia="方正小标宋_GBK" w:cs="Times New Roman"/>
          <w:sz w:val="52"/>
          <w:szCs w:val="52"/>
        </w:rPr>
      </w:pPr>
      <w:r>
        <w:rPr>
          <w:rFonts w:ascii="Times New Roman" w:hAnsi="Times New Roman" w:eastAsia="方正小标宋_GBK" w:cs="Times New Roman"/>
          <w:sz w:val="52"/>
          <w:szCs w:val="52"/>
        </w:rPr>
        <w:t>第四部分名词解释</w:t>
      </w:r>
    </w:p>
    <w:p>
      <w:pPr>
        <w:widowControl/>
        <w:jc w:val="left"/>
        <w:rPr>
          <w:rFonts w:ascii="Times New Roman" w:hAnsi="Times New Roman" w:cs="Times New Roman"/>
          <w:color w:val="000000"/>
          <w:kern w:val="0"/>
          <w:sz w:val="32"/>
          <w:szCs w:val="3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一、财政拨款收入：指本级财政当年拨付的资金。</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二、政府性基金预算财政拨款收入：指本级财政当年拨付的政府性基金预算资金。</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三、事业收入：指事业单位开展专业业务活动及辅助活动所取得的收入。</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四、其他收入：指除上述“财政拨款收入”、“上级补助收入”、“事业收入”、“经营收入”、“附属单位上缴收入”等以外的收入。</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五、上年结转和结余：指以前年度尚未完成、结转到本年按有关规定继续使用的资金。</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六、教育支出（类）：是指用于政府教育事务支出，包括保障机构正常运转、完成日常和特定的工作任务或事业发展目标的支出。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七、基本支出：指保障机构正常运转、完成支日常工作任务而发生的人员支出和公用支出。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八、项目支出：指在基本支出之外为完成特定行政任务和事业发展目标所发生的支出。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九、“三公”经费：指用财政拨款安排的因公出国（境）费、公务用车购置及运行费和公务接待费。其中，因公出国（境）费反映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十、政府采购 ：是指国家各级政府为从事日常的政务活动或为了满足公共服务的目的，利用国家财政性资金和政府借款购买货物、工程和服务的行为。政府采购不仅是指具体的采购过程，而且是采购政策、采购程序、采购过程及采购管理的总称，是一种对公共采购管理的制度。</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一、机关运行经费：指为保障行政单位（包括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十二、教育支出（类）普通教育（款）学前教育（项）：指幼儿园用于保障机构正常运行、开展日常工作的基本支出。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十三、教育支出（类）普通教育（款）小学教育（项）：指小学学校用于保障机构正常运行、开展日常工作的基本支出。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十四、教育支出（类）普通教育（款）初中教育（项）：指初中学校用于保障机构正常运行、开展日常工作的基本支出。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十五、教育支出（类）其他教育支出（款）其他教育支出（项）：指为用于学校正常运转、开展日常工作的其他支出。</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十六、科学技术支出（类）其他科学技术支出（款）其他科学技术支出（项）：</w:t>
      </w:r>
      <w:r>
        <w:rPr>
          <w:rFonts w:hint="eastAsia" w:ascii="仿宋" w:hAnsi="仿宋" w:eastAsia="仿宋" w:cs="仿宋"/>
          <w:color w:val="000000"/>
          <w:kern w:val="0"/>
          <w:sz w:val="32"/>
          <w:szCs w:val="32"/>
          <w:lang w:val="en-US" w:eastAsia="zh-CN"/>
        </w:rPr>
        <w:t>用于科技方面的支出，包括科技奖励支出、补助给转制为企业的科研机构等支出，包括中央对此项目的转移支付</w:t>
      </w:r>
      <w:r>
        <w:rPr>
          <w:rFonts w:hint="eastAsia" w:ascii="仿宋" w:hAnsi="仿宋" w:eastAsia="仿宋" w:cs="仿宋"/>
          <w:color w:val="000000"/>
          <w:kern w:val="0"/>
          <w:sz w:val="32"/>
          <w:szCs w:val="32"/>
        </w:rPr>
        <w:t>。</w:t>
      </w:r>
    </w:p>
    <w:p>
      <w:pPr>
        <w:pStyle w:val="14"/>
        <w:ind w:firstLine="640" w:firstLineChars="200"/>
        <w:rPr>
          <w:rFonts w:hint="eastAsia" w:ascii="仿宋" w:hAnsi="仿宋" w:eastAsia="仿宋" w:cs="仿宋"/>
          <w:color w:val="000000"/>
          <w:kern w:val="0"/>
          <w:sz w:val="32"/>
          <w:szCs w:val="32"/>
        </w:rPr>
      </w:pPr>
      <w:r>
        <w:rPr>
          <w:rFonts w:hint="eastAsia" w:ascii="仿宋" w:hAnsi="仿宋" w:eastAsia="仿宋" w:cs="仿宋"/>
          <w:color w:val="000000"/>
          <w:kern w:val="0"/>
          <w:sz w:val="32"/>
          <w:szCs w:val="32"/>
        </w:rPr>
        <w:t>十七、住房保障支出（类）保障性安居工程支出（款）其他保障性安居工程支出（项）：指反映其他用于保障性住房方面的支出。</w:t>
      </w:r>
    </w:p>
    <w:p>
      <w:pPr>
        <w:pStyle w:val="14"/>
        <w:jc w:val="center"/>
        <w:rPr>
          <w:rFonts w:ascii="Times New Roman" w:hAnsi="Times New Roman" w:cs="Times New Roman"/>
          <w:sz w:val="72"/>
          <w:szCs w:val="72"/>
        </w:rPr>
      </w:pPr>
    </w:p>
    <w:p>
      <w:pPr>
        <w:pStyle w:val="14"/>
        <w:jc w:val="center"/>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jc w:val="both"/>
        <w:rPr>
          <w:rFonts w:ascii="Times New Roman" w:hAnsi="Times New Roman" w:cs="Times New Roman"/>
          <w:sz w:val="72"/>
          <w:szCs w:val="72"/>
        </w:rPr>
      </w:pPr>
    </w:p>
    <w:p>
      <w:pPr>
        <w:pStyle w:val="14"/>
        <w:spacing w:line="360" w:lineRule="auto"/>
        <w:jc w:val="center"/>
        <w:rPr>
          <w:rFonts w:ascii="Times New Roman" w:hAnsi="Times New Roman" w:cs="Times New Roman"/>
          <w:sz w:val="72"/>
          <w:szCs w:val="72"/>
        </w:rPr>
      </w:pPr>
      <w:r>
        <w:rPr>
          <w:rFonts w:ascii="Times New Roman" w:hAnsi="Times New Roman" w:eastAsia="方正小标宋_GBK" w:cs="Times New Roman"/>
          <w:sz w:val="52"/>
          <w:szCs w:val="52"/>
        </w:rPr>
        <w:t>第五部分附件</w:t>
      </w:r>
    </w:p>
    <w:p>
      <w:pPr>
        <w:pStyle w:val="14"/>
        <w:spacing w:line="600" w:lineRule="exact"/>
        <w:ind w:firstLine="1600" w:firstLineChars="500"/>
        <w:rPr>
          <w:rFonts w:ascii="Times New Roman" w:hAnsi="Times New Roman" w:eastAsia="仿宋_GB2312" w:cs="Times New Roman"/>
          <w:sz w:val="32"/>
          <w:szCs w:val="32"/>
        </w:rPr>
      </w:pPr>
      <w:r>
        <w:rPr>
          <w:rFonts w:hint="eastAsia" w:ascii="Times New Roman" w:hAnsi="Times New Roman" w:eastAsia="仿宋_GB2312" w:cs="Times New Roman"/>
          <w:sz w:val="32"/>
          <w:szCs w:val="32"/>
          <w:lang w:eastAsia="zh-CN"/>
        </w:rPr>
        <w:t>2025</w:t>
      </w:r>
      <w:r>
        <w:rPr>
          <w:rFonts w:ascii="Times New Roman" w:hAnsi="Times New Roman" w:eastAsia="仿宋_GB2312" w:cs="Times New Roman"/>
          <w:sz w:val="32"/>
          <w:szCs w:val="32"/>
        </w:rPr>
        <w:t>年度部门整体支出绩效自评报告。</w:t>
      </w: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pStyle w:val="14"/>
        <w:spacing w:line="600" w:lineRule="exact"/>
        <w:ind w:firstLine="640" w:firstLineChars="200"/>
        <w:rPr>
          <w:rFonts w:ascii="Times New Roman" w:hAnsi="Times New Roman" w:eastAsia="仿宋_GB2312" w:cs="Times New Roman"/>
          <w:sz w:val="32"/>
          <w:szCs w:val="32"/>
        </w:rPr>
      </w:pPr>
    </w:p>
    <w:p>
      <w:pPr>
        <w:spacing w:line="540" w:lineRule="exact"/>
        <w:jc w:val="center"/>
        <w:rPr>
          <w:rFonts w:hint="default" w:ascii="方正小标宋简体" w:eastAsia="方正小标宋简体"/>
          <w:sz w:val="44"/>
          <w:szCs w:val="44"/>
          <w:lang w:val="en-US" w:eastAsia="zh-CN"/>
        </w:rPr>
      </w:pPr>
      <w:r>
        <w:rPr>
          <w:rFonts w:hint="eastAsia" w:ascii="方正小标宋简体" w:eastAsia="方正小标宋简体"/>
          <w:sz w:val="44"/>
          <w:szCs w:val="44"/>
        </w:rPr>
        <w:t>2025年度</w:t>
      </w:r>
      <w:r>
        <w:rPr>
          <w:rFonts w:hint="eastAsia" w:ascii="方正小标宋简体" w:eastAsia="方正小标宋简体"/>
          <w:sz w:val="44"/>
          <w:szCs w:val="44"/>
          <w:lang w:eastAsia="zh-CN"/>
        </w:rPr>
        <w:t>益阳市</w:t>
      </w:r>
      <w:r>
        <w:rPr>
          <w:rFonts w:hint="eastAsia" w:ascii="方正小标宋简体" w:eastAsia="方正小标宋简体"/>
          <w:sz w:val="44"/>
          <w:szCs w:val="44"/>
          <w:lang w:val="en-US" w:eastAsia="zh-CN"/>
        </w:rPr>
        <w:t>赫山区迎宾小学</w:t>
      </w:r>
    </w:p>
    <w:p>
      <w:pPr>
        <w:spacing w:line="540" w:lineRule="exact"/>
        <w:jc w:val="center"/>
        <w:rPr>
          <w:rFonts w:hint="eastAsia" w:ascii="方正小标宋简体" w:eastAsia="方正小标宋简体"/>
          <w:sz w:val="44"/>
          <w:szCs w:val="44"/>
        </w:rPr>
      </w:pPr>
      <w:r>
        <w:rPr>
          <w:rFonts w:hint="eastAsia" w:ascii="方正小标宋简体" w:eastAsia="方正小标宋简体"/>
          <w:sz w:val="44"/>
          <w:szCs w:val="44"/>
        </w:rPr>
        <w:t>整体支出绩效自评报告</w:t>
      </w:r>
    </w:p>
    <w:p>
      <w:pPr>
        <w:spacing w:line="540" w:lineRule="exact"/>
        <w:jc w:val="center"/>
        <w:rPr>
          <w:rFonts w:hint="eastAsia" w:ascii="方正小标宋简体" w:eastAsia="方正小标宋简体"/>
          <w:sz w:val="44"/>
          <w:szCs w:val="44"/>
        </w:rPr>
      </w:pPr>
    </w:p>
    <w:p>
      <w:pPr>
        <w:numPr>
          <w:ilvl w:val="0"/>
          <w:numId w:val="3"/>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部门（单位）基本情况</w:t>
      </w:r>
    </w:p>
    <w:p>
      <w:pPr>
        <w:spacing w:line="540" w:lineRule="exact"/>
        <w:ind w:firstLine="640" w:firstLineChars="200"/>
        <w:rPr>
          <w:rFonts w:hint="eastAsia" w:ascii="仿宋_GB2312" w:eastAsia="仿宋_GB2312"/>
          <w:sz w:val="32"/>
          <w:szCs w:val="32"/>
        </w:rPr>
      </w:pPr>
      <w:r>
        <w:rPr>
          <w:rFonts w:hint="eastAsia" w:ascii="楷体_GB2312" w:eastAsia="楷体_GB2312"/>
          <w:sz w:val="32"/>
          <w:szCs w:val="32"/>
        </w:rPr>
        <w:t>（一）主要职能</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（一）负责贯彻党的教育方针,坚持社会主义办学方向,对学生进行德育、智育、体育、美育和劳动教育等方面的教育。</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（二）负责配合各级人民政府依法动员适龄儿童、少年入学,严格控制学生辍学,依法保证适龄儿童、少年接受九年义务教育。</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（三）负责制定学校教育发展规划,并抓好组织实施和落实工作。</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（四）负责按照教育主管部门发布的指导性教学计划、教学大纲,组织实施教育教学活动。</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（五）负责依据国家主管部门有关教学计划、课程设置等方面的规定,决定和实施本校的教学计划,组织教学评比、集体备课,对学生进行统一考核等。</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（六）负责学籍管理。</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（七）负责聘任、培训、考核教师,依法奖励或处分有关教师和职工。</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（八）负责科学管理、合理使用学校的设施和经费。</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（九）负责维护学校、师生的合法权益,有权拒绝任何组织和个人对教育教学活动进行非法干涉。</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（十）依法接受各级教育行政部门的检查指导和人民群众的监督。</w:t>
      </w:r>
    </w:p>
    <w:p>
      <w:pPr>
        <w:spacing w:line="540" w:lineRule="exact"/>
        <w:ind w:firstLine="640" w:firstLineChars="200"/>
        <w:rPr>
          <w:rFonts w:hint="eastAsia" w:ascii="仿宋_GB2312" w:eastAsia="仿宋_GB2312"/>
          <w:sz w:val="32"/>
          <w:szCs w:val="32"/>
          <w:lang w:eastAsia="zh-CN"/>
        </w:rPr>
      </w:pPr>
      <w:r>
        <w:rPr>
          <w:rFonts w:hint="eastAsia" w:ascii="楷体_GB2312" w:eastAsia="楷体_GB2312"/>
          <w:sz w:val="32"/>
          <w:szCs w:val="32"/>
        </w:rPr>
        <w:t>（二）部门决算单位构成</w:t>
      </w:r>
    </w:p>
    <w:p>
      <w:pPr>
        <w:spacing w:line="540" w:lineRule="exact"/>
        <w:ind w:firstLine="640" w:firstLineChars="200"/>
        <w:rPr>
          <w:rFonts w:hint="eastAsia" w:ascii="Times New Roman" w:hAnsi="Times New Roman" w:eastAsia="仿宋_GB2312" w:cs="仿宋_GB2312"/>
          <w:bCs/>
          <w:kern w:val="0"/>
          <w:sz w:val="32"/>
          <w:szCs w:val="32"/>
          <w:lang w:eastAsia="zh-CN"/>
        </w:rPr>
      </w:pPr>
      <w:r>
        <w:rPr>
          <w:rFonts w:hint="eastAsia" w:ascii="仿宋_GB2312" w:eastAsia="仿宋_GB2312"/>
          <w:sz w:val="32"/>
          <w:szCs w:val="32"/>
        </w:rPr>
        <w:t>益阳市</w:t>
      </w:r>
      <w:r>
        <w:rPr>
          <w:rFonts w:hint="eastAsia" w:ascii="仿宋_GB2312" w:eastAsia="仿宋_GB2312"/>
          <w:sz w:val="32"/>
          <w:szCs w:val="32"/>
          <w:lang w:val="en-US" w:eastAsia="zh-CN"/>
        </w:rPr>
        <w:t>赫山区迎宾小学</w:t>
      </w:r>
      <w:r>
        <w:rPr>
          <w:rFonts w:hint="eastAsia" w:ascii="仿宋_GB2312" w:eastAsia="仿宋_GB2312"/>
          <w:sz w:val="32"/>
          <w:szCs w:val="32"/>
        </w:rPr>
        <w:t>内设机构：</w:t>
      </w:r>
      <w:r>
        <w:rPr>
          <w:rFonts w:hint="eastAsia" w:ascii="Times New Roman" w:hAnsi="Times New Roman" w:eastAsia="仿宋_GB2312" w:cs="仿宋_GB2312"/>
          <w:bCs/>
          <w:kern w:val="0"/>
          <w:sz w:val="32"/>
          <w:szCs w:val="32"/>
        </w:rPr>
        <w:t>党支部、党建办、校务办、爱卫办、教务处、德育处、少工委、</w:t>
      </w:r>
      <w:r>
        <w:rPr>
          <w:rFonts w:hint="eastAsia" w:ascii="Times New Roman" w:hAnsi="Times New Roman" w:eastAsia="仿宋_GB2312" w:cs="仿宋_GB2312"/>
          <w:bCs/>
          <w:kern w:val="0"/>
          <w:sz w:val="32"/>
          <w:szCs w:val="32"/>
          <w:lang w:val="en-US" w:eastAsia="zh-CN"/>
        </w:rPr>
        <w:t>政教处</w:t>
      </w:r>
      <w:r>
        <w:rPr>
          <w:rFonts w:hint="eastAsia" w:ascii="Times New Roman" w:hAnsi="Times New Roman" w:eastAsia="仿宋_GB2312" w:cs="仿宋_GB2312"/>
          <w:bCs/>
          <w:kern w:val="0"/>
          <w:sz w:val="32"/>
          <w:szCs w:val="32"/>
        </w:rPr>
        <w:t>后勤处、工会、阳光服务中心、卫生室</w:t>
      </w:r>
      <w:r>
        <w:rPr>
          <w:rFonts w:hint="eastAsia" w:ascii="Times New Roman" w:hAnsi="Times New Roman" w:eastAsia="仿宋_GB2312" w:cs="仿宋_GB2312"/>
          <w:bCs/>
          <w:kern w:val="0"/>
          <w:sz w:val="32"/>
          <w:szCs w:val="32"/>
          <w:lang w:eastAsia="zh-CN"/>
        </w:rPr>
        <w:t>。</w:t>
      </w:r>
    </w:p>
    <w:p>
      <w:pPr>
        <w:spacing w:line="540" w:lineRule="exact"/>
        <w:ind w:firstLine="640" w:firstLineChars="200"/>
        <w:rPr>
          <w:rFonts w:ascii="黑体" w:hAnsi="黑体" w:eastAsia="黑体"/>
          <w:sz w:val="32"/>
          <w:szCs w:val="32"/>
        </w:rPr>
      </w:pPr>
      <w:r>
        <w:rPr>
          <w:rFonts w:hint="eastAsia" w:ascii="黑体" w:hAnsi="黑体" w:eastAsia="黑体"/>
          <w:sz w:val="32"/>
          <w:szCs w:val="32"/>
        </w:rPr>
        <w:t>二、一般公共预算支出情况</w:t>
      </w:r>
    </w:p>
    <w:p>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（一）基本支出情况</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益阳市赫山区迎宾小学202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1939.64</w:t>
      </w:r>
      <w:r>
        <w:rPr>
          <w:rFonts w:hint="eastAsia" w:ascii="仿宋_GB2312" w:eastAsia="仿宋_GB2312"/>
          <w:sz w:val="32"/>
          <w:szCs w:val="32"/>
        </w:rPr>
        <w:t>万元,其中工资福利支出</w:t>
      </w:r>
      <w:r>
        <w:rPr>
          <w:rFonts w:hint="eastAsia" w:ascii="仿宋_GB2312" w:eastAsia="仿宋_GB2312"/>
          <w:sz w:val="32"/>
          <w:szCs w:val="32"/>
          <w:lang w:val="en-US" w:eastAsia="zh-CN"/>
        </w:rPr>
        <w:t>1411.14</w:t>
      </w:r>
      <w:r>
        <w:rPr>
          <w:rFonts w:hint="eastAsia" w:ascii="仿宋_GB2312" w:eastAsia="仿宋_GB2312"/>
          <w:sz w:val="32"/>
          <w:szCs w:val="32"/>
        </w:rPr>
        <w:t>万元，对个人和家庭的补助支出</w:t>
      </w:r>
      <w:r>
        <w:rPr>
          <w:rFonts w:hint="eastAsia" w:ascii="仿宋_GB2312" w:eastAsia="仿宋_GB2312"/>
          <w:sz w:val="32"/>
          <w:szCs w:val="32"/>
          <w:lang w:val="en-US" w:eastAsia="zh-CN"/>
        </w:rPr>
        <w:t>12.65</w:t>
      </w:r>
      <w:r>
        <w:rPr>
          <w:rFonts w:hint="eastAsia" w:ascii="仿宋_GB2312" w:eastAsia="仿宋_GB2312"/>
          <w:sz w:val="32"/>
          <w:szCs w:val="32"/>
        </w:rPr>
        <w:t>万元，商品和服务支出</w:t>
      </w:r>
      <w:r>
        <w:rPr>
          <w:rFonts w:hint="eastAsia" w:ascii="仿宋_GB2312" w:eastAsia="仿宋_GB2312"/>
          <w:sz w:val="32"/>
          <w:szCs w:val="32"/>
          <w:lang w:val="en-US" w:eastAsia="zh-CN"/>
        </w:rPr>
        <w:t>515.85</w:t>
      </w:r>
      <w:r>
        <w:rPr>
          <w:rFonts w:hint="eastAsia" w:ascii="仿宋_GB2312" w:eastAsia="仿宋_GB2312"/>
          <w:sz w:val="32"/>
          <w:szCs w:val="32"/>
        </w:rPr>
        <w:t>万元。</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1.工资福利支出</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益阳市赫山区迎宾小学202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年度一般公共预算财政拨款基本支出工资福利支出</w:t>
      </w:r>
      <w:r>
        <w:rPr>
          <w:rFonts w:hint="eastAsia" w:ascii="仿宋_GB2312" w:eastAsia="仿宋_GB2312"/>
          <w:sz w:val="32"/>
          <w:szCs w:val="32"/>
          <w:lang w:val="en-US" w:eastAsia="zh-CN"/>
        </w:rPr>
        <w:t>1411.14</w:t>
      </w:r>
      <w:r>
        <w:rPr>
          <w:rFonts w:hint="eastAsia" w:ascii="仿宋_GB2312" w:eastAsia="仿宋_GB2312"/>
          <w:sz w:val="32"/>
          <w:szCs w:val="32"/>
        </w:rPr>
        <w:t>万元，其中基本工资</w:t>
      </w:r>
      <w:r>
        <w:rPr>
          <w:rFonts w:hint="eastAsia" w:ascii="仿宋_GB2312" w:eastAsia="仿宋_GB2312"/>
          <w:sz w:val="32"/>
          <w:szCs w:val="32"/>
          <w:lang w:val="en-US" w:eastAsia="zh-CN"/>
        </w:rPr>
        <w:t>725.35</w:t>
      </w:r>
      <w:r>
        <w:rPr>
          <w:rFonts w:hint="eastAsia" w:ascii="仿宋_GB2312" w:eastAsia="仿宋_GB2312"/>
          <w:sz w:val="32"/>
          <w:szCs w:val="32"/>
        </w:rPr>
        <w:t>万元、津贴补贴</w:t>
      </w:r>
      <w:r>
        <w:rPr>
          <w:rFonts w:hint="eastAsia" w:ascii="仿宋_GB2312" w:eastAsia="仿宋_GB2312"/>
          <w:sz w:val="32"/>
          <w:szCs w:val="32"/>
          <w:lang w:val="en-US" w:eastAsia="zh-CN"/>
        </w:rPr>
        <w:t>0.36</w:t>
      </w:r>
      <w:r>
        <w:rPr>
          <w:rFonts w:hint="eastAsia" w:ascii="仿宋_GB2312" w:eastAsia="仿宋_GB2312"/>
          <w:sz w:val="32"/>
          <w:szCs w:val="32"/>
        </w:rPr>
        <w:t>万元、</w:t>
      </w:r>
      <w:r>
        <w:rPr>
          <w:rFonts w:hint="eastAsia" w:ascii="仿宋_GB2312" w:eastAsia="仿宋_GB2312"/>
          <w:sz w:val="32"/>
          <w:szCs w:val="32"/>
          <w:lang w:val="en-US" w:eastAsia="zh-CN"/>
        </w:rPr>
        <w:t>奖金32.92万元、</w:t>
      </w:r>
      <w:r>
        <w:rPr>
          <w:rFonts w:hint="eastAsia" w:ascii="仿宋_GB2312" w:eastAsia="仿宋_GB2312"/>
          <w:sz w:val="32"/>
          <w:szCs w:val="32"/>
        </w:rPr>
        <w:t>绩效工资</w:t>
      </w:r>
      <w:r>
        <w:rPr>
          <w:rFonts w:hint="eastAsia" w:ascii="仿宋_GB2312" w:eastAsia="仿宋_GB2312"/>
          <w:sz w:val="32"/>
          <w:szCs w:val="32"/>
          <w:lang w:val="en-US" w:eastAsia="zh-CN"/>
        </w:rPr>
        <w:t>260.24</w:t>
      </w:r>
      <w:r>
        <w:rPr>
          <w:rFonts w:hint="eastAsia" w:ascii="仿宋_GB2312" w:eastAsia="仿宋_GB2312"/>
          <w:sz w:val="32"/>
          <w:szCs w:val="32"/>
        </w:rPr>
        <w:t>万元、机关事业单位基本养老保险缴费</w:t>
      </w:r>
      <w:r>
        <w:rPr>
          <w:rFonts w:hint="eastAsia" w:ascii="仿宋_GB2312" w:eastAsia="仿宋_GB2312"/>
          <w:sz w:val="32"/>
          <w:szCs w:val="32"/>
          <w:lang w:val="en-US" w:eastAsia="zh-CN"/>
        </w:rPr>
        <w:t>115.66</w:t>
      </w:r>
      <w:r>
        <w:rPr>
          <w:rFonts w:hint="eastAsia" w:ascii="仿宋_GB2312" w:eastAsia="仿宋_GB2312"/>
          <w:sz w:val="32"/>
          <w:szCs w:val="32"/>
        </w:rPr>
        <w:t>万元、职业年金缴费</w:t>
      </w:r>
      <w:r>
        <w:rPr>
          <w:rFonts w:hint="eastAsia" w:ascii="仿宋_GB2312" w:eastAsia="仿宋_GB2312"/>
          <w:sz w:val="32"/>
          <w:szCs w:val="32"/>
          <w:lang w:val="en-US" w:eastAsia="zh-CN"/>
        </w:rPr>
        <w:t>28.90</w:t>
      </w:r>
      <w:r>
        <w:rPr>
          <w:rFonts w:hint="eastAsia" w:ascii="仿宋_GB2312" w:eastAsia="仿宋_GB2312"/>
          <w:sz w:val="32"/>
          <w:szCs w:val="32"/>
        </w:rPr>
        <w:t>万元、职工基本医疗保险缴费</w:t>
      </w:r>
      <w:r>
        <w:rPr>
          <w:rFonts w:hint="eastAsia" w:ascii="仿宋_GB2312" w:eastAsia="仿宋_GB2312"/>
          <w:sz w:val="32"/>
          <w:szCs w:val="32"/>
          <w:lang w:val="en-US" w:eastAsia="zh-CN"/>
        </w:rPr>
        <w:t>86.74</w:t>
      </w:r>
      <w:r>
        <w:rPr>
          <w:rFonts w:hint="eastAsia" w:ascii="仿宋_GB2312" w:eastAsia="仿宋_GB2312"/>
          <w:sz w:val="32"/>
          <w:szCs w:val="32"/>
        </w:rPr>
        <w:t>万元、</w:t>
      </w:r>
      <w:r>
        <w:rPr>
          <w:rFonts w:hint="eastAsia" w:ascii="仿宋_GB2312" w:eastAsia="仿宋_GB2312"/>
          <w:sz w:val="32"/>
          <w:szCs w:val="32"/>
          <w:lang w:val="en-US" w:eastAsia="zh-CN"/>
        </w:rPr>
        <w:t>其他社会保障缴费3.88万元、</w:t>
      </w:r>
      <w:r>
        <w:rPr>
          <w:rFonts w:hint="eastAsia" w:ascii="仿宋_GB2312" w:eastAsia="仿宋_GB2312"/>
          <w:sz w:val="32"/>
          <w:szCs w:val="32"/>
        </w:rPr>
        <w:t>住房公积金</w:t>
      </w:r>
      <w:r>
        <w:rPr>
          <w:rFonts w:hint="eastAsia" w:ascii="仿宋_GB2312" w:eastAsia="仿宋_GB2312"/>
          <w:sz w:val="32"/>
          <w:szCs w:val="32"/>
          <w:lang w:val="en-US" w:eastAsia="zh-CN"/>
        </w:rPr>
        <w:t>121.98</w:t>
      </w:r>
      <w:r>
        <w:rPr>
          <w:rFonts w:hint="eastAsia" w:ascii="仿宋_GB2312" w:eastAsia="仿宋_GB2312"/>
          <w:sz w:val="32"/>
          <w:szCs w:val="32"/>
        </w:rPr>
        <w:t>万元、其他工资福利支出</w:t>
      </w:r>
      <w:r>
        <w:rPr>
          <w:rFonts w:hint="eastAsia" w:ascii="仿宋_GB2312" w:eastAsia="仿宋_GB2312"/>
          <w:sz w:val="32"/>
          <w:szCs w:val="32"/>
          <w:lang w:val="en-US" w:eastAsia="zh-CN"/>
        </w:rPr>
        <w:t>35.1</w:t>
      </w:r>
      <w:r>
        <w:rPr>
          <w:rFonts w:hint="eastAsia" w:ascii="仿宋_GB2312" w:eastAsia="仿宋_GB2312"/>
          <w:sz w:val="32"/>
          <w:szCs w:val="32"/>
        </w:rPr>
        <w:t xml:space="preserve">万元。 </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2.商品服务支出</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益阳市赫山区迎宾小学202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年度一般公共预算财政拨款基本支出商品服务支出</w:t>
      </w:r>
      <w:r>
        <w:rPr>
          <w:rFonts w:hint="eastAsia" w:ascii="仿宋_GB2312" w:eastAsia="仿宋_GB2312"/>
          <w:sz w:val="32"/>
          <w:szCs w:val="32"/>
          <w:lang w:val="en-US" w:eastAsia="zh-CN"/>
        </w:rPr>
        <w:t>515.85</w:t>
      </w:r>
      <w:r>
        <w:rPr>
          <w:rFonts w:hint="eastAsia" w:ascii="仿宋_GB2312" w:eastAsia="仿宋_GB2312"/>
          <w:sz w:val="32"/>
          <w:szCs w:val="32"/>
        </w:rPr>
        <w:t>万元，其中办公费</w:t>
      </w:r>
      <w:r>
        <w:rPr>
          <w:rFonts w:hint="eastAsia" w:ascii="仿宋_GB2312" w:eastAsia="仿宋_GB2312"/>
          <w:sz w:val="32"/>
          <w:szCs w:val="32"/>
          <w:lang w:val="en-US" w:eastAsia="zh-CN"/>
        </w:rPr>
        <w:t>68.1</w:t>
      </w:r>
      <w:r>
        <w:rPr>
          <w:rFonts w:hint="eastAsia" w:ascii="仿宋_GB2312" w:eastAsia="仿宋_GB2312"/>
          <w:sz w:val="32"/>
          <w:szCs w:val="32"/>
        </w:rPr>
        <w:t>万元、印刷费</w:t>
      </w:r>
      <w:r>
        <w:rPr>
          <w:rFonts w:hint="eastAsia" w:ascii="仿宋_GB2312" w:eastAsia="仿宋_GB2312"/>
          <w:sz w:val="32"/>
          <w:szCs w:val="32"/>
          <w:lang w:val="en-US" w:eastAsia="zh-CN"/>
        </w:rPr>
        <w:t>38.82</w:t>
      </w:r>
      <w:r>
        <w:rPr>
          <w:rFonts w:hint="eastAsia" w:ascii="仿宋_GB2312" w:eastAsia="仿宋_GB2312"/>
          <w:sz w:val="32"/>
          <w:szCs w:val="32"/>
        </w:rPr>
        <w:t>万元、水费</w:t>
      </w:r>
      <w:r>
        <w:rPr>
          <w:rFonts w:hint="eastAsia" w:ascii="仿宋_GB2312" w:eastAsia="仿宋_GB2312"/>
          <w:sz w:val="32"/>
          <w:szCs w:val="32"/>
          <w:lang w:val="en-US" w:eastAsia="zh-CN"/>
        </w:rPr>
        <w:t>10.07</w:t>
      </w:r>
      <w:r>
        <w:rPr>
          <w:rFonts w:hint="eastAsia" w:ascii="仿宋_GB2312" w:eastAsia="仿宋_GB2312"/>
          <w:sz w:val="32"/>
          <w:szCs w:val="32"/>
        </w:rPr>
        <w:t>万元、电费</w:t>
      </w:r>
      <w:r>
        <w:rPr>
          <w:rFonts w:hint="eastAsia" w:ascii="仿宋_GB2312" w:eastAsia="仿宋_GB2312"/>
          <w:sz w:val="32"/>
          <w:szCs w:val="32"/>
          <w:lang w:val="en-US" w:eastAsia="zh-CN"/>
        </w:rPr>
        <w:t>40.3</w:t>
      </w:r>
      <w:r>
        <w:rPr>
          <w:rFonts w:hint="eastAsia" w:ascii="仿宋_GB2312" w:eastAsia="仿宋_GB2312"/>
          <w:sz w:val="32"/>
          <w:szCs w:val="32"/>
        </w:rPr>
        <w:t>万元、</w:t>
      </w:r>
      <w:r>
        <w:rPr>
          <w:rFonts w:hint="eastAsia" w:ascii="仿宋_GB2312" w:eastAsia="仿宋_GB2312"/>
          <w:sz w:val="32"/>
          <w:szCs w:val="32"/>
          <w:lang w:val="en-US" w:eastAsia="zh-CN"/>
        </w:rPr>
        <w:t>邮电费5.48万元、</w:t>
      </w:r>
      <w:r>
        <w:rPr>
          <w:rFonts w:hint="eastAsia" w:ascii="仿宋_GB2312" w:eastAsia="仿宋_GB2312"/>
          <w:sz w:val="32"/>
          <w:szCs w:val="32"/>
        </w:rPr>
        <w:t>物业管理费</w:t>
      </w:r>
      <w:r>
        <w:rPr>
          <w:rFonts w:hint="eastAsia" w:ascii="仿宋_GB2312" w:eastAsia="仿宋_GB2312"/>
          <w:sz w:val="32"/>
          <w:szCs w:val="32"/>
          <w:lang w:val="en-US" w:eastAsia="zh-CN"/>
        </w:rPr>
        <w:t>35.39</w:t>
      </w:r>
      <w:r>
        <w:rPr>
          <w:rFonts w:hint="eastAsia" w:ascii="仿宋_GB2312" w:eastAsia="仿宋_GB2312"/>
          <w:sz w:val="32"/>
          <w:szCs w:val="32"/>
        </w:rPr>
        <w:t>万元、差旅费</w:t>
      </w:r>
      <w:r>
        <w:rPr>
          <w:rFonts w:hint="eastAsia" w:ascii="仿宋_GB2312" w:eastAsia="仿宋_GB2312"/>
          <w:sz w:val="32"/>
          <w:szCs w:val="32"/>
          <w:lang w:val="en-US" w:eastAsia="zh-CN"/>
        </w:rPr>
        <w:t>1.21</w:t>
      </w:r>
      <w:r>
        <w:rPr>
          <w:rFonts w:hint="eastAsia" w:ascii="仿宋_GB2312" w:eastAsia="仿宋_GB2312"/>
          <w:sz w:val="32"/>
          <w:szCs w:val="32"/>
        </w:rPr>
        <w:t>万元、维修（护）费</w:t>
      </w:r>
      <w:r>
        <w:rPr>
          <w:rFonts w:hint="eastAsia" w:ascii="仿宋_GB2312" w:eastAsia="仿宋_GB2312"/>
          <w:sz w:val="32"/>
          <w:szCs w:val="32"/>
          <w:lang w:val="en-US" w:eastAsia="zh-CN"/>
        </w:rPr>
        <w:t>82.45</w:t>
      </w:r>
      <w:r>
        <w:rPr>
          <w:rFonts w:hint="eastAsia" w:ascii="仿宋_GB2312" w:eastAsia="仿宋_GB2312"/>
          <w:sz w:val="32"/>
          <w:szCs w:val="32"/>
        </w:rPr>
        <w:t>万元、会议费</w:t>
      </w:r>
      <w:r>
        <w:rPr>
          <w:rFonts w:hint="eastAsia" w:ascii="仿宋_GB2312" w:eastAsia="仿宋_GB2312"/>
          <w:sz w:val="32"/>
          <w:szCs w:val="32"/>
          <w:lang w:val="en-US" w:eastAsia="zh-CN"/>
        </w:rPr>
        <w:t>29.51</w:t>
      </w:r>
      <w:r>
        <w:rPr>
          <w:rFonts w:hint="eastAsia" w:ascii="仿宋_GB2312" w:eastAsia="仿宋_GB2312"/>
          <w:sz w:val="32"/>
          <w:szCs w:val="32"/>
        </w:rPr>
        <w:t>万元、培训费</w:t>
      </w:r>
      <w:r>
        <w:rPr>
          <w:rFonts w:hint="eastAsia" w:ascii="仿宋_GB2312" w:eastAsia="仿宋_GB2312"/>
          <w:sz w:val="32"/>
          <w:szCs w:val="32"/>
          <w:lang w:val="en-US" w:eastAsia="zh-CN"/>
        </w:rPr>
        <w:t>27.56</w:t>
      </w:r>
      <w:r>
        <w:rPr>
          <w:rFonts w:hint="eastAsia" w:ascii="仿宋_GB2312" w:eastAsia="仿宋_GB2312"/>
          <w:sz w:val="32"/>
          <w:szCs w:val="32"/>
        </w:rPr>
        <w:t>万元、</w:t>
      </w:r>
      <w:r>
        <w:rPr>
          <w:rFonts w:hint="eastAsia" w:ascii="仿宋_GB2312" w:eastAsia="仿宋_GB2312"/>
          <w:sz w:val="32"/>
          <w:szCs w:val="32"/>
          <w:lang w:val="en-US" w:eastAsia="zh-CN"/>
        </w:rPr>
        <w:t>劳务费22.2万元、</w:t>
      </w:r>
      <w:r>
        <w:rPr>
          <w:rFonts w:hint="eastAsia" w:ascii="仿宋_GB2312" w:eastAsia="仿宋_GB2312"/>
          <w:sz w:val="32"/>
          <w:szCs w:val="32"/>
        </w:rPr>
        <w:t>工会经费</w:t>
      </w:r>
      <w:r>
        <w:rPr>
          <w:rFonts w:hint="eastAsia" w:ascii="仿宋_GB2312" w:eastAsia="仿宋_GB2312"/>
          <w:sz w:val="32"/>
          <w:szCs w:val="32"/>
          <w:lang w:val="en-US" w:eastAsia="zh-CN"/>
        </w:rPr>
        <w:t>37.63</w:t>
      </w:r>
      <w:r>
        <w:rPr>
          <w:rFonts w:hint="eastAsia" w:ascii="仿宋_GB2312" w:eastAsia="仿宋_GB2312"/>
          <w:sz w:val="32"/>
          <w:szCs w:val="32"/>
        </w:rPr>
        <w:t>万元、其他交通费</w:t>
      </w:r>
      <w:r>
        <w:rPr>
          <w:rFonts w:hint="eastAsia" w:ascii="仿宋_GB2312" w:eastAsia="仿宋_GB2312"/>
          <w:sz w:val="32"/>
          <w:szCs w:val="32"/>
          <w:lang w:val="en-US" w:eastAsia="zh-CN"/>
        </w:rPr>
        <w:t>4.55</w:t>
      </w:r>
      <w:r>
        <w:rPr>
          <w:rFonts w:hint="eastAsia" w:ascii="仿宋_GB2312" w:eastAsia="仿宋_GB2312"/>
          <w:sz w:val="32"/>
          <w:szCs w:val="32"/>
        </w:rPr>
        <w:t>万元、其他商品和服务支出</w:t>
      </w:r>
      <w:r>
        <w:rPr>
          <w:rFonts w:hint="eastAsia" w:ascii="仿宋_GB2312" w:eastAsia="仿宋_GB2312"/>
          <w:sz w:val="32"/>
          <w:szCs w:val="32"/>
          <w:lang w:val="en-US" w:eastAsia="zh-CN"/>
        </w:rPr>
        <w:t>112.61</w:t>
      </w:r>
      <w:r>
        <w:rPr>
          <w:rFonts w:hint="eastAsia" w:ascii="仿宋_GB2312" w:eastAsia="仿宋_GB2312"/>
          <w:sz w:val="32"/>
          <w:szCs w:val="32"/>
        </w:rPr>
        <w:t>万元。</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3.对个人和家庭和补助支出</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益阳市赫山区迎宾小学202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年度一般公共预算财政拨款基本支出对个人和家庭和补助支出</w:t>
      </w:r>
      <w:r>
        <w:rPr>
          <w:rFonts w:hint="eastAsia" w:ascii="仿宋_GB2312" w:eastAsia="仿宋_GB2312"/>
          <w:sz w:val="32"/>
          <w:szCs w:val="32"/>
          <w:lang w:val="en-US" w:eastAsia="zh-CN"/>
        </w:rPr>
        <w:t>12.65</w:t>
      </w:r>
      <w:r>
        <w:rPr>
          <w:rFonts w:hint="eastAsia" w:ascii="仿宋_GB2312" w:eastAsia="仿宋_GB2312"/>
          <w:sz w:val="32"/>
          <w:szCs w:val="32"/>
        </w:rPr>
        <w:t>万元，其中生活补助</w:t>
      </w:r>
      <w:r>
        <w:rPr>
          <w:rFonts w:hint="eastAsia" w:ascii="仿宋_GB2312" w:eastAsia="仿宋_GB2312"/>
          <w:sz w:val="32"/>
          <w:szCs w:val="32"/>
          <w:lang w:val="en-US" w:eastAsia="zh-CN"/>
        </w:rPr>
        <w:t>7.15</w:t>
      </w:r>
      <w:r>
        <w:rPr>
          <w:rFonts w:hint="eastAsia" w:ascii="仿宋_GB2312" w:eastAsia="仿宋_GB2312"/>
          <w:sz w:val="32"/>
          <w:szCs w:val="32"/>
        </w:rPr>
        <w:t>万元、</w:t>
      </w:r>
      <w:r>
        <w:rPr>
          <w:rFonts w:hint="eastAsia" w:ascii="仿宋_GB2312" w:eastAsia="仿宋_GB2312"/>
          <w:sz w:val="32"/>
          <w:szCs w:val="32"/>
          <w:lang w:val="en-US" w:eastAsia="zh-CN"/>
        </w:rPr>
        <w:t>助学金4.38万元、</w:t>
      </w:r>
      <w:r>
        <w:rPr>
          <w:rFonts w:hint="eastAsia" w:ascii="仿宋_GB2312" w:eastAsia="仿宋_GB2312"/>
          <w:sz w:val="32"/>
          <w:szCs w:val="32"/>
        </w:rPr>
        <w:t>其他对个人和家庭的补助</w:t>
      </w:r>
      <w:r>
        <w:rPr>
          <w:rFonts w:hint="eastAsia" w:ascii="仿宋_GB2312" w:eastAsia="仿宋_GB2312"/>
          <w:sz w:val="32"/>
          <w:szCs w:val="32"/>
          <w:lang w:val="en-US" w:eastAsia="zh-CN"/>
        </w:rPr>
        <w:t>1.12</w:t>
      </w:r>
      <w:r>
        <w:rPr>
          <w:rFonts w:hint="eastAsia" w:ascii="仿宋_GB2312" w:eastAsia="仿宋_GB2312"/>
          <w:sz w:val="32"/>
          <w:szCs w:val="32"/>
        </w:rPr>
        <w:t>万元。</w:t>
      </w:r>
    </w:p>
    <w:p>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4.资本性支出</w:t>
      </w:r>
    </w:p>
    <w:p>
      <w:pPr>
        <w:spacing w:line="540" w:lineRule="exact"/>
        <w:ind w:firstLine="640" w:firstLineChars="200"/>
        <w:rPr>
          <w:rFonts w:hint="eastAsia" w:ascii="楷体_GB2312" w:eastAsia="楷体_GB2312"/>
          <w:sz w:val="32"/>
          <w:szCs w:val="32"/>
        </w:rPr>
      </w:pPr>
      <w:r>
        <w:rPr>
          <w:rFonts w:hint="eastAsia" w:ascii="仿宋_GB2312" w:eastAsia="仿宋_GB2312"/>
          <w:sz w:val="32"/>
          <w:szCs w:val="32"/>
          <w:lang w:eastAsia="zh-CN"/>
        </w:rPr>
        <w:t>益阳市赫山区迎宾小学202</w:t>
      </w:r>
      <w:r>
        <w:rPr>
          <w:rFonts w:hint="eastAsia" w:ascii="仿宋_GB2312" w:eastAsia="仿宋_GB2312"/>
          <w:sz w:val="32"/>
          <w:szCs w:val="32"/>
          <w:lang w:val="en-US" w:eastAsia="zh-CN"/>
        </w:rPr>
        <w:t>5</w:t>
      </w:r>
      <w:r>
        <w:rPr>
          <w:rFonts w:hint="eastAsia" w:ascii="仿宋_GB2312" w:eastAsia="仿宋_GB2312"/>
          <w:sz w:val="32"/>
          <w:szCs w:val="32"/>
        </w:rPr>
        <w:t>年度一般公共预算财政拨款基本支出</w:t>
      </w:r>
      <w:r>
        <w:rPr>
          <w:rFonts w:hint="eastAsia" w:ascii="仿宋_GB2312" w:eastAsia="仿宋_GB2312"/>
          <w:sz w:val="32"/>
          <w:szCs w:val="32"/>
          <w:lang w:val="en-US" w:eastAsia="zh-CN"/>
        </w:rPr>
        <w:t>资本性支出16.99元，其中大型修缮16.99万元。</w:t>
      </w:r>
    </w:p>
    <w:p>
      <w:pPr>
        <w:numPr>
          <w:ilvl w:val="0"/>
          <w:numId w:val="4"/>
        </w:num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项目支出情况</w:t>
      </w:r>
    </w:p>
    <w:p>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益阳市赫山区迎宾小学2025年度一般公共预算财政拨款项目支出16.99万元,其中资本性支出16.99万元。资本性支出占项目支出的100%。</w:t>
      </w:r>
    </w:p>
    <w:p>
      <w:p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三、政府性基金预算支出情况</w:t>
      </w:r>
    </w:p>
    <w:p>
      <w:pPr>
        <w:spacing w:line="540" w:lineRule="exact"/>
        <w:ind w:firstLine="640" w:firstLineChars="200"/>
        <w:rPr>
          <w:rFonts w:hint="eastAsia" w:ascii="黑体" w:hAnsi="黑体" w:eastAsia="黑体"/>
          <w:sz w:val="32"/>
          <w:szCs w:val="32"/>
          <w:lang w:eastAsia="zh-CN"/>
        </w:rPr>
      </w:pPr>
      <w:r>
        <w:rPr>
          <w:rFonts w:hint="eastAsia" w:ascii="仿宋_GB2312" w:eastAsia="仿宋_GB2312"/>
          <w:sz w:val="32"/>
          <w:szCs w:val="32"/>
          <w:lang w:val="en-US" w:eastAsia="zh-CN"/>
        </w:rPr>
        <w:t>益阳市赫山区迎宾小学2025年度无政府性基金支出。</w:t>
      </w:r>
    </w:p>
    <w:p>
      <w:pPr>
        <w:numPr>
          <w:ilvl w:val="0"/>
          <w:numId w:val="5"/>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国有资本经营预算支出情况</w:t>
      </w:r>
    </w:p>
    <w:p>
      <w:pPr>
        <w:numPr>
          <w:ilvl w:val="0"/>
          <w:numId w:val="0"/>
        </w:numPr>
        <w:spacing w:line="540" w:lineRule="exact"/>
        <w:ind w:firstLine="640" w:firstLineChars="200"/>
        <w:rPr>
          <w:rFonts w:ascii="黑体" w:hAnsi="黑体" w:eastAsia="黑体"/>
          <w:sz w:val="32"/>
          <w:szCs w:val="32"/>
        </w:rPr>
      </w:pPr>
      <w:r>
        <w:rPr>
          <w:rFonts w:hint="eastAsia" w:ascii="仿宋_GB2312" w:eastAsia="仿宋_GB2312"/>
          <w:sz w:val="32"/>
          <w:szCs w:val="32"/>
          <w:lang w:val="en-US" w:eastAsia="zh-CN"/>
        </w:rPr>
        <w:t>本单位本年度无国有资本经营预算支出。</w:t>
      </w:r>
    </w:p>
    <w:p>
      <w:pPr>
        <w:numPr>
          <w:ilvl w:val="0"/>
          <w:numId w:val="5"/>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社会保险基金预算支出情况</w:t>
      </w:r>
    </w:p>
    <w:p>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本单位本年度无社会保险基金预算支出。</w:t>
      </w:r>
    </w:p>
    <w:p>
      <w:pPr>
        <w:spacing w:line="540" w:lineRule="exact"/>
        <w:ind w:firstLine="640" w:firstLineChars="200"/>
        <w:rPr>
          <w:rFonts w:ascii="黑体" w:hAnsi="黑体" w:eastAsia="黑体"/>
          <w:sz w:val="32"/>
          <w:szCs w:val="32"/>
        </w:rPr>
      </w:pPr>
      <w:r>
        <w:rPr>
          <w:rFonts w:hint="eastAsia" w:ascii="黑体" w:hAnsi="黑体" w:eastAsia="黑体"/>
          <w:sz w:val="32"/>
          <w:szCs w:val="32"/>
        </w:rPr>
        <w:t>六、部门整体支出绩效情况</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益阳市赫山区迎宾小学</w:t>
      </w:r>
      <w:r>
        <w:rPr>
          <w:rFonts w:hint="eastAsia" w:ascii="仿宋_GB2312" w:eastAsia="仿宋_GB2312"/>
          <w:sz w:val="32"/>
          <w:szCs w:val="32"/>
        </w:rPr>
        <w:t>严格执行《预算法》，强化支出责任，不断提高资金使用效益，根据绩效评价相关制度规定对</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年度部门整体支出开展绩效评价，认真制定绩效自评工作方案，坚持客观公正和有效性原则，按照设定的指标体系，</w:t>
      </w:r>
      <w:r>
        <w:rPr>
          <w:rFonts w:hint="eastAsia" w:ascii="仿宋_GB2312" w:eastAsia="仿宋_GB2312"/>
          <w:sz w:val="32"/>
          <w:szCs w:val="32"/>
          <w:lang w:eastAsia="zh-CN"/>
        </w:rPr>
        <w:t>认真</w:t>
      </w:r>
      <w:r>
        <w:rPr>
          <w:rFonts w:hint="eastAsia" w:ascii="仿宋_GB2312" w:eastAsia="仿宋_GB2312"/>
          <w:sz w:val="32"/>
          <w:szCs w:val="32"/>
        </w:rPr>
        <w:t>对各类项目资金开展预算资金绩效自评。</w:t>
      </w:r>
    </w:p>
    <w:p>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（一）绩效评价工作情况</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1.成立领导小组。</w:t>
      </w:r>
      <w:r>
        <w:rPr>
          <w:rFonts w:hint="eastAsia" w:ascii="仿宋_GB2312" w:eastAsia="仿宋_GB2312"/>
          <w:sz w:val="32"/>
          <w:szCs w:val="32"/>
          <w:lang w:eastAsia="zh-CN"/>
        </w:rPr>
        <w:t>由党总支书记任组长，</w:t>
      </w:r>
      <w:r>
        <w:rPr>
          <w:rFonts w:hint="eastAsia" w:ascii="仿宋_GB2312" w:eastAsia="仿宋_GB2312"/>
          <w:sz w:val="32"/>
          <w:szCs w:val="32"/>
        </w:rPr>
        <w:t>学校</w:t>
      </w:r>
      <w:r>
        <w:rPr>
          <w:rFonts w:hint="eastAsia" w:ascii="仿宋_GB2312" w:eastAsia="仿宋_GB2312"/>
          <w:sz w:val="32"/>
          <w:szCs w:val="32"/>
          <w:lang w:eastAsia="zh-CN"/>
        </w:rPr>
        <w:t>总务室、政教处、德育处相关人员</w:t>
      </w:r>
      <w:r>
        <w:rPr>
          <w:rFonts w:hint="eastAsia" w:ascii="仿宋_GB2312" w:eastAsia="仿宋_GB2312"/>
          <w:sz w:val="32"/>
          <w:szCs w:val="32"/>
        </w:rPr>
        <w:t>组成绩效评价工作领导小组，学习评价指标体系和绩效评价相关要求，明确工作职责和分工。</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2.制定评价方案。由评价小组按照客观、科学、可行的原由则，由评价小组充分研究和讨论后，确定各项目绩效自评的对象和范围、评价目的、评价依据、评价内容、评价方法、评价指标、评价标准、评价实施步骤、人员和时间安排等内容。</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3.实施绩效评价</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rPr>
        <w:t>通过实地勘察、询问、发放问卷调查、召开座谈会听取汇报等方式收集相关评价资料，由评价小组对资料进行分类、整理、分析，根据评价方案中制定的评价依据、评价标准进行打分。</w:t>
      </w:r>
    </w:p>
    <w:p>
      <w:pPr>
        <w:spacing w:line="540" w:lineRule="exact"/>
        <w:ind w:firstLine="640" w:firstLineChars="200"/>
        <w:rPr>
          <w:rFonts w:hint="eastAsia" w:ascii="楷体_GB2312" w:eastAsia="楷体_GB2312"/>
          <w:sz w:val="32"/>
          <w:szCs w:val="32"/>
        </w:rPr>
      </w:pPr>
      <w:r>
        <w:rPr>
          <w:rFonts w:hint="eastAsia" w:ascii="楷体_GB2312" w:eastAsia="楷体_GB2312"/>
          <w:sz w:val="32"/>
          <w:szCs w:val="32"/>
        </w:rPr>
        <w:t>（二）部门整体支出主要绩效及评价结论</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1. 经济性与内控管理：</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严控非刚性支出：学校普遍坚持“过紧日子”的原则，将有限资金向教育教学、学生发展、师资培育及校园安全等核心领域倾斜。</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资产规范管理：建立健全固定资产动态管理台账，定期开展清查盘点，合理调配闲置资产，有效杜绝了资产闲置与流失，提高了资产使用效率。</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2. 资金使用效率（效率性）：</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办学条件改善：高效推进校园基础设施维修改造（如宿舍改造、运动场修缮、食堂标准化建设、校园安防系统升级等），切实优化了师生学习与生活环境。</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教育教学提质：资金有效保障了课程改革、教学教研大比武、名师工作室建设等，提升了教师专业素养与课堂教学水平。</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五育并举落实：统筹资金开展德育、心理健康、艺体教育及劳动教育等特色活动，丰富了课后服务内容，促进了学生综合素质的全面发展。</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3. 履职成效与社会效益（效益性）：</w:t>
      </w:r>
    </w:p>
    <w:p>
      <w:pPr>
        <w:spacing w:line="540" w:lineRule="exact"/>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教学质量稳步提升：中考成绩取得突破或保持优势。</w:t>
      </w:r>
    </w:p>
    <w:p>
      <w:p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eastAsia="zh-CN"/>
        </w:rPr>
        <w:t>社会满意度高：通过落实课后服务、护学安园、校园餐整治等民生举措，切实解决了群众急难愁盼问题，家长及社会各界对学校办学的满意度不断提升。</w:t>
      </w:r>
    </w:p>
    <w:p>
      <w:pPr>
        <w:numPr>
          <w:ilvl w:val="0"/>
          <w:numId w:val="6"/>
        </w:numPr>
        <w:spacing w:line="540" w:lineRule="exact"/>
        <w:ind w:firstLine="640" w:firstLineChars="200"/>
        <w:rPr>
          <w:rFonts w:hint="eastAsia" w:ascii="黑体" w:hAnsi="黑体" w:eastAsia="黑体"/>
          <w:sz w:val="32"/>
          <w:szCs w:val="32"/>
        </w:rPr>
      </w:pPr>
      <w:r>
        <w:rPr>
          <w:rFonts w:hint="eastAsia" w:ascii="黑体" w:hAnsi="黑体" w:eastAsia="黑体"/>
          <w:sz w:val="32"/>
          <w:szCs w:val="32"/>
        </w:rPr>
        <w:t>存在的问题及原因分析</w:t>
      </w:r>
    </w:p>
    <w:p>
      <w:pPr>
        <w:numPr>
          <w:ilvl w:val="0"/>
          <w:numId w:val="0"/>
        </w:numPr>
        <w:spacing w:line="540" w:lineRule="exact"/>
        <w:ind w:firstLine="640" w:firstLineChars="200"/>
        <w:rPr>
          <w:rFonts w:hint="eastAsia" w:ascii="仿宋_GB2312" w:eastAsia="仿宋_GB2312"/>
          <w:sz w:val="32"/>
          <w:szCs w:val="32"/>
        </w:rPr>
      </w:pPr>
      <w:r>
        <w:rPr>
          <w:rFonts w:hint="eastAsia" w:ascii="仿宋_GB2312" w:eastAsia="仿宋_GB2312"/>
          <w:sz w:val="32"/>
          <w:szCs w:val="32"/>
          <w:lang w:val="en-US" w:eastAsia="zh-CN"/>
        </w:rPr>
        <w:t>1.</w:t>
      </w:r>
      <w:r>
        <w:rPr>
          <w:rFonts w:hint="eastAsia" w:ascii="仿宋_GB2312" w:eastAsia="仿宋_GB2312"/>
          <w:sz w:val="32"/>
          <w:szCs w:val="32"/>
        </w:rPr>
        <w:t>预算编制与执行偏差：部分项目年初预算测算不够精准，实际支出与预算存在偏差；个别项目前期推进较慢，导致资金支付进度不均衡。</w:t>
      </w:r>
    </w:p>
    <w:p>
      <w:pPr>
        <w:pStyle w:val="9"/>
        <w:numPr>
          <w:ilvl w:val="0"/>
          <w:numId w:val="0"/>
        </w:numPr>
        <w:ind w:firstLine="640" w:firstLineChars="200"/>
        <w:rPr>
          <w:rFonts w:hint="eastAsia"/>
        </w:rPr>
      </w:pPr>
      <w:r>
        <w:rPr>
          <w:rFonts w:hint="eastAsia" w:ascii="仿宋_GB2312" w:eastAsia="仿宋_GB2312" w:hAnsiTheme="minorHAnsi" w:cstheme="minorBidi"/>
          <w:kern w:val="2"/>
          <w:sz w:val="32"/>
          <w:szCs w:val="32"/>
          <w:lang w:val="en-US" w:eastAsia="zh-CN" w:bidi="ar-SA"/>
        </w:rPr>
        <w:t>2. 绩效管理与制度执行不到位：虽然建立了基本的财务与资产管理制度，但针对资金使用全流程监管、绩效动态监控的专项制度仍需完善；部分环节存在“重制定、轻执行”的现象，制度约束力未充分发挥。</w:t>
      </w:r>
    </w:p>
    <w:p>
      <w:pPr>
        <w:numPr>
          <w:ilvl w:val="0"/>
          <w:numId w:val="6"/>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下一步改进措施</w:t>
      </w:r>
    </w:p>
    <w:p>
      <w:pPr>
        <w:numPr>
          <w:ilvl w:val="0"/>
          <w:numId w:val="7"/>
        </w:num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rPr>
        <w:t>强化预算编制的科学性与前瞻性，结合上年度资金使用情况合理测算；加强项目事前事中调度，加快资金执行进度。</w:t>
      </w:r>
      <w:r>
        <w:rPr>
          <w:rFonts w:hint="eastAsia" w:ascii="仿宋_GB2312" w:eastAsia="仿宋_GB2312"/>
          <w:sz w:val="32"/>
          <w:szCs w:val="32"/>
          <w:lang w:val="en-US" w:eastAsia="zh-CN"/>
        </w:rPr>
        <w:t xml:space="preserve">    </w:t>
      </w:r>
    </w:p>
    <w:p>
      <w:pPr>
        <w:numPr>
          <w:ilvl w:val="0"/>
          <w:numId w:val="0"/>
        </w:num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2.健全绩效目标精准编制与全过程动态监控机制，强化绩效评价结果的实际应用，将其作为下一年度预算安排的重要依据。</w:t>
      </w:r>
    </w:p>
    <w:p>
      <w:pPr>
        <w:numPr>
          <w:ilvl w:val="0"/>
          <w:numId w:val="6"/>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绩效自评结果拟应用和公开情况</w:t>
      </w:r>
    </w:p>
    <w:p>
      <w:pPr>
        <w:spacing w:line="540" w:lineRule="exact"/>
        <w:ind w:firstLine="640" w:firstLineChars="200"/>
        <w:rPr>
          <w:rFonts w:hint="eastAsia" w:ascii="黑体" w:hAnsi="黑体" w:eastAsia="黑体"/>
          <w:sz w:val="32"/>
          <w:szCs w:val="32"/>
        </w:rPr>
      </w:pPr>
      <w:r>
        <w:rPr>
          <w:rFonts w:hint="eastAsia" w:ascii="仿宋_GB2312" w:eastAsia="仿宋_GB2312"/>
          <w:sz w:val="32"/>
          <w:szCs w:val="32"/>
        </w:rPr>
        <w:t>根据财政部门要求，</w:t>
      </w:r>
      <w:r>
        <w:rPr>
          <w:rFonts w:hint="eastAsia" w:ascii="仿宋_GB2312" w:eastAsia="仿宋_GB2312"/>
          <w:sz w:val="32"/>
          <w:szCs w:val="32"/>
          <w:lang w:eastAsia="zh-CN"/>
        </w:rPr>
        <w:t>益阳市赫山区迎宾小学</w:t>
      </w:r>
      <w:r>
        <w:rPr>
          <w:rFonts w:hint="eastAsia" w:ascii="仿宋_GB2312" w:eastAsia="仿宋_GB2312"/>
          <w:sz w:val="32"/>
          <w:szCs w:val="32"/>
        </w:rPr>
        <w:t>认真组织开展了</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年度预决算，对预算执行情况进行了部门整体支出绩效评价，根据财政部门要求在政府门户网站进行公开，公开内容包括</w:t>
      </w:r>
      <w:r>
        <w:rPr>
          <w:rFonts w:hint="eastAsia" w:ascii="仿宋_GB2312" w:eastAsia="仿宋_GB2312"/>
          <w:sz w:val="32"/>
          <w:szCs w:val="32"/>
          <w:lang w:eastAsia="zh-CN"/>
        </w:rPr>
        <w:t>202</w:t>
      </w:r>
      <w:r>
        <w:rPr>
          <w:rFonts w:hint="eastAsia" w:ascii="仿宋_GB2312" w:eastAsia="仿宋_GB2312"/>
          <w:sz w:val="32"/>
          <w:szCs w:val="32"/>
          <w:lang w:val="en-US" w:eastAsia="zh-CN"/>
        </w:rPr>
        <w:t>5</w:t>
      </w:r>
      <w:r>
        <w:rPr>
          <w:rFonts w:hint="eastAsia" w:ascii="仿宋_GB2312" w:eastAsia="仿宋_GB2312"/>
          <w:sz w:val="32"/>
          <w:szCs w:val="32"/>
        </w:rPr>
        <w:t>年度</w:t>
      </w:r>
      <w:r>
        <w:rPr>
          <w:rFonts w:hint="eastAsia" w:ascii="仿宋_GB2312" w:eastAsia="仿宋_GB2312"/>
          <w:sz w:val="32"/>
          <w:szCs w:val="32"/>
          <w:lang w:eastAsia="zh-CN"/>
        </w:rPr>
        <w:t>益阳市赫山区迎宾小学</w:t>
      </w:r>
      <w:r>
        <w:rPr>
          <w:rFonts w:hint="eastAsia" w:ascii="仿宋_GB2312" w:eastAsia="仿宋_GB2312"/>
          <w:sz w:val="32"/>
          <w:szCs w:val="32"/>
        </w:rPr>
        <w:t>整体支出绩效自评报告和</w:t>
      </w:r>
      <w:r>
        <w:rPr>
          <w:rFonts w:hint="eastAsia" w:ascii="仿宋_GB2312" w:eastAsia="仿宋_GB2312"/>
          <w:sz w:val="32"/>
          <w:szCs w:val="32"/>
          <w:lang w:val="en-US" w:eastAsia="zh-CN"/>
        </w:rPr>
        <w:t>基础表、</w:t>
      </w:r>
      <w:r>
        <w:rPr>
          <w:rFonts w:hint="eastAsia" w:ascii="仿宋_GB2312" w:eastAsia="仿宋_GB2312"/>
          <w:sz w:val="32"/>
          <w:szCs w:val="32"/>
        </w:rPr>
        <w:t>自评表。</w:t>
      </w:r>
    </w:p>
    <w:p>
      <w:pPr>
        <w:numPr>
          <w:ilvl w:val="0"/>
          <w:numId w:val="6"/>
        </w:numPr>
        <w:spacing w:line="540" w:lineRule="exact"/>
        <w:ind w:left="0" w:leftChars="0" w:firstLine="640" w:firstLineChars="200"/>
        <w:rPr>
          <w:rFonts w:hint="eastAsia" w:ascii="黑体" w:hAnsi="黑体" w:eastAsia="黑体"/>
          <w:sz w:val="32"/>
          <w:szCs w:val="32"/>
        </w:rPr>
      </w:pPr>
      <w:r>
        <w:rPr>
          <w:rFonts w:hint="eastAsia" w:ascii="黑体" w:hAnsi="黑体" w:eastAsia="黑体"/>
          <w:sz w:val="32"/>
          <w:szCs w:val="32"/>
        </w:rPr>
        <w:t>其他需要说明的情况</w:t>
      </w:r>
    </w:p>
    <w:p>
      <w:pPr>
        <w:spacing w:line="540" w:lineRule="exact"/>
        <w:ind w:firstLine="640" w:firstLineChars="200"/>
        <w:rPr>
          <w:rFonts w:hint="eastAsia" w:ascii="仿宋_GB2312" w:eastAsia="仿宋_GB2312"/>
          <w:sz w:val="32"/>
          <w:szCs w:val="32"/>
          <w:lang w:val="en-US" w:eastAsia="zh-CN"/>
        </w:rPr>
      </w:pPr>
      <w:r>
        <w:rPr>
          <w:rFonts w:hint="eastAsia" w:ascii="仿宋_GB2312" w:eastAsia="仿宋_GB2312"/>
          <w:sz w:val="32"/>
          <w:szCs w:val="32"/>
          <w:lang w:val="en-US" w:eastAsia="zh-CN"/>
        </w:rPr>
        <w:t>无。</w:t>
      </w:r>
    </w:p>
    <w:p>
      <w:pPr>
        <w:pStyle w:val="9"/>
      </w:pPr>
    </w:p>
    <w:p>
      <w:pPr>
        <w:jc w:val="left"/>
        <w:rPr>
          <w:rFonts w:ascii="Times New Roman" w:hAnsi="Times New Roman" w:cs="Times New Roman"/>
          <w:color w:val="000000"/>
          <w:kern w:val="0"/>
          <w:sz w:val="32"/>
          <w:szCs w:val="32"/>
        </w:rPr>
      </w:pPr>
      <w:bookmarkStart w:id="12" w:name="_GoBack"/>
      <w:bookmarkEnd w:id="12"/>
    </w:p>
    <w:sectPr>
      <w:pgSz w:w="11906" w:h="16838"/>
      <w:pgMar w:top="1417" w:right="1588" w:bottom="1417" w:left="1588" w:header="851" w:footer="992" w:gutter="0"/>
      <w:pgBorders>
        <w:top w:val="none" w:sz="0" w:space="0"/>
        <w:left w:val="none" w:sz="0" w:space="0"/>
        <w:bottom w:val="none" w:sz="0" w:space="0"/>
        <w:right w:val="none" w:sz="0" w:space="0"/>
      </w:pgBorders>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宋体"/>
    <w:panose1 w:val="00000000000000000000"/>
    <w:charset w:val="86"/>
    <w:family w:val="auto"/>
    <w:pitch w:val="default"/>
    <w:sig w:usb0="00000000" w:usb1="00000000" w:usb2="00000010" w:usb3="00000000" w:csb0="00040000" w:csb1="00000000"/>
  </w:font>
  <w:font w:name="仿宋_GB2312">
    <w:altName w:val="仿宋"/>
    <w:panose1 w:val="00000000000000000000"/>
    <w:charset w:val="86"/>
    <w:family w:val="modern"/>
    <w:pitch w:val="default"/>
    <w:sig w:usb0="00000000" w:usb1="00000000" w:usb2="00000000" w:usb3="00000000" w:csb0="00040000" w:csb1="00000000"/>
  </w:font>
  <w:font w:name="方正小标宋_GBK">
    <w:altName w:val="微软雅黑"/>
    <w:panose1 w:val="00000000000000000000"/>
    <w:charset w:val="86"/>
    <w:family w:val="script"/>
    <w:pitch w:val="default"/>
    <w:sig w:usb0="00000000" w:usb1="00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pPr>
                            <w:pStyle w:val="7"/>
                          </w:pPr>
                          <w:r>
                            <w:fldChar w:fldCharType="begin"/>
                          </w:r>
                          <w:r>
                            <w:instrText xml:space="preserve"> PAGE  \* MERGEFORMAT </w:instrText>
                          </w:r>
                          <w:r>
                            <w:fldChar w:fldCharType="separate"/>
                          </w:r>
                          <w:r>
                            <w:t>22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2Zxg5DICAABjBAAADgAAAAAAAAABACAAAAAfAQAAZHJzL2Uyb0RvYy54bWxQSwUG&#10;AAAAAAYABgBZAQAAwwUAAAAA&#10;">
              <v:fill on="f" focussize="0,0"/>
              <v:stroke on="f" weight="0.5pt"/>
              <v:imagedata o:title=""/>
              <o:lock v:ext="edit" aspectratio="f"/>
              <v:textbox inset="0mm,0mm,0mm,0mm" style="mso-fit-shape-to-text:t;">
                <w:txbxContent>
                  <w:p>
                    <w:pPr>
                      <w:pStyle w:val="7"/>
                    </w:pPr>
                    <w:r>
                      <w:fldChar w:fldCharType="begin"/>
                    </w:r>
                    <w:r>
                      <w:instrText xml:space="preserve"> PAGE  \* MERGEFORMAT </w:instrText>
                    </w:r>
                    <w:r>
                      <w:fldChar w:fldCharType="separate"/>
                    </w:r>
                    <w:r>
                      <w:t>22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9C18CF9"/>
    <w:multiLevelType w:val="singleLevel"/>
    <w:tmpl w:val="99C18CF9"/>
    <w:lvl w:ilvl="0" w:tentative="0">
      <w:start w:val="3"/>
      <w:numFmt w:val="decimal"/>
      <w:lvlText w:val="%1."/>
      <w:lvlJc w:val="left"/>
      <w:pPr>
        <w:tabs>
          <w:tab w:val="left" w:pos="312"/>
        </w:tabs>
      </w:pPr>
    </w:lvl>
  </w:abstractNum>
  <w:abstractNum w:abstractNumId="1">
    <w:nsid w:val="CF65111A"/>
    <w:multiLevelType w:val="singleLevel"/>
    <w:tmpl w:val="CF65111A"/>
    <w:lvl w:ilvl="0" w:tentative="0">
      <w:start w:val="1"/>
      <w:numFmt w:val="decimal"/>
      <w:lvlText w:val="%1."/>
      <w:lvlJc w:val="left"/>
      <w:pPr>
        <w:tabs>
          <w:tab w:val="left" w:pos="312"/>
        </w:tabs>
      </w:pPr>
    </w:lvl>
  </w:abstractNum>
  <w:abstractNum w:abstractNumId="2">
    <w:nsid w:val="32D1E1B7"/>
    <w:multiLevelType w:val="singleLevel"/>
    <w:tmpl w:val="32D1E1B7"/>
    <w:lvl w:ilvl="0" w:tentative="0">
      <w:start w:val="2"/>
      <w:numFmt w:val="chineseCounting"/>
      <w:suff w:val="nothing"/>
      <w:lvlText w:val="（%1）"/>
      <w:lvlJc w:val="left"/>
      <w:rPr>
        <w:rFonts w:hint="eastAsia"/>
      </w:rPr>
    </w:lvl>
  </w:abstractNum>
  <w:abstractNum w:abstractNumId="3">
    <w:nsid w:val="4D452EE6"/>
    <w:multiLevelType w:val="singleLevel"/>
    <w:tmpl w:val="4D452EE6"/>
    <w:lvl w:ilvl="0" w:tentative="0">
      <w:start w:val="1"/>
      <w:numFmt w:val="chineseCounting"/>
      <w:suff w:val="nothing"/>
      <w:lvlText w:val="%1、"/>
      <w:lvlJc w:val="left"/>
      <w:rPr>
        <w:rFonts w:hint="eastAsia"/>
      </w:rPr>
    </w:lvl>
  </w:abstractNum>
  <w:abstractNum w:abstractNumId="4">
    <w:nsid w:val="62FC3140"/>
    <w:multiLevelType w:val="singleLevel"/>
    <w:tmpl w:val="62FC3140"/>
    <w:lvl w:ilvl="0" w:tentative="0">
      <w:start w:val="4"/>
      <w:numFmt w:val="chineseCounting"/>
      <w:suff w:val="nothing"/>
      <w:lvlText w:val="%1、"/>
      <w:lvlJc w:val="left"/>
      <w:rPr>
        <w:rFonts w:hint="eastAsia"/>
      </w:rPr>
    </w:lvl>
  </w:abstractNum>
  <w:abstractNum w:abstractNumId="5">
    <w:nsid w:val="63266D17"/>
    <w:multiLevelType w:val="singleLevel"/>
    <w:tmpl w:val="63266D17"/>
    <w:lvl w:ilvl="0" w:tentative="0">
      <w:start w:val="2"/>
      <w:numFmt w:val="chineseCounting"/>
      <w:suff w:val="nothing"/>
      <w:lvlText w:val="（%1）"/>
      <w:lvlJc w:val="left"/>
      <w:rPr>
        <w:rFonts w:hint="eastAsia"/>
      </w:rPr>
    </w:lvl>
  </w:abstractNum>
  <w:abstractNum w:abstractNumId="6">
    <w:nsid w:val="7879F838"/>
    <w:multiLevelType w:val="singleLevel"/>
    <w:tmpl w:val="7879F838"/>
    <w:lvl w:ilvl="0" w:tentative="0">
      <w:start w:val="7"/>
      <w:numFmt w:val="chineseCounting"/>
      <w:suff w:val="nothing"/>
      <w:lvlText w:val="%1、"/>
      <w:lvlJc w:val="left"/>
      <w:rPr>
        <w:rFonts w:hint="eastAsia"/>
      </w:rPr>
    </w:lvl>
  </w:abstractNum>
  <w:num w:numId="1">
    <w:abstractNumId w:val="5"/>
  </w:num>
  <w:num w:numId="2">
    <w:abstractNumId w:val="0"/>
  </w:num>
  <w:num w:numId="3">
    <w:abstractNumId w:val="3"/>
  </w:num>
  <w:num w:numId="4">
    <w:abstractNumId w:val="2"/>
  </w:num>
  <w:num w:numId="5">
    <w:abstractNumId w:val="4"/>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UwMWU2NzdiNjM0OWY5NjhlMTUyYjMxYWQ1OTA2ZWIifQ=="/>
  </w:docVars>
  <w:rsids>
    <w:rsidRoot w:val="004506F9"/>
    <w:rsid w:val="0000001A"/>
    <w:rsid w:val="0002229B"/>
    <w:rsid w:val="000273BD"/>
    <w:rsid w:val="0003620C"/>
    <w:rsid w:val="00040CBC"/>
    <w:rsid w:val="000415B7"/>
    <w:rsid w:val="00041E3F"/>
    <w:rsid w:val="00055DAA"/>
    <w:rsid w:val="00061F7B"/>
    <w:rsid w:val="00062974"/>
    <w:rsid w:val="000658A3"/>
    <w:rsid w:val="00074155"/>
    <w:rsid w:val="00080785"/>
    <w:rsid w:val="000A3F69"/>
    <w:rsid w:val="000B20F1"/>
    <w:rsid w:val="000C5742"/>
    <w:rsid w:val="00103957"/>
    <w:rsid w:val="00152C6D"/>
    <w:rsid w:val="00162D39"/>
    <w:rsid w:val="001678BD"/>
    <w:rsid w:val="00182373"/>
    <w:rsid w:val="001A67DB"/>
    <w:rsid w:val="001B67D1"/>
    <w:rsid w:val="001C3C29"/>
    <w:rsid w:val="001D2B79"/>
    <w:rsid w:val="001D51E5"/>
    <w:rsid w:val="001E080D"/>
    <w:rsid w:val="001E53D0"/>
    <w:rsid w:val="001F0C3B"/>
    <w:rsid w:val="00202C82"/>
    <w:rsid w:val="00214427"/>
    <w:rsid w:val="00220689"/>
    <w:rsid w:val="00221AFD"/>
    <w:rsid w:val="00226CB7"/>
    <w:rsid w:val="00252450"/>
    <w:rsid w:val="00264552"/>
    <w:rsid w:val="00264EF9"/>
    <w:rsid w:val="00265724"/>
    <w:rsid w:val="0027426B"/>
    <w:rsid w:val="00296D60"/>
    <w:rsid w:val="002E0A30"/>
    <w:rsid w:val="0030077D"/>
    <w:rsid w:val="003130C4"/>
    <w:rsid w:val="00316C4B"/>
    <w:rsid w:val="0032192B"/>
    <w:rsid w:val="00321A14"/>
    <w:rsid w:val="0033283E"/>
    <w:rsid w:val="003479BD"/>
    <w:rsid w:val="0037197D"/>
    <w:rsid w:val="003768D5"/>
    <w:rsid w:val="003926B9"/>
    <w:rsid w:val="003C2E17"/>
    <w:rsid w:val="003C47E6"/>
    <w:rsid w:val="003C4FC2"/>
    <w:rsid w:val="003D35B5"/>
    <w:rsid w:val="00401F9A"/>
    <w:rsid w:val="00416E61"/>
    <w:rsid w:val="0042790C"/>
    <w:rsid w:val="004506F9"/>
    <w:rsid w:val="00462315"/>
    <w:rsid w:val="004717A2"/>
    <w:rsid w:val="00473DF3"/>
    <w:rsid w:val="00487911"/>
    <w:rsid w:val="00490F48"/>
    <w:rsid w:val="00491741"/>
    <w:rsid w:val="004B0CEE"/>
    <w:rsid w:val="004C2A0A"/>
    <w:rsid w:val="004F5EFB"/>
    <w:rsid w:val="00500E5F"/>
    <w:rsid w:val="005122EF"/>
    <w:rsid w:val="0051441A"/>
    <w:rsid w:val="00517C33"/>
    <w:rsid w:val="00517D5F"/>
    <w:rsid w:val="00523644"/>
    <w:rsid w:val="0054069E"/>
    <w:rsid w:val="00544866"/>
    <w:rsid w:val="00552A3D"/>
    <w:rsid w:val="00574CC8"/>
    <w:rsid w:val="005767CC"/>
    <w:rsid w:val="00590D9F"/>
    <w:rsid w:val="00595D26"/>
    <w:rsid w:val="005A74E6"/>
    <w:rsid w:val="005B404E"/>
    <w:rsid w:val="005D4D55"/>
    <w:rsid w:val="005E0E6C"/>
    <w:rsid w:val="005E2CFB"/>
    <w:rsid w:val="005F2103"/>
    <w:rsid w:val="005F3D1C"/>
    <w:rsid w:val="005F4189"/>
    <w:rsid w:val="006171EE"/>
    <w:rsid w:val="0062378F"/>
    <w:rsid w:val="00641842"/>
    <w:rsid w:val="00651EEC"/>
    <w:rsid w:val="00686673"/>
    <w:rsid w:val="00691E8C"/>
    <w:rsid w:val="006A22C4"/>
    <w:rsid w:val="006A351B"/>
    <w:rsid w:val="006B0422"/>
    <w:rsid w:val="006C1B53"/>
    <w:rsid w:val="006D7730"/>
    <w:rsid w:val="006E5284"/>
    <w:rsid w:val="006F3EB5"/>
    <w:rsid w:val="006F56C8"/>
    <w:rsid w:val="00702E34"/>
    <w:rsid w:val="00704395"/>
    <w:rsid w:val="00710FE7"/>
    <w:rsid w:val="00717621"/>
    <w:rsid w:val="00720FF1"/>
    <w:rsid w:val="00727A53"/>
    <w:rsid w:val="007502DE"/>
    <w:rsid w:val="00787B42"/>
    <w:rsid w:val="007C4539"/>
    <w:rsid w:val="007F3657"/>
    <w:rsid w:val="00810F0C"/>
    <w:rsid w:val="00811AA2"/>
    <w:rsid w:val="00812ED5"/>
    <w:rsid w:val="008277D9"/>
    <w:rsid w:val="0084478C"/>
    <w:rsid w:val="0086638C"/>
    <w:rsid w:val="008764FA"/>
    <w:rsid w:val="008A1079"/>
    <w:rsid w:val="008A3E8D"/>
    <w:rsid w:val="008A5055"/>
    <w:rsid w:val="008D17F4"/>
    <w:rsid w:val="009237C4"/>
    <w:rsid w:val="00944C48"/>
    <w:rsid w:val="00950252"/>
    <w:rsid w:val="00967F5D"/>
    <w:rsid w:val="009A0F95"/>
    <w:rsid w:val="009B3ADF"/>
    <w:rsid w:val="009C31C5"/>
    <w:rsid w:val="009C3B52"/>
    <w:rsid w:val="009E6817"/>
    <w:rsid w:val="009E6E9A"/>
    <w:rsid w:val="00A01D2B"/>
    <w:rsid w:val="00A1392A"/>
    <w:rsid w:val="00A42218"/>
    <w:rsid w:val="00A70249"/>
    <w:rsid w:val="00A70B02"/>
    <w:rsid w:val="00A71D9F"/>
    <w:rsid w:val="00A92E9F"/>
    <w:rsid w:val="00AB18FF"/>
    <w:rsid w:val="00B26269"/>
    <w:rsid w:val="00B33BEA"/>
    <w:rsid w:val="00B57C9F"/>
    <w:rsid w:val="00B63572"/>
    <w:rsid w:val="00B845B3"/>
    <w:rsid w:val="00B85D8B"/>
    <w:rsid w:val="00BB4A40"/>
    <w:rsid w:val="00BD6022"/>
    <w:rsid w:val="00BD6C3E"/>
    <w:rsid w:val="00BE3674"/>
    <w:rsid w:val="00C10681"/>
    <w:rsid w:val="00C10822"/>
    <w:rsid w:val="00C15C89"/>
    <w:rsid w:val="00C27C0D"/>
    <w:rsid w:val="00C3049A"/>
    <w:rsid w:val="00C31B1E"/>
    <w:rsid w:val="00C32F2E"/>
    <w:rsid w:val="00C73888"/>
    <w:rsid w:val="00C77645"/>
    <w:rsid w:val="00CE04C3"/>
    <w:rsid w:val="00CE34BE"/>
    <w:rsid w:val="00CE76A0"/>
    <w:rsid w:val="00D148C6"/>
    <w:rsid w:val="00D17A8A"/>
    <w:rsid w:val="00D415BA"/>
    <w:rsid w:val="00D63780"/>
    <w:rsid w:val="00D644EE"/>
    <w:rsid w:val="00DD06FF"/>
    <w:rsid w:val="00DD5FE9"/>
    <w:rsid w:val="00E00C7A"/>
    <w:rsid w:val="00E37D6C"/>
    <w:rsid w:val="00E55B68"/>
    <w:rsid w:val="00E561AE"/>
    <w:rsid w:val="00E67BE6"/>
    <w:rsid w:val="00E8683C"/>
    <w:rsid w:val="00EA2B72"/>
    <w:rsid w:val="00F74360"/>
    <w:rsid w:val="00FB462F"/>
    <w:rsid w:val="00FE16FA"/>
    <w:rsid w:val="00FE328A"/>
    <w:rsid w:val="00FE6269"/>
    <w:rsid w:val="00FF5CD6"/>
    <w:rsid w:val="088C1F29"/>
    <w:rsid w:val="09410A35"/>
    <w:rsid w:val="0C017559"/>
    <w:rsid w:val="0E9E6834"/>
    <w:rsid w:val="0FAC4C5F"/>
    <w:rsid w:val="11967974"/>
    <w:rsid w:val="12015736"/>
    <w:rsid w:val="12046FD4"/>
    <w:rsid w:val="14D902A4"/>
    <w:rsid w:val="1610061C"/>
    <w:rsid w:val="16BA5EB3"/>
    <w:rsid w:val="17AA4179"/>
    <w:rsid w:val="1B5E7755"/>
    <w:rsid w:val="1B7658D1"/>
    <w:rsid w:val="1BAA4748"/>
    <w:rsid w:val="1C3A1BFF"/>
    <w:rsid w:val="1CE11DDF"/>
    <w:rsid w:val="1D97DEFF"/>
    <w:rsid w:val="1DFF72E5"/>
    <w:rsid w:val="1E6037E4"/>
    <w:rsid w:val="1EF526EC"/>
    <w:rsid w:val="1EFC6F07"/>
    <w:rsid w:val="1F4F0330"/>
    <w:rsid w:val="1F615A66"/>
    <w:rsid w:val="20340A84"/>
    <w:rsid w:val="21694BF3"/>
    <w:rsid w:val="21FE134A"/>
    <w:rsid w:val="225C2514"/>
    <w:rsid w:val="229C6219"/>
    <w:rsid w:val="263A616C"/>
    <w:rsid w:val="276205CD"/>
    <w:rsid w:val="29982084"/>
    <w:rsid w:val="29D11A3A"/>
    <w:rsid w:val="2BB37649"/>
    <w:rsid w:val="2BD870AF"/>
    <w:rsid w:val="2D1759B5"/>
    <w:rsid w:val="2D441559"/>
    <w:rsid w:val="2EC76F67"/>
    <w:rsid w:val="2FDF85B8"/>
    <w:rsid w:val="2FFFEE04"/>
    <w:rsid w:val="311F308B"/>
    <w:rsid w:val="32A23F73"/>
    <w:rsid w:val="347A477D"/>
    <w:rsid w:val="347B2CCE"/>
    <w:rsid w:val="34B955A4"/>
    <w:rsid w:val="34BF705E"/>
    <w:rsid w:val="34DF85B0"/>
    <w:rsid w:val="3518676F"/>
    <w:rsid w:val="35B4113B"/>
    <w:rsid w:val="36062A6B"/>
    <w:rsid w:val="367E2601"/>
    <w:rsid w:val="3700570C"/>
    <w:rsid w:val="370A0339"/>
    <w:rsid w:val="37296A11"/>
    <w:rsid w:val="39AB195F"/>
    <w:rsid w:val="3B8F36BC"/>
    <w:rsid w:val="3CA803D8"/>
    <w:rsid w:val="3EAA6689"/>
    <w:rsid w:val="400B13AA"/>
    <w:rsid w:val="402F74FD"/>
    <w:rsid w:val="43284021"/>
    <w:rsid w:val="44CD30D2"/>
    <w:rsid w:val="45FB38BA"/>
    <w:rsid w:val="491FF225"/>
    <w:rsid w:val="4936052D"/>
    <w:rsid w:val="49690EEF"/>
    <w:rsid w:val="49C34AA3"/>
    <w:rsid w:val="4AF40C8C"/>
    <w:rsid w:val="4FFD214C"/>
    <w:rsid w:val="52E8557B"/>
    <w:rsid w:val="54020436"/>
    <w:rsid w:val="55570917"/>
    <w:rsid w:val="570F30D6"/>
    <w:rsid w:val="5777D4F5"/>
    <w:rsid w:val="57C40364"/>
    <w:rsid w:val="58190916"/>
    <w:rsid w:val="59DD8326"/>
    <w:rsid w:val="5DEF592A"/>
    <w:rsid w:val="5FA70F3C"/>
    <w:rsid w:val="5FC6BB1E"/>
    <w:rsid w:val="5FF720F1"/>
    <w:rsid w:val="613C540F"/>
    <w:rsid w:val="629B6165"/>
    <w:rsid w:val="64F34382"/>
    <w:rsid w:val="654E0C0F"/>
    <w:rsid w:val="65A215B9"/>
    <w:rsid w:val="66061B48"/>
    <w:rsid w:val="67086DE3"/>
    <w:rsid w:val="67FF5C0B"/>
    <w:rsid w:val="6897117D"/>
    <w:rsid w:val="690802CD"/>
    <w:rsid w:val="6A7A2B04"/>
    <w:rsid w:val="6AC975E8"/>
    <w:rsid w:val="6DAC56CB"/>
    <w:rsid w:val="6DE50BDD"/>
    <w:rsid w:val="6E647D53"/>
    <w:rsid w:val="6E835D5C"/>
    <w:rsid w:val="6EFC0924"/>
    <w:rsid w:val="6EFC1D3A"/>
    <w:rsid w:val="6F231A39"/>
    <w:rsid w:val="6FB74722"/>
    <w:rsid w:val="6FEF8B7E"/>
    <w:rsid w:val="704E0CBB"/>
    <w:rsid w:val="7164006A"/>
    <w:rsid w:val="71A6591B"/>
    <w:rsid w:val="722C2B09"/>
    <w:rsid w:val="722D2858"/>
    <w:rsid w:val="72B868C0"/>
    <w:rsid w:val="73274305"/>
    <w:rsid w:val="737D59BA"/>
    <w:rsid w:val="774D3A7A"/>
    <w:rsid w:val="77C37683"/>
    <w:rsid w:val="78F1006F"/>
    <w:rsid w:val="793F73F3"/>
    <w:rsid w:val="794F2C18"/>
    <w:rsid w:val="79D19834"/>
    <w:rsid w:val="79FF515B"/>
    <w:rsid w:val="7A593836"/>
    <w:rsid w:val="7D20450B"/>
    <w:rsid w:val="7E751B09"/>
    <w:rsid w:val="7E9E1962"/>
    <w:rsid w:val="7E9F11B4"/>
    <w:rsid w:val="7F196938"/>
    <w:rsid w:val="7F37EC1E"/>
    <w:rsid w:val="7F7DCD9D"/>
    <w:rsid w:val="7F970A6F"/>
    <w:rsid w:val="7F9D261C"/>
    <w:rsid w:val="7FC1FFF3"/>
    <w:rsid w:val="7FC69637"/>
    <w:rsid w:val="7FDF8620"/>
    <w:rsid w:val="7FE8C8F7"/>
    <w:rsid w:val="7FFB242F"/>
    <w:rsid w:val="7FFDB408"/>
    <w:rsid w:val="7FFE4EEB"/>
    <w:rsid w:val="95FB2B98"/>
    <w:rsid w:val="9A639BC2"/>
    <w:rsid w:val="9FF7D786"/>
    <w:rsid w:val="ABBFB23D"/>
    <w:rsid w:val="C3B4DA5A"/>
    <w:rsid w:val="CBFF70E0"/>
    <w:rsid w:val="CFF50B82"/>
    <w:rsid w:val="CFFFAD89"/>
    <w:rsid w:val="DFFE359E"/>
    <w:rsid w:val="DFFE4FFD"/>
    <w:rsid w:val="EEABED75"/>
    <w:rsid w:val="F56FDF51"/>
    <w:rsid w:val="F6B69F17"/>
    <w:rsid w:val="F77F1D61"/>
    <w:rsid w:val="F7FED3A9"/>
    <w:rsid w:val="F8C9DB26"/>
    <w:rsid w:val="F97E8EAE"/>
    <w:rsid w:val="FB36E1A6"/>
    <w:rsid w:val="FB3BE134"/>
    <w:rsid w:val="FCFF4275"/>
    <w:rsid w:val="FD7FEEEA"/>
    <w:rsid w:val="FDFFB577"/>
    <w:rsid w:val="FEEA50FE"/>
    <w:rsid w:val="FF7D47A9"/>
    <w:rsid w:val="FFCF21CB"/>
    <w:rsid w:val="FFFF1C8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正文-公1"/>
    <w:basedOn w:val="3"/>
    <w:next w:val="1"/>
    <w:qFormat/>
    <w:uiPriority w:val="0"/>
    <w:pPr>
      <w:ind w:firstLine="200" w:firstLineChars="200"/>
    </w:pPr>
  </w:style>
  <w:style w:type="paragraph" w:customStyle="1" w:styleId="3">
    <w:name w:val="正文 New New New New New New New New New New New New New New New New New New New New New New New New New New New New New New New New New New New New New New New New New New New New New New New New New New New New New New New New New New New New New New Ne"/>
    <w:next w:val="2"/>
    <w:qFormat/>
    <w:uiPriority w:val="0"/>
    <w:pPr>
      <w:widowControl w:val="0"/>
      <w:jc w:val="both"/>
    </w:pPr>
    <w:rPr>
      <w:rFonts w:ascii="Times New Roman" w:hAnsi="Times New Roman" w:eastAsia="宋体" w:cs="Times New Roman"/>
      <w:kern w:val="2"/>
      <w:sz w:val="21"/>
      <w:lang w:val="en-US" w:eastAsia="zh-CN"/>
    </w:rPr>
  </w:style>
  <w:style w:type="paragraph" w:styleId="4">
    <w:name w:val="Body Text Indent"/>
    <w:basedOn w:val="1"/>
    <w:next w:val="5"/>
    <w:unhideWhenUsed/>
    <w:qFormat/>
    <w:uiPriority w:val="99"/>
    <w:pPr>
      <w:widowControl/>
      <w:spacing w:after="120"/>
      <w:ind w:left="420" w:leftChars="200"/>
      <w:jc w:val="left"/>
    </w:pPr>
    <w:rPr>
      <w:rFonts w:ascii="宋体" w:hAnsi="宋体" w:eastAsia="宋体" w:cs="宋体"/>
      <w:kern w:val="0"/>
      <w:sz w:val="24"/>
    </w:rPr>
  </w:style>
  <w:style w:type="paragraph" w:styleId="5">
    <w:name w:val="Body Text First Indent 2"/>
    <w:basedOn w:val="4"/>
    <w:next w:val="1"/>
    <w:unhideWhenUsed/>
    <w:qFormat/>
    <w:uiPriority w:val="99"/>
    <w:pPr>
      <w:ind w:firstLine="420" w:firstLineChars="200"/>
    </w:pPr>
  </w:style>
  <w:style w:type="paragraph" w:styleId="6">
    <w:name w:val="Balloon Text"/>
    <w:basedOn w:val="1"/>
    <w:link w:val="16"/>
    <w:semiHidden/>
    <w:unhideWhenUsed/>
    <w:qFormat/>
    <w:uiPriority w:val="99"/>
    <w:rPr>
      <w:sz w:val="18"/>
      <w:szCs w:val="18"/>
    </w:rPr>
  </w:style>
  <w:style w:type="paragraph" w:styleId="7">
    <w:name w:val="footer"/>
    <w:basedOn w:val="1"/>
    <w:link w:val="13"/>
    <w:unhideWhenUsed/>
    <w:qFormat/>
    <w:uiPriority w:val="99"/>
    <w:pPr>
      <w:tabs>
        <w:tab w:val="center" w:pos="4153"/>
        <w:tab w:val="right" w:pos="8306"/>
      </w:tabs>
      <w:snapToGrid w:val="0"/>
      <w:jc w:val="left"/>
    </w:pPr>
    <w:rPr>
      <w:sz w:val="18"/>
      <w:szCs w:val="18"/>
    </w:rPr>
  </w:style>
  <w:style w:type="paragraph" w:styleId="8">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footnote text"/>
    <w:basedOn w:val="1"/>
    <w:next w:val="5"/>
    <w:semiHidden/>
    <w:qFormat/>
    <w:uiPriority w:val="0"/>
    <w:pPr>
      <w:snapToGrid w:val="0"/>
      <w:jc w:val="left"/>
    </w:pPr>
    <w:rPr>
      <w:sz w:val="18"/>
      <w:szCs w:val="18"/>
    </w:rPr>
  </w:style>
  <w:style w:type="character" w:customStyle="1" w:styleId="12">
    <w:name w:val="页眉 Char"/>
    <w:basedOn w:val="11"/>
    <w:link w:val="8"/>
    <w:qFormat/>
    <w:uiPriority w:val="99"/>
    <w:rPr>
      <w:sz w:val="18"/>
      <w:szCs w:val="18"/>
    </w:rPr>
  </w:style>
  <w:style w:type="character" w:customStyle="1" w:styleId="13">
    <w:name w:val="页脚 Char"/>
    <w:basedOn w:val="11"/>
    <w:link w:val="7"/>
    <w:qFormat/>
    <w:uiPriority w:val="99"/>
    <w:rPr>
      <w:sz w:val="18"/>
      <w:szCs w:val="18"/>
    </w:rPr>
  </w:style>
  <w:style w:type="paragraph" w:customStyle="1" w:styleId="14">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styleId="15">
    <w:name w:val="List Paragraph"/>
    <w:basedOn w:val="1"/>
    <w:qFormat/>
    <w:uiPriority w:val="34"/>
    <w:pPr>
      <w:ind w:firstLine="420" w:firstLineChars="200"/>
    </w:pPr>
  </w:style>
  <w:style w:type="character" w:customStyle="1" w:styleId="16">
    <w:name w:val="批注框文本 Char"/>
    <w:basedOn w:val="11"/>
    <w:link w:val="6"/>
    <w:semiHidden/>
    <w:qFormat/>
    <w:uiPriority w:val="99"/>
    <w:rPr>
      <w:sz w:val="18"/>
      <w:szCs w:val="18"/>
    </w:rPr>
  </w:style>
  <w:style w:type="character" w:customStyle="1" w:styleId="17">
    <w:name w:val="font01"/>
    <w:basedOn w:val="11"/>
    <w:qFormat/>
    <w:uiPriority w:val="0"/>
    <w:rPr>
      <w:rFonts w:hint="eastAsia" w:ascii="宋体" w:hAnsi="宋体" w:eastAsia="宋体" w:cs="宋体"/>
      <w:color w:val="000000"/>
      <w:sz w:val="22"/>
      <w:szCs w:val="22"/>
      <w:u w:val="none"/>
    </w:rPr>
  </w:style>
  <w:style w:type="character" w:customStyle="1" w:styleId="18">
    <w:name w:val="font21"/>
    <w:basedOn w:val="11"/>
    <w:qFormat/>
    <w:uiPriority w:val="0"/>
    <w:rPr>
      <w:rFonts w:hint="eastAsia" w:ascii="宋体" w:hAnsi="宋体" w:eastAsia="宋体" w:cs="宋体"/>
      <w:color w:val="000000"/>
      <w:sz w:val="24"/>
      <w:szCs w:val="24"/>
      <w:u w:val="none"/>
    </w:rPr>
  </w:style>
  <w:style w:type="character" w:customStyle="1" w:styleId="19">
    <w:name w:val="font1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36</Pages>
  <Words>1337</Words>
  <Characters>7621</Characters>
  <Lines>63</Lines>
  <Paragraphs>17</Paragraphs>
  <TotalTime>9</TotalTime>
  <ScaleCrop>false</ScaleCrop>
  <LinksUpToDate>false</LinksUpToDate>
  <CharactersWithSpaces>8941</CharactersWithSpaces>
  <Application>WPS Office_11.8.2.12300_F1E327BC-269C-435d-A152-05C5408002CA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2025-08-20T07:18:00Z</dcterms:created>
  <dc:creator>李航 null</dc:creator>
  <cp:lastModifiedBy>沈娟</cp:lastModifiedBy>
  <cp:lastPrinted>2026-09-03T10:24:38Z</cp:lastPrinted>
  <dcterms:modified xsi:type="dcterms:W3CDTF">2026-09-03T10:36:38Z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2052-11.8.2.12300</vt:lpwstr>
  </property>
  <property fmtid="{D5CDD505-2E9C-101B-9397-08002B2CF9AE}" pid="3" name="ICV">
    <vt:lpwstr>B6666C81D43D4FE289AA3A1C1C7E1C1E</vt:lpwstr>
  </property>
</Properties>
</file>