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ascii="Times New Roman" w:hAnsi="Times New Roman" w:cs="Times New Roman"/>
          <w:sz w:val="56"/>
          <w:szCs w:val="56"/>
        </w:rPr>
      </w:pP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52"/>
          <w:szCs w:val="52"/>
        </w:rPr>
      </w:pPr>
      <w:r>
        <w:rPr>
          <w:rFonts w:ascii="Times New Roman" w:hAnsi="Times New Roman" w:eastAsia="方正小标宋简体" w:cs="Times New Roman"/>
          <w:sz w:val="52"/>
          <w:szCs w:val="52"/>
        </w:rPr>
        <w:t>202</w:t>
      </w:r>
      <w:r>
        <w:rPr>
          <w:rFonts w:hint="eastAsia" w:ascii="Times New Roman" w:hAnsi="Times New Roman" w:eastAsia="方正小标宋简体" w:cs="Times New Roman"/>
          <w:sz w:val="52"/>
          <w:szCs w:val="52"/>
          <w:lang w:val="en-US" w:eastAsia="zh-CN"/>
        </w:rPr>
        <w:t>5</w:t>
      </w:r>
      <w:r>
        <w:rPr>
          <w:rFonts w:ascii="Times New Roman" w:hAnsi="Times New Roman" w:eastAsia="方正小标宋简体" w:cs="Times New Roman"/>
          <w:sz w:val="52"/>
          <w:szCs w:val="52"/>
        </w:rPr>
        <w:t>年度</w:t>
      </w:r>
    </w:p>
    <w:p>
      <w:pPr>
        <w:pStyle w:val="12"/>
        <w:jc w:val="center"/>
        <w:rPr>
          <w:rFonts w:hint="eastAsia" w:ascii="Times New Roman" w:hAnsi="Times New Roman" w:eastAsia="方正小标宋简体" w:cs="Times New Roman"/>
          <w:sz w:val="52"/>
          <w:szCs w:val="52"/>
        </w:rPr>
      </w:pPr>
      <w:r>
        <w:rPr>
          <w:rFonts w:hint="eastAsia" w:ascii="Times New Roman" w:hAnsi="Times New Roman" w:eastAsia="方正小标宋简体" w:cs="Times New Roman"/>
          <w:sz w:val="52"/>
          <w:szCs w:val="52"/>
        </w:rPr>
        <w:t>益阳市综合职业中等专业学校</w:t>
      </w:r>
    </w:p>
    <w:p>
      <w:pPr>
        <w:pStyle w:val="12"/>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ascii="Times New Roman" w:hAnsi="Times New Roman" w:eastAsia="方正小标宋简体" w:cs="Times New Roman"/>
          <w:sz w:val="52"/>
          <w:szCs w:val="52"/>
        </w:rPr>
        <w:t>部门决算</w:t>
      </w:r>
    </w:p>
    <w:p>
      <w:pPr>
        <w:pStyle w:val="12"/>
        <w:spacing w:line="240" w:lineRule="auto"/>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益阳市综合职业中等专业学校</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2"/>
        <w:rPr>
          <w:rFonts w:ascii="Times New Roman" w:hAnsi="Times New Roman" w:eastAsia="方正小标宋_GBK" w:cs="Times New Roman"/>
          <w:sz w:val="72"/>
          <w:szCs w:val="72"/>
        </w:rPr>
      </w:pPr>
    </w:p>
    <w:p>
      <w:pPr>
        <w:pStyle w:val="3"/>
      </w:pPr>
    </w:p>
    <w:p>
      <w:pPr>
        <w:pStyle w:val="3"/>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pStyle w:val="2"/>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益阳市综合职业中等专业学校</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益阳市综合职业中等专业学校是隶属于于益阳市赫山区教育局的职业教育的一所职业高中。</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我校培养目标和专业设置的方向，是在素质教育的基础上，完成下列各类专业技术人才和当代劳动者都必须具备的基本能力训练：</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 更新、运用知识的能力：</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 选择、处理信息资料的能力：</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 强烈的求知欲和旺盛的创造力：</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 任务策划和管理组织能力：</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 明智、宽容、坚毅、自立和责任心等现代精神。</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我校培养的学生应“具有科学的世界观、人生观和爱国主义、集体主义、社会主义思想以及良好的职业道德和行为规范；具有基本的科学文化素养、必需的文化基础知识、专业知识和比较熟练的职业技能； 具有继续学习的能力和适应职业变化的能力；具有创新精神和实践能力、立业创业能力；具有健康的身体和心理；具有基本的欣赏美和创造美的能力。为社会培养技能型人才和高素质劳动者。”</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widowControl/>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益阳市综合职业中等专业学校内设机构包括：办公室、总务室、财务室、政教处、教务处、工会、党建办、阳光服务中心、团委、招生就业处、生产实习处、膳食办。</w:t>
      </w:r>
    </w:p>
    <w:p>
      <w:pPr>
        <w:widowControl/>
        <w:numPr>
          <w:ilvl w:val="0"/>
          <w:numId w:val="1"/>
        </w:numP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益阳市综合职业中等专业学校202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年部门决算汇总公开单位构成包括：益阳市综合职业中等专业学校本级。</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益阳市综合职业中等专业学校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3,282.94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77.28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3,419.90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62.00 </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2.32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3,422.22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3,422.22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3,422.22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3,422.22 </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益阳市综合职业中等专业学校</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025"/>
        <w:gridCol w:w="2161"/>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02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161"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02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161"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3,422.22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3,282.94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77.28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62.00 </w:t>
            </w:r>
          </w:p>
        </w:tc>
      </w:tr>
      <w:tr>
        <w:tblPrEx>
          <w:tblCellMar>
            <w:top w:w="0" w:type="dxa"/>
            <w:left w:w="0" w:type="dxa"/>
            <w:bottom w:w="0" w:type="dxa"/>
            <w:right w:w="0" w:type="dxa"/>
          </w:tblCellMar>
        </w:tblPrEx>
        <w:trPr>
          <w:trHeight w:val="450" w:hRule="atLeast"/>
          <w:jc w:val="center"/>
        </w:trPr>
        <w:tc>
          <w:tcPr>
            <w:tcW w:w="10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216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501.45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362.17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77.28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62.00 </w:t>
            </w:r>
          </w:p>
        </w:tc>
      </w:tr>
      <w:tr>
        <w:tblPrEx>
          <w:tblCellMar>
            <w:top w:w="0" w:type="dxa"/>
            <w:left w:w="0" w:type="dxa"/>
            <w:bottom w:w="0" w:type="dxa"/>
            <w:right w:w="0" w:type="dxa"/>
          </w:tblCellMar>
        </w:tblPrEx>
        <w:trPr>
          <w:trHeight w:val="450" w:hRule="atLeast"/>
          <w:jc w:val="center"/>
        </w:trPr>
        <w:tc>
          <w:tcPr>
            <w:tcW w:w="10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2050302</w:t>
            </w:r>
          </w:p>
        </w:tc>
        <w:tc>
          <w:tcPr>
            <w:tcW w:w="216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中等职业教育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2,914.12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2,914.12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0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216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4.34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4.34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0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216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0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16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0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16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益阳市综合职业中等专业学校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088"/>
        <w:gridCol w:w="2905"/>
        <w:gridCol w:w="1643"/>
        <w:gridCol w:w="1334"/>
        <w:gridCol w:w="1334"/>
        <w:gridCol w:w="1877"/>
        <w:gridCol w:w="1334"/>
        <w:gridCol w:w="2696"/>
      </w:tblGrid>
      <w:tr>
        <w:tblPrEx>
          <w:tblCellMar>
            <w:top w:w="0" w:type="dxa"/>
            <w:left w:w="108" w:type="dxa"/>
            <w:bottom w:w="0" w:type="dxa"/>
            <w:right w:w="108" w:type="dxa"/>
          </w:tblCellMar>
        </w:tblPrEx>
        <w:trPr>
          <w:trHeight w:val="595" w:hRule="atLeast"/>
          <w:jc w:val="center"/>
        </w:trPr>
        <w:tc>
          <w:tcPr>
            <w:tcW w:w="140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7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38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022"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38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022"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40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7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40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3,422.22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3,213.64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208.59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0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5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501.45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501.45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2050302</w:t>
            </w:r>
          </w:p>
        </w:tc>
        <w:tc>
          <w:tcPr>
            <w:tcW w:w="10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中等职业教育</w:t>
            </w:r>
          </w:p>
        </w:tc>
        <w:tc>
          <w:tcPr>
            <w:tcW w:w="5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2,914.12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2,709.87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204.25 </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0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5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4.34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4.34 </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0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5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2.32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2.32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22"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22"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kern w:val="0"/>
          <w:sz w:val="32"/>
          <w:szCs w:val="32"/>
          <w:lang w:bidi="ar"/>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益阳市综合职业中等专业学校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96"/>
        <w:gridCol w:w="2636"/>
        <w:gridCol w:w="616"/>
        <w:gridCol w:w="1096"/>
        <w:gridCol w:w="1678"/>
        <w:gridCol w:w="1434"/>
        <w:gridCol w:w="1532"/>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3,282.94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3,280.62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3,280.62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2.32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2.32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3,282.94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3,282.94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3,282.94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3,282.94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3,282.94 </w:t>
            </w:r>
          </w:p>
        </w:tc>
        <w:tc>
          <w:tcPr>
            <w:tcW w:w="167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3,282.94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益阳市综合职业中等专业学校</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3,282.94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3,074.36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208.59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362.17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362.17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2050302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中等职业教育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2,914.12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2,709.87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204.25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4.34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4.34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2.32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2.32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益阳市综合职业中等专业学校</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694.96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78.83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314.40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23.01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68.50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1.03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0.12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154.74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2.21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0.12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69.10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27.04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34.55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3.55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3.01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53.66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4.07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2,300.45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0.91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4.00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8.10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2,285.75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 xml:space="preserve">6.60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2,995.41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78.95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益阳市综合职业中等专业学校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rPr>
        <w:t>益阳市综合职业中等专业学校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益阳市综合职业中等专业学校</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年度收入总计3,422.22万元。与上年相比，增加</w:t>
      </w:r>
      <w:r>
        <w:rPr>
          <w:rFonts w:hint="eastAsia" w:ascii="Times New Roman" w:hAnsi="Times New Roman" w:eastAsia="仿宋_GB2312" w:cs="Times New Roman"/>
          <w:sz w:val="32"/>
          <w:szCs w:val="32"/>
          <w:lang w:val="en-US" w:eastAsia="zh-CN"/>
        </w:rPr>
        <w:t>96.68</w:t>
      </w:r>
      <w:r>
        <w:rPr>
          <w:rFonts w:hint="eastAsia" w:ascii="Times New Roman" w:hAnsi="Times New Roman" w:eastAsia="仿宋_GB2312" w:cs="Times New Roman"/>
          <w:sz w:val="32"/>
          <w:szCs w:val="32"/>
          <w:lang w:eastAsia="zh-CN"/>
        </w:rPr>
        <w:t>万元，增</w:t>
      </w:r>
      <w:r>
        <w:rPr>
          <w:rFonts w:hint="eastAsia" w:ascii="Times New Roman" w:hAnsi="Times New Roman" w:eastAsia="仿宋_GB2312" w:cs="Times New Roman"/>
          <w:sz w:val="32"/>
          <w:szCs w:val="32"/>
          <w:lang w:val="en-US" w:eastAsia="zh-CN"/>
        </w:rPr>
        <w:t>长2.91</w:t>
      </w:r>
      <w:r>
        <w:rPr>
          <w:rFonts w:hint="eastAsia" w:ascii="Times New Roman" w:hAnsi="Times New Roman" w:eastAsia="仿宋_GB2312" w:cs="Times New Roman"/>
          <w:sz w:val="32"/>
          <w:szCs w:val="32"/>
          <w:lang w:eastAsia="zh-CN"/>
        </w:rPr>
        <w:t>%，主要是202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年一般公共预算财政拨款收入较上年增加。</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年度支出总计3,422.22万元。与上年相比，增加96.68万元，增长2.91%，主要是因为人员经费及公用经费支出较上年增加、进行了校园工程建设。</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职工工资、学生公用经费、学校校舍安全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3,422.22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3,282.94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95.93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77.28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2.26</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62.00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1.81</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3,422.22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3,213.64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93.91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208.59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6.09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3,282.94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131.24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主要是因为</w:t>
      </w:r>
      <w:r>
        <w:rPr>
          <w:rFonts w:hint="eastAsia" w:ascii="Times New Roman" w:hAnsi="Times New Roman" w:eastAsia="仿宋_GB2312" w:cs="Times New Roman"/>
          <w:sz w:val="32"/>
          <w:szCs w:val="32"/>
          <w:lang w:val="en-US" w:eastAsia="zh-CN"/>
        </w:rPr>
        <w:t>支出增加，一般公共预算财政拨款增加。</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3,282.94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131.24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主要是因为人员经费及公用经费支出较上年增加、进行了校园工程建设。</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3,282.94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95.93</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rPr>
        <w:t>131.24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4.16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一般公共预算财政拨款增加。</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3,282.94</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3280.63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2020.55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3,282.94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162.48</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教育支出（类）普通教育（款）其他普通教育支出（项）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1653.08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362.17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21.91</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rPr>
        <w:t>预算时</w:t>
      </w:r>
      <w:r>
        <w:rPr>
          <w:rFonts w:hint="eastAsia" w:ascii="Times New Roman" w:hAnsi="Times New Roman" w:eastAsia="仿宋_GB2312" w:cs="Times New Roman"/>
          <w:sz w:val="32"/>
          <w:szCs w:val="32"/>
          <w:lang w:val="en-US" w:eastAsia="zh-CN"/>
        </w:rPr>
        <w:t>大部分</w:t>
      </w:r>
      <w:r>
        <w:rPr>
          <w:rFonts w:hint="eastAsia" w:ascii="Times New Roman" w:hAnsi="Times New Roman" w:eastAsia="仿宋_GB2312" w:cs="Times New Roman"/>
          <w:sz w:val="32"/>
          <w:szCs w:val="32"/>
        </w:rPr>
        <w:t>纳入教育支出（类）普通教育（款）其他普通教育支出（项），决算时进行了分类。</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教育支出（类）职业教育（款）中等职业教育（项）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2914.12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875.11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预算时大部分纳入教育支出（类）普通教育（款）其他普通教育支出（项），决算时进行了分类。</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教育支出（类）教育费附加安排的支出（款）其他教育费附加安排的支出（项）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预算时大部分纳入教育支出（类）普通教育（款）其他普通教育支出（项），决算时进行了分类。</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社会保障和就业支出（类）</w:t>
      </w:r>
      <w:r>
        <w:rPr>
          <w:rFonts w:hint="eastAsia" w:ascii="Times New Roman" w:hAnsi="Times New Roman" w:eastAsia="仿宋_GB2312" w:cs="Times New Roman"/>
          <w:sz w:val="32"/>
          <w:szCs w:val="32"/>
          <w:lang w:val="en-US" w:eastAsia="zh-CN"/>
        </w:rPr>
        <w:t>人力资源和社会保障管理事务</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引进人才费用</w:t>
      </w:r>
      <w:r>
        <w:rPr>
          <w:rFonts w:hint="eastAsia" w:ascii="Times New Roman" w:hAnsi="Times New Roman" w:eastAsia="仿宋_GB2312" w:cs="Times New Roman"/>
          <w:sz w:val="32"/>
          <w:szCs w:val="32"/>
        </w:rPr>
        <w:t>（项）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拨付高层次（紧缺）人才补贴。</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按照支出功能分类，教育支出方面的支出规模较大，主要是：中等职业教育，2025年度决算数为2914.12万元，占财政拨款支出总额的</w:t>
      </w:r>
      <w:r>
        <w:rPr>
          <w:rFonts w:hint="eastAsia" w:ascii="Times New Roman" w:hAnsi="Times New Roman" w:eastAsia="仿宋_GB2312" w:cs="Times New Roman"/>
          <w:sz w:val="32"/>
          <w:szCs w:val="32"/>
          <w:lang w:val="en-US" w:eastAsia="zh-CN"/>
        </w:rPr>
        <w:t>88.77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保障学校日常运转、提升教学质量、改善办学条件</w:t>
      </w:r>
      <w:r>
        <w:rPr>
          <w:rFonts w:hint="eastAsia" w:ascii="Times New Roman" w:hAnsi="Times New Roman" w:eastAsia="仿宋_GB2312" w:cs="Times New Roman"/>
          <w:sz w:val="32"/>
          <w:szCs w:val="32"/>
        </w:rPr>
        <w:t>等</w:t>
      </w:r>
      <w:r>
        <w:rPr>
          <w:rFonts w:hint="eastAsia" w:ascii="Times New Roman" w:hAnsi="Times New Roman" w:eastAsia="楷体_GB2312" w:cs="Times New Roman"/>
          <w:b/>
          <w:bCs/>
          <w:i/>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3,074.36</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2,995.41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97.43</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基本工资、津贴补贴、绩效工资、机关事业单位基本养老保险缴费、职工基本医疗保险缴费、住房公积金、生活补助、助学金、奖励金。</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78.95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2.57</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办公费、印刷费、水费、电费、邮电费、物业管理费、差旅费、维修（护）费、会议费、培训费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办公设备购置。</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本部门2025年度机关运行经费支出0万元</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0.91</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安全工作、教师会、开学工作会、财务工作等会议</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53</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rPr>
        <w:t>开展青年教师、食堂账务处理、教师政治业务等培训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青年教师比武、教师师德师风和教学能力提升、食堂财务人员业务培训等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未举办节庆、晚会、论坛、赛事活动。</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208.59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rPr>
        <w:t>208.59</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208.59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208.59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pPr>
        <w:overflowPunct w:val="0"/>
        <w:spacing w:line="600" w:lineRule="exact"/>
        <w:ind w:firstLine="640" w:firstLineChars="200"/>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lang w:val="en-US" w:eastAsia="zh-CN"/>
        </w:rPr>
        <w:t>3,282.94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3,282.94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公用经费使用</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“设备采购”</w:t>
      </w:r>
      <w:r>
        <w:rPr>
          <w:rFonts w:ascii="Times New Roman" w:hAnsi="Times New Roman" w:eastAsia="仿宋_GB2312" w:cs="Times New Roman"/>
          <w:kern w:val="0"/>
          <w:sz w:val="32"/>
          <w:szCs w:val="32"/>
        </w:rPr>
        <w:t>等项目开展了部门评价，涉及一般公共预算支出</w:t>
      </w:r>
      <w:r>
        <w:rPr>
          <w:rFonts w:hint="eastAsia" w:ascii="Times New Roman" w:hAnsi="Times New Roman" w:eastAsia="仿宋_GB2312" w:cs="Times New Roman"/>
          <w:kern w:val="0"/>
          <w:sz w:val="32"/>
          <w:szCs w:val="32"/>
          <w:lang w:val="en-US" w:eastAsia="zh-CN"/>
        </w:rPr>
        <w:t>78.95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w:t>
      </w:r>
      <w:r>
        <w:rPr>
          <w:rFonts w:hint="eastAsia" w:ascii="Times New Roman" w:hAnsi="Times New Roman" w:eastAsia="仿宋_GB2312" w:cs="Times New Roman"/>
          <w:kern w:val="0"/>
          <w:sz w:val="32"/>
          <w:szCs w:val="32"/>
          <w:lang w:val="en-US" w:eastAsia="zh-CN"/>
        </w:rPr>
        <w:t>25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78.95</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3495.8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3422.22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年预算安排需以“精准化、绩效化、法治化”为核心；进一步加强绩效评价，让经费投入取得的效益最大化。</w:t>
      </w:r>
    </w:p>
    <w:p>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十二、教育支出（类）普通教育（款）中等职业教育（项）：反映各部门举办的中等职业教育支出。包括政府各部门对社会组织等举办的幼儿园的资助，如捐款、补贴等。</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十三、教育支出（类）普通教育（款）其他普通教育支出（项）：教育支出（类）其他教育支出（款）其他教育支出（项）：指为用于学校正常运转、开展日常工作的其他支出。</w:t>
      </w:r>
    </w:p>
    <w:p>
      <w:pPr>
        <w:pStyle w:val="12"/>
        <w:jc w:val="both"/>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rPr>
          <w:rFonts w:ascii="Times New Roman" w:hAnsi="Times New Roman" w:eastAsia="仿宋_GB2312" w:cs="Times New Roman"/>
          <w:sz w:val="32"/>
          <w:szCs w:val="32"/>
        </w:rPr>
      </w:pPr>
      <w:bookmarkStart w:id="3" w:name="_GoBack"/>
      <w:bookmarkEnd w:id="3"/>
    </w:p>
    <w:p>
      <w:pPr>
        <w:pStyle w:val="12"/>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5</w:t>
      </w:r>
      <w:r>
        <w:rPr>
          <w:rFonts w:hint="eastAsia" w:ascii="宋体" w:hAnsi="宋体" w:eastAsia="宋体" w:cs="宋体"/>
          <w:b/>
          <w:bCs/>
          <w:sz w:val="44"/>
          <w:szCs w:val="44"/>
        </w:rPr>
        <w:t>年度益阳市综合职业中等专业学校</w:t>
      </w:r>
    </w:p>
    <w:p>
      <w:pPr>
        <w:pStyle w:val="12"/>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lang w:eastAsia="zh-CN"/>
        </w:rPr>
        <w:t>整体</w:t>
      </w:r>
      <w:r>
        <w:rPr>
          <w:rFonts w:hint="eastAsia" w:ascii="宋体" w:hAnsi="宋体" w:eastAsia="宋体" w:cs="宋体"/>
          <w:b/>
          <w:bCs/>
          <w:sz w:val="44"/>
          <w:szCs w:val="44"/>
        </w:rPr>
        <w:t>支出绩效</w:t>
      </w:r>
      <w:r>
        <w:rPr>
          <w:rFonts w:hint="eastAsia" w:ascii="宋体" w:hAnsi="宋体" w:eastAsia="宋体" w:cs="宋体"/>
          <w:b/>
          <w:bCs/>
          <w:sz w:val="44"/>
          <w:szCs w:val="44"/>
          <w:lang w:val="en-US" w:eastAsia="zh-CN"/>
        </w:rPr>
        <w:t>自评</w:t>
      </w:r>
      <w:r>
        <w:rPr>
          <w:rFonts w:hint="eastAsia" w:ascii="宋体" w:hAnsi="宋体" w:eastAsia="宋体" w:cs="宋体"/>
          <w:b/>
          <w:bCs/>
          <w:sz w:val="44"/>
          <w:szCs w:val="44"/>
        </w:rPr>
        <w:t>报告</w:t>
      </w:r>
    </w:p>
    <w:p>
      <w:pPr>
        <w:pStyle w:val="12"/>
        <w:spacing w:line="600" w:lineRule="exact"/>
        <w:ind w:firstLine="880" w:firstLineChars="200"/>
        <w:jc w:val="center"/>
        <w:rPr>
          <w:rFonts w:hint="eastAsia" w:ascii="宋体" w:hAnsi="宋体" w:eastAsia="宋体" w:cs="宋体"/>
          <w:b/>
          <w:bCs/>
          <w:sz w:val="44"/>
          <w:szCs w:val="44"/>
        </w:rPr>
      </w:pP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根据《湖南省财政厅关于印发《湖南省预算绩效目标管理办法》的通知</w:t>
      </w:r>
      <w:r>
        <w:rPr>
          <w:rFonts w:hint="eastAsia" w:ascii="仿宋" w:hAnsi="仿宋" w:eastAsia="仿宋" w:cs="仿宋"/>
          <w:b w:val="0"/>
          <w:bCs w:val="0"/>
          <w:sz w:val="32"/>
          <w:szCs w:val="32"/>
          <w:lang w:eastAsia="zh-CN"/>
        </w:rPr>
        <w:t>》湘财绩〔2020〕6号</w:t>
      </w:r>
      <w:r>
        <w:rPr>
          <w:rFonts w:hint="eastAsia" w:ascii="仿宋" w:hAnsi="仿宋" w:eastAsia="仿宋" w:cs="仿宋"/>
          <w:b w:val="0"/>
          <w:bCs w:val="0"/>
          <w:sz w:val="32"/>
          <w:szCs w:val="32"/>
        </w:rPr>
        <w:t>等有关文件精神，本着独立、客观、公正、科学的原则，按照公认的绩效评价方法，我校积极组织，对202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年度本单位整体支出进行了绩效自评，现将具体绩效评价情况报告如下：</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一、基本情况</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益阳市综合职业中等专业学校是隶属于于益阳市赫山区教育局的职业教育的一所职业高中。我校培养目标和专业设置的方向，是在素质教育的基础上，完成下列各类专业技术人才和当代劳动者都必须具备的基本能力训练：我校培养的学生应“具有科学的世界观、人生观和爱国主义、集体主义、社会主义思想以及良好的职业道德和行为规范；具有基本的科学文化素养、必需的文化基础知识、专业知识和比较熟练的职业技能； 具有继续学习的能力和适应职业变化的能力；具有创新精神和实践能力、立业创业能力；具有健康的身体和心理；具有基本的欣赏美和创造美的能力。为社会培养技能型人才和高素质劳动者。”202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年度益阳市综合职业中等专业学校一般公共预算财政拨款支出总计</w:t>
      </w:r>
      <w:r>
        <w:rPr>
          <w:rFonts w:hint="eastAsia" w:ascii="仿宋" w:hAnsi="仿宋" w:eastAsia="仿宋" w:cs="仿宋"/>
          <w:b w:val="0"/>
          <w:bCs w:val="0"/>
          <w:sz w:val="32"/>
          <w:szCs w:val="32"/>
          <w:lang w:val="en-US" w:eastAsia="zh-CN"/>
        </w:rPr>
        <w:t>3,282.94</w:t>
      </w:r>
      <w:r>
        <w:rPr>
          <w:rFonts w:hint="eastAsia" w:ascii="仿宋" w:hAnsi="仿宋" w:eastAsia="仿宋" w:cs="仿宋"/>
          <w:b w:val="0"/>
          <w:bCs w:val="0"/>
          <w:sz w:val="32"/>
          <w:szCs w:val="32"/>
        </w:rPr>
        <w:t>万元，其中：（1）基本支出</w:t>
      </w:r>
      <w:r>
        <w:rPr>
          <w:rFonts w:hint="eastAsia" w:ascii="仿宋" w:hAnsi="仿宋" w:eastAsia="仿宋" w:cs="仿宋"/>
          <w:b w:val="0"/>
          <w:bCs w:val="0"/>
          <w:sz w:val="32"/>
          <w:szCs w:val="32"/>
          <w:lang w:val="en-US" w:eastAsia="zh-CN"/>
        </w:rPr>
        <w:t xml:space="preserve">3,074.36 </w:t>
      </w:r>
      <w:r>
        <w:rPr>
          <w:rFonts w:hint="eastAsia" w:ascii="仿宋" w:hAnsi="仿宋" w:eastAsia="仿宋" w:cs="仿宋"/>
          <w:b w:val="0"/>
          <w:bCs w:val="0"/>
          <w:sz w:val="32"/>
          <w:szCs w:val="32"/>
        </w:rPr>
        <w:t>万元〔注：①工资福利支出</w:t>
      </w:r>
      <w:r>
        <w:rPr>
          <w:rFonts w:hint="eastAsia" w:ascii="仿宋" w:hAnsi="仿宋" w:eastAsia="仿宋" w:cs="仿宋"/>
          <w:b w:val="0"/>
          <w:bCs w:val="0"/>
          <w:sz w:val="32"/>
          <w:szCs w:val="32"/>
          <w:lang w:val="en-US" w:eastAsia="zh-CN"/>
        </w:rPr>
        <w:t>694.96</w:t>
      </w:r>
      <w:r>
        <w:rPr>
          <w:rFonts w:hint="eastAsia" w:ascii="仿宋" w:hAnsi="仿宋" w:eastAsia="仿宋" w:cs="仿宋"/>
          <w:b w:val="0"/>
          <w:bCs w:val="0"/>
          <w:sz w:val="32"/>
          <w:szCs w:val="32"/>
        </w:rPr>
        <w:t>万元、②商品和服务支出</w:t>
      </w:r>
      <w:r>
        <w:rPr>
          <w:rFonts w:hint="eastAsia" w:ascii="仿宋" w:hAnsi="仿宋" w:eastAsia="仿宋" w:cs="仿宋"/>
          <w:b w:val="0"/>
          <w:bCs w:val="0"/>
          <w:sz w:val="32"/>
          <w:szCs w:val="32"/>
          <w:lang w:val="en-US" w:eastAsia="zh-CN"/>
        </w:rPr>
        <w:t>78.83</w:t>
      </w:r>
      <w:r>
        <w:rPr>
          <w:rFonts w:hint="eastAsia" w:ascii="仿宋" w:hAnsi="仿宋" w:eastAsia="仿宋" w:cs="仿宋"/>
          <w:b w:val="0"/>
          <w:bCs w:val="0"/>
          <w:sz w:val="32"/>
          <w:szCs w:val="32"/>
        </w:rPr>
        <w:t>万元、③对个人和家庭的补助支出</w:t>
      </w:r>
      <w:r>
        <w:rPr>
          <w:rFonts w:hint="eastAsia" w:ascii="仿宋" w:hAnsi="仿宋" w:eastAsia="仿宋" w:cs="仿宋"/>
          <w:b w:val="0"/>
          <w:bCs w:val="0"/>
          <w:sz w:val="32"/>
          <w:szCs w:val="32"/>
          <w:lang w:val="en-US" w:eastAsia="zh-CN"/>
        </w:rPr>
        <w:t>2,300.45</w:t>
      </w:r>
      <w:r>
        <w:rPr>
          <w:rFonts w:hint="eastAsia" w:ascii="仿宋" w:hAnsi="仿宋" w:eastAsia="仿宋" w:cs="仿宋"/>
          <w:b w:val="0"/>
          <w:bCs w:val="0"/>
          <w:sz w:val="32"/>
          <w:szCs w:val="32"/>
        </w:rPr>
        <w:t>万元。</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（2）项目支出</w:t>
      </w:r>
      <w:r>
        <w:rPr>
          <w:rFonts w:hint="eastAsia" w:ascii="仿宋" w:hAnsi="仿宋" w:eastAsia="仿宋" w:cs="仿宋"/>
          <w:b w:val="0"/>
          <w:bCs w:val="0"/>
          <w:sz w:val="32"/>
          <w:szCs w:val="32"/>
          <w:lang w:val="en-US" w:eastAsia="zh-CN"/>
        </w:rPr>
        <w:t>0.12</w:t>
      </w:r>
      <w:r>
        <w:rPr>
          <w:rFonts w:hint="eastAsia" w:ascii="仿宋" w:hAnsi="仿宋" w:eastAsia="仿宋" w:cs="仿宋"/>
          <w:b w:val="0"/>
          <w:bCs w:val="0"/>
          <w:sz w:val="32"/>
          <w:szCs w:val="32"/>
        </w:rPr>
        <w:t>万元。</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预决算公开：根据区财政局的统一部署及相关要求，我校已进行了预（决）算公开。</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存量资金管理：我校已实行国库集中支付管理。</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年，我校无“三公经费”支出。</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制定了《益阳市综合职业中等专业学校内部控制制度》、《学校财务管理制度》、《益阳市综合职业中等专业学校物资采购制度》、《内部审计制度》等一系列内部控制制度，相关制度合法合规、完整，并得到有效执行。</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w:t>
      </w:r>
      <w:r>
        <w:rPr>
          <w:rFonts w:hint="eastAsia" w:ascii="仿宋" w:hAnsi="仿宋" w:eastAsia="仿宋" w:cs="仿宋"/>
          <w:b w:val="0"/>
          <w:bCs w:val="0"/>
          <w:sz w:val="32"/>
          <w:szCs w:val="32"/>
          <w:lang w:val="en-US" w:eastAsia="zh-CN"/>
        </w:rPr>
        <w:t>校</w:t>
      </w:r>
      <w:r>
        <w:rPr>
          <w:rFonts w:hint="eastAsia" w:ascii="仿宋" w:hAnsi="仿宋" w:eastAsia="仿宋" w:cs="仿宋"/>
          <w:b w:val="0"/>
          <w:bCs w:val="0"/>
          <w:sz w:val="32"/>
          <w:szCs w:val="32"/>
        </w:rPr>
        <w:t>本级财政预算资金的使用管理情况，为切实提高财政资金使用效益，强化预算支出的责任和效率提供参考依据。</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1.前期准备。按照绩效自评工作要求，成立了以党总支书记为组长的绩效评价工作小组，于</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年度部门整体支出数据的准确性、真实性进行核实，将202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年度和202</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年度部门整体支出情况进行比较分析。</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年度预算安排、非税收入、预算追加、资金管理、经费支出、资产管理等相关文件资料和财务凭证。</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（一）合理规划、整合资金，不断改善办学条件：202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年以来总计投入</w:t>
      </w:r>
      <w:r>
        <w:rPr>
          <w:rFonts w:hint="eastAsia" w:ascii="仿宋" w:hAnsi="仿宋" w:eastAsia="仿宋" w:cs="仿宋"/>
          <w:b w:val="0"/>
          <w:bCs w:val="0"/>
          <w:sz w:val="32"/>
          <w:szCs w:val="32"/>
          <w:lang w:val="en-US" w:eastAsia="zh-CN"/>
        </w:rPr>
        <w:t xml:space="preserve">0.12 </w:t>
      </w:r>
      <w:r>
        <w:rPr>
          <w:rFonts w:hint="eastAsia" w:ascii="仿宋" w:hAnsi="仿宋" w:eastAsia="仿宋" w:cs="仿宋"/>
          <w:b w:val="0"/>
          <w:bCs w:val="0"/>
          <w:sz w:val="32"/>
          <w:szCs w:val="32"/>
        </w:rPr>
        <w:t>万元，主要用于</w:t>
      </w:r>
      <w:r>
        <w:rPr>
          <w:rFonts w:hint="eastAsia" w:ascii="仿宋" w:hAnsi="仿宋" w:eastAsia="仿宋" w:cs="仿宋"/>
          <w:b w:val="0"/>
          <w:bCs w:val="0"/>
          <w:sz w:val="32"/>
          <w:szCs w:val="32"/>
          <w:lang w:eastAsia="zh-CN"/>
        </w:rPr>
        <w:t>教学设备的添置等</w:t>
      </w:r>
      <w:r>
        <w:rPr>
          <w:rFonts w:hint="eastAsia" w:ascii="仿宋" w:hAnsi="仿宋" w:eastAsia="仿宋" w:cs="仿宋"/>
          <w:b w:val="0"/>
          <w:bCs w:val="0"/>
          <w:sz w:val="32"/>
          <w:szCs w:val="32"/>
        </w:rPr>
        <w:t>。</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3.预算管理方面。我校制定了切实有效的内部管理制度和经费支出控制方案，有较强的内控风险管理意识、各项经费支出得到了有效控制。</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学校</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（一）科学合理编制预算，严格执行预算,避免年中大幅追加以及超预算。同时严格预算执行，提高资金使用效率。进一步完善、明确和细化各项费用支出管理制度，严格控制招待费和各项费用支出。</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（二）加强固定资产的管理，配置专管部门和专管人员，对固定资产进行一次全面清查盘点，建立固定资产卡片，切实做到账卡相符、账物相符。</w:t>
      </w:r>
    </w:p>
    <w:p>
      <w:pPr>
        <w:pStyle w:val="12"/>
        <w:spacing w:line="600" w:lineRule="exact"/>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994BE3"/>
    <w:multiLevelType w:val="singleLevel"/>
    <w:tmpl w:val="BC994BE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wMmU4YTVlNTE2ZGY1ZmE1Yjk4YTA1MTViMzc0ZjM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1D52E3"/>
    <w:rsid w:val="04804DA9"/>
    <w:rsid w:val="05914C57"/>
    <w:rsid w:val="06E4782C"/>
    <w:rsid w:val="073206C0"/>
    <w:rsid w:val="076558D3"/>
    <w:rsid w:val="07702099"/>
    <w:rsid w:val="07933357"/>
    <w:rsid w:val="0A1E56D8"/>
    <w:rsid w:val="0DAD0977"/>
    <w:rsid w:val="0FE03949"/>
    <w:rsid w:val="123E5365"/>
    <w:rsid w:val="12672AB8"/>
    <w:rsid w:val="12C64289"/>
    <w:rsid w:val="14EF3787"/>
    <w:rsid w:val="1536607F"/>
    <w:rsid w:val="159F0F92"/>
    <w:rsid w:val="18CB11A9"/>
    <w:rsid w:val="1A1679E0"/>
    <w:rsid w:val="1A9829AF"/>
    <w:rsid w:val="1B924C3E"/>
    <w:rsid w:val="1D97DEFF"/>
    <w:rsid w:val="1DFF72E5"/>
    <w:rsid w:val="1EFC6F07"/>
    <w:rsid w:val="1FB04E73"/>
    <w:rsid w:val="20AE4CDA"/>
    <w:rsid w:val="21FF70C6"/>
    <w:rsid w:val="224248E1"/>
    <w:rsid w:val="2369313B"/>
    <w:rsid w:val="245956A4"/>
    <w:rsid w:val="24B64FDA"/>
    <w:rsid w:val="28EF3EA5"/>
    <w:rsid w:val="29FA0F90"/>
    <w:rsid w:val="2B5C6AF8"/>
    <w:rsid w:val="2E262DBE"/>
    <w:rsid w:val="2E690493"/>
    <w:rsid w:val="2FC5794B"/>
    <w:rsid w:val="2FDF85B8"/>
    <w:rsid w:val="2FFFEE04"/>
    <w:rsid w:val="30F33745"/>
    <w:rsid w:val="317258B0"/>
    <w:rsid w:val="322B2DF8"/>
    <w:rsid w:val="34DF85B0"/>
    <w:rsid w:val="35366BF5"/>
    <w:rsid w:val="3B8F36BC"/>
    <w:rsid w:val="3C6228A6"/>
    <w:rsid w:val="3CC81CB9"/>
    <w:rsid w:val="3CCA3413"/>
    <w:rsid w:val="3E497999"/>
    <w:rsid w:val="410F5A2B"/>
    <w:rsid w:val="41605AED"/>
    <w:rsid w:val="45D67D64"/>
    <w:rsid w:val="4666797E"/>
    <w:rsid w:val="466D2E92"/>
    <w:rsid w:val="48E374F8"/>
    <w:rsid w:val="491FF225"/>
    <w:rsid w:val="4AAC3789"/>
    <w:rsid w:val="4DA5551D"/>
    <w:rsid w:val="4E7E543D"/>
    <w:rsid w:val="4FFD214C"/>
    <w:rsid w:val="504601DC"/>
    <w:rsid w:val="508C2093"/>
    <w:rsid w:val="50F54B3B"/>
    <w:rsid w:val="511368F3"/>
    <w:rsid w:val="51982E45"/>
    <w:rsid w:val="56142C97"/>
    <w:rsid w:val="5777D4F5"/>
    <w:rsid w:val="59DD8326"/>
    <w:rsid w:val="5DBD5E50"/>
    <w:rsid w:val="5DEF592A"/>
    <w:rsid w:val="5ECC69E0"/>
    <w:rsid w:val="5EF6655E"/>
    <w:rsid w:val="5F36141C"/>
    <w:rsid w:val="5FC6BB1E"/>
    <w:rsid w:val="5FF720F1"/>
    <w:rsid w:val="61675702"/>
    <w:rsid w:val="62CF4061"/>
    <w:rsid w:val="650D069A"/>
    <w:rsid w:val="67FF5C0B"/>
    <w:rsid w:val="6C2216A6"/>
    <w:rsid w:val="6DDD6E2A"/>
    <w:rsid w:val="6E1041E0"/>
    <w:rsid w:val="6EA40D5D"/>
    <w:rsid w:val="6EFC0924"/>
    <w:rsid w:val="6F256457"/>
    <w:rsid w:val="6FB74722"/>
    <w:rsid w:val="6FEF8B7E"/>
    <w:rsid w:val="71A6591B"/>
    <w:rsid w:val="72227D09"/>
    <w:rsid w:val="7359706F"/>
    <w:rsid w:val="737D59BA"/>
    <w:rsid w:val="744D4DE6"/>
    <w:rsid w:val="74FD0507"/>
    <w:rsid w:val="77277B70"/>
    <w:rsid w:val="77C37683"/>
    <w:rsid w:val="78FF0DA4"/>
    <w:rsid w:val="79D19834"/>
    <w:rsid w:val="79D21B91"/>
    <w:rsid w:val="79FF515B"/>
    <w:rsid w:val="7AB21E46"/>
    <w:rsid w:val="7B3F4D97"/>
    <w:rsid w:val="7B6A7217"/>
    <w:rsid w:val="7BA336BF"/>
    <w:rsid w:val="7BF549BF"/>
    <w:rsid w:val="7C0D285C"/>
    <w:rsid w:val="7CB44BA2"/>
    <w:rsid w:val="7E4234E1"/>
    <w:rsid w:val="7E53442D"/>
    <w:rsid w:val="7E851D4C"/>
    <w:rsid w:val="7E9E1962"/>
    <w:rsid w:val="7E9F11B4"/>
    <w:rsid w:val="7F37EC1E"/>
    <w:rsid w:val="7F4D213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1463</Words>
  <Characters>8342</Characters>
  <Lines>69</Lines>
  <Paragraphs>19</Paragraphs>
  <TotalTime>17</TotalTime>
  <ScaleCrop>false</ScaleCrop>
  <LinksUpToDate>false</LinksUpToDate>
  <CharactersWithSpaces>9786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栋栋宏</cp:lastModifiedBy>
  <cp:lastPrinted>2024-08-10T02:20:00Z</cp:lastPrinted>
  <dcterms:modified xsi:type="dcterms:W3CDTF">2026-09-02T07:48:41Z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2628D4CDBB3D458B93EDC0A4B05D94B1_13</vt:lpwstr>
  </property>
</Properties>
</file>