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eastAsia="zh-CN"/>
        </w:rPr>
        <w:t>秀峰路学校</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spacing w:line="600" w:lineRule="exact"/>
        <w:jc w:val="center"/>
        <w:rPr>
          <w:rFonts w:ascii="Times New Roman" w:hAnsi="Times New Roman" w:cs="Times New Roman"/>
          <w:bCs/>
          <w:sz w:val="36"/>
          <w:szCs w:val="28"/>
        </w:rPr>
      </w:pPr>
    </w:p>
    <w:p>
      <w:pPr>
        <w:pStyle w:val="14"/>
        <w:spacing w:line="600" w:lineRule="exact"/>
        <w:jc w:val="center"/>
        <w:rPr>
          <w:rFonts w:ascii="Times New Roman" w:hAnsi="Times New Roman" w:cs="Times New Roman"/>
          <w:bCs/>
          <w:sz w:val="36"/>
          <w:szCs w:val="28"/>
        </w:rPr>
      </w:pPr>
    </w:p>
    <w:p>
      <w:pPr>
        <w:pStyle w:val="14"/>
        <w:spacing w:line="600" w:lineRule="exact"/>
        <w:jc w:val="center"/>
        <w:rPr>
          <w:rFonts w:ascii="Times New Roman" w:hAnsi="Times New Roman" w:cs="Times New Roman"/>
          <w:bCs/>
          <w:sz w:val="36"/>
          <w:szCs w:val="28"/>
        </w:rPr>
      </w:pPr>
    </w:p>
    <w:p>
      <w:pPr>
        <w:pStyle w:val="14"/>
        <w:spacing w:line="600" w:lineRule="exact"/>
        <w:jc w:val="center"/>
        <w:rPr>
          <w:rFonts w:ascii="Times New Roman" w:hAnsi="Times New Roman" w:cs="Times New Roman"/>
          <w:bCs/>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益阳市秀峰路学校</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益阳市秀峰路学校</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pStyle w:val="14"/>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cs="仿宋_GB2312"/>
          <w:bCs/>
          <w:sz w:val="32"/>
          <w:szCs w:val="32"/>
        </w:rPr>
        <w:t>（一）</w:t>
      </w:r>
      <w:r>
        <w:rPr>
          <w:rFonts w:hint="eastAsia" w:ascii="Times New Roman" w:hAnsi="Times New Roman" w:eastAsia="仿宋_GB2312"/>
          <w:sz w:val="32"/>
          <w:szCs w:val="32"/>
        </w:rPr>
        <w:t>内设机构设置</w:t>
      </w:r>
    </w:p>
    <w:p>
      <w:pPr>
        <w:pStyle w:val="14"/>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益阳赫山区</w:t>
      </w:r>
      <w:r>
        <w:rPr>
          <w:rFonts w:hint="eastAsia" w:ascii="Times New Roman" w:hAnsi="Times New Roman" w:eastAsia="仿宋_GB2312"/>
          <w:sz w:val="32"/>
          <w:szCs w:val="32"/>
          <w:lang w:eastAsia="zh-CN"/>
        </w:rPr>
        <w:t>秀峰路学校</w:t>
      </w:r>
      <w:r>
        <w:rPr>
          <w:rFonts w:hint="eastAsia" w:ascii="Times New Roman" w:hAnsi="Times New Roman" w:eastAsia="仿宋_GB2312"/>
          <w:sz w:val="32"/>
          <w:szCs w:val="32"/>
        </w:rPr>
        <w:t>内设机构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个（</w:t>
      </w:r>
      <w:r>
        <w:rPr>
          <w:rFonts w:hint="eastAsia" w:ascii="Times New Roman" w:hAnsi="Times New Roman" w:eastAsia="仿宋_GB2312" w:cs="仿宋_GB2312"/>
          <w:bCs/>
          <w:kern w:val="0"/>
          <w:sz w:val="32"/>
          <w:szCs w:val="32"/>
        </w:rPr>
        <w:t>书记室、校长室、</w:t>
      </w:r>
      <w:r>
        <w:rPr>
          <w:rFonts w:hint="eastAsia" w:ascii="Times New Roman" w:hAnsi="Times New Roman" w:eastAsia="仿宋_GB2312"/>
          <w:sz w:val="32"/>
          <w:szCs w:val="32"/>
        </w:rPr>
        <w:t>党建办、办公室、总务处、教导处、大队部、创文办、工会、阳光服务中心</w:t>
      </w:r>
      <w:r>
        <w:rPr>
          <w:rFonts w:hint="eastAsia" w:ascii="Times New Roman" w:hAnsi="Times New Roman" w:eastAsia="仿宋_GB2312"/>
          <w:sz w:val="32"/>
          <w:szCs w:val="32"/>
          <w:lang w:eastAsia="zh-CN"/>
        </w:rPr>
        <w:t>）。</w:t>
      </w:r>
    </w:p>
    <w:p>
      <w:pPr>
        <w:pStyle w:val="14"/>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（二）决算单位构成。</w:t>
      </w:r>
    </w:p>
    <w:p>
      <w:pPr>
        <w:pStyle w:val="14"/>
        <w:spacing w:line="600" w:lineRule="exact"/>
        <w:ind w:firstLine="960" w:firstLineChars="300"/>
        <w:rPr>
          <w:rFonts w:ascii="Times New Roman" w:hAnsi="Times New Roman" w:eastAsia="仿宋_GB2312"/>
          <w:sz w:val="32"/>
          <w:szCs w:val="32"/>
        </w:rPr>
      </w:pPr>
      <w:r>
        <w:rPr>
          <w:rFonts w:hint="eastAsia" w:ascii="Times New Roman" w:hAnsi="Times New Roman" w:eastAsia="仿宋_GB2312"/>
          <w:sz w:val="32"/>
          <w:szCs w:val="32"/>
        </w:rPr>
        <w:t>益阳赫山区</w:t>
      </w:r>
      <w:r>
        <w:rPr>
          <w:rFonts w:hint="eastAsia" w:ascii="Times New Roman" w:hAnsi="Times New Roman" w:eastAsia="仿宋_GB2312"/>
          <w:sz w:val="32"/>
          <w:szCs w:val="32"/>
          <w:lang w:eastAsia="zh-CN"/>
        </w:rPr>
        <w:t>秀峰路学校</w:t>
      </w:r>
      <w:r>
        <w:rPr>
          <w:rFonts w:hint="eastAsia" w:ascii="Times New Roman" w:hAnsi="Times New Roman" w:eastAsia="仿宋_GB2312"/>
          <w:sz w:val="32"/>
          <w:szCs w:val="32"/>
        </w:rPr>
        <w:t>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176" w:type="dxa"/>
        <w:jc w:val="center"/>
        <w:tblLayout w:type="fixed"/>
        <w:tblCellMar>
          <w:top w:w="0" w:type="dxa"/>
          <w:left w:w="108" w:type="dxa"/>
          <w:bottom w:w="0" w:type="dxa"/>
          <w:right w:w="108" w:type="dxa"/>
        </w:tblCellMar>
      </w:tblPr>
      <w:tblGrid>
        <w:gridCol w:w="4909"/>
        <w:gridCol w:w="724"/>
        <w:gridCol w:w="1345"/>
        <w:gridCol w:w="4437"/>
        <w:gridCol w:w="777"/>
        <w:gridCol w:w="1984"/>
      </w:tblGrid>
      <w:tr>
        <w:tblPrEx>
          <w:tblCellMar>
            <w:top w:w="0" w:type="dxa"/>
            <w:left w:w="108" w:type="dxa"/>
            <w:bottom w:w="0" w:type="dxa"/>
            <w:right w:w="108" w:type="dxa"/>
          </w:tblCellMar>
        </w:tblPrEx>
        <w:trPr>
          <w:trHeight w:val="340" w:hRule="exact"/>
          <w:jc w:val="center"/>
        </w:trPr>
        <w:tc>
          <w:tcPr>
            <w:tcW w:w="697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719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425"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1939.87 </w:t>
            </w: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2,232.35 </w:t>
            </w: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W w:w="225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2250" w:type="dxa"/>
                  <w:tcBorders>
                    <w:top w:val="single" w:color="D4D4D4" w:sz="4" w:space="0"/>
                    <w:left w:val="single" w:color="D4D4D4" w:sz="4" w:space="0"/>
                    <w:bottom w:val="single" w:color="D4D4D4" w:sz="4" w:space="0"/>
                    <w:right w:val="single" w:color="D4D4D4"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3.00 </w:t>
                  </w:r>
                </w:p>
              </w:tc>
            </w:tr>
          </w:tbl>
          <w:p>
            <w:pPr>
              <w:jc w:val="right"/>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295.48 </w:t>
            </w: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2,235.35 </w:t>
            </w: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2,235.35 </w:t>
            </w: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4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2,235.35 </w:t>
            </w:r>
          </w:p>
        </w:tc>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W w:w="225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2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2250" w:type="dxa"/>
                  <w:tcBorders>
                    <w:top w:val="single" w:color="D4D4D4" w:sz="4" w:space="0"/>
                    <w:left w:val="single" w:color="D4D4D4" w:sz="4" w:space="0"/>
                    <w:bottom w:val="single" w:color="D4D4D4" w:sz="4" w:space="0"/>
                    <w:right w:val="single" w:color="D4D4D4" w:sz="4"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2,235.35 </w:t>
                  </w:r>
                  <w:r>
                    <w:rPr>
                      <w:rFonts w:hint="eastAsia" w:ascii="宋体" w:hAnsi="宋体" w:eastAsia="宋体" w:cs="宋体"/>
                      <w:i w:val="0"/>
                      <w:color w:val="000000"/>
                      <w:kern w:val="0"/>
                      <w:sz w:val="22"/>
                      <w:szCs w:val="22"/>
                      <w:u w:val="none"/>
                      <w:bdr w:val="none" w:color="auto" w:sz="0" w:space="0"/>
                      <w:lang w:val="en-US" w:eastAsia="zh-CN" w:bidi="ar"/>
                    </w:rPr>
                    <w:t xml:space="preserve">35 </w:t>
                  </w:r>
                </w:p>
              </w:tc>
            </w:tr>
          </w:tbl>
          <w:p>
            <w:pPr>
              <w:jc w:val="right"/>
              <w:rPr>
                <w:rFonts w:ascii="Times New Roman" w:hAnsi="Times New Roman" w:eastAsia="仿宋_GB2312" w:cs="Times New Roman"/>
                <w:b/>
                <w:color w:val="000000"/>
                <w:sz w:val="22"/>
              </w:rPr>
            </w:pP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641"/>
        <w:gridCol w:w="2545"/>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其他收入</w:t>
            </w:r>
          </w:p>
        </w:tc>
      </w:tr>
      <w:tr>
        <w:tblPrEx>
          <w:tblCellMar>
            <w:top w:w="0" w:type="dxa"/>
            <w:left w:w="0" w:type="dxa"/>
            <w:bottom w:w="0" w:type="dxa"/>
            <w:right w:w="0" w:type="dxa"/>
          </w:tblCellMar>
        </w:tblPrEx>
        <w:trPr>
          <w:trHeight w:val="334" w:hRule="exact"/>
          <w:jc w:val="center"/>
        </w:trPr>
        <w:tc>
          <w:tcPr>
            <w:tcW w:w="6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科目代码</w:t>
            </w:r>
          </w:p>
        </w:tc>
        <w:tc>
          <w:tcPr>
            <w:tcW w:w="25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color w:val="000000"/>
                <w:kern w:val="0"/>
                <w:sz w:val="22"/>
                <w:szCs w:val="22"/>
                <w:u w:val="none"/>
                <w:lang w:val="en-US" w:eastAsia="zh-CN" w:bidi="ar"/>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 xml:space="preserve">2,235.35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 xml:space="preserve">1,939.87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i w:val="0"/>
                <w:color w:val="000000"/>
                <w:kern w:val="0"/>
                <w:sz w:val="22"/>
                <w:szCs w:val="22"/>
                <w:u w:val="none"/>
                <w:lang w:val="en-US" w:eastAsia="zh-CN" w:bidi="ar"/>
              </w:rPr>
              <w:t xml:space="preserve">295.48 </w:t>
            </w:r>
          </w:p>
        </w:tc>
      </w:tr>
      <w:tr>
        <w:tblPrEx>
          <w:tblCellMar>
            <w:top w:w="0" w:type="dxa"/>
            <w:left w:w="0" w:type="dxa"/>
            <w:bottom w:w="0" w:type="dxa"/>
            <w:right w:w="0" w:type="dxa"/>
          </w:tblCellMar>
        </w:tblPrEx>
        <w:trPr>
          <w:trHeight w:val="450" w:hRule="atLeast"/>
          <w:jc w:val="center"/>
        </w:trPr>
        <w:tc>
          <w:tcPr>
            <w:tcW w:w="6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2050201</w:t>
            </w:r>
          </w:p>
        </w:tc>
        <w:tc>
          <w:tcPr>
            <w:tcW w:w="2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43.83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43.83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6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2050202</w:t>
            </w:r>
          </w:p>
        </w:tc>
        <w:tc>
          <w:tcPr>
            <w:tcW w:w="2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306.99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306.99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6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2050299</w:t>
            </w:r>
          </w:p>
        </w:tc>
        <w:tc>
          <w:tcPr>
            <w:tcW w:w="2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1,823.46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1,527.98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295.48 </w:t>
            </w:r>
          </w:p>
        </w:tc>
      </w:tr>
      <w:tr>
        <w:tblPrEx>
          <w:tblCellMar>
            <w:top w:w="0" w:type="dxa"/>
            <w:left w:w="0" w:type="dxa"/>
            <w:bottom w:w="0" w:type="dxa"/>
            <w:right w:w="0" w:type="dxa"/>
          </w:tblCellMar>
        </w:tblPrEx>
        <w:trPr>
          <w:trHeight w:val="450" w:hRule="atLeast"/>
          <w:jc w:val="center"/>
        </w:trPr>
        <w:tc>
          <w:tcPr>
            <w:tcW w:w="6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2050999</w:t>
            </w:r>
          </w:p>
        </w:tc>
        <w:tc>
          <w:tcPr>
            <w:tcW w:w="2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58.07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58.07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6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2210108</w:t>
            </w:r>
          </w:p>
        </w:tc>
        <w:tc>
          <w:tcPr>
            <w:tcW w:w="2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老旧小区改造</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5000" w:type="pct"/>
        <w:jc w:val="center"/>
        <w:tblLayout w:type="autofit"/>
        <w:tblCellMar>
          <w:top w:w="0" w:type="dxa"/>
          <w:left w:w="108" w:type="dxa"/>
          <w:bottom w:w="0" w:type="dxa"/>
          <w:right w:w="108" w:type="dxa"/>
        </w:tblCellMar>
      </w:tblPr>
      <w:tblGrid>
        <w:gridCol w:w="985"/>
        <w:gridCol w:w="2953"/>
        <w:gridCol w:w="1846"/>
        <w:gridCol w:w="1313"/>
        <w:gridCol w:w="1313"/>
        <w:gridCol w:w="1846"/>
        <w:gridCol w:w="1313"/>
        <w:gridCol w:w="2651"/>
      </w:tblGrid>
      <w:tr>
        <w:tblPrEx>
          <w:tblCellMar>
            <w:top w:w="0" w:type="dxa"/>
            <w:left w:w="108" w:type="dxa"/>
            <w:bottom w:w="0" w:type="dxa"/>
            <w:right w:w="108" w:type="dxa"/>
          </w:tblCellMar>
        </w:tblPrEx>
        <w:trPr>
          <w:trHeight w:val="595" w:hRule="atLeast"/>
          <w:jc w:val="center"/>
        </w:trPr>
        <w:tc>
          <w:tcPr>
            <w:tcW w:w="392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项目</w:t>
            </w:r>
          </w:p>
        </w:tc>
        <w:tc>
          <w:tcPr>
            <w:tcW w:w="184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本年支出合计</w:t>
            </w:r>
          </w:p>
        </w:tc>
        <w:tc>
          <w:tcPr>
            <w:tcW w:w="131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基本支出</w:t>
            </w:r>
          </w:p>
        </w:tc>
        <w:tc>
          <w:tcPr>
            <w:tcW w:w="131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项目支出</w:t>
            </w:r>
          </w:p>
        </w:tc>
        <w:tc>
          <w:tcPr>
            <w:tcW w:w="184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上缴上级支出</w:t>
            </w:r>
          </w:p>
        </w:tc>
        <w:tc>
          <w:tcPr>
            <w:tcW w:w="131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经营支出</w:t>
            </w:r>
          </w:p>
        </w:tc>
        <w:tc>
          <w:tcPr>
            <w:tcW w:w="26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对附属单位补助支出</w:t>
            </w:r>
          </w:p>
        </w:tc>
      </w:tr>
      <w:tr>
        <w:tblPrEx>
          <w:tblCellMar>
            <w:top w:w="0" w:type="dxa"/>
            <w:left w:w="108" w:type="dxa"/>
            <w:bottom w:w="0" w:type="dxa"/>
            <w:right w:w="108" w:type="dxa"/>
          </w:tblCellMar>
        </w:tblPrEx>
        <w:trPr>
          <w:trHeight w:val="312" w:hRule="exact"/>
          <w:jc w:val="center"/>
        </w:trPr>
        <w:tc>
          <w:tcPr>
            <w:tcW w:w="97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科目代码</w:t>
            </w:r>
          </w:p>
        </w:tc>
        <w:tc>
          <w:tcPr>
            <w:tcW w:w="2956" w:type="dxa"/>
            <w:vMerge w:val="restart"/>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color w:val="000000"/>
                <w:kern w:val="0"/>
                <w:sz w:val="22"/>
                <w:szCs w:val="22"/>
                <w:u w:val="none"/>
                <w:lang w:val="en-US" w:eastAsia="zh-CN" w:bidi="ar"/>
              </w:rPr>
              <w:t>科目名称</w:t>
            </w:r>
          </w:p>
        </w:tc>
        <w:tc>
          <w:tcPr>
            <w:tcW w:w="184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c>
          <w:tcPr>
            <w:tcW w:w="2654"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92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栏次</w:t>
            </w:r>
          </w:p>
        </w:tc>
        <w:tc>
          <w:tcPr>
            <w:tcW w:w="184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w:t>
            </w:r>
          </w:p>
        </w:tc>
        <w:tc>
          <w:tcPr>
            <w:tcW w:w="131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w:t>
            </w:r>
          </w:p>
        </w:tc>
        <w:tc>
          <w:tcPr>
            <w:tcW w:w="131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3</w:t>
            </w:r>
          </w:p>
        </w:tc>
        <w:tc>
          <w:tcPr>
            <w:tcW w:w="184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4</w:t>
            </w:r>
          </w:p>
        </w:tc>
        <w:tc>
          <w:tcPr>
            <w:tcW w:w="131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5</w:t>
            </w:r>
          </w:p>
        </w:tc>
        <w:tc>
          <w:tcPr>
            <w:tcW w:w="265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595" w:hRule="atLeast"/>
          <w:jc w:val="center"/>
        </w:trPr>
        <w:tc>
          <w:tcPr>
            <w:tcW w:w="392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合计</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2,235.35 </w:t>
            </w: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2,174.28 </w:t>
            </w: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61.07 </w:t>
            </w: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97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2050201</w:t>
            </w:r>
          </w:p>
        </w:tc>
        <w:tc>
          <w:tcPr>
            <w:tcW w:w="295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学前教育</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43.83 </w:t>
            </w: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43.83 </w:t>
            </w: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97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2050202</w:t>
            </w:r>
          </w:p>
        </w:tc>
        <w:tc>
          <w:tcPr>
            <w:tcW w:w="295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小学教育</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306.99 </w:t>
            </w: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306.99 </w:t>
            </w: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97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2050299</w:t>
            </w:r>
          </w:p>
        </w:tc>
        <w:tc>
          <w:tcPr>
            <w:tcW w:w="295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其他普通教育支出</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1,823.46 </w:t>
            </w: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1,823.46 </w:t>
            </w: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97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2050999</w:t>
            </w:r>
          </w:p>
        </w:tc>
        <w:tc>
          <w:tcPr>
            <w:tcW w:w="295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其他教育费附加安排的支出</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58.07 </w:t>
            </w: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58.07 </w:t>
            </w: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97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2210108</w:t>
            </w:r>
          </w:p>
        </w:tc>
        <w:tc>
          <w:tcPr>
            <w:tcW w:w="295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老旧小区改造</w:t>
            </w:r>
          </w:p>
        </w:tc>
        <w:tc>
          <w:tcPr>
            <w:tcW w:w="18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3.00 </w:t>
            </w: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3.00 </w:t>
            </w:r>
          </w:p>
        </w:tc>
        <w:tc>
          <w:tcPr>
            <w:tcW w:w="184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1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5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9"/>
        <w:rPr>
          <w:rFonts w:ascii="Times New Roman" w:hAnsi="Times New Roman" w:eastAsia="黑体" w:cs="Times New Roman"/>
          <w:color w:val="000000"/>
          <w:kern w:val="0"/>
          <w:sz w:val="32"/>
          <w:szCs w:val="32"/>
          <w:lang w:bidi="ar"/>
        </w:rPr>
      </w:pPr>
    </w:p>
    <w:p>
      <w:pPr>
        <w:pStyle w:val="5"/>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tbl>
      <w:tblPr>
        <w:tblW w:w="4999" w:type="pct"/>
        <w:tblInd w:w="0" w:type="dxa"/>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shd w:val="clear"/>
        <w:tblLayout w:type="autofit"/>
        <w:tblCellMar>
          <w:top w:w="0" w:type="dxa"/>
          <w:left w:w="0" w:type="dxa"/>
          <w:bottom w:w="0" w:type="dxa"/>
          <w:right w:w="0" w:type="dxa"/>
        </w:tblCellMar>
      </w:tblPr>
      <w:tblGrid>
        <w:gridCol w:w="3220"/>
        <w:gridCol w:w="435"/>
        <w:gridCol w:w="1367"/>
        <w:gridCol w:w="3948"/>
        <w:gridCol w:w="428"/>
        <w:gridCol w:w="998"/>
        <w:gridCol w:w="1438"/>
        <w:gridCol w:w="1059"/>
        <w:gridCol w:w="1138"/>
      </w:tblGrid>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shd w:val="clear"/>
          <w:tblCellMar>
            <w:top w:w="0" w:type="dxa"/>
            <w:left w:w="0" w:type="dxa"/>
            <w:bottom w:w="0" w:type="dxa"/>
            <w:right w:w="0" w:type="dxa"/>
          </w:tblCellMar>
        </w:tblPrEx>
        <w:trPr>
          <w:trHeight w:val="300" w:hRule="atLeast"/>
        </w:trPr>
        <w:tc>
          <w:tcPr>
            <w:tcW w:w="170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收入</w:t>
            </w:r>
          </w:p>
        </w:tc>
        <w:tc>
          <w:tcPr>
            <w:tcW w:w="3291"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支出</w:t>
            </w: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285" w:hRule="atLeast"/>
        </w:trPr>
        <w:tc>
          <w:tcPr>
            <w:tcW w:w="103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6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49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金额</w:t>
            </w:r>
          </w:p>
        </w:tc>
        <w:tc>
          <w:tcPr>
            <w:tcW w:w="14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项目</w:t>
            </w:r>
          </w:p>
        </w:tc>
        <w:tc>
          <w:tcPr>
            <w:tcW w:w="1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行次</w:t>
            </w:r>
          </w:p>
        </w:tc>
        <w:tc>
          <w:tcPr>
            <w:tcW w:w="36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合计</w:t>
            </w:r>
          </w:p>
        </w:tc>
        <w:tc>
          <w:tcPr>
            <w:tcW w:w="52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一般公共预算财政拨款</w:t>
            </w:r>
          </w:p>
        </w:tc>
        <w:tc>
          <w:tcPr>
            <w:tcW w:w="39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政府性基金预算财政拨款</w:t>
            </w:r>
          </w:p>
        </w:tc>
        <w:tc>
          <w:tcPr>
            <w:tcW w:w="41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国有资本经营预算财政拨款</w:t>
            </w: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600" w:hRule="atLeast"/>
        </w:trPr>
        <w:tc>
          <w:tcPr>
            <w:tcW w:w="103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9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6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2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1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栏次</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一、一般公共服务支出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二、政府性基金预算财政拨款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二、外交支出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三、国有资本经营预算财政拨款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三、国防支出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四、公共安全支出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五、教育支出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1,936.87 </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1,936.87 </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六、科学技术支出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七、文化旅游体育与传媒支出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八、社会保障和就业支出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九、卫生健康支出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十、节能环保支出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十一、城乡社区支出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十二、农林水支出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十三、交通运输支出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十四、资源勘探工业信息等支出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46</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十五、商业服务业等支出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十六、金融支出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十七、援助其他地区支出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49</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十八、自然资源海洋气象等支出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十九、住房保障支出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3.00 </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3.00 </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二十、粮油物资储备支出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二十一、国有资本经营预算支出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二十二、灾害防治及应急管理支出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二十三、其他支出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二十四、债务还本支出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56</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二十五、债务付息支出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57</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二十六、抗疫特别国债安排的支出</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58</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本年收入合计</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本年支出合计</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59</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年初财政拨款结转和结余</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年末财政拨款结转和结余</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0.00 </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0.00 </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一般公共预算财政拨款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61</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政府性基金预算财政拨款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62</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     国有资本经营预算财政拨款</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63</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Borders>
            <w:top w:val="single" w:color="D4D4D4" w:sz="4" w:space="0"/>
            <w:left w:val="single" w:color="D4D4D4" w:sz="4" w:space="0"/>
            <w:bottom w:val="single" w:color="D4D4D4" w:sz="4" w:space="0"/>
            <w:right w:val="single" w:color="D4D4D4" w:sz="4" w:space="0"/>
            <w:insideH w:val="single" w:color="D4D4D4" w:sz="4" w:space="0"/>
            <w:insideV w:val="single" w:color="D4D4D4" w:sz="4" w:space="0"/>
          </w:tblBorders>
          <w:tblCellMar>
            <w:top w:w="0" w:type="dxa"/>
            <w:left w:w="0" w:type="dxa"/>
            <w:bottom w:w="0" w:type="dxa"/>
            <w:right w:w="0" w:type="dxa"/>
          </w:tblCellMar>
        </w:tblPrEx>
        <w:trPr>
          <w:trHeight w:val="300" w:hRule="atLeast"/>
        </w:trPr>
        <w:tc>
          <w:tcPr>
            <w:tcW w:w="1038"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1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49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1420"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bdr w:val="none" w:color="auto" w:sz="0" w:space="0"/>
                <w:lang w:val="en-US" w:eastAsia="zh-CN" w:bidi="ar"/>
              </w:rPr>
              <w:t>总计</w:t>
            </w:r>
          </w:p>
        </w:tc>
        <w:tc>
          <w:tcPr>
            <w:tcW w:w="16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1F1F1"/>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64</w:t>
            </w:r>
          </w:p>
        </w:tc>
        <w:tc>
          <w:tcPr>
            <w:tcW w:w="369"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526"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 xml:space="preserve">1,939.87 </w:t>
            </w:r>
          </w:p>
        </w:tc>
        <w:tc>
          <w:tcPr>
            <w:tcW w:w="391"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17" w:type="pct"/>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bl>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p>
      <w:pPr>
        <w:pStyle w:val="9"/>
      </w:pPr>
    </w:p>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9"/>
        <w:rPr>
          <w:rFonts w:ascii="Times New Roman" w:hAnsi="Times New Roman" w:eastAsia="方正小标宋_GBK" w:cs="Times New Roman"/>
          <w:kern w:val="0"/>
          <w:sz w:val="36"/>
          <w:szCs w:val="36"/>
        </w:rPr>
      </w:pPr>
    </w:p>
    <w:p>
      <w:pPr>
        <w:pStyle w:val="5"/>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9"/>
        <w:rPr>
          <w:rFonts w:ascii="Times New Roman" w:hAnsi="Times New Roman" w:eastAsia="方正小标宋_GBK" w:cs="Times New Roman"/>
          <w:kern w:val="0"/>
          <w:sz w:val="36"/>
          <w:szCs w:val="36"/>
        </w:rPr>
      </w:pPr>
    </w:p>
    <w:p>
      <w:pPr>
        <w:pStyle w:val="5"/>
        <w:rPr>
          <w:rFonts w:ascii="Times New Roman" w:hAnsi="Times New Roman" w:eastAsia="方正小标宋_GBK" w:cs="Times New Roman"/>
          <w:kern w:val="0"/>
          <w:sz w:val="36"/>
          <w:szCs w:val="36"/>
        </w:rPr>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986"/>
        <w:gridCol w:w="3763"/>
        <w:gridCol w:w="3157"/>
        <w:gridCol w:w="3157"/>
        <w:gridCol w:w="3156"/>
      </w:tblGrid>
      <w:tr>
        <w:tblPrEx>
          <w:tblCellMar>
            <w:top w:w="0" w:type="dxa"/>
            <w:left w:w="108" w:type="dxa"/>
            <w:bottom w:w="0" w:type="dxa"/>
            <w:right w:w="108" w:type="dxa"/>
          </w:tblCellMar>
        </w:tblPrEx>
        <w:trPr>
          <w:trHeight w:val="545" w:hRule="atLeast"/>
          <w:jc w:val="center"/>
        </w:trPr>
        <w:tc>
          <w:tcPr>
            <w:tcW w:w="4749"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项目</w:t>
            </w:r>
          </w:p>
        </w:tc>
        <w:tc>
          <w:tcPr>
            <w:tcW w:w="9470" w:type="dxa"/>
            <w:gridSpan w:val="3"/>
            <w:tcBorders>
              <w:top w:val="single" w:color="auto" w:sz="8" w:space="0"/>
              <w:left w:val="nil"/>
              <w:bottom w:val="single" w:color="auto" w:sz="4" w:space="0"/>
              <w:right w:val="single" w:color="000000"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本年支出</w:t>
            </w:r>
          </w:p>
        </w:tc>
      </w:tr>
      <w:tr>
        <w:tblPrEx>
          <w:tblCellMar>
            <w:top w:w="0" w:type="dxa"/>
            <w:left w:w="108" w:type="dxa"/>
            <w:bottom w:w="0" w:type="dxa"/>
            <w:right w:w="108" w:type="dxa"/>
          </w:tblCellMar>
        </w:tblPrEx>
        <w:trPr>
          <w:trHeight w:val="312" w:hRule="exact"/>
          <w:jc w:val="center"/>
        </w:trPr>
        <w:tc>
          <w:tcPr>
            <w:tcW w:w="98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科目代码</w:t>
            </w:r>
          </w:p>
        </w:tc>
        <w:tc>
          <w:tcPr>
            <w:tcW w:w="3763"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科目名称</w:t>
            </w:r>
          </w:p>
        </w:tc>
        <w:tc>
          <w:tcPr>
            <w:tcW w:w="3157"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小计</w:t>
            </w:r>
          </w:p>
        </w:tc>
        <w:tc>
          <w:tcPr>
            <w:tcW w:w="3157"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基本支出</w:t>
            </w:r>
          </w:p>
        </w:tc>
        <w:tc>
          <w:tcPr>
            <w:tcW w:w="3156" w:type="dxa"/>
            <w:vMerge w:val="restart"/>
            <w:tcBorders>
              <w:top w:val="nil"/>
              <w:left w:val="single" w:color="auto" w:sz="4" w:space="0"/>
              <w:bottom w:val="single" w:color="000000"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108" w:type="dxa"/>
            <w:bottom w:w="0" w:type="dxa"/>
            <w:right w:w="108" w:type="dxa"/>
          </w:tblCellMar>
        </w:tblPrEx>
        <w:trPr>
          <w:trHeight w:val="360"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0" w:type="auto"/>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49"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栏次</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1</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w:t>
            </w:r>
          </w:p>
        </w:tc>
        <w:tc>
          <w:tcPr>
            <w:tcW w:w="3156"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450" w:hRule="atLeast"/>
          <w:jc w:val="center"/>
        </w:trPr>
        <w:tc>
          <w:tcPr>
            <w:tcW w:w="4749"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合计</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1,939.87 </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1,878.80 </w:t>
            </w:r>
          </w:p>
        </w:tc>
        <w:tc>
          <w:tcPr>
            <w:tcW w:w="3156"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61.07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2050201</w:t>
            </w:r>
          </w:p>
        </w:tc>
        <w:tc>
          <w:tcPr>
            <w:tcW w:w="37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学前教育</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43.83 </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43.83 </w:t>
            </w:r>
          </w:p>
        </w:tc>
        <w:tc>
          <w:tcPr>
            <w:tcW w:w="3156"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2050202</w:t>
            </w:r>
          </w:p>
        </w:tc>
        <w:tc>
          <w:tcPr>
            <w:tcW w:w="37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小学教育</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306.99 </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306.99 </w:t>
            </w:r>
          </w:p>
        </w:tc>
        <w:tc>
          <w:tcPr>
            <w:tcW w:w="3156"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2050299</w:t>
            </w:r>
          </w:p>
        </w:tc>
        <w:tc>
          <w:tcPr>
            <w:tcW w:w="37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其他普通教育支出</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1,527.98 </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1,527.98 </w:t>
            </w:r>
          </w:p>
        </w:tc>
        <w:tc>
          <w:tcPr>
            <w:tcW w:w="3156"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2050999</w:t>
            </w:r>
          </w:p>
        </w:tc>
        <w:tc>
          <w:tcPr>
            <w:tcW w:w="37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其他教育费附加安排的支出</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58.07 </w:t>
            </w:r>
          </w:p>
        </w:tc>
        <w:tc>
          <w:tcPr>
            <w:tcW w:w="3157"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156"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58.07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2210108</w:t>
            </w:r>
          </w:p>
        </w:tc>
        <w:tc>
          <w:tcPr>
            <w:tcW w:w="376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老旧小区改造</w:t>
            </w:r>
          </w:p>
        </w:tc>
        <w:tc>
          <w:tcPr>
            <w:tcW w:w="315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3.00 </w:t>
            </w:r>
          </w:p>
        </w:tc>
        <w:tc>
          <w:tcPr>
            <w:tcW w:w="3157"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156"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3.00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科目代码</w:t>
            </w:r>
          </w:p>
        </w:tc>
        <w:tc>
          <w:tcPr>
            <w:tcW w:w="285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科目代码</w:t>
            </w:r>
          </w:p>
        </w:tc>
        <w:tc>
          <w:tcPr>
            <w:tcW w:w="201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科目代码</w:t>
            </w:r>
          </w:p>
        </w:tc>
        <w:tc>
          <w:tcPr>
            <w:tcW w:w="35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color w:val="000000"/>
                <w:kern w:val="0"/>
                <w:sz w:val="22"/>
                <w:szCs w:val="22"/>
                <w:u w:val="none"/>
                <w:lang w:val="en-US" w:eastAsia="zh-CN" w:bidi="ar"/>
              </w:rPr>
              <w:t>决算数</w:t>
            </w:r>
          </w:p>
        </w:tc>
      </w:tr>
      <w:tr>
        <w:tblPrEx>
          <w:tblCellMar>
            <w:top w:w="0" w:type="dxa"/>
            <w:left w:w="108" w:type="dxa"/>
            <w:bottom w:w="0" w:type="dxa"/>
            <w:right w:w="108" w:type="dxa"/>
          </w:tblCellMar>
        </w:tblPrEx>
        <w:trPr>
          <w:trHeight w:val="2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1,176.07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633.22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638.81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112.60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0.84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20.13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68.16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232.10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106.23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103.05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51.53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56.60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79.75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45.89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70.00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6.94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69.51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31.50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9.16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25.87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23.10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95.64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11.90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7.58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1.13 </w:t>
            </w: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color w:val="000000"/>
                <w:kern w:val="0"/>
                <w:sz w:val="22"/>
                <w:szCs w:val="22"/>
                <w:u w:val="none"/>
                <w:lang w:val="en-US" w:eastAsia="zh-CN" w:bidi="ar"/>
              </w:rPr>
              <w:t xml:space="preserve">15.00 </w:t>
            </w:r>
          </w:p>
        </w:tc>
        <w:tc>
          <w:tcPr>
            <w:tcW w:w="11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65.29 </w:t>
            </w:r>
          </w:p>
        </w:tc>
        <w:tc>
          <w:tcPr>
            <w:tcW w:w="1217"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85" w:hRule="exact"/>
          <w:jc w:val="center"/>
        </w:trPr>
        <w:tc>
          <w:tcPr>
            <w:tcW w:w="3931" w:type="dxa"/>
            <w:gridSpan w:val="2"/>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1,245.59 </w:t>
            </w:r>
          </w:p>
        </w:tc>
        <w:tc>
          <w:tcPr>
            <w:tcW w:w="8801" w:type="dxa"/>
            <w:gridSpan w:val="5"/>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18"/>
              </w:rPr>
            </w:pPr>
            <w:r>
              <w:rPr>
                <w:rFonts w:hint="eastAsia" w:ascii="宋体" w:hAnsi="宋体" w:eastAsia="宋体" w:cs="宋体"/>
                <w:i w:val="0"/>
                <w:color w:val="000000"/>
                <w:kern w:val="0"/>
                <w:sz w:val="22"/>
                <w:szCs w:val="22"/>
                <w:u w:val="none"/>
                <w:lang w:val="en-US" w:eastAsia="zh-CN" w:bidi="ar"/>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633.22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入总计1530.12万元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学校维修改造的项目资金减少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年度总收入</w:t>
      </w:r>
      <w:r>
        <w:rPr>
          <w:rFonts w:hint="eastAsia" w:ascii="仿宋_GB2312" w:hAnsi="仿宋" w:eastAsia="仿宋_GB2312"/>
          <w:sz w:val="32"/>
          <w:szCs w:val="32"/>
          <w:highlight w:val="none"/>
          <w:lang w:val="en-US" w:eastAsia="zh-CN"/>
        </w:rPr>
        <w:t>2235.35万</w:t>
      </w:r>
      <w:r>
        <w:rPr>
          <w:rFonts w:hint="eastAsia" w:ascii="仿宋_GB2312" w:hAnsi="仿宋" w:eastAsia="仿宋_GB2312"/>
          <w:sz w:val="32"/>
          <w:szCs w:val="32"/>
          <w:highlight w:val="none"/>
        </w:rPr>
        <w:t>元，其中一般公共预算财政拨款收入</w:t>
      </w:r>
      <w:r>
        <w:rPr>
          <w:rFonts w:hint="eastAsia" w:ascii="仿宋_GB2312" w:hAnsi="仿宋" w:eastAsia="仿宋_GB2312"/>
          <w:sz w:val="32"/>
          <w:szCs w:val="32"/>
          <w:highlight w:val="none"/>
          <w:lang w:val="en-US" w:eastAsia="zh-CN"/>
        </w:rPr>
        <w:t>1939.87</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占总收入的86.69%；</w:t>
      </w:r>
      <w:r>
        <w:rPr>
          <w:rFonts w:hint="eastAsia" w:ascii="仿宋_GB2312" w:hAnsi="仿宋" w:eastAsia="仿宋_GB2312"/>
          <w:sz w:val="32"/>
          <w:szCs w:val="32"/>
          <w:highlight w:val="none"/>
        </w:rPr>
        <w:t>其他</w:t>
      </w:r>
      <w:r>
        <w:rPr>
          <w:rFonts w:hint="eastAsia" w:ascii="仿宋_GB2312" w:hAnsi="仿宋" w:eastAsia="仿宋_GB2312"/>
          <w:sz w:val="32"/>
          <w:szCs w:val="32"/>
          <w:highlight w:val="none"/>
          <w:lang w:val="en-US" w:eastAsia="zh-CN"/>
        </w:rPr>
        <w:t>收入295.48万元，占总收入的13.31%</w:t>
      </w:r>
      <w:r>
        <w:rPr>
          <w:rFonts w:hint="eastAsia" w:ascii="仿宋_GB2312" w:hAnsi="仿宋" w:eastAsia="仿宋_GB2312"/>
          <w:sz w:val="32"/>
          <w:szCs w:val="32"/>
          <w:highlight w:val="none"/>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2"/>
        <w:rPr>
          <w:rFonts w:hint="eastAsia" w:eastAsia="仿宋_GB2312"/>
          <w:lang w:val="en-US" w:eastAsia="zh-CN"/>
        </w:rPr>
      </w:pPr>
      <w:r>
        <w:rPr>
          <w:rFonts w:hint="eastAsia" w:ascii="仿宋_GB2312" w:hAnsi="仿宋" w:eastAsia="仿宋_GB2312"/>
          <w:sz w:val="32"/>
          <w:szCs w:val="32"/>
          <w:highlight w:val="none"/>
          <w:lang w:val="en-US" w:eastAsia="zh-CN"/>
        </w:rPr>
        <w:t>2025年度总支出2235.35</w:t>
      </w:r>
      <w:r>
        <w:rPr>
          <w:rFonts w:hint="eastAsia" w:ascii="仿宋_GB2312" w:hAnsi="仿宋" w:eastAsia="仿宋_GB2312"/>
          <w:sz w:val="32"/>
          <w:szCs w:val="32"/>
          <w:highlight w:val="none"/>
        </w:rPr>
        <w:t>元</w:t>
      </w:r>
      <w:r>
        <w:rPr>
          <w:rFonts w:hint="eastAsia" w:ascii="仿宋_GB2312" w:hAnsi="仿宋" w:eastAsia="仿宋_GB2312"/>
          <w:sz w:val="32"/>
          <w:szCs w:val="32"/>
          <w:highlight w:val="none"/>
          <w:lang w:val="en-US" w:eastAsia="zh-CN"/>
        </w:rPr>
        <w:t>，其中基本支出2174.28万元，占总支出的97.27%；项目支出61.06万元，占总支出的2.73%。</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snapToGrid w:val="0"/>
        <w:spacing w:line="520" w:lineRule="exact"/>
        <w:ind w:firstLine="640" w:firstLineChars="200"/>
        <w:rPr>
          <w:rFonts w:hint="eastAsia" w:ascii="仿宋_GB2312" w:hAnsi="仿宋" w:eastAsia="仿宋_GB2312"/>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入总计1939.87万元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1939.87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29.57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w:t>
      </w:r>
      <w:r>
        <w:rPr>
          <w:rFonts w:hint="eastAsia" w:ascii="仿宋_GB2312" w:hAnsi="仿宋" w:eastAsia="仿宋_GB2312"/>
          <w:sz w:val="32"/>
          <w:szCs w:val="32"/>
          <w:highlight w:val="none"/>
          <w:lang w:val="en-US" w:eastAsia="zh-CN"/>
        </w:rPr>
        <w:t>增加</w:t>
      </w:r>
      <w:r>
        <w:rPr>
          <w:rFonts w:hint="eastAsia" w:ascii="仿宋_GB2312" w:hAnsi="仿宋" w:eastAsia="仿宋_GB2312"/>
          <w:sz w:val="32"/>
          <w:szCs w:val="32"/>
          <w:highlight w:val="none"/>
        </w:rPr>
        <w:t>的主要原因是</w:t>
      </w:r>
      <w:r>
        <w:rPr>
          <w:rFonts w:hint="eastAsia" w:ascii="仿宋_GB2312" w:hAnsi="仿宋" w:eastAsia="仿宋_GB2312"/>
          <w:sz w:val="32"/>
          <w:szCs w:val="32"/>
          <w:highlight w:val="none"/>
          <w:lang w:val="en-US" w:eastAsia="zh-CN"/>
        </w:rPr>
        <w:t>本年综合楼维修项目</w:t>
      </w:r>
      <w:r>
        <w:rPr>
          <w:rFonts w:hint="eastAsia" w:ascii="仿宋_GB2312" w:hAnsi="仿宋" w:eastAsia="仿宋_GB2312"/>
          <w:sz w:val="32"/>
          <w:szCs w:val="32"/>
          <w:highlight w:val="none"/>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snapToGrid w:val="0"/>
        <w:spacing w:line="520" w:lineRule="exact"/>
        <w:ind w:firstLine="640" w:firstLineChars="200"/>
        <w:rPr>
          <w:rFonts w:hint="eastAsia" w:ascii="仿宋_GB2312" w:hAnsi="仿宋" w:eastAsia="仿宋_GB2312"/>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1939.87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86.78</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29.57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w:t>
      </w:r>
      <w:r>
        <w:rPr>
          <w:rFonts w:hint="eastAsia" w:ascii="仿宋_GB2312" w:hAnsi="仿宋" w:eastAsia="仿宋_GB2312"/>
          <w:sz w:val="32"/>
          <w:szCs w:val="32"/>
          <w:highlight w:val="none"/>
          <w:lang w:val="en-US" w:eastAsia="zh-CN"/>
        </w:rPr>
        <w:t>增加</w:t>
      </w:r>
      <w:r>
        <w:rPr>
          <w:rFonts w:hint="eastAsia" w:ascii="仿宋_GB2312" w:hAnsi="仿宋" w:eastAsia="仿宋_GB2312"/>
          <w:sz w:val="32"/>
          <w:szCs w:val="32"/>
          <w:highlight w:val="none"/>
        </w:rPr>
        <w:t>的主要原因是</w:t>
      </w:r>
      <w:r>
        <w:rPr>
          <w:rFonts w:hint="eastAsia" w:ascii="仿宋_GB2312" w:hAnsi="仿宋" w:eastAsia="仿宋_GB2312"/>
          <w:sz w:val="32"/>
          <w:szCs w:val="32"/>
          <w:highlight w:val="none"/>
          <w:lang w:val="en-US" w:eastAsia="zh-CN"/>
        </w:rPr>
        <w:t>本年综合楼维修项目</w:t>
      </w:r>
      <w:r>
        <w:rPr>
          <w:rFonts w:hint="eastAsia" w:ascii="仿宋_GB2312" w:hAnsi="仿宋" w:eastAsia="仿宋_GB2312"/>
          <w:sz w:val="32"/>
          <w:szCs w:val="32"/>
          <w:highlight w:val="none"/>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1939.87</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1936.87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w:t>
      </w:r>
      <w:r>
        <w:rPr>
          <w:rFonts w:hint="eastAsia" w:ascii="Times New Roman" w:hAnsi="Times New Roman" w:eastAsia="仿宋_GB2312" w:cs="Times New Roman"/>
          <w:sz w:val="32"/>
          <w:szCs w:val="32"/>
        </w:rPr>
        <w:t>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3万元，占0.15%。</w:t>
      </w:r>
    </w:p>
    <w:p>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w:t>
      </w:r>
      <w:r>
        <w:rPr>
          <w:rFonts w:hint="eastAsia" w:ascii="仿宋_GB2312" w:hAnsi="仿宋" w:eastAsia="仿宋_GB2312"/>
          <w:sz w:val="32"/>
          <w:szCs w:val="32"/>
          <w:highlight w:val="none"/>
          <w:lang w:val="en-US" w:eastAsia="zh-CN"/>
        </w:rPr>
        <w:t>为1129.18万元，决算数为1939.87万元；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171.79</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43.83</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19.32</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306.99</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eastAsia="zh-CN"/>
        </w:rPr>
        <w:t>大部分</w:t>
      </w:r>
      <w:r>
        <w:rPr>
          <w:rFonts w:hint="eastAsia" w:ascii="Times New Roman" w:hAnsi="Times New Roman" w:eastAsia="仿宋_GB2312" w:cs="Times New Roman"/>
          <w:sz w:val="32"/>
          <w:szCs w:val="32"/>
        </w:rPr>
        <w:t>纳入教育支出（类）普通教育（款）其他普通教育支出（项）。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1059.28</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1527.98</w:t>
      </w:r>
      <w:r>
        <w:rPr>
          <w:rFonts w:hint="eastAsia" w:ascii="Times New Roman" w:hAnsi="Times New Roman" w:eastAsia="仿宋_GB2312" w:cs="Times New Roman"/>
          <w:sz w:val="32"/>
          <w:szCs w:val="32"/>
        </w:rPr>
        <w:t>万元。决算数大于预算数主要是因为教职工资增长，年中追加了人员经费。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58.07</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1527.98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78.76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1878.80</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1245.59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66.29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633.22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33.71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282</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345</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61.07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61.07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2278.82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2235.35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98.09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9"/>
        <w:rPr>
          <w:rFonts w:ascii="Times New Roman" w:hAnsi="Times New Roman" w:cs="Times New Roman"/>
          <w:color w:val="000000"/>
          <w:kern w:val="0"/>
          <w:sz w:val="32"/>
          <w:szCs w:val="32"/>
        </w:rPr>
      </w:pPr>
    </w:p>
    <w:p>
      <w:pPr>
        <w:pStyle w:val="5"/>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9"/>
        <w:rPr>
          <w:rFonts w:ascii="Times New Roman" w:hAnsi="Times New Roman" w:cs="Times New Roman"/>
          <w:color w:val="000000"/>
          <w:kern w:val="0"/>
          <w:sz w:val="32"/>
          <w:szCs w:val="32"/>
        </w:rPr>
      </w:pPr>
    </w:p>
    <w:p>
      <w:pPr>
        <w:pStyle w:val="5"/>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9"/>
        <w:rPr>
          <w:rFonts w:ascii="Times New Roman" w:hAnsi="Times New Roman" w:cs="Times New Roman"/>
          <w:color w:val="000000"/>
          <w:kern w:val="0"/>
          <w:sz w:val="32"/>
          <w:szCs w:val="32"/>
        </w:rPr>
      </w:pPr>
    </w:p>
    <w:p>
      <w:pPr>
        <w:pStyle w:val="5"/>
        <w:rPr>
          <w:rFonts w:ascii="Times New Roman" w:hAnsi="Times New Roman" w:cs="Times New Roman"/>
          <w:color w:val="000000"/>
          <w:kern w:val="0"/>
          <w:sz w:val="32"/>
          <w:szCs w:val="32"/>
        </w:rPr>
      </w:pPr>
    </w:p>
    <w:p>
      <w:pPr>
        <w:pStyle w:val="9"/>
      </w:pP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9"/>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pStyle w:val="9"/>
        <w:rPr>
          <w:rFonts w:ascii="Times New Roman" w:hAnsi="Times New Roman" w:cs="Times New Roman"/>
          <w:color w:val="000000"/>
          <w:kern w:val="0"/>
          <w:sz w:val="32"/>
          <w:szCs w:val="32"/>
        </w:rPr>
      </w:pPr>
    </w:p>
    <w:p>
      <w:pPr>
        <w:pStyle w:val="5"/>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9"/>
        <w:rPr>
          <w:rFonts w:ascii="Times New Roman" w:hAnsi="Times New Roman" w:cs="Times New Roman"/>
          <w:color w:val="000000"/>
          <w:kern w:val="0"/>
          <w:sz w:val="32"/>
          <w:szCs w:val="32"/>
        </w:rPr>
      </w:pPr>
    </w:p>
    <w:p>
      <w:pPr>
        <w:pStyle w:val="5"/>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益阳市秀峰路学校</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度本单位整体支出进行了绩效自评，现将具体绩效评价情况报告如下：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val="en-US" w:eastAsia="zh-CN"/>
        </w:rPr>
        <w:t>赫山区秀峰路</w:t>
      </w:r>
      <w:r>
        <w:rPr>
          <w:rFonts w:hint="eastAsia" w:ascii="仿宋" w:hAnsi="仿宋" w:eastAsia="仿宋" w:cs="仿宋"/>
          <w:b w:val="0"/>
          <w:bCs w:val="0"/>
          <w:sz w:val="32"/>
          <w:szCs w:val="32"/>
        </w:rPr>
        <w:t>学校是隶属于益阳市赫山区教育局的基础教育义务教育学校，是全额补助事业单位。</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度益阳市</w:t>
      </w:r>
      <w:r>
        <w:rPr>
          <w:rFonts w:hint="eastAsia" w:ascii="仿宋" w:hAnsi="仿宋" w:eastAsia="仿宋" w:cs="仿宋"/>
          <w:b w:val="0"/>
          <w:bCs w:val="0"/>
          <w:sz w:val="32"/>
          <w:szCs w:val="32"/>
          <w:lang w:val="en-US" w:eastAsia="zh-CN"/>
        </w:rPr>
        <w:t>赫山区秀峰路</w:t>
      </w:r>
      <w:r>
        <w:rPr>
          <w:rFonts w:hint="eastAsia" w:ascii="仿宋" w:hAnsi="仿宋" w:eastAsia="仿宋" w:cs="仿宋"/>
          <w:b w:val="0"/>
          <w:bCs w:val="0"/>
          <w:sz w:val="32"/>
          <w:szCs w:val="32"/>
        </w:rPr>
        <w:t>学校一般公共预算财政拨款支出总计</w:t>
      </w:r>
      <w:r>
        <w:rPr>
          <w:rFonts w:hint="eastAsia" w:ascii="仿宋" w:hAnsi="仿宋" w:eastAsia="仿宋" w:cs="仿宋"/>
          <w:b w:val="0"/>
          <w:bCs w:val="0"/>
          <w:sz w:val="32"/>
          <w:szCs w:val="32"/>
          <w:lang w:val="en-US" w:eastAsia="zh-CN"/>
        </w:rPr>
        <w:t>1939.87</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1878.80</w:t>
      </w:r>
      <w:r>
        <w:rPr>
          <w:rFonts w:hint="eastAsia" w:ascii="仿宋" w:hAnsi="仿宋" w:eastAsia="仿宋" w:cs="仿宋"/>
          <w:b w:val="0"/>
          <w:bCs w:val="0"/>
          <w:sz w:val="32"/>
          <w:szCs w:val="32"/>
        </w:rPr>
        <w:t>万元〔注：①人员经费</w:t>
      </w:r>
      <w:r>
        <w:rPr>
          <w:rFonts w:hint="eastAsia" w:ascii="仿宋" w:hAnsi="仿宋" w:eastAsia="仿宋" w:cs="仿宋"/>
          <w:b w:val="0"/>
          <w:bCs w:val="0"/>
          <w:sz w:val="32"/>
          <w:szCs w:val="32"/>
          <w:lang w:val="en-US" w:eastAsia="zh-CN"/>
        </w:rPr>
        <w:t>1245.59</w:t>
      </w:r>
      <w:r>
        <w:rPr>
          <w:rFonts w:hint="eastAsia" w:ascii="仿宋" w:hAnsi="仿宋" w:eastAsia="仿宋" w:cs="仿宋"/>
          <w:b w:val="0"/>
          <w:bCs w:val="0"/>
          <w:sz w:val="32"/>
          <w:szCs w:val="32"/>
        </w:rPr>
        <w:t>万元、②公用经费</w:t>
      </w:r>
      <w:r>
        <w:rPr>
          <w:rFonts w:hint="eastAsia" w:ascii="仿宋" w:hAnsi="仿宋" w:eastAsia="仿宋" w:cs="仿宋"/>
          <w:b w:val="0"/>
          <w:bCs w:val="0"/>
          <w:sz w:val="32"/>
          <w:szCs w:val="32"/>
          <w:lang w:val="en-US" w:eastAsia="zh-CN"/>
        </w:rPr>
        <w:t>633.22</w:t>
      </w:r>
      <w:r>
        <w:rPr>
          <w:rFonts w:hint="eastAsia" w:ascii="仿宋" w:hAnsi="仿宋" w:eastAsia="仿宋" w:cs="仿宋"/>
          <w:b w:val="0"/>
          <w:bCs w:val="0"/>
          <w:sz w:val="32"/>
          <w:szCs w:val="32"/>
        </w:rPr>
        <w:t>万元〕。</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61.07</w:t>
      </w:r>
      <w:r>
        <w:rPr>
          <w:rFonts w:hint="eastAsia" w:ascii="仿宋" w:hAnsi="仿宋" w:eastAsia="仿宋" w:cs="仿宋"/>
          <w:b w:val="0"/>
          <w:bCs w:val="0"/>
          <w:sz w:val="32"/>
          <w:szCs w:val="32"/>
        </w:rPr>
        <w:t>万元。</w:t>
      </w:r>
      <w:bookmarkStart w:id="3" w:name="_GoBack"/>
      <w:bookmarkEnd w:id="3"/>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，我校制定了《益阳市</w:t>
      </w:r>
      <w:r>
        <w:rPr>
          <w:rFonts w:hint="eastAsia" w:ascii="仿宋" w:hAnsi="仿宋" w:eastAsia="仿宋" w:cs="仿宋"/>
          <w:b w:val="0"/>
          <w:bCs w:val="0"/>
          <w:sz w:val="32"/>
          <w:szCs w:val="32"/>
          <w:lang w:val="en-US" w:eastAsia="zh-CN"/>
        </w:rPr>
        <w:t>赫山区秀峰路</w:t>
      </w:r>
      <w:r>
        <w:rPr>
          <w:rFonts w:hint="eastAsia" w:ascii="仿宋" w:hAnsi="仿宋" w:eastAsia="仿宋" w:cs="仿宋"/>
          <w:b w:val="0"/>
          <w:bCs w:val="0"/>
          <w:sz w:val="32"/>
          <w:szCs w:val="32"/>
        </w:rPr>
        <w:t>学校内部控制制度》、《益阳市</w:t>
      </w:r>
      <w:r>
        <w:rPr>
          <w:rFonts w:hint="eastAsia" w:ascii="仿宋" w:hAnsi="仿宋" w:eastAsia="仿宋" w:cs="仿宋"/>
          <w:b w:val="0"/>
          <w:bCs w:val="0"/>
          <w:sz w:val="32"/>
          <w:szCs w:val="32"/>
          <w:lang w:val="en-US" w:eastAsia="zh-CN"/>
        </w:rPr>
        <w:t>赫山区秀峰路</w:t>
      </w:r>
      <w:r>
        <w:rPr>
          <w:rFonts w:hint="eastAsia" w:ascii="仿宋" w:hAnsi="仿宋" w:eastAsia="仿宋" w:cs="仿宋"/>
          <w:b w:val="0"/>
          <w:bCs w:val="0"/>
          <w:sz w:val="32"/>
          <w:szCs w:val="32"/>
        </w:rPr>
        <w:t>学校财务管理制度》、《益阳市</w:t>
      </w:r>
      <w:r>
        <w:rPr>
          <w:rFonts w:hint="eastAsia" w:ascii="仿宋" w:hAnsi="仿宋" w:eastAsia="仿宋" w:cs="仿宋"/>
          <w:b w:val="0"/>
          <w:bCs w:val="0"/>
          <w:sz w:val="32"/>
          <w:szCs w:val="32"/>
          <w:lang w:val="en-US" w:eastAsia="zh-CN"/>
        </w:rPr>
        <w:t>赫山区秀峰路</w:t>
      </w:r>
      <w:r>
        <w:rPr>
          <w:rFonts w:hint="eastAsia" w:ascii="仿宋" w:hAnsi="仿宋" w:eastAsia="仿宋" w:cs="仿宋"/>
          <w:b w:val="0"/>
          <w:bCs w:val="0"/>
          <w:sz w:val="32"/>
          <w:szCs w:val="32"/>
        </w:rPr>
        <w:t>学校物资采购制度》、《内部审计制度》等一系列内部控制制度，相关制度合法合规、完整，并得到有效执行。</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度部门整体支出数据的准确性、真实性进行核实，将</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度预算安排、非税收入、预算追加、资金管理、经费支出、资产管理等相关文件资料和财务凭证。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以来总计投入</w:t>
      </w:r>
      <w:r>
        <w:rPr>
          <w:rFonts w:hint="eastAsia" w:ascii="仿宋" w:hAnsi="仿宋" w:eastAsia="仿宋" w:cs="仿宋"/>
          <w:b w:val="0"/>
          <w:bCs w:val="0"/>
          <w:sz w:val="32"/>
          <w:szCs w:val="32"/>
          <w:lang w:val="en-US" w:eastAsia="zh-CN"/>
        </w:rPr>
        <w:t>85</w:t>
      </w:r>
      <w:r>
        <w:rPr>
          <w:rFonts w:hint="eastAsia" w:ascii="仿宋" w:hAnsi="仿宋" w:eastAsia="仿宋" w:cs="仿宋"/>
          <w:b w:val="0"/>
          <w:bCs w:val="0"/>
          <w:sz w:val="32"/>
          <w:szCs w:val="32"/>
        </w:rPr>
        <w:t>万元，主要用于学校维修改造</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pPr>
        <w:jc w:val="left"/>
        <w:rPr>
          <w:rFonts w:ascii="Times New Roman" w:hAnsi="Times New Roman" w:cs="Times New Roman"/>
          <w:color w:val="000000"/>
          <w:kern w:val="0"/>
          <w:sz w:val="32"/>
          <w:szCs w:val="32"/>
        </w:rPr>
      </w:pPr>
    </w:p>
    <w:p>
      <w:pPr>
        <w:pStyle w:val="9"/>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C26432C"/>
    <w:rsid w:val="0D1171B2"/>
    <w:rsid w:val="0D165618"/>
    <w:rsid w:val="0D421DD9"/>
    <w:rsid w:val="0D9532AB"/>
    <w:rsid w:val="113F222E"/>
    <w:rsid w:val="12FA386A"/>
    <w:rsid w:val="168C305B"/>
    <w:rsid w:val="195E16BF"/>
    <w:rsid w:val="1A7F5449"/>
    <w:rsid w:val="1B1C713C"/>
    <w:rsid w:val="1B334486"/>
    <w:rsid w:val="1D34378C"/>
    <w:rsid w:val="1D97DEFF"/>
    <w:rsid w:val="1DE97868"/>
    <w:rsid w:val="1DFF72E5"/>
    <w:rsid w:val="1ECC695D"/>
    <w:rsid w:val="1EFC6F07"/>
    <w:rsid w:val="20653333"/>
    <w:rsid w:val="22770ACA"/>
    <w:rsid w:val="24CF245B"/>
    <w:rsid w:val="26093F35"/>
    <w:rsid w:val="26563BE8"/>
    <w:rsid w:val="271B488C"/>
    <w:rsid w:val="27F33914"/>
    <w:rsid w:val="289935A8"/>
    <w:rsid w:val="2A310F21"/>
    <w:rsid w:val="2BB3650F"/>
    <w:rsid w:val="2E4C168F"/>
    <w:rsid w:val="2FDF85B8"/>
    <w:rsid w:val="2FFC690A"/>
    <w:rsid w:val="2FFFEE04"/>
    <w:rsid w:val="34DF85B0"/>
    <w:rsid w:val="36AE23F8"/>
    <w:rsid w:val="371C2474"/>
    <w:rsid w:val="37863E63"/>
    <w:rsid w:val="39DE4C98"/>
    <w:rsid w:val="3A91674F"/>
    <w:rsid w:val="3B8F36BC"/>
    <w:rsid w:val="3C5A766D"/>
    <w:rsid w:val="3CCD576A"/>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5C5FFD"/>
    <w:rsid w:val="5FC6BB1E"/>
    <w:rsid w:val="5FF720F1"/>
    <w:rsid w:val="60CF7795"/>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C37683"/>
    <w:rsid w:val="79D19834"/>
    <w:rsid w:val="79FF515B"/>
    <w:rsid w:val="7A1D5A82"/>
    <w:rsid w:val="7BF549BF"/>
    <w:rsid w:val="7CA91C0C"/>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7229</Words>
  <Characters>8479</Characters>
  <Lines>69</Lines>
  <Paragraphs>19</Paragraphs>
  <TotalTime>33</TotalTime>
  <ScaleCrop>false</ScaleCrop>
  <LinksUpToDate>false</LinksUpToDate>
  <CharactersWithSpaces>9727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2026-09-05T11:53:07Z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