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益阳市新市渡镇中心学校</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益阳市新市渡镇中心学校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益阳市新市渡镇中心学校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493B7165">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益阳市新市渡镇中心学校内设机构：政教处、总务处、后勤管理处、德育处、党建办等。</w:t>
      </w:r>
    </w:p>
    <w:p w14:paraId="4060F7F9">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（二）决算单位构成。</w:t>
      </w:r>
    </w:p>
    <w:p w14:paraId="0097CEAF">
      <w:pPr>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Times New Roman"/>
          <w:bCs/>
          <w:kern w:val="0"/>
          <w:sz w:val="32"/>
          <w:szCs w:val="32"/>
        </w:rPr>
        <w:t>益阳市新市渡镇中心学校202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年部门决算汇总公开单位构成包括：新市渡镇中心学校、新市渡镇新凤学校、新市渡镇欧公店学校、新市渡镇田庄学校、新市渡镇中心幼儿园。</w:t>
      </w: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1,409.77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19.70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1,527.36</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w:t>
            </w:r>
            <w:r>
              <w:rPr>
                <w:rFonts w:hint="eastAsia" w:ascii="Times New Roman" w:hAnsi="Times New Roman" w:eastAsia="仿宋_GB2312" w:cs="Times New Roman"/>
                <w:color w:val="000000"/>
                <w:kern w:val="0"/>
                <w:sz w:val="24"/>
                <w:szCs w:val="24"/>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hint="default" w:ascii="Times New Roman" w:hAnsi="Times New Roman" w:eastAsia="仿宋_GB2312" w:cs="Times New Roman"/>
                <w:color w:val="000000"/>
                <w:sz w:val="22"/>
                <w:lang w:val="en-US" w:eastAsia="zh-CN"/>
              </w:rPr>
            </w:pPr>
            <w:r>
              <w:rPr>
                <w:rFonts w:hint="eastAsia" w:ascii="宋体" w:hAnsi="宋体" w:eastAsia="宋体" w:cs="宋体"/>
                <w:i w:val="0"/>
                <w:iCs w:val="0"/>
                <w:color w:val="000000"/>
                <w:kern w:val="0"/>
                <w:sz w:val="22"/>
                <w:szCs w:val="22"/>
                <w:u w:val="none"/>
                <w:lang w:val="en-US" w:eastAsia="zh-CN" w:bidi="ar"/>
              </w:rPr>
              <w:t>2.76</w:t>
            </w: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100.65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1,530.12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1,530.12 </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ascii="Times New Roman" w:hAnsi="Times New Roman" w:eastAsia="仿宋_GB2312" w:cs="Times New Roman"/>
                <w:color w:val="000000"/>
                <w:sz w:val="22"/>
              </w:rPr>
            </w:pP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 xml:space="preserve">1,530.12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ascii="Times New Roman" w:hAnsi="Times New Roman" w:eastAsia="仿宋_GB2312" w:cs="Times New Roman"/>
                <w:b/>
                <w:color w:val="000000"/>
                <w:sz w:val="22"/>
              </w:rPr>
            </w:pPr>
            <w:r>
              <w:rPr>
                <w:rFonts w:hint="eastAsia" w:ascii="宋体" w:hAnsi="宋体" w:eastAsia="宋体" w:cs="宋体"/>
                <w:i w:val="0"/>
                <w:iCs w:val="0"/>
                <w:color w:val="000000"/>
                <w:kern w:val="0"/>
                <w:sz w:val="22"/>
                <w:szCs w:val="22"/>
                <w:u w:val="none"/>
                <w:lang w:val="en-US" w:eastAsia="zh-CN" w:bidi="ar"/>
              </w:rPr>
              <w:t>1,530.12</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1,530.12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1,409.77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100.65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22.95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107.79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1,322.19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1,201.84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19.70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100.65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10.05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2080116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2.76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1,530.12 </w:t>
            </w:r>
          </w:p>
        </w:tc>
        <w:tc>
          <w:tcPr>
            <w:tcW w:w="1334" w:type="dxa"/>
            <w:tcBorders>
              <w:top w:val="nil"/>
              <w:left w:val="nil"/>
              <w:bottom w:val="single" w:color="auto" w:sz="4" w:space="0"/>
              <w:right w:val="single" w:color="auto" w:sz="4" w:space="0"/>
            </w:tcBorders>
            <w:shd w:val="clear" w:color="auto" w:fill="auto"/>
            <w:noWrap/>
            <w:vAlign w:val="center"/>
          </w:tcPr>
          <w:p w14:paraId="7B877F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1,463.27 </w:t>
            </w:r>
          </w:p>
        </w:tc>
        <w:tc>
          <w:tcPr>
            <w:tcW w:w="1334" w:type="dxa"/>
            <w:tcBorders>
              <w:top w:val="nil"/>
              <w:left w:val="nil"/>
              <w:bottom w:val="single" w:color="auto" w:sz="4" w:space="0"/>
              <w:right w:val="single" w:color="auto" w:sz="4" w:space="0"/>
            </w:tcBorders>
            <w:shd w:val="clear" w:color="auto" w:fill="auto"/>
            <w:noWrap/>
            <w:vAlign w:val="center"/>
          </w:tcPr>
          <w:p w14:paraId="2345BE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66.85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695A50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22.95 </w:t>
            </w:r>
          </w:p>
        </w:tc>
        <w:tc>
          <w:tcPr>
            <w:tcW w:w="1334" w:type="dxa"/>
            <w:tcBorders>
              <w:top w:val="nil"/>
              <w:left w:val="nil"/>
              <w:bottom w:val="single" w:color="auto" w:sz="4" w:space="0"/>
              <w:right w:val="single" w:color="auto" w:sz="4" w:space="0"/>
            </w:tcBorders>
            <w:shd w:val="clear" w:color="auto" w:fill="auto"/>
            <w:noWrap/>
            <w:vAlign w:val="center"/>
          </w:tcPr>
          <w:p w14:paraId="66F70C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22.95 </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273166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877" w:type="dxa"/>
            <w:tcBorders>
              <w:top w:val="nil"/>
              <w:left w:val="nil"/>
              <w:bottom w:val="single" w:color="auto" w:sz="4" w:space="0"/>
              <w:right w:val="single" w:color="auto" w:sz="4" w:space="0"/>
            </w:tcBorders>
            <w:shd w:val="clear" w:color="auto" w:fill="auto"/>
            <w:noWrap/>
            <w:vAlign w:val="center"/>
          </w:tcPr>
          <w:p w14:paraId="1F38D8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107.79 </w:t>
            </w:r>
          </w:p>
        </w:tc>
        <w:tc>
          <w:tcPr>
            <w:tcW w:w="1334" w:type="dxa"/>
            <w:tcBorders>
              <w:top w:val="nil"/>
              <w:left w:val="nil"/>
              <w:bottom w:val="single" w:color="auto" w:sz="4" w:space="0"/>
              <w:right w:val="single" w:color="auto" w:sz="4" w:space="0"/>
            </w:tcBorders>
            <w:shd w:val="clear" w:color="auto" w:fill="auto"/>
            <w:noWrap/>
            <w:vAlign w:val="center"/>
          </w:tcPr>
          <w:p w14:paraId="603F3F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107.79 </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30ED01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877" w:type="dxa"/>
            <w:tcBorders>
              <w:top w:val="nil"/>
              <w:left w:val="nil"/>
              <w:bottom w:val="single" w:color="auto" w:sz="4" w:space="0"/>
              <w:right w:val="single" w:color="auto" w:sz="4" w:space="0"/>
            </w:tcBorders>
            <w:shd w:val="clear" w:color="auto" w:fill="auto"/>
            <w:noWrap/>
            <w:vAlign w:val="center"/>
          </w:tcPr>
          <w:p w14:paraId="141DD8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64.38 </w:t>
            </w:r>
          </w:p>
        </w:tc>
        <w:tc>
          <w:tcPr>
            <w:tcW w:w="1334" w:type="dxa"/>
            <w:tcBorders>
              <w:top w:val="nil"/>
              <w:left w:val="nil"/>
              <w:bottom w:val="single" w:color="auto" w:sz="4" w:space="0"/>
              <w:right w:val="single" w:color="auto" w:sz="4" w:space="0"/>
            </w:tcBorders>
            <w:shd w:val="clear" w:color="auto" w:fill="auto"/>
            <w:noWrap/>
            <w:vAlign w:val="center"/>
          </w:tcPr>
          <w:p w14:paraId="52DA76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64.38 </w:t>
            </w: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2204829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2C46E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1,322.19 </w:t>
            </w:r>
          </w:p>
        </w:tc>
        <w:tc>
          <w:tcPr>
            <w:tcW w:w="1334" w:type="dxa"/>
            <w:tcBorders>
              <w:top w:val="nil"/>
              <w:left w:val="nil"/>
              <w:bottom w:val="single" w:color="auto" w:sz="4" w:space="0"/>
              <w:right w:val="single" w:color="auto" w:sz="4" w:space="0"/>
            </w:tcBorders>
            <w:shd w:val="clear" w:color="auto" w:fill="auto"/>
            <w:noWrap/>
            <w:vAlign w:val="center"/>
          </w:tcPr>
          <w:p w14:paraId="392CD1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1,265.39 </w:t>
            </w:r>
          </w:p>
        </w:tc>
        <w:tc>
          <w:tcPr>
            <w:tcW w:w="1334" w:type="dxa"/>
            <w:tcBorders>
              <w:top w:val="nil"/>
              <w:left w:val="nil"/>
              <w:bottom w:val="single" w:color="auto" w:sz="4" w:space="0"/>
              <w:right w:val="single" w:color="auto" w:sz="4" w:space="0"/>
            </w:tcBorders>
            <w:shd w:val="clear" w:color="auto" w:fill="auto"/>
            <w:noWrap/>
            <w:vAlign w:val="center"/>
          </w:tcPr>
          <w:p w14:paraId="2E40D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56.80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57575FB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877" w:type="dxa"/>
            <w:tcBorders>
              <w:top w:val="nil"/>
              <w:left w:val="nil"/>
              <w:bottom w:val="single" w:color="auto" w:sz="4" w:space="0"/>
              <w:right w:val="single" w:color="auto" w:sz="4" w:space="0"/>
            </w:tcBorders>
            <w:shd w:val="clear" w:color="auto" w:fill="auto"/>
            <w:noWrap/>
            <w:vAlign w:val="center"/>
          </w:tcPr>
          <w:p w14:paraId="369AF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10.05 </w:t>
            </w:r>
          </w:p>
        </w:tc>
        <w:tc>
          <w:tcPr>
            <w:tcW w:w="1334" w:type="dxa"/>
            <w:tcBorders>
              <w:top w:val="nil"/>
              <w:left w:val="nil"/>
              <w:bottom w:val="single" w:color="auto" w:sz="4" w:space="0"/>
              <w:right w:val="single" w:color="auto" w:sz="4" w:space="0"/>
            </w:tcBorders>
            <w:shd w:val="clear" w:color="auto" w:fill="auto"/>
            <w:noWrap/>
            <w:vAlign w:val="center"/>
          </w:tcPr>
          <w:p w14:paraId="086D72CE">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14:paraId="1D3457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10.05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337" w:type="dxa"/>
            <w:tcBorders>
              <w:top w:val="nil"/>
              <w:left w:val="nil"/>
              <w:bottom w:val="single" w:color="auto" w:sz="4" w:space="0"/>
              <w:right w:val="single" w:color="auto" w:sz="4" w:space="0"/>
            </w:tcBorders>
            <w:shd w:val="clear" w:color="000000" w:fill="FFFFFF"/>
            <w:noWrap/>
            <w:vAlign w:val="center"/>
          </w:tcPr>
          <w:p w14:paraId="62EAF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引进人才费用</w:t>
            </w:r>
          </w:p>
        </w:tc>
        <w:tc>
          <w:tcPr>
            <w:tcW w:w="1877" w:type="dxa"/>
            <w:tcBorders>
              <w:top w:val="nil"/>
              <w:left w:val="nil"/>
              <w:bottom w:val="single" w:color="auto" w:sz="4" w:space="0"/>
              <w:right w:val="single" w:color="auto" w:sz="4" w:space="0"/>
            </w:tcBorders>
            <w:shd w:val="clear" w:color="auto" w:fill="auto"/>
            <w:noWrap/>
            <w:vAlign w:val="center"/>
          </w:tcPr>
          <w:p w14:paraId="038C9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2.76 </w:t>
            </w:r>
          </w:p>
        </w:tc>
        <w:tc>
          <w:tcPr>
            <w:tcW w:w="1334" w:type="dxa"/>
            <w:tcBorders>
              <w:top w:val="nil"/>
              <w:left w:val="nil"/>
              <w:bottom w:val="single" w:color="auto" w:sz="4" w:space="0"/>
              <w:right w:val="single" w:color="auto" w:sz="4" w:space="0"/>
            </w:tcBorders>
            <w:shd w:val="clear" w:color="auto" w:fill="auto"/>
            <w:noWrap/>
            <w:vAlign w:val="center"/>
          </w:tcPr>
          <w:p w14:paraId="63F58F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2.76 </w:t>
            </w:r>
          </w:p>
        </w:tc>
        <w:tc>
          <w:tcPr>
            <w:tcW w:w="1334" w:type="dxa"/>
            <w:tcBorders>
              <w:top w:val="nil"/>
              <w:left w:val="nil"/>
              <w:bottom w:val="single" w:color="auto" w:sz="4" w:space="0"/>
              <w:right w:val="single" w:color="auto" w:sz="4" w:space="0"/>
            </w:tcBorders>
            <w:shd w:val="clear" w:color="auto" w:fill="auto"/>
            <w:noWrap/>
            <w:vAlign w:val="center"/>
          </w:tcPr>
          <w:p w14:paraId="378FA2AF">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856"/>
        <w:gridCol w:w="616"/>
        <w:gridCol w:w="931"/>
        <w:gridCol w:w="1619"/>
        <w:gridCol w:w="1436"/>
        <w:gridCol w:w="1534"/>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1,409.77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1407.01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CE9BE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1407.01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8D726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1,409.77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1409.77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A56BB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1409.77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1,409.77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0D79F35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1409.77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749AB3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1409.77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1,409.77</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1,342.92</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66.85</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22.95</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22.95</w:t>
            </w:r>
          </w:p>
        </w:tc>
        <w:tc>
          <w:tcPr>
            <w:tcW w:w="3000" w:type="dxa"/>
            <w:tcBorders>
              <w:top w:val="nil"/>
              <w:left w:val="nil"/>
              <w:bottom w:val="single" w:color="auto" w:sz="4" w:space="0"/>
              <w:right w:val="single" w:color="auto" w:sz="8" w:space="0"/>
            </w:tcBorders>
            <w:shd w:val="clear" w:color="auto" w:fill="auto"/>
            <w:vAlign w:val="center"/>
          </w:tcPr>
          <w:p w14:paraId="56DA6E3C">
            <w:pPr>
              <w:jc w:val="center"/>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107.79</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107.79</w:t>
            </w:r>
          </w:p>
        </w:tc>
        <w:tc>
          <w:tcPr>
            <w:tcW w:w="3000" w:type="dxa"/>
            <w:tcBorders>
              <w:top w:val="nil"/>
              <w:left w:val="nil"/>
              <w:bottom w:val="single" w:color="auto" w:sz="4" w:space="0"/>
              <w:right w:val="single" w:color="auto" w:sz="8" w:space="0"/>
            </w:tcBorders>
            <w:shd w:val="clear" w:color="auto" w:fill="auto"/>
            <w:vAlign w:val="center"/>
          </w:tcPr>
          <w:p w14:paraId="450A7A5A">
            <w:pPr>
              <w:jc w:val="center"/>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64.38</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64.38</w:t>
            </w:r>
          </w:p>
        </w:tc>
        <w:tc>
          <w:tcPr>
            <w:tcW w:w="3000" w:type="dxa"/>
            <w:tcBorders>
              <w:top w:val="nil"/>
              <w:left w:val="nil"/>
              <w:bottom w:val="single" w:color="auto" w:sz="4" w:space="0"/>
              <w:right w:val="single" w:color="auto" w:sz="8" w:space="0"/>
            </w:tcBorders>
            <w:shd w:val="clear" w:color="auto" w:fill="auto"/>
            <w:vAlign w:val="center"/>
          </w:tcPr>
          <w:p w14:paraId="4793A3D7">
            <w:pPr>
              <w:jc w:val="center"/>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1,201.84</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1,145.04</w:t>
            </w: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56.80</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10.05</w:t>
            </w:r>
          </w:p>
        </w:tc>
        <w:tc>
          <w:tcPr>
            <w:tcW w:w="3492" w:type="dxa"/>
            <w:tcBorders>
              <w:top w:val="nil"/>
              <w:left w:val="nil"/>
              <w:bottom w:val="single" w:color="auto" w:sz="4" w:space="0"/>
              <w:right w:val="single" w:color="auto" w:sz="4" w:space="0"/>
            </w:tcBorders>
            <w:shd w:val="clear" w:color="auto" w:fill="auto"/>
            <w:vAlign w:val="center"/>
          </w:tcPr>
          <w:p w14:paraId="2AE28AF6">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10.05</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8"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2.76</w:t>
            </w: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2.76</w:t>
            </w:r>
          </w:p>
        </w:tc>
        <w:tc>
          <w:tcPr>
            <w:tcW w:w="3000" w:type="dxa"/>
            <w:tcBorders>
              <w:top w:val="nil"/>
              <w:left w:val="nil"/>
              <w:bottom w:val="single" w:color="auto" w:sz="8" w:space="0"/>
              <w:right w:val="single" w:color="auto" w:sz="8" w:space="0"/>
            </w:tcBorders>
            <w:shd w:val="clear" w:color="auto" w:fill="auto"/>
            <w:vAlign w:val="center"/>
          </w:tcPr>
          <w:p w14:paraId="0D219110">
            <w:pPr>
              <w:jc w:val="center"/>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3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1131.08</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145.06</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3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365.78　</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17.98</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blPrEx>
          <w:tblCellMar>
            <w:top w:w="0" w:type="dxa"/>
            <w:left w:w="108" w:type="dxa"/>
            <w:bottom w:w="0" w:type="dxa"/>
            <w:right w:w="108" w:type="dxa"/>
          </w:tblCellMar>
        </w:tblPrEx>
        <w:trPr>
          <w:trHeight w:val="25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187.71</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14.97</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42DCA">
        <w:tblPrEx>
          <w:tblCellMar>
            <w:top w:w="0" w:type="dxa"/>
            <w:left w:w="108" w:type="dxa"/>
            <w:bottom w:w="0" w:type="dxa"/>
            <w:right w:w="108" w:type="dxa"/>
          </w:tblCellMar>
        </w:tblPrEx>
        <w:trPr>
          <w:trHeight w:val="2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206.92</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1.29</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156.7</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10.75</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33.13</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66.6</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16.9</w:t>
            </w: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w:t>
            </w: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90.04</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30.68</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24.2</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66.78</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1.73</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9.03</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w:t>
            </w: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43.28</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15.8</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6.00</w:t>
            </w: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0.78</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19.2</w:t>
            </w: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widowControl/>
              <w:jc w:val="left"/>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17.75</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57"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1197.86</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145.06</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入总计1530.12万元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学校维修改造的项目资金减少</w:t>
      </w:r>
      <w:r>
        <w:rPr>
          <w:rFonts w:hint="eastAsia" w:ascii="Times New Roman" w:hAnsi="Times New Roman" w:eastAsia="仿宋_GB2312" w:cs="Times New Roman"/>
          <w:sz w:val="32"/>
          <w:szCs w:val="32"/>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1409.77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92.12</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1.29</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100.65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6.59</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1463.27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95.63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66.85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4.37</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入总计1409.77万元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1409.77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7.99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EF5E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1409.77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92.13</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0.56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维修改造项目支出减少。</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1409.77</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1407.01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2.76万元，占0.2%。</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819.64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1409.77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172.00</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22.95</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4.25</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107.79</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val="en-US" w:eastAsia="zh-CN"/>
        </w:rPr>
        <w:t>大部分</w:t>
      </w:r>
      <w:r>
        <w:rPr>
          <w:rFonts w:hint="eastAsia" w:ascii="Times New Roman" w:hAnsi="Times New Roman" w:eastAsia="仿宋_GB2312" w:cs="Times New Roman"/>
          <w:sz w:val="32"/>
          <w:szCs w:val="32"/>
        </w:rPr>
        <w:t>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5.84</w:t>
      </w:r>
      <w:r>
        <w:rPr>
          <w:rFonts w:hint="eastAsia"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64.38</w:t>
      </w:r>
      <w:r>
        <w:rPr>
          <w:rFonts w:hint="eastAsia" w:ascii="Times New Roman" w:hAnsi="Times New Roman" w:eastAsia="仿宋_GB2312" w:cs="Times New Roman"/>
          <w:sz w:val="32"/>
          <w:szCs w:val="32"/>
        </w:rPr>
        <w:t>万元。决算数大于预算数的主要原因是预算时</w:t>
      </w:r>
      <w:r>
        <w:rPr>
          <w:rFonts w:hint="eastAsia" w:ascii="Times New Roman" w:hAnsi="Times New Roman" w:eastAsia="仿宋_GB2312" w:cs="Times New Roman"/>
          <w:sz w:val="32"/>
          <w:szCs w:val="32"/>
          <w:lang w:val="en-US" w:eastAsia="zh-CN"/>
        </w:rPr>
        <w:t>大部分</w:t>
      </w:r>
      <w:r>
        <w:rPr>
          <w:rFonts w:hint="eastAsia" w:ascii="Times New Roman" w:hAnsi="Times New Roman" w:eastAsia="仿宋_GB2312" w:cs="Times New Roman"/>
          <w:sz w:val="32"/>
          <w:szCs w:val="32"/>
        </w:rPr>
        <w:t>纳入教育支出（类）普通教育（款）其他普通教育支出（项），决算时</w:t>
      </w:r>
      <w:bookmarkStart w:id="3" w:name="_GoBack"/>
      <w:bookmarkEnd w:id="3"/>
      <w:r>
        <w:rPr>
          <w:rFonts w:hint="eastAsia" w:ascii="Times New Roman" w:hAnsi="Times New Roman" w:eastAsia="仿宋_GB2312" w:cs="Times New Roman"/>
          <w:sz w:val="32"/>
          <w:szCs w:val="32"/>
        </w:rPr>
        <w:t>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770.00</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1201.84</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10.05</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2.76</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1201.84</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85.25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1342.92</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1197.86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145.06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1.73</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240</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9.03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345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66.85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66.85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1564.71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1530.12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97.79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9E17958">
      <w:pPr>
        <w:rPr>
          <w:rFonts w:ascii="Times New Roman" w:hAnsi="Times New Roman" w:cs="Times New Roman"/>
          <w:sz w:val="72"/>
          <w:szCs w:val="72"/>
        </w:rPr>
      </w:pPr>
    </w:p>
    <w:p w14:paraId="105A9003">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50CF1DD1">
      <w:pPr>
        <w:pStyle w:val="12"/>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w:t>
      </w:r>
    </w:p>
    <w:p w14:paraId="67E44960">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9E30D12"/>
    <w:rsid w:val="0B1D50BA"/>
    <w:rsid w:val="0B4D7F8C"/>
    <w:rsid w:val="0D1171B2"/>
    <w:rsid w:val="0D421DD9"/>
    <w:rsid w:val="0D9532AB"/>
    <w:rsid w:val="12FA386A"/>
    <w:rsid w:val="195E16BF"/>
    <w:rsid w:val="1A7F5449"/>
    <w:rsid w:val="1B334486"/>
    <w:rsid w:val="1D34378C"/>
    <w:rsid w:val="1D97DEFF"/>
    <w:rsid w:val="1DE97868"/>
    <w:rsid w:val="1DFF72E5"/>
    <w:rsid w:val="1ECC695D"/>
    <w:rsid w:val="1EFC6F07"/>
    <w:rsid w:val="20653333"/>
    <w:rsid w:val="22DC6F7E"/>
    <w:rsid w:val="24CF245B"/>
    <w:rsid w:val="26093F35"/>
    <w:rsid w:val="271B488C"/>
    <w:rsid w:val="27F33914"/>
    <w:rsid w:val="2A310F21"/>
    <w:rsid w:val="2FDF85B8"/>
    <w:rsid w:val="2FFC690A"/>
    <w:rsid w:val="2FFFEE04"/>
    <w:rsid w:val="34DF85B0"/>
    <w:rsid w:val="371C2474"/>
    <w:rsid w:val="37863E63"/>
    <w:rsid w:val="39DE4C98"/>
    <w:rsid w:val="3A91674F"/>
    <w:rsid w:val="3B8F36BC"/>
    <w:rsid w:val="3D8F33AD"/>
    <w:rsid w:val="407C28A5"/>
    <w:rsid w:val="455F1926"/>
    <w:rsid w:val="491FF225"/>
    <w:rsid w:val="4AF73F53"/>
    <w:rsid w:val="4BD31AF3"/>
    <w:rsid w:val="4FFD214C"/>
    <w:rsid w:val="50F54B3B"/>
    <w:rsid w:val="51942920"/>
    <w:rsid w:val="53353DD9"/>
    <w:rsid w:val="5719079F"/>
    <w:rsid w:val="5777D4F5"/>
    <w:rsid w:val="59945E9B"/>
    <w:rsid w:val="59DD8326"/>
    <w:rsid w:val="5BA5225B"/>
    <w:rsid w:val="5DEF592A"/>
    <w:rsid w:val="5E3D1B0F"/>
    <w:rsid w:val="5FC6BB1E"/>
    <w:rsid w:val="5FF720F1"/>
    <w:rsid w:val="60E1122D"/>
    <w:rsid w:val="63A81F60"/>
    <w:rsid w:val="642D031A"/>
    <w:rsid w:val="658C7FE7"/>
    <w:rsid w:val="67FF5C0B"/>
    <w:rsid w:val="68C55224"/>
    <w:rsid w:val="6968585F"/>
    <w:rsid w:val="6DE5081F"/>
    <w:rsid w:val="6EFC0924"/>
    <w:rsid w:val="6FB74722"/>
    <w:rsid w:val="6FEF8B7E"/>
    <w:rsid w:val="718D5813"/>
    <w:rsid w:val="71A6591B"/>
    <w:rsid w:val="729C6A50"/>
    <w:rsid w:val="737D59BA"/>
    <w:rsid w:val="75AF0A47"/>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1528</Words>
  <Characters>1735</Characters>
  <Lines>69</Lines>
  <Paragraphs>19</Paragraphs>
  <TotalTime>3</TotalTime>
  <ScaleCrop>false</ScaleCrop>
  <LinksUpToDate>false</LinksUpToDate>
  <CharactersWithSpaces>1940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贺靖</cp:lastModifiedBy>
  <cp:lastPrinted>2024-08-10T02:20:00Z</cp:lastPrinted>
  <dcterms:modified xsi:type="dcterms:W3CDTF">2026-09-04T02:52:04Z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2628D4CDBB3D458B93EDC0A4B05D94B1_13</vt:lpwstr>
  </property>
  <property fmtid="{D5CDD505-2E9C-101B-9397-08002B2CF9AE}" pid="4" name="KSOTemplateDocerSaveRecord">
    <vt:lpwstr>eyJoZGlkIjoiYjkyZDkxODQ1MDVjNDk3NGQ2MGU2NGI4NmIyMTVjMzUiLCJ1c2VySWQiOiIzMDczMTI1OTcifQ==</vt:lpwstr>
  </property>
</Properties>
</file>