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益阳市衡龙桥镇中心学校</w:t>
      </w:r>
      <w:r>
        <w:rPr>
          <w:rFonts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0F08D428">
      <w:pPr>
        <w:pStyle w:val="12"/>
        <w:jc w:val="center"/>
        <w:rPr>
          <w:rFonts w:ascii="Times New Roman" w:hAnsi="Times New Roman" w:cs="Times New Roman"/>
          <w:sz w:val="32"/>
          <w:szCs w:val="32"/>
        </w:rPr>
      </w:pPr>
    </w:p>
    <w:p w14:paraId="37D17DB1">
      <w:pPr>
        <w:pStyle w:val="12"/>
        <w:jc w:val="center"/>
        <w:rPr>
          <w:rFonts w:ascii="Times New Roman" w:hAnsi="Times New Roman" w:cs="Times New Roman"/>
          <w:sz w:val="32"/>
          <w:szCs w:val="32"/>
        </w:rPr>
      </w:pPr>
    </w:p>
    <w:p w14:paraId="10143232">
      <w:pPr>
        <w:pStyle w:val="12"/>
        <w:jc w:val="center"/>
        <w:rPr>
          <w:rFonts w:ascii="Times New Roman" w:hAnsi="Times New Roman" w:cs="Times New Roman"/>
          <w:sz w:val="32"/>
          <w:szCs w:val="32"/>
        </w:rPr>
      </w:pPr>
    </w:p>
    <w:p w14:paraId="04E23252">
      <w:pPr>
        <w:pStyle w:val="12"/>
        <w:jc w:val="center"/>
        <w:rPr>
          <w:rFonts w:ascii="Times New Roman" w:hAnsi="Times New Roman" w:cs="Times New Roman"/>
          <w:sz w:val="32"/>
          <w:szCs w:val="32"/>
        </w:rPr>
      </w:pPr>
    </w:p>
    <w:p w14:paraId="0E9B64B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FFB7817">
      <w:pPr>
        <w:pStyle w:val="12"/>
        <w:spacing w:line="600" w:lineRule="exact"/>
        <w:jc w:val="both"/>
        <w:rPr>
          <w:rFonts w:ascii="Times New Roman" w:hAnsi="Times New Roman" w:cs="Times New Roman"/>
          <w:b/>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益阳市衡龙桥镇中心学校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益阳市衡龙桥镇中心学校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792F1828">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9767C41">
      <w:pPr>
        <w:ind w:firstLine="640" w:firstLineChars="200"/>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93B716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衡龙桥镇</w:t>
      </w:r>
      <w:r>
        <w:rPr>
          <w:rFonts w:hint="eastAsia" w:ascii="Times New Roman" w:hAnsi="Times New Roman" w:eastAsia="仿宋_GB2312" w:cs="Times New Roman"/>
          <w:bCs/>
          <w:kern w:val="0"/>
          <w:sz w:val="32"/>
          <w:szCs w:val="32"/>
        </w:rPr>
        <w:t>中心学校内设机构：政教处、总务处、后勤管理处、德育处、党建办等。</w:t>
      </w:r>
    </w:p>
    <w:p w14:paraId="42B7BF5A">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7A5FCA14">
      <w:pPr>
        <w:ind w:firstLine="640" w:firstLineChars="200"/>
        <w:jc w:val="left"/>
        <w:rPr>
          <w:rFonts w:hint="default"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衡龙桥镇</w:t>
      </w:r>
      <w:r>
        <w:rPr>
          <w:rFonts w:hint="eastAsia" w:ascii="Times New Roman" w:hAnsi="Times New Roman" w:eastAsia="仿宋_GB2312" w:cs="Times New Roman"/>
          <w:bCs/>
          <w:kern w:val="0"/>
          <w:sz w:val="32"/>
          <w:szCs w:val="32"/>
        </w:rPr>
        <w:t>中心学校202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衡龙桥</w:t>
      </w:r>
      <w:r>
        <w:rPr>
          <w:rFonts w:hint="eastAsia" w:ascii="Times New Roman" w:hAnsi="Times New Roman" w:eastAsia="仿宋_GB2312" w:cs="Times New Roman"/>
          <w:bCs/>
          <w:kern w:val="0"/>
          <w:sz w:val="32"/>
          <w:szCs w:val="32"/>
        </w:rPr>
        <w:t>镇中心学校、</w:t>
      </w:r>
      <w:r>
        <w:rPr>
          <w:rFonts w:hint="eastAsia" w:ascii="Times New Roman" w:hAnsi="Times New Roman" w:eastAsia="仿宋_GB2312" w:cs="Times New Roman"/>
          <w:bCs/>
          <w:kern w:val="0"/>
          <w:sz w:val="32"/>
          <w:szCs w:val="32"/>
          <w:lang w:val="en-US" w:eastAsia="zh-CN"/>
        </w:rPr>
        <w:t>衡龙桥镇学校、衡龙桥镇白石塘学校、衡龙桥镇莲花中学、衡龙桥镇水口庙学校、衡龙桥镇八一学校、衡龙桥镇南岳坪学校、衡龙桥镇潮云学校、衡龙桥镇松树桥学校、衡龙桥镇中心幼儿园、衡龙桥镇白石塘幼儿园。</w:t>
      </w:r>
    </w:p>
    <w:p w14:paraId="0097CEAF">
      <w:pPr>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5169.61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center"/>
              <w:rPr>
                <w:rFonts w:ascii="Times New Roman" w:hAnsi="Times New Roman" w:eastAsia="仿宋_GB2312" w:cs="Times New Roman"/>
                <w:color w:val="000000"/>
                <w:sz w:val="22"/>
              </w:rPr>
            </w:pPr>
          </w:p>
        </w:tc>
      </w:tr>
      <w:tr w14:paraId="2097B3C7">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center"/>
              <w:rPr>
                <w:rFonts w:ascii="Times New Roman" w:hAnsi="Times New Roman" w:eastAsia="仿宋_GB2312" w:cs="Times New Roman"/>
                <w:color w:val="000000"/>
                <w:sz w:val="22"/>
              </w:rPr>
            </w:pPr>
          </w:p>
        </w:tc>
      </w:tr>
      <w:tr w14:paraId="05C5EB48">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5627.03</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jc w:val="center"/>
              <w:rPr>
                <w:rFonts w:ascii="Times New Roman" w:hAnsi="Times New Roman" w:eastAsia="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3.12</w:t>
            </w: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jc w:val="cente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5630.15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5630.15</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center"/>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center"/>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5630.15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5630.15</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322D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9FD7F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5,630.15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5,169.61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55.75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404.79</w:t>
            </w:r>
            <w:r>
              <w:rPr>
                <w:rFonts w:ascii="Times New Roman" w:hAnsi="Times New Roman" w:eastAsia="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82.94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82.94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387.54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387.54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454.75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454.75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4,672.18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4,211.64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0C84042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5B3116B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404.79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FE8172C">
      <w:pPr>
        <w:widowControl/>
        <w:jc w:val="center"/>
        <w:textAlignment w:val="center"/>
        <w:rPr>
          <w:rFonts w:ascii="Times New Roman" w:hAnsi="Times New Roman" w:eastAsia="黑体" w:cs="Times New Roman"/>
          <w:color w:val="000000"/>
          <w:kern w:val="0"/>
          <w:sz w:val="32"/>
          <w:szCs w:val="32"/>
          <w:lang w:bidi="ar"/>
        </w:rPr>
      </w:pP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5,630.15 </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5,357.80 </w:t>
            </w:r>
          </w:p>
        </w:tc>
        <w:tc>
          <w:tcPr>
            <w:tcW w:w="1334" w:type="dxa"/>
            <w:tcBorders>
              <w:top w:val="nil"/>
              <w:left w:val="nil"/>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272.35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82.94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82.94 </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387.54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387.54 </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454.75 </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454.75 </w:t>
            </w: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4,672.18 </w:t>
            </w:r>
          </w:p>
        </w:tc>
        <w:tc>
          <w:tcPr>
            <w:tcW w:w="1334" w:type="dxa"/>
            <w:tcBorders>
              <w:top w:val="nil"/>
              <w:left w:val="nil"/>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4,429.46 </w:t>
            </w: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242.72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29.63 </w:t>
            </w:r>
          </w:p>
        </w:tc>
        <w:tc>
          <w:tcPr>
            <w:tcW w:w="1334" w:type="dxa"/>
            <w:tcBorders>
              <w:top w:val="nil"/>
              <w:left w:val="nil"/>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D3457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29.63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334" w:type="dxa"/>
            <w:tcBorders>
              <w:top w:val="nil"/>
              <w:left w:val="nil"/>
              <w:bottom w:val="single" w:color="auto" w:sz="4" w:space="0"/>
              <w:right w:val="single" w:color="auto" w:sz="4" w:space="0"/>
            </w:tcBorders>
            <w:shd w:val="clear" w:color="auto" w:fill="auto"/>
            <w:noWrap/>
            <w:vAlign w:val="center"/>
          </w:tcPr>
          <w:p w14:paraId="63F58F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334" w:type="dxa"/>
            <w:tcBorders>
              <w:top w:val="nil"/>
              <w:left w:val="nil"/>
              <w:bottom w:val="single" w:color="auto" w:sz="4" w:space="0"/>
              <w:right w:val="single" w:color="auto" w:sz="4" w:space="0"/>
            </w:tcBorders>
            <w:shd w:val="clear" w:color="auto" w:fill="auto"/>
            <w:noWrap/>
            <w:vAlign w:val="center"/>
          </w:tcPr>
          <w:p w14:paraId="378FA2AF">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31"/>
        <w:gridCol w:w="2856"/>
        <w:gridCol w:w="616"/>
        <w:gridCol w:w="1151"/>
        <w:gridCol w:w="1707"/>
        <w:gridCol w:w="1368"/>
        <w:gridCol w:w="1459"/>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5169.61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5166.49</w:t>
            </w:r>
          </w:p>
        </w:tc>
        <w:tc>
          <w:tcPr>
            <w:tcW w:w="0" w:type="auto"/>
            <w:tcBorders>
              <w:top w:val="nil"/>
              <w:left w:val="nil"/>
              <w:bottom w:val="single" w:color="auto" w:sz="4" w:space="0"/>
              <w:right w:val="single" w:color="auto" w:sz="4" w:space="0"/>
            </w:tcBorders>
            <w:shd w:val="clear" w:color="auto" w:fill="auto"/>
            <w:noWrap/>
            <w:vAlign w:val="center"/>
          </w:tcPr>
          <w:p w14:paraId="14CE9BE2">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5166.49</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5169.61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5169.61</w:t>
            </w:r>
          </w:p>
        </w:tc>
        <w:tc>
          <w:tcPr>
            <w:tcW w:w="0" w:type="auto"/>
            <w:tcBorders>
              <w:top w:val="nil"/>
              <w:left w:val="nil"/>
              <w:bottom w:val="single" w:color="auto" w:sz="4" w:space="0"/>
              <w:right w:val="single" w:color="auto" w:sz="4" w:space="0"/>
            </w:tcBorders>
            <w:shd w:val="clear" w:color="auto" w:fill="auto"/>
            <w:noWrap/>
            <w:vAlign w:val="center"/>
          </w:tcPr>
          <w:p w14:paraId="63A56BB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5169.61</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5169.6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D79F35E">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5169.61</w:t>
            </w:r>
          </w:p>
        </w:tc>
        <w:tc>
          <w:tcPr>
            <w:tcW w:w="0" w:type="auto"/>
            <w:tcBorders>
              <w:top w:val="nil"/>
              <w:left w:val="nil"/>
              <w:bottom w:val="single" w:color="auto" w:sz="4" w:space="0"/>
              <w:right w:val="single" w:color="auto" w:sz="4" w:space="0"/>
            </w:tcBorders>
            <w:shd w:val="clear" w:color="000000" w:fill="FFFFFF"/>
            <w:noWrap/>
            <w:vAlign w:val="center"/>
          </w:tcPr>
          <w:p w14:paraId="1749AB3F">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5169.61</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5,169.61</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4,897.25</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272.35</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82.94</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82.94</w:t>
            </w:r>
          </w:p>
        </w:tc>
        <w:tc>
          <w:tcPr>
            <w:tcW w:w="3000" w:type="dxa"/>
            <w:tcBorders>
              <w:top w:val="nil"/>
              <w:left w:val="nil"/>
              <w:bottom w:val="single" w:color="auto" w:sz="4"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387.54</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387.54</w:t>
            </w:r>
          </w:p>
        </w:tc>
        <w:tc>
          <w:tcPr>
            <w:tcW w:w="3000" w:type="dxa"/>
            <w:tcBorders>
              <w:top w:val="nil"/>
              <w:left w:val="nil"/>
              <w:bottom w:val="single" w:color="auto" w:sz="4"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454.75</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454.75</w:t>
            </w:r>
          </w:p>
        </w:tc>
        <w:tc>
          <w:tcPr>
            <w:tcW w:w="3000" w:type="dxa"/>
            <w:tcBorders>
              <w:top w:val="nil"/>
              <w:left w:val="nil"/>
              <w:bottom w:val="single" w:color="auto" w:sz="4" w:space="0"/>
              <w:right w:val="single" w:color="auto" w:sz="8" w:space="0"/>
            </w:tcBorders>
            <w:shd w:val="clear" w:color="auto" w:fill="auto"/>
            <w:vAlign w:val="center"/>
          </w:tcPr>
          <w:p w14:paraId="4793A3D7">
            <w:pPr>
              <w:jc w:val="center"/>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4,211.64</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3,968.92</w:t>
            </w: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242.72</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29.63</w:t>
            </w:r>
          </w:p>
        </w:tc>
        <w:tc>
          <w:tcPr>
            <w:tcW w:w="3492" w:type="dxa"/>
            <w:tcBorders>
              <w:top w:val="nil"/>
              <w:left w:val="nil"/>
              <w:bottom w:val="single" w:color="auto" w:sz="4" w:space="0"/>
              <w:right w:val="single" w:color="auto" w:sz="4" w:space="0"/>
            </w:tcBorders>
            <w:shd w:val="clear" w:color="auto" w:fill="auto"/>
            <w:vAlign w:val="center"/>
          </w:tcPr>
          <w:p w14:paraId="2AE28AF6">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29.63</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8"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3.12</w:t>
            </w: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3.12</w:t>
            </w:r>
          </w:p>
        </w:tc>
        <w:tc>
          <w:tcPr>
            <w:tcW w:w="3000" w:type="dxa"/>
            <w:tcBorders>
              <w:top w:val="nil"/>
              <w:left w:val="nil"/>
              <w:bottom w:val="single" w:color="auto" w:sz="8" w:space="0"/>
              <w:right w:val="single" w:color="auto" w:sz="8" w:space="0"/>
            </w:tcBorders>
            <w:shd w:val="clear" w:color="auto" w:fill="auto"/>
            <w:vAlign w:val="center"/>
          </w:tcPr>
          <w:p w14:paraId="0D219110">
            <w:pPr>
              <w:jc w:val="center"/>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3548.01</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3548.01</w:t>
            </w:r>
            <w:r>
              <w:rPr>
                <w:rFonts w:hint="eastAsia" w:ascii="Times New Roman" w:hAnsi="Times New Roman" w:eastAsia="仿宋_GB2312" w:cs="Times New Roman"/>
                <w:color w:val="000000"/>
                <w:kern w:val="0"/>
                <w:szCs w:val="20"/>
                <w:lang w:val="en-US" w:eastAsia="zh-CN"/>
              </w:rPr>
              <w:t>3535483548.0</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1102.98</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1629.9</w:t>
            </w:r>
          </w:p>
          <w:p w14:paraId="45A969D6">
            <w:pPr>
              <w:pStyle w:val="2"/>
              <w:jc w:val="center"/>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183.07</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343.1</w:t>
            </w:r>
          </w:p>
          <w:p w14:paraId="7FB85706">
            <w:pPr>
              <w:pStyle w:val="2"/>
              <w:jc w:val="center"/>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108.3</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widowControl/>
              <w:jc w:val="both"/>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142.49</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w:t>
            </w: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554.95</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31.34</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314.77</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59.07</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78.69</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23.3</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157.38</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74.91</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16.89</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285.43</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240.43</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33.3</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246.26</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8.95</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25.47</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26.77</w:t>
            </w: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120.49</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21.68</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35.24</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115.45</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63.77</w:t>
            </w: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194.38</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3794.28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1102.98</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4B60DF00">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45591A67">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8577D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入总计5630.15万元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5630.15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151.99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学校维修改造的项目资金减少</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4652EF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5630.15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5169.61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91.82</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55.75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0.99</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404.79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7.19</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5630.15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5357.8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272.35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9295E7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入总计5630.15万元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5630.15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151.99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5169.61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91.82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612.53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5169.61</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5166.49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3.12万元，占0.06%。</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BEE94D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2998.23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5169.61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172.42</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82.94</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387.54</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454.75</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2776.42</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4211.64</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29.63</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3.12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7AF5D6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4211.64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78.19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444BA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4897.26</w:t>
      </w:r>
      <w:r>
        <w:rPr>
          <w:rFonts w:ascii="Times New Roman" w:hAnsi="Times New Roman" w:eastAsia="仿宋_GB2312" w:cs="Times New Roman"/>
          <w:sz w:val="32"/>
          <w:szCs w:val="32"/>
        </w:rPr>
        <w:t>万元，其中：</w:t>
      </w:r>
    </w:p>
    <w:p w14:paraId="770316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3794.28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77.48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188B678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1102.98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22.52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F97505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972DD54">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EF0E9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C51D5C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BA876B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8.95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276</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25.49</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327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F2CFCE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5630.15</w:t>
      </w:r>
      <w:r>
        <w:rPr>
          <w:rFonts w:ascii="Times New Roman" w:hAnsi="Times New Roman" w:eastAsia="仿宋_GB2312" w:cs="Times New Roman"/>
          <w:kern w:val="0"/>
          <w:sz w:val="32"/>
          <w:szCs w:val="32"/>
        </w:rPr>
        <w:t>万元。其中，一般公共预算</w:t>
      </w:r>
      <w:r>
        <w:rPr>
          <w:rFonts w:hint="eastAsia" w:ascii="Times New Roman" w:hAnsi="Times New Roman" w:eastAsia="仿宋_GB2312" w:cs="Times New Roman"/>
          <w:kern w:val="0"/>
          <w:sz w:val="32"/>
          <w:szCs w:val="32"/>
          <w:lang w:val="en-US" w:eastAsia="zh-CN"/>
        </w:rPr>
        <w:t>5630.15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7690224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5410.79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5630.15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02788C0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038141EC">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53B4CA03">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val="en-US" w:eastAsia="zh-CN"/>
        </w:rPr>
        <w:t>衡龙桥镇</w:t>
      </w:r>
      <w:r>
        <w:rPr>
          <w:rFonts w:hint="eastAsia" w:ascii="方正小标宋简体" w:eastAsia="方正小标宋简体"/>
          <w:sz w:val="44"/>
          <w:szCs w:val="44"/>
          <w:lang w:eastAsia="zh-CN"/>
        </w:rPr>
        <w:t>中心学校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617AC0E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衡龙桥</w:t>
      </w:r>
      <w:r>
        <w:rPr>
          <w:rFonts w:hint="eastAsia" w:ascii="仿宋_GB2312" w:eastAsia="仿宋_GB2312"/>
          <w:sz w:val="32"/>
          <w:szCs w:val="32"/>
          <w:lang w:eastAsia="zh-CN"/>
        </w:rPr>
        <w:t>镇中心学校2025年部门决算汇总公开单位构成包括：</w:t>
      </w:r>
      <w:r>
        <w:rPr>
          <w:rFonts w:hint="eastAsia" w:ascii="Times New Roman" w:hAnsi="Times New Roman" w:eastAsia="仿宋_GB2312" w:cs="Times New Roman"/>
          <w:bCs/>
          <w:kern w:val="0"/>
          <w:sz w:val="32"/>
          <w:szCs w:val="32"/>
          <w:lang w:val="en-US" w:eastAsia="zh-CN"/>
        </w:rPr>
        <w:t>衡龙桥</w:t>
      </w:r>
      <w:r>
        <w:rPr>
          <w:rFonts w:hint="eastAsia" w:ascii="Times New Roman" w:hAnsi="Times New Roman" w:eastAsia="仿宋_GB2312" w:cs="Times New Roman"/>
          <w:bCs/>
          <w:kern w:val="0"/>
          <w:sz w:val="32"/>
          <w:szCs w:val="32"/>
        </w:rPr>
        <w:t>镇中心学校、</w:t>
      </w:r>
      <w:r>
        <w:rPr>
          <w:rFonts w:hint="eastAsia" w:ascii="Times New Roman" w:hAnsi="Times New Roman" w:eastAsia="仿宋_GB2312" w:cs="Times New Roman"/>
          <w:bCs/>
          <w:kern w:val="0"/>
          <w:sz w:val="32"/>
          <w:szCs w:val="32"/>
          <w:lang w:val="en-US" w:eastAsia="zh-CN"/>
        </w:rPr>
        <w:t>衡龙桥镇学校、衡龙桥镇白石塘学校、衡龙桥镇莲花中学、衡龙桥镇水口庙学校、衡龙桥镇八一学校、衡龙桥镇南岳坪学校、衡龙桥镇潮云学校、衡龙桥镇松树桥学校、衡龙桥镇中心幼儿园、衡龙桥镇白石塘幼儿园。</w:t>
      </w:r>
    </w:p>
    <w:p w14:paraId="0075A183">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益阳市</w:t>
      </w:r>
      <w:r>
        <w:rPr>
          <w:rFonts w:hint="eastAsia" w:ascii="仿宋_GB2312" w:eastAsia="仿宋_GB2312"/>
          <w:sz w:val="32"/>
          <w:szCs w:val="32"/>
          <w:lang w:val="en-US" w:eastAsia="zh-CN"/>
        </w:rPr>
        <w:t>衡龙桥</w:t>
      </w:r>
      <w:r>
        <w:rPr>
          <w:rFonts w:hint="eastAsia" w:ascii="仿宋_GB2312" w:eastAsia="仿宋_GB2312"/>
          <w:sz w:val="32"/>
          <w:szCs w:val="32"/>
        </w:rPr>
        <w:t>镇中心学校内设机构：政教处、总务处、后勤管理处、德育处、党建办等。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衡龙桥镇</w:t>
      </w:r>
      <w:r>
        <w:rPr>
          <w:rFonts w:hint="eastAsia" w:ascii="仿宋_GB2312" w:eastAsia="仿宋_GB2312"/>
          <w:sz w:val="32"/>
          <w:szCs w:val="32"/>
          <w:lang w:eastAsia="zh-CN"/>
        </w:rPr>
        <w:t>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5169.61</w:t>
      </w:r>
      <w:r>
        <w:rPr>
          <w:rFonts w:hint="eastAsia" w:ascii="仿宋_GB2312" w:eastAsia="仿宋_GB2312"/>
          <w:sz w:val="32"/>
          <w:szCs w:val="32"/>
        </w:rPr>
        <w:t>万元,其中工资福利支出</w:t>
      </w:r>
      <w:r>
        <w:rPr>
          <w:rFonts w:hint="eastAsia" w:ascii="仿宋_GB2312" w:eastAsia="仿宋_GB2312"/>
          <w:sz w:val="32"/>
          <w:szCs w:val="32"/>
          <w:lang w:val="en-US" w:eastAsia="zh-CN"/>
        </w:rPr>
        <w:t>3548.01</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246.26</w:t>
      </w:r>
      <w:r>
        <w:rPr>
          <w:rFonts w:hint="eastAsia" w:ascii="仿宋_GB2312" w:eastAsia="仿宋_GB2312"/>
          <w:sz w:val="32"/>
          <w:szCs w:val="32"/>
        </w:rPr>
        <w:t>万元，商品和服务支出</w:t>
      </w:r>
      <w:r>
        <w:rPr>
          <w:rFonts w:hint="eastAsia" w:ascii="仿宋_GB2312" w:eastAsia="仿宋_GB2312"/>
          <w:sz w:val="32"/>
          <w:szCs w:val="32"/>
          <w:lang w:val="en-US" w:eastAsia="zh-CN"/>
        </w:rPr>
        <w:t>1102.98</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衡龙桥</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3548.01</w:t>
      </w:r>
      <w:r>
        <w:rPr>
          <w:rFonts w:hint="eastAsia" w:ascii="仿宋_GB2312" w:eastAsia="仿宋_GB2312"/>
          <w:sz w:val="32"/>
          <w:szCs w:val="32"/>
        </w:rPr>
        <w:t>万元，其中基本工资</w:t>
      </w:r>
      <w:r>
        <w:rPr>
          <w:rFonts w:hint="eastAsia" w:ascii="仿宋_GB2312" w:eastAsia="仿宋_GB2312"/>
          <w:sz w:val="32"/>
          <w:szCs w:val="32"/>
          <w:lang w:val="en-US" w:eastAsia="zh-CN"/>
        </w:rPr>
        <w:t>1629.9</w:t>
      </w:r>
      <w:r>
        <w:rPr>
          <w:rFonts w:hint="eastAsia" w:ascii="仿宋_GB2312" w:eastAsia="仿宋_GB2312"/>
          <w:sz w:val="32"/>
          <w:szCs w:val="32"/>
        </w:rPr>
        <w:t>万元、津贴补贴</w:t>
      </w:r>
      <w:r>
        <w:rPr>
          <w:rFonts w:hint="eastAsia" w:ascii="仿宋_GB2312" w:eastAsia="仿宋_GB2312"/>
          <w:sz w:val="32"/>
          <w:szCs w:val="32"/>
          <w:lang w:val="en-US" w:eastAsia="zh-CN"/>
        </w:rPr>
        <w:t>343.1</w:t>
      </w:r>
      <w:r>
        <w:rPr>
          <w:rFonts w:hint="eastAsia" w:ascii="仿宋_GB2312" w:eastAsia="仿宋_GB2312"/>
          <w:sz w:val="32"/>
          <w:szCs w:val="32"/>
        </w:rPr>
        <w:t>万元、绩效工资</w:t>
      </w:r>
      <w:r>
        <w:rPr>
          <w:rFonts w:hint="eastAsia" w:ascii="仿宋_GB2312" w:eastAsia="仿宋_GB2312"/>
          <w:sz w:val="32"/>
          <w:szCs w:val="32"/>
          <w:lang w:val="en-US" w:eastAsia="zh-CN"/>
        </w:rPr>
        <w:t>554.95</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314.77</w:t>
      </w:r>
      <w:r>
        <w:rPr>
          <w:rFonts w:hint="eastAsia" w:ascii="仿宋_GB2312" w:eastAsia="仿宋_GB2312"/>
          <w:sz w:val="32"/>
          <w:szCs w:val="32"/>
        </w:rPr>
        <w:t>万元、职业年金缴费</w:t>
      </w:r>
      <w:r>
        <w:rPr>
          <w:rFonts w:hint="eastAsia" w:ascii="仿宋_GB2312" w:eastAsia="仿宋_GB2312"/>
          <w:sz w:val="32"/>
          <w:szCs w:val="32"/>
          <w:lang w:val="en-US" w:eastAsia="zh-CN"/>
        </w:rPr>
        <w:t>78.69</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157.38</w:t>
      </w:r>
      <w:r>
        <w:rPr>
          <w:rFonts w:hint="eastAsia" w:ascii="仿宋_GB2312" w:eastAsia="仿宋_GB2312"/>
          <w:sz w:val="32"/>
          <w:szCs w:val="32"/>
        </w:rPr>
        <w:t>万元、住房公积金</w:t>
      </w:r>
      <w:r>
        <w:rPr>
          <w:rFonts w:hint="eastAsia" w:ascii="仿宋_GB2312" w:eastAsia="仿宋_GB2312"/>
          <w:sz w:val="32"/>
          <w:szCs w:val="32"/>
          <w:lang w:val="en-US" w:eastAsia="zh-CN"/>
        </w:rPr>
        <w:t>285.43</w:t>
      </w:r>
      <w:r>
        <w:rPr>
          <w:rFonts w:hint="eastAsia" w:ascii="仿宋_GB2312" w:eastAsia="仿宋_GB2312"/>
          <w:sz w:val="32"/>
          <w:szCs w:val="32"/>
        </w:rPr>
        <w:t>万元、其他工资福利支出</w:t>
      </w:r>
      <w:r>
        <w:rPr>
          <w:rFonts w:hint="eastAsia" w:ascii="仿宋_GB2312" w:eastAsia="仿宋_GB2312"/>
          <w:sz w:val="32"/>
          <w:szCs w:val="32"/>
          <w:lang w:val="en-US" w:eastAsia="zh-CN"/>
        </w:rPr>
        <w:t>33.3</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衡龙桥</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1102.98</w:t>
      </w:r>
      <w:r>
        <w:rPr>
          <w:rFonts w:hint="eastAsia" w:ascii="仿宋_GB2312" w:eastAsia="仿宋_GB2312"/>
          <w:sz w:val="32"/>
          <w:szCs w:val="32"/>
        </w:rPr>
        <w:t>万元，其中办公费</w:t>
      </w:r>
      <w:r>
        <w:rPr>
          <w:rFonts w:hint="eastAsia" w:ascii="仿宋_GB2312" w:eastAsia="仿宋_GB2312"/>
          <w:sz w:val="32"/>
          <w:szCs w:val="32"/>
          <w:lang w:val="en-US" w:eastAsia="zh-CN"/>
        </w:rPr>
        <w:t>183.07</w:t>
      </w:r>
      <w:r>
        <w:rPr>
          <w:rFonts w:hint="eastAsia" w:ascii="仿宋_GB2312" w:eastAsia="仿宋_GB2312"/>
          <w:sz w:val="32"/>
          <w:szCs w:val="32"/>
        </w:rPr>
        <w:t>万元、印刷费</w:t>
      </w:r>
      <w:r>
        <w:rPr>
          <w:rFonts w:hint="eastAsia" w:ascii="仿宋_GB2312" w:eastAsia="仿宋_GB2312"/>
          <w:sz w:val="32"/>
          <w:szCs w:val="32"/>
          <w:lang w:val="en-US" w:eastAsia="zh-CN"/>
        </w:rPr>
        <w:t>108.03</w:t>
      </w:r>
      <w:r>
        <w:rPr>
          <w:rFonts w:hint="eastAsia" w:ascii="仿宋_GB2312" w:eastAsia="仿宋_GB2312"/>
          <w:sz w:val="32"/>
          <w:szCs w:val="32"/>
        </w:rPr>
        <w:t>万元、水费</w:t>
      </w:r>
      <w:r>
        <w:rPr>
          <w:rFonts w:hint="eastAsia" w:ascii="仿宋_GB2312" w:eastAsia="仿宋_GB2312"/>
          <w:sz w:val="32"/>
          <w:szCs w:val="32"/>
          <w:lang w:val="en-US" w:eastAsia="zh-CN"/>
        </w:rPr>
        <w:t>31.34</w:t>
      </w:r>
      <w:r>
        <w:rPr>
          <w:rFonts w:hint="eastAsia" w:ascii="仿宋_GB2312" w:eastAsia="仿宋_GB2312"/>
          <w:sz w:val="32"/>
          <w:szCs w:val="32"/>
        </w:rPr>
        <w:t>万元、电费</w:t>
      </w:r>
      <w:r>
        <w:rPr>
          <w:rFonts w:hint="eastAsia" w:ascii="仿宋_GB2312" w:eastAsia="仿宋_GB2312"/>
          <w:sz w:val="32"/>
          <w:szCs w:val="32"/>
          <w:lang w:val="en-US" w:eastAsia="zh-CN"/>
        </w:rPr>
        <w:t>59.07</w:t>
      </w:r>
      <w:r>
        <w:rPr>
          <w:rFonts w:hint="eastAsia" w:ascii="仿宋_GB2312" w:eastAsia="仿宋_GB2312"/>
          <w:sz w:val="32"/>
          <w:szCs w:val="32"/>
        </w:rPr>
        <w:t>万元、物业管理费</w:t>
      </w:r>
      <w:r>
        <w:rPr>
          <w:rFonts w:hint="eastAsia" w:ascii="仿宋_GB2312" w:eastAsia="仿宋_GB2312"/>
          <w:sz w:val="32"/>
          <w:szCs w:val="32"/>
          <w:lang w:val="en-US" w:eastAsia="zh-CN"/>
        </w:rPr>
        <w:t>74.91</w:t>
      </w:r>
      <w:r>
        <w:rPr>
          <w:rFonts w:hint="eastAsia" w:ascii="仿宋_GB2312" w:eastAsia="仿宋_GB2312"/>
          <w:sz w:val="32"/>
          <w:szCs w:val="32"/>
        </w:rPr>
        <w:t>万元、差旅费</w:t>
      </w:r>
      <w:r>
        <w:rPr>
          <w:rFonts w:hint="eastAsia" w:ascii="仿宋_GB2312" w:eastAsia="仿宋_GB2312"/>
          <w:sz w:val="32"/>
          <w:szCs w:val="32"/>
          <w:lang w:val="en-US" w:eastAsia="zh-CN"/>
        </w:rPr>
        <w:t>16.89</w:t>
      </w:r>
      <w:r>
        <w:rPr>
          <w:rFonts w:hint="eastAsia" w:ascii="仿宋_GB2312" w:eastAsia="仿宋_GB2312"/>
          <w:sz w:val="32"/>
          <w:szCs w:val="32"/>
        </w:rPr>
        <w:t>万元、维修（护）费</w:t>
      </w:r>
      <w:r>
        <w:rPr>
          <w:rFonts w:hint="eastAsia" w:ascii="仿宋_GB2312" w:eastAsia="仿宋_GB2312"/>
          <w:sz w:val="32"/>
          <w:szCs w:val="32"/>
          <w:lang w:val="en-US" w:eastAsia="zh-CN"/>
        </w:rPr>
        <w:t>240.43</w:t>
      </w:r>
      <w:r>
        <w:rPr>
          <w:rFonts w:hint="eastAsia" w:ascii="仿宋_GB2312" w:eastAsia="仿宋_GB2312"/>
          <w:sz w:val="32"/>
          <w:szCs w:val="32"/>
        </w:rPr>
        <w:t>万元、会议费</w:t>
      </w:r>
      <w:r>
        <w:rPr>
          <w:rFonts w:hint="eastAsia" w:ascii="仿宋_GB2312" w:eastAsia="仿宋_GB2312"/>
          <w:sz w:val="32"/>
          <w:szCs w:val="32"/>
          <w:lang w:val="en-US" w:eastAsia="zh-CN"/>
        </w:rPr>
        <w:t>8.95</w:t>
      </w:r>
      <w:r>
        <w:rPr>
          <w:rFonts w:hint="eastAsia" w:ascii="仿宋_GB2312" w:eastAsia="仿宋_GB2312"/>
          <w:sz w:val="32"/>
          <w:szCs w:val="32"/>
        </w:rPr>
        <w:t>万元、培训费</w:t>
      </w:r>
      <w:r>
        <w:rPr>
          <w:rFonts w:hint="eastAsia" w:ascii="仿宋_GB2312" w:eastAsia="仿宋_GB2312"/>
          <w:sz w:val="32"/>
          <w:szCs w:val="32"/>
          <w:lang w:val="en-US" w:eastAsia="zh-CN"/>
        </w:rPr>
        <w:t>25.47</w:t>
      </w:r>
      <w:r>
        <w:rPr>
          <w:rFonts w:hint="eastAsia" w:ascii="仿宋_GB2312" w:eastAsia="仿宋_GB2312"/>
          <w:sz w:val="32"/>
          <w:szCs w:val="32"/>
        </w:rPr>
        <w:t>万元、工会经费</w:t>
      </w:r>
      <w:r>
        <w:rPr>
          <w:rFonts w:hint="eastAsia" w:ascii="仿宋_GB2312" w:eastAsia="仿宋_GB2312"/>
          <w:sz w:val="32"/>
          <w:szCs w:val="32"/>
          <w:lang w:val="en-US" w:eastAsia="zh-CN"/>
        </w:rPr>
        <w:t>115.45</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194.38</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衡龙桥</w:t>
      </w:r>
      <w:r>
        <w:rPr>
          <w:rFonts w:hint="eastAsia" w:ascii="仿宋_GB2312" w:eastAsia="仿宋_GB2312"/>
          <w:sz w:val="32"/>
          <w:szCs w:val="32"/>
          <w:lang w:eastAsia="zh-CN"/>
        </w:rPr>
        <w:t>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246.26</w:t>
      </w:r>
      <w:r>
        <w:rPr>
          <w:rFonts w:hint="eastAsia" w:ascii="仿宋_GB2312" w:eastAsia="仿宋_GB2312"/>
          <w:sz w:val="32"/>
          <w:szCs w:val="32"/>
        </w:rPr>
        <w:t>万元，其中抚恤金</w:t>
      </w:r>
      <w:r>
        <w:rPr>
          <w:rFonts w:hint="eastAsia" w:ascii="仿宋_GB2312" w:eastAsia="仿宋_GB2312"/>
          <w:sz w:val="32"/>
          <w:szCs w:val="32"/>
          <w:lang w:val="en-US" w:eastAsia="zh-CN"/>
        </w:rPr>
        <w:t>26.77</w:t>
      </w:r>
      <w:r>
        <w:rPr>
          <w:rFonts w:hint="eastAsia" w:ascii="仿宋_GB2312" w:eastAsia="仿宋_GB2312"/>
          <w:sz w:val="32"/>
          <w:szCs w:val="32"/>
        </w:rPr>
        <w:t>万元、生活补助</w:t>
      </w:r>
      <w:r>
        <w:rPr>
          <w:rFonts w:hint="eastAsia" w:ascii="仿宋_GB2312" w:eastAsia="仿宋_GB2312"/>
          <w:sz w:val="32"/>
          <w:szCs w:val="32"/>
          <w:lang w:val="en-US" w:eastAsia="zh-CN"/>
        </w:rPr>
        <w:t>120.49</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63.77</w:t>
      </w:r>
      <w:r>
        <w:rPr>
          <w:rFonts w:hint="eastAsia" w:ascii="仿宋_GB2312" w:eastAsia="仿宋_GB2312"/>
          <w:sz w:val="32"/>
          <w:szCs w:val="32"/>
        </w:rPr>
        <w:t>万元。</w:t>
      </w:r>
    </w:p>
    <w:p w14:paraId="7A168D48">
      <w:pPr>
        <w:spacing w:line="540" w:lineRule="exact"/>
        <w:ind w:firstLine="640" w:firstLineChars="200"/>
        <w:rPr>
          <w:rFonts w:hint="eastAsia" w:ascii="黑体" w:hAnsi="黑体" w:eastAsia="黑体"/>
          <w:sz w:val="32"/>
          <w:szCs w:val="32"/>
        </w:rPr>
      </w:pPr>
      <w:bookmarkStart w:id="3" w:name="_GoBack"/>
      <w:bookmarkEnd w:id="3"/>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益阳市衡龙桥镇中心学校2025年度无政府性基金支出。</w:t>
      </w:r>
    </w:p>
    <w:p w14:paraId="3900294D">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益阳市衡龙桥镇中心学校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益阳市衡龙桥镇中心学校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益阳市衡龙桥镇中心学校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p>
    <w:p w14:paraId="4883BDCD">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89A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E201C17C"/>
    <w:multiLevelType w:val="singleLevel"/>
    <w:tmpl w:val="E201C17C"/>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1F3DF1"/>
    <w:rsid w:val="06C673A5"/>
    <w:rsid w:val="11171D1E"/>
    <w:rsid w:val="11283FA9"/>
    <w:rsid w:val="15306089"/>
    <w:rsid w:val="1D97DEFF"/>
    <w:rsid w:val="1DFF72E5"/>
    <w:rsid w:val="1EFC6F07"/>
    <w:rsid w:val="21EF5F31"/>
    <w:rsid w:val="2D5F56E3"/>
    <w:rsid w:val="2FDF85B8"/>
    <w:rsid w:val="2FFFEE04"/>
    <w:rsid w:val="34DF85B0"/>
    <w:rsid w:val="382F2D1B"/>
    <w:rsid w:val="38B833D9"/>
    <w:rsid w:val="3B8F36BC"/>
    <w:rsid w:val="3BB034BE"/>
    <w:rsid w:val="3E9D491F"/>
    <w:rsid w:val="409B67FC"/>
    <w:rsid w:val="455C1592"/>
    <w:rsid w:val="489A151D"/>
    <w:rsid w:val="491FF225"/>
    <w:rsid w:val="4FFD214C"/>
    <w:rsid w:val="50F54B3B"/>
    <w:rsid w:val="56EF46C9"/>
    <w:rsid w:val="5777D4F5"/>
    <w:rsid w:val="57F329F7"/>
    <w:rsid w:val="59DD8326"/>
    <w:rsid w:val="5A0A04CC"/>
    <w:rsid w:val="5DEF592A"/>
    <w:rsid w:val="5FC6BB1E"/>
    <w:rsid w:val="5FF720F1"/>
    <w:rsid w:val="61D32CDF"/>
    <w:rsid w:val="674E7C4A"/>
    <w:rsid w:val="67FF5C0B"/>
    <w:rsid w:val="68FB456E"/>
    <w:rsid w:val="6A5B0061"/>
    <w:rsid w:val="6EFC0924"/>
    <w:rsid w:val="6FB74722"/>
    <w:rsid w:val="6FEF8B7E"/>
    <w:rsid w:val="71A6591B"/>
    <w:rsid w:val="737D59BA"/>
    <w:rsid w:val="74810F10"/>
    <w:rsid w:val="75954C96"/>
    <w:rsid w:val="77C37683"/>
    <w:rsid w:val="79D19834"/>
    <w:rsid w:val="79FF515B"/>
    <w:rsid w:val="7BF549BF"/>
    <w:rsid w:val="7CD247C0"/>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46</Words>
  <Characters>49</Characters>
  <Lines>69</Lines>
  <Paragraphs>19</Paragraphs>
  <TotalTime>47</TotalTime>
  <ScaleCrop>false</ScaleCrop>
  <LinksUpToDate>false</LinksUpToDate>
  <CharactersWithSpaces>52</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A吴伟峰¹³⁸⁷⁵³¹⁴⁵⁶º</cp:lastModifiedBy>
  <cp:lastPrinted>2024-08-10T02:20:00Z</cp:lastPrinted>
  <dcterms:modified xsi:type="dcterms:W3CDTF">2026-08-26T01:27:22Z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2628D4CDBB3D458B93EDC0A4B05D94B1_13</vt:lpwstr>
  </property>
  <property fmtid="{D5CDD505-2E9C-101B-9397-08002B2CF9AE}" pid="4" name="KSOTemplateDocerSaveRecord">
    <vt:lpwstr>eyJoZGlkIjoiZjhjYzE0OGI2ZWE5OTBjOWM1N2FjMmQ3MDM0YmViMWUiLCJ1c2VySWQiOiIxMDAwNjQ4MzY0In0=</vt:lpwstr>
  </property>
</Properties>
</file>