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益阳市赫山区赫山中学</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pPr>
        <w:pStyle w:val="14"/>
        <w:spacing w:line="600" w:lineRule="exact"/>
        <w:jc w:val="center"/>
        <w:rPr>
          <w:rFonts w:ascii="Times New Roman" w:hAnsi="Times New Roman" w:cs="Times New Roman"/>
          <w:b/>
          <w:sz w:val="36"/>
          <w:szCs w:val="28"/>
        </w:rPr>
      </w:pPr>
    </w:p>
    <w:p>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益阳市赫山区赫山中学</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益阳市赫山区赫山中学</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赫山区赫山中学</w:t>
      </w:r>
      <w:r>
        <w:rPr>
          <w:rFonts w:hint="eastAsia" w:ascii="Times New Roman" w:hAnsi="Times New Roman" w:eastAsia="仿宋_GB2312" w:cs="Times New Roman"/>
          <w:bCs/>
          <w:kern w:val="0"/>
          <w:sz w:val="32"/>
          <w:szCs w:val="32"/>
        </w:rPr>
        <w:t>内设机构：政教处、总务处、</w:t>
      </w:r>
      <w:r>
        <w:rPr>
          <w:rFonts w:hint="eastAsia" w:ascii="Times New Roman" w:hAnsi="Times New Roman" w:eastAsia="仿宋_GB2312" w:cs="Times New Roman"/>
          <w:bCs/>
          <w:kern w:val="0"/>
          <w:sz w:val="32"/>
          <w:szCs w:val="32"/>
          <w:lang w:eastAsia="zh-CN"/>
        </w:rPr>
        <w:t>团委</w:t>
      </w:r>
      <w:r>
        <w:rPr>
          <w:rFonts w:hint="eastAsia" w:ascii="Times New Roman" w:hAnsi="Times New Roman" w:eastAsia="仿宋_GB2312" w:cs="Times New Roman"/>
          <w:bCs/>
          <w:kern w:val="0"/>
          <w:sz w:val="32"/>
          <w:szCs w:val="32"/>
        </w:rPr>
        <w:t>、德育处、党建办</w:t>
      </w:r>
      <w:r>
        <w:rPr>
          <w:rFonts w:hint="eastAsia" w:ascii="Times New Roman" w:hAnsi="Times New Roman" w:eastAsia="仿宋_GB2312" w:cs="Times New Roman"/>
          <w:bCs/>
          <w:kern w:val="0"/>
          <w:sz w:val="32"/>
          <w:szCs w:val="32"/>
          <w:lang w:eastAsia="zh-CN"/>
        </w:rPr>
        <w:t>等</w:t>
      </w:r>
      <w:r>
        <w:rPr>
          <w:rFonts w:hint="eastAsia" w:ascii="Times New Roman" w:hAnsi="Times New Roman" w:eastAsia="仿宋_GB2312" w:cs="Times New Roman"/>
          <w:bCs/>
          <w:kern w:val="0"/>
          <w:sz w:val="32"/>
          <w:szCs w:val="32"/>
        </w:rPr>
        <w:t>。</w:t>
      </w:r>
    </w:p>
    <w:p>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pPr>
        <w:widowControl/>
        <w:numPr>
          <w:ilvl w:val="0"/>
          <w:numId w:val="0"/>
        </w:numPr>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w:t>
      </w:r>
      <w:r>
        <w:rPr>
          <w:rFonts w:hint="eastAsia" w:ascii="Times New Roman" w:hAnsi="Times New Roman" w:eastAsia="仿宋_GB2312" w:cs="Times New Roman"/>
          <w:bCs/>
          <w:kern w:val="0"/>
          <w:sz w:val="32"/>
          <w:szCs w:val="32"/>
          <w:lang w:eastAsia="zh-CN"/>
        </w:rPr>
        <w:t>赫山区赫山中学2025年</w:t>
      </w:r>
      <w:r>
        <w:rPr>
          <w:rFonts w:hint="eastAsia" w:ascii="Times New Roman" w:hAnsi="Times New Roman" w:eastAsia="仿宋_GB2312" w:cs="Times New Roman"/>
          <w:bCs/>
          <w:kern w:val="0"/>
          <w:sz w:val="32"/>
          <w:szCs w:val="32"/>
        </w:rPr>
        <w:t>部门决算汇总公开单位构成包括：益阳市</w:t>
      </w:r>
      <w:r>
        <w:rPr>
          <w:rFonts w:hint="eastAsia" w:ascii="Times New Roman" w:hAnsi="Times New Roman" w:eastAsia="仿宋_GB2312" w:cs="Times New Roman"/>
          <w:bCs/>
          <w:kern w:val="0"/>
          <w:sz w:val="32"/>
          <w:szCs w:val="32"/>
          <w:lang w:eastAsia="zh-CN"/>
        </w:rPr>
        <w:t>赫山区赫山中学</w:t>
      </w:r>
      <w:r>
        <w:rPr>
          <w:rFonts w:hint="eastAsia" w:ascii="Times New Roman" w:hAnsi="Times New Roman" w:eastAsia="仿宋_GB2312" w:cs="Times New Roman"/>
          <w:bCs/>
          <w:kern w:val="0"/>
          <w:sz w:val="32"/>
          <w:szCs w:val="32"/>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431"/>
        <w:gridCol w:w="895"/>
        <w:gridCol w:w="1506"/>
        <w:gridCol w:w="4151"/>
        <w:gridCol w:w="895"/>
        <w:gridCol w:w="2018"/>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1941.16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tbl>
            <w:tblPr>
              <w:tblStyle w:val="10"/>
              <w:tblW w:w="1801"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2,188.68 </w:t>
                  </w:r>
                </w:p>
              </w:tc>
            </w:tr>
          </w:tbl>
          <w:p>
            <w:pPr>
              <w:keepNext w:val="0"/>
              <w:keepLines w:val="0"/>
              <w:widowControl/>
              <w:suppressLineNumbers w:val="0"/>
              <w:jc w:val="right"/>
              <w:textAlignment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21.06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247.52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29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2188.68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rPr>
              <w:t xml:space="preserve">2,188.68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2188.68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rPr>
              <w:t xml:space="preserve">2,188.68 </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77"/>
        <w:gridCol w:w="709"/>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2,188.68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1,941.16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rPr>
              <w:t>247.52</w:t>
            </w: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2050202</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2050203</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2050299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419.62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419.62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247.52</w:t>
            </w: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2050999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1,747.65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1,500.13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2059999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000000"/>
                <w:kern w:val="0"/>
                <w:sz w:val="22"/>
                <w:szCs w:val="22"/>
                <w:u w:val="none"/>
                <w:lang w:val="en-US" w:eastAsia="zh-CN" w:bidi="ar"/>
              </w:rPr>
              <w:t>2080502</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138"/>
        <w:gridCol w:w="1289"/>
        <w:gridCol w:w="1337"/>
        <w:gridCol w:w="1874"/>
        <w:gridCol w:w="1331"/>
        <w:gridCol w:w="1334"/>
        <w:gridCol w:w="1877"/>
        <w:gridCol w:w="1334"/>
        <w:gridCol w:w="2697"/>
      </w:tblGrid>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3"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3" w:type="pct"/>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2,188.68 </w:t>
            </w:r>
          </w:p>
        </w:tc>
        <w:tc>
          <w:tcPr>
            <w:tcW w:w="13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2,167.26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21.42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2050202</w:t>
            </w:r>
          </w:p>
        </w:tc>
        <w:tc>
          <w:tcPr>
            <w:tcW w:w="262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小学教育</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w:t>
            </w:r>
          </w:p>
        </w:tc>
        <w:tc>
          <w:tcPr>
            <w:tcW w:w="13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4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2050203</w:t>
            </w:r>
          </w:p>
        </w:tc>
        <w:tc>
          <w:tcPr>
            <w:tcW w:w="262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初中教育</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419.62 </w:t>
            </w:r>
          </w:p>
        </w:tc>
        <w:tc>
          <w:tcPr>
            <w:tcW w:w="13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419.62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82"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2050299</w:t>
            </w:r>
          </w:p>
        </w:tc>
        <w:tc>
          <w:tcPr>
            <w:tcW w:w="262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其他普通教育支出</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1,747.65 </w:t>
            </w:r>
          </w:p>
        </w:tc>
        <w:tc>
          <w:tcPr>
            <w:tcW w:w="13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1,747.65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7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2050999</w:t>
            </w:r>
          </w:p>
        </w:tc>
        <w:tc>
          <w:tcPr>
            <w:tcW w:w="262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其他教育费附加安排的支出</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21.42 </w:t>
            </w:r>
          </w:p>
        </w:tc>
        <w:tc>
          <w:tcPr>
            <w:tcW w:w="133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21.42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2059999</w:t>
            </w:r>
          </w:p>
        </w:tc>
        <w:tc>
          <w:tcPr>
            <w:tcW w:w="2626"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其他教育支出</w:t>
            </w:r>
          </w:p>
        </w:tc>
        <w:tc>
          <w:tcPr>
            <w:tcW w:w="187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133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1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2080502</w:t>
            </w:r>
          </w:p>
        </w:tc>
        <w:tc>
          <w:tcPr>
            <w:tcW w:w="262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事业单位离退休</w:t>
            </w:r>
          </w:p>
        </w:tc>
        <w:tc>
          <w:tcPr>
            <w:tcW w:w="187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13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注：本表反映部门本年度各项支出情况。</w:t>
      </w:r>
    </w:p>
    <w:p>
      <w:pPr>
        <w:pStyle w:val="2"/>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pStyle w:val="2"/>
        <w:rPr>
          <w:rFonts w:ascii="Times New Roman" w:hAnsi="Times New Roman" w:eastAsia="仿宋_GB2312" w:cs="Times New Roman"/>
          <w:kern w:val="0"/>
          <w:sz w:val="24"/>
          <w:szCs w:val="24"/>
        </w:rPr>
      </w:pPr>
    </w:p>
    <w:p>
      <w:pPr>
        <w:rPr>
          <w:rFonts w:ascii="Times New Roman" w:hAnsi="Times New Roman" w:eastAsia="仿宋_GB2312" w:cs="Times New Roman"/>
          <w:kern w:val="0"/>
          <w:sz w:val="24"/>
          <w:szCs w:val="24"/>
        </w:rPr>
      </w:pPr>
    </w:p>
    <w:p>
      <w:pPr>
        <w:pStyle w:val="2"/>
      </w:pPr>
    </w:p>
    <w:p>
      <w:pPr>
        <w:widowControl/>
        <w:spacing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296"/>
        <w:gridCol w:w="616"/>
        <w:gridCol w:w="1096"/>
        <w:gridCol w:w="2856"/>
        <w:gridCol w:w="616"/>
        <w:gridCol w:w="1096"/>
        <w:gridCol w:w="1624"/>
        <w:gridCol w:w="1460"/>
        <w:gridCol w:w="156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5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rPr>
              <w:t>1941.16</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hint="eastAsia" w:ascii="Times New Roman" w:hAnsi="Times New Roman" w:eastAsia="仿宋_GB2312" w:cs="Times New Roman"/>
                <w:b/>
                <w:bCs/>
                <w:kern w:val="0"/>
                <w:sz w:val="22"/>
                <w:lang w:eastAsia="zh-CN"/>
              </w:rPr>
            </w:pPr>
            <w:r>
              <w:rPr>
                <w:rFonts w:hint="eastAsia" w:ascii="Times New Roman" w:hAnsi="Times New Roman" w:eastAsia="仿宋_GB2312" w:cs="Times New Roman"/>
                <w:kern w:val="0"/>
                <w:sz w:val="22"/>
                <w:lang w:eastAsia="zh-CN"/>
              </w:rPr>
              <w:t>九、其他支出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109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1460"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Times New Roman" w:hAnsi="Times New Roman" w:eastAsia="仿宋_GB2312" w:cs="Times New Roman"/>
                <w:kern w:val="0"/>
                <w:sz w:val="22"/>
                <w:szCs w:val="22"/>
                <w:lang w:val="en-US" w:eastAsia="zh-CN" w:bidi="ar-SA"/>
              </w:rPr>
            </w:pPr>
            <w:r>
              <w:rPr>
                <w:rFonts w:hint="eastAsia" w:ascii="宋体" w:hAnsi="宋体" w:eastAsia="宋体" w:cs="宋体"/>
                <w:i w:val="0"/>
                <w:color w:val="000000"/>
                <w:kern w:val="0"/>
                <w:sz w:val="22"/>
                <w:szCs w:val="22"/>
                <w:u w:val="none"/>
                <w:lang w:val="en-US" w:eastAsia="zh-CN" w:bidi="ar"/>
              </w:rPr>
              <w:t>1941.16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109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10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46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color w:val="000000"/>
                <w:kern w:val="0"/>
                <w:sz w:val="22"/>
                <w:szCs w:val="22"/>
                <w:u w:val="none"/>
                <w:lang w:val="en-US" w:eastAsia="zh-CN" w:bidi="ar"/>
              </w:rPr>
              <w:t>1941.16</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10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6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1,941.16 </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p>
        </w:tc>
        <w:tc>
          <w:tcPr>
            <w:tcW w:w="156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1,941.16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1919.74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419.62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419.62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1,500.13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1,500.13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21.42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2059999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其他教育支出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2080502</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事业单位离退休</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1,596.43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205.96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859.93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44.01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0.72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282.11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18.90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182.12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13.26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91.06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21.42</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0.80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141.80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35.30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38.70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117.35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21.52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63.83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32.00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 w:val="21"/>
                <w:szCs w:val="20"/>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20.00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28.56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1713.7813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kern w:val="0"/>
                <w:szCs w:val="18"/>
                <w:lang w:val="en-US"/>
              </w:rPr>
            </w:pPr>
            <w:r>
              <w:rPr>
                <w:rFonts w:hint="eastAsia" w:ascii="宋体" w:hAnsi="宋体" w:eastAsia="宋体" w:cs="宋体"/>
                <w:i w:val="0"/>
                <w:color w:val="000000"/>
                <w:kern w:val="0"/>
                <w:sz w:val="22"/>
                <w:szCs w:val="22"/>
                <w:u w:val="none"/>
                <w:lang w:val="en-US" w:eastAsia="zh-CN" w:bidi="ar"/>
              </w:rPr>
              <w:t>227.38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245"/>
        <w:gridCol w:w="1529"/>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4"/>
                <w:szCs w:val="24"/>
                <w:lang w:val="en-US"/>
              </w:rPr>
            </w:pPr>
            <w:r>
              <w:rPr>
                <w:rFonts w:hint="eastAsia" w:ascii="宋体" w:hAnsi="宋体" w:eastAsia="宋体" w:cs="宋体"/>
                <w:b/>
                <w:bCs/>
                <w:i w:val="0"/>
                <w:iCs w:val="0"/>
                <w:color w:val="000000"/>
                <w:kern w:val="0"/>
                <w:sz w:val="22"/>
                <w:szCs w:val="22"/>
                <w:u w:val="none"/>
                <w:lang w:val="en-US" w:eastAsia="zh-CN" w:bidi="ar"/>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pPr>
        <w:widowControl/>
        <w:jc w:val="left"/>
        <w:textAlignment w:val="center"/>
        <w:rPr>
          <w:rFonts w:ascii="Times New Roman" w:hAnsi="Times New Roman" w:eastAsia="仿宋_GB2312" w:cs="Times New Roman"/>
          <w:color w:val="000000"/>
          <w:kern w:val="0"/>
          <w:sz w:val="24"/>
          <w:szCs w:val="24"/>
        </w:rPr>
      </w:pPr>
    </w:p>
    <w:p>
      <w:pPr>
        <w:widowControl/>
        <w:jc w:val="center"/>
        <w:rPr>
          <w:rFonts w:ascii="Times New Roman" w:hAnsi="Times New Roman" w:eastAsia="方正小标宋_GBK" w:cs="Times New Roman"/>
          <w:color w:val="000000"/>
          <w:kern w:val="0"/>
          <w:sz w:val="36"/>
          <w:szCs w:val="36"/>
        </w:rPr>
      </w:pPr>
    </w:p>
    <w:p>
      <w:pPr>
        <w:pStyle w:val="2"/>
        <w:rPr>
          <w:rFonts w:ascii="Times New Roman" w:hAnsi="Times New Roman" w:eastAsia="方正小标宋_GBK" w:cs="Times New Roman"/>
          <w:color w:val="000000"/>
          <w:kern w:val="0"/>
          <w:sz w:val="36"/>
          <w:szCs w:val="36"/>
        </w:rPr>
      </w:pPr>
    </w:p>
    <w:p>
      <w:pPr>
        <w:rPr>
          <w:rFonts w:ascii="Times New Roman" w:hAnsi="Times New Roman" w:eastAsia="方正小标宋_GBK" w:cs="Times New Roman"/>
          <w:color w:val="000000"/>
          <w:kern w:val="0"/>
          <w:sz w:val="36"/>
          <w:szCs w:val="36"/>
        </w:rPr>
      </w:pPr>
    </w:p>
    <w:p>
      <w:pPr>
        <w:pStyle w:val="2"/>
        <w:rPr>
          <w:rFonts w:ascii="Times New Roman" w:hAnsi="Times New Roman" w:eastAsia="方正小标宋_GBK" w:cs="Times New Roman"/>
          <w:color w:val="000000"/>
          <w:kern w:val="0"/>
          <w:sz w:val="36"/>
          <w:szCs w:val="36"/>
        </w:rPr>
      </w:pPr>
    </w:p>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2025年</w:t>
      </w:r>
      <w:r>
        <w:rPr>
          <w:rFonts w:ascii="Times New Roman" w:hAnsi="Times New Roman" w:eastAsia="方正小标宋_GBK" w:cs="Times New Roman"/>
          <w:sz w:val="52"/>
          <w:szCs w:val="52"/>
        </w:rPr>
        <w:t>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2188.68</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80.68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教职工人数减少，人员经费减少。</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2025年度支出总计2188.68万元。与上年相比，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80.68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教职工人数减少，人员经费减少。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度收入合计</w:t>
      </w:r>
      <w:r>
        <w:rPr>
          <w:rFonts w:hint="eastAsia" w:ascii="Times New Roman" w:hAnsi="Times New Roman" w:eastAsia="仿宋_GB2312" w:cs="Times New Roman"/>
          <w:sz w:val="32"/>
          <w:szCs w:val="32"/>
          <w:lang w:val="en-US" w:eastAsia="zh-CN"/>
        </w:rPr>
        <w:t>2188.68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1941.16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88.69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247.52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11.31</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度支出合计</w:t>
      </w:r>
      <w:r>
        <w:rPr>
          <w:rFonts w:hint="eastAsia" w:ascii="Times New Roman" w:hAnsi="Times New Roman" w:eastAsia="仿宋_GB2312" w:cs="Times New Roman"/>
          <w:sz w:val="32"/>
          <w:szCs w:val="32"/>
          <w:lang w:val="en-US" w:eastAsia="zh-CN"/>
        </w:rPr>
        <w:t>2188.68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color w:val="auto"/>
          <w:sz w:val="32"/>
          <w:szCs w:val="32"/>
          <w:lang w:val="en-US" w:eastAsia="zh-CN"/>
        </w:rPr>
        <w:t>2167.26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99.02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度财政拨款收、支总计</w:t>
      </w:r>
      <w:r>
        <w:rPr>
          <w:rFonts w:hint="eastAsia" w:ascii="Times New Roman" w:hAnsi="Times New Roman" w:eastAsia="仿宋_GB2312" w:cs="Times New Roman"/>
          <w:sz w:val="32"/>
          <w:szCs w:val="32"/>
          <w:lang w:val="en-US" w:eastAsia="zh-CN"/>
        </w:rPr>
        <w:t>3882.32</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176.5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0.45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主要是因为教职工人数减少，人员经费减少。</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1941.16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88.69</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88.25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4.54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教职工人数减少，人员经费减少。</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1941.16</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1941.16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度财政拨款支出年初预算数为</w:t>
      </w:r>
      <w:r>
        <w:rPr>
          <w:rFonts w:hint="eastAsia" w:ascii="Times New Roman" w:hAnsi="Times New Roman" w:eastAsia="仿宋_GB2312" w:cs="Times New Roman"/>
          <w:sz w:val="32"/>
          <w:szCs w:val="32"/>
          <w:lang w:val="en-US" w:eastAsia="zh-CN"/>
        </w:rPr>
        <w:t>1094.79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1941.96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177.38</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4.教育支出（类）其他教育支出（款）其他教育费附加安排的支出（项）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5.教育支出（类）普通教育（款）其他普通教育支出（项）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1007.91</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1941.16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决算数大于预算数主要是因为教职工资增长，年中追加了人员经费。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6.科学技术支出（类）其他科学技术支出（款）其他科学技术支出（项）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7.社会保障和就业支出（类）行政事业单位离退休（款）事业单位离退休（项）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8.社会保障和就业支出（类）行政事业单位离退休（款）死亡抚恤（项）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9.住房保障支出（类）保障性安居工程支出（款）其他保障性租赁住房（项）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度一般公共预算财政拨款基本支出</w:t>
      </w:r>
      <w:r>
        <w:rPr>
          <w:rFonts w:hint="eastAsia" w:ascii="Times New Roman" w:hAnsi="Times New Roman" w:eastAsia="仿宋_GB2312" w:cs="Times New Roman"/>
          <w:sz w:val="32"/>
          <w:szCs w:val="32"/>
          <w:lang w:val="en-US" w:eastAsia="zh-CN"/>
        </w:rPr>
        <w:t>1919.74</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1713.78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89.27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205.96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10.73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pPr>
        <w:pStyle w:val="14"/>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2"/>
        <w:rPr>
          <w:rFonts w:ascii="Times New Roman" w:hAnsi="Times New Roman" w:eastAsia="仿宋_GB2312" w:cs="Times New Roman"/>
          <w:sz w:val="32"/>
          <w:szCs w:val="32"/>
        </w:rPr>
      </w:pPr>
      <w:r>
        <w:rPr>
          <w:rFonts w:hint="eastAsia" w:eastAsia="仿宋_GB2312" w:cs="Times New Roman"/>
          <w:sz w:val="32"/>
          <w:szCs w:val="32"/>
          <w:lang w:eastAsia="zh-CN"/>
        </w:rPr>
        <w:t>2025年</w:t>
      </w:r>
      <w:r>
        <w:rPr>
          <w:rFonts w:ascii="Times New Roman" w:hAnsi="Times New Roman" w:eastAsia="仿宋_GB2312" w:cs="Times New Roman"/>
          <w:sz w:val="32"/>
          <w:szCs w:val="32"/>
        </w:rPr>
        <w:t>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10.05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2025年</w:t>
      </w:r>
      <w:r>
        <w:rPr>
          <w:rFonts w:ascii="Times New Roman" w:hAnsi="Times New Roman" w:cs="Times New Roman"/>
          <w:bCs/>
          <w:color w:val="auto"/>
          <w:sz w:val="32"/>
          <w:szCs w:val="32"/>
        </w:rPr>
        <w:t>度预算绩效情况的说明</w:t>
      </w:r>
    </w:p>
    <w:p>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度本部门（单位）整体支出开展绩效自评，共涉及资金</w:t>
      </w:r>
      <w:r>
        <w:rPr>
          <w:rFonts w:hint="eastAsia" w:ascii="Times New Roman" w:hAnsi="Times New Roman" w:eastAsia="仿宋_GB2312" w:cs="Times New Roman"/>
          <w:kern w:val="0"/>
          <w:sz w:val="32"/>
          <w:szCs w:val="32"/>
          <w:lang w:val="en-US" w:eastAsia="zh-CN"/>
        </w:rPr>
        <w:t>2188.68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1941.16</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hint="eastAsia" w:ascii="Times New Roman" w:hAnsi="Times New Roman" w:eastAsia="仿宋_GB2312" w:cs="Times New Roman"/>
          <w:sz w:val="32"/>
          <w:szCs w:val="32"/>
          <w:lang w:eastAsia="zh-CN"/>
        </w:rPr>
        <w:t>年初</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1171.83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2188.68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186.7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21.42</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学校设施条件未达到预期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争取资金，进一步优化学校硬件设施</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21.42</w:t>
      </w:r>
      <w:r>
        <w:rPr>
          <w:rFonts w:ascii="Times New Roman" w:hAnsi="Times New Roman" w:eastAsia="仿宋_GB2312" w:cs="Times New Roman"/>
          <w:kern w:val="0"/>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2025年预算安排需以“精准化、绩效化、法治化”为核心；进一步加强绩效评价，让经费投入取得的效益最大化。</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pPr>
        <w:widowControl/>
        <w:jc w:val="left"/>
        <w:rPr>
          <w:rFonts w:ascii="Times New Roman" w:hAnsi="Times New Roman" w:cs="Times New Roman"/>
          <w:color w:val="000000"/>
          <w:kern w:val="0"/>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pPr>
        <w:pStyle w:val="14"/>
        <w:spacing w:line="600" w:lineRule="exact"/>
        <w:ind w:firstLine="1600" w:firstLineChars="5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度部门整体支出绩效自评报告。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880" w:firstLineChars="20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2025年</w:t>
      </w:r>
      <w:r>
        <w:rPr>
          <w:rFonts w:hint="eastAsia" w:ascii="宋体" w:hAnsi="宋体" w:eastAsia="宋体" w:cs="宋体"/>
          <w:b/>
          <w:bCs/>
          <w:sz w:val="44"/>
          <w:szCs w:val="44"/>
        </w:rPr>
        <w:t>度益阳市</w:t>
      </w:r>
      <w:r>
        <w:rPr>
          <w:rFonts w:hint="eastAsia" w:ascii="宋体" w:hAnsi="宋体" w:eastAsia="宋体" w:cs="宋体"/>
          <w:b/>
          <w:bCs/>
          <w:sz w:val="44"/>
          <w:szCs w:val="44"/>
          <w:lang w:eastAsia="zh-CN"/>
        </w:rPr>
        <w:t>赫山区赫山中学</w:t>
      </w:r>
    </w:p>
    <w:p>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度本单位整体支出进行了绩效自评，现将具体绩效评价情况报告如下：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eastAsia="zh-CN"/>
        </w:rPr>
        <w:t>赫山区赫山中学</w:t>
      </w:r>
      <w:r>
        <w:rPr>
          <w:rFonts w:hint="eastAsia" w:ascii="仿宋" w:hAnsi="仿宋" w:eastAsia="仿宋" w:cs="仿宋"/>
          <w:b w:val="0"/>
          <w:bCs w:val="0"/>
          <w:sz w:val="32"/>
          <w:szCs w:val="32"/>
        </w:rPr>
        <w:t>是隶属于益阳市赫山区教育局的基础教育义务教育学校，是全额补助事业单位。</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度益阳市</w:t>
      </w:r>
      <w:r>
        <w:rPr>
          <w:rFonts w:hint="eastAsia" w:ascii="仿宋" w:hAnsi="仿宋" w:eastAsia="仿宋" w:cs="仿宋"/>
          <w:b w:val="0"/>
          <w:bCs w:val="0"/>
          <w:sz w:val="32"/>
          <w:szCs w:val="32"/>
          <w:lang w:eastAsia="zh-CN"/>
        </w:rPr>
        <w:t>赫山区赫山中学</w:t>
      </w:r>
      <w:r>
        <w:rPr>
          <w:rFonts w:hint="eastAsia" w:ascii="仿宋" w:hAnsi="仿宋" w:eastAsia="仿宋" w:cs="仿宋"/>
          <w:b w:val="0"/>
          <w:bCs w:val="0"/>
          <w:sz w:val="32"/>
          <w:szCs w:val="32"/>
        </w:rPr>
        <w:t>一般公共预算财政拨款支出总计</w:t>
      </w:r>
      <w:r>
        <w:rPr>
          <w:rFonts w:hint="eastAsia" w:ascii="仿宋" w:hAnsi="仿宋" w:eastAsia="仿宋" w:cs="仿宋"/>
          <w:b w:val="0"/>
          <w:bCs w:val="0"/>
          <w:sz w:val="32"/>
          <w:szCs w:val="32"/>
          <w:lang w:val="en-US" w:eastAsia="zh-CN"/>
        </w:rPr>
        <w:t>1941.16</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1919.74</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1713.78</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195.06</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117.35</w:t>
      </w:r>
      <w:r>
        <w:rPr>
          <w:rFonts w:hint="eastAsia" w:ascii="仿宋" w:hAnsi="仿宋" w:eastAsia="仿宋" w:cs="仿宋"/>
          <w:b w:val="0"/>
          <w:bCs w:val="0"/>
          <w:sz w:val="32"/>
          <w:szCs w:val="32"/>
        </w:rPr>
        <w:t>万元，④资本性支出</w:t>
      </w:r>
      <w:r>
        <w:rPr>
          <w:rFonts w:hint="eastAsia" w:ascii="仿宋" w:hAnsi="仿宋" w:eastAsia="仿宋" w:cs="仿宋"/>
          <w:b w:val="0"/>
          <w:bCs w:val="0"/>
          <w:sz w:val="32"/>
          <w:szCs w:val="32"/>
          <w:lang w:val="en-US" w:eastAsia="zh-CN"/>
        </w:rPr>
        <w:t>10.9</w:t>
      </w:r>
      <w:r>
        <w:rPr>
          <w:rFonts w:hint="eastAsia" w:ascii="仿宋" w:hAnsi="仿宋" w:eastAsia="仿宋" w:cs="仿宋"/>
          <w:b w:val="0"/>
          <w:bCs w:val="0"/>
          <w:sz w:val="32"/>
          <w:szCs w:val="32"/>
        </w:rPr>
        <w:t>万元〕。</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21.42</w:t>
      </w:r>
      <w:r>
        <w:rPr>
          <w:rFonts w:hint="eastAsia" w:ascii="仿宋" w:hAnsi="仿宋" w:eastAsia="仿宋" w:cs="仿宋"/>
          <w:b w:val="0"/>
          <w:bCs w:val="0"/>
          <w:sz w:val="32"/>
          <w:szCs w:val="32"/>
        </w:rPr>
        <w:t>万元。</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，我校制定了《</w:t>
      </w:r>
      <w:r>
        <w:rPr>
          <w:rFonts w:hint="eastAsia" w:ascii="仿宋" w:hAnsi="仿宋" w:eastAsia="仿宋" w:cs="仿宋"/>
          <w:b w:val="0"/>
          <w:bCs w:val="0"/>
          <w:sz w:val="32"/>
          <w:szCs w:val="32"/>
          <w:lang w:eastAsia="zh-CN"/>
        </w:rPr>
        <w:t>赫山区赫山中学</w:t>
      </w:r>
      <w:r>
        <w:rPr>
          <w:rFonts w:hint="eastAsia" w:ascii="仿宋" w:hAnsi="仿宋" w:eastAsia="仿宋" w:cs="仿宋"/>
          <w:b w:val="0"/>
          <w:bCs w:val="0"/>
          <w:sz w:val="32"/>
          <w:szCs w:val="32"/>
        </w:rPr>
        <w:t>内部控制制度》、《学校财务管理制度》、《</w:t>
      </w:r>
      <w:r>
        <w:rPr>
          <w:rFonts w:hint="eastAsia" w:ascii="仿宋" w:hAnsi="仿宋" w:eastAsia="仿宋" w:cs="仿宋"/>
          <w:b w:val="0"/>
          <w:bCs w:val="0"/>
          <w:sz w:val="32"/>
          <w:szCs w:val="32"/>
          <w:lang w:eastAsia="zh-CN"/>
        </w:rPr>
        <w:t>赫山区赫山中学</w:t>
      </w:r>
      <w:r>
        <w:rPr>
          <w:rFonts w:hint="eastAsia" w:ascii="仿宋" w:hAnsi="仿宋" w:eastAsia="仿宋" w:cs="仿宋"/>
          <w:b w:val="0"/>
          <w:bCs w:val="0"/>
          <w:sz w:val="32"/>
          <w:szCs w:val="32"/>
        </w:rPr>
        <w:t>物资采购制度》、《内部审计制度》等一系列内部控制制度，相关制度合法合规、完整，并得到有效执行。</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7</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度部门整体支出数据的准确性、真实性进行核实，将</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度预算安排、非税收入、预算追加、资金管理、经费支出、资产管理等相关文件资料和财务凭证。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以来总计投入</w:t>
      </w:r>
      <w:r>
        <w:rPr>
          <w:rFonts w:hint="eastAsia" w:ascii="仿宋" w:hAnsi="仿宋" w:eastAsia="仿宋" w:cs="仿宋"/>
          <w:b w:val="0"/>
          <w:bCs w:val="0"/>
          <w:sz w:val="32"/>
          <w:szCs w:val="32"/>
          <w:lang w:val="en-US" w:eastAsia="zh-CN"/>
        </w:rPr>
        <w:t>3</w:t>
      </w:r>
      <w:bookmarkStart w:id="3" w:name="_GoBack"/>
      <w:bookmarkEnd w:id="3"/>
      <w:r>
        <w:rPr>
          <w:rFonts w:hint="eastAsia" w:ascii="仿宋" w:hAnsi="仿宋" w:eastAsia="仿宋" w:cs="仿宋"/>
          <w:b w:val="0"/>
          <w:bCs w:val="0"/>
          <w:sz w:val="32"/>
          <w:szCs w:val="32"/>
          <w:lang w:val="en-US" w:eastAsia="zh-CN"/>
        </w:rPr>
        <w:t>0.03</w:t>
      </w:r>
      <w:r>
        <w:rPr>
          <w:rFonts w:hint="eastAsia" w:ascii="仿宋" w:hAnsi="仿宋" w:eastAsia="仿宋" w:cs="仿宋"/>
          <w:b w:val="0"/>
          <w:bCs w:val="0"/>
          <w:sz w:val="32"/>
          <w:szCs w:val="32"/>
        </w:rPr>
        <w:t>万元，主要用于学校维修改造</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D98SzkFgIAABUEAAAOAAAAAAAA&#10;AAEAIAAAAB8BAABkcnMvZTJvRG9jLnhtbFBLBQYAAAAABgAGAFkBAACn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99C18CF9"/>
    <w:multiLevelType w:val="singleLevel"/>
    <w:tmpl w:val="99C18CF9"/>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AF5F8B"/>
    <w:rsid w:val="088C1F29"/>
    <w:rsid w:val="09410A35"/>
    <w:rsid w:val="09CC76BA"/>
    <w:rsid w:val="0E9E6834"/>
    <w:rsid w:val="0FAC4C5F"/>
    <w:rsid w:val="11967974"/>
    <w:rsid w:val="11CA090C"/>
    <w:rsid w:val="12015736"/>
    <w:rsid w:val="12046FD4"/>
    <w:rsid w:val="133F2316"/>
    <w:rsid w:val="14AC7604"/>
    <w:rsid w:val="14D902A4"/>
    <w:rsid w:val="1610061C"/>
    <w:rsid w:val="16BA5EB3"/>
    <w:rsid w:val="17AA4179"/>
    <w:rsid w:val="19860447"/>
    <w:rsid w:val="1B5E7755"/>
    <w:rsid w:val="1BAA4748"/>
    <w:rsid w:val="1C3A1BFF"/>
    <w:rsid w:val="1CE11DDF"/>
    <w:rsid w:val="1D97DEFF"/>
    <w:rsid w:val="1DFF72E5"/>
    <w:rsid w:val="1E6037E4"/>
    <w:rsid w:val="1EF164DD"/>
    <w:rsid w:val="1EF526EC"/>
    <w:rsid w:val="1EFC6F07"/>
    <w:rsid w:val="1F615A66"/>
    <w:rsid w:val="20340A84"/>
    <w:rsid w:val="21694BF3"/>
    <w:rsid w:val="21FE134A"/>
    <w:rsid w:val="225C2514"/>
    <w:rsid w:val="23CC397D"/>
    <w:rsid w:val="241C386E"/>
    <w:rsid w:val="25DF7D67"/>
    <w:rsid w:val="276205CD"/>
    <w:rsid w:val="28C9236F"/>
    <w:rsid w:val="28D5695D"/>
    <w:rsid w:val="29982084"/>
    <w:rsid w:val="29D11A3A"/>
    <w:rsid w:val="2B6E431F"/>
    <w:rsid w:val="2B8973FB"/>
    <w:rsid w:val="2BB37649"/>
    <w:rsid w:val="2BD870AF"/>
    <w:rsid w:val="2C170F57"/>
    <w:rsid w:val="2D1759B5"/>
    <w:rsid w:val="2D441559"/>
    <w:rsid w:val="2EC76F67"/>
    <w:rsid w:val="2EE74D16"/>
    <w:rsid w:val="2FDF85B8"/>
    <w:rsid w:val="2FFFEE04"/>
    <w:rsid w:val="311F308B"/>
    <w:rsid w:val="32965BE1"/>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3F692435"/>
    <w:rsid w:val="400B13AA"/>
    <w:rsid w:val="402F74FD"/>
    <w:rsid w:val="43284021"/>
    <w:rsid w:val="44CD30D2"/>
    <w:rsid w:val="476E6C30"/>
    <w:rsid w:val="491FF225"/>
    <w:rsid w:val="4936052D"/>
    <w:rsid w:val="49690EEF"/>
    <w:rsid w:val="49C34AA3"/>
    <w:rsid w:val="4AF40C8C"/>
    <w:rsid w:val="4FFD214C"/>
    <w:rsid w:val="516E6819"/>
    <w:rsid w:val="52E8557B"/>
    <w:rsid w:val="53D5653B"/>
    <w:rsid w:val="54020436"/>
    <w:rsid w:val="55570917"/>
    <w:rsid w:val="570F30D6"/>
    <w:rsid w:val="5713125C"/>
    <w:rsid w:val="5777D4F5"/>
    <w:rsid w:val="57C40364"/>
    <w:rsid w:val="57C46FD4"/>
    <w:rsid w:val="58156012"/>
    <w:rsid w:val="58190916"/>
    <w:rsid w:val="59DD8326"/>
    <w:rsid w:val="5DEF592A"/>
    <w:rsid w:val="5F2F5D89"/>
    <w:rsid w:val="5FC6BB1E"/>
    <w:rsid w:val="5FF720F1"/>
    <w:rsid w:val="61243A18"/>
    <w:rsid w:val="613C540F"/>
    <w:rsid w:val="629B6165"/>
    <w:rsid w:val="65A215B9"/>
    <w:rsid w:val="66061B48"/>
    <w:rsid w:val="660967FD"/>
    <w:rsid w:val="664726D9"/>
    <w:rsid w:val="66C71CFE"/>
    <w:rsid w:val="67086DE3"/>
    <w:rsid w:val="67FF5C0B"/>
    <w:rsid w:val="6897117D"/>
    <w:rsid w:val="690802CD"/>
    <w:rsid w:val="6A7A2B04"/>
    <w:rsid w:val="6AC975E8"/>
    <w:rsid w:val="6B17608E"/>
    <w:rsid w:val="6BC33E6B"/>
    <w:rsid w:val="6C310822"/>
    <w:rsid w:val="6D121154"/>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93F73F3"/>
    <w:rsid w:val="79D19834"/>
    <w:rsid w:val="79FF515B"/>
    <w:rsid w:val="7CCE6A86"/>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1337</Words>
  <Characters>7621</Characters>
  <Lines>63</Lines>
  <Paragraphs>17</Paragraphs>
  <TotalTime>39</TotalTime>
  <ScaleCrop>false</ScaleCrop>
  <LinksUpToDate>false</LinksUpToDate>
  <CharactersWithSpaces>8941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Administrator</cp:lastModifiedBy>
  <cp:lastPrinted>2025-08-26T01:04:00Z</cp:lastPrinted>
  <dcterms:modified xsi:type="dcterms:W3CDTF">2026-09-04T04:54:56Z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9424F795F8854667802C790695A34BB6</vt:lpwstr>
  </property>
</Properties>
</file>