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64A43B">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63D4F1FA">
      <w:pPr>
        <w:pStyle w:val="12"/>
        <w:jc w:val="center"/>
        <w:rPr>
          <w:rFonts w:ascii="Times New Roman" w:hAnsi="Times New Roman" w:cs="Times New Roman"/>
          <w:sz w:val="56"/>
          <w:szCs w:val="56"/>
        </w:rPr>
      </w:pPr>
    </w:p>
    <w:p w14:paraId="538D784F">
      <w:pPr>
        <w:pStyle w:val="12"/>
        <w:jc w:val="center"/>
        <w:rPr>
          <w:rFonts w:ascii="Times New Roman" w:hAnsi="Times New Roman" w:cs="Times New Roman"/>
          <w:sz w:val="84"/>
          <w:szCs w:val="84"/>
        </w:rPr>
      </w:pPr>
    </w:p>
    <w:p w14:paraId="5F6CE42A">
      <w:pPr>
        <w:pStyle w:val="12"/>
        <w:jc w:val="center"/>
        <w:rPr>
          <w:rFonts w:ascii="Times New Roman" w:hAnsi="Times New Roman" w:cs="Times New Roman"/>
          <w:sz w:val="84"/>
          <w:szCs w:val="84"/>
        </w:rPr>
      </w:pPr>
    </w:p>
    <w:p w14:paraId="55E2E7A6">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5AF064BB">
      <w:pPr>
        <w:pStyle w:val="12"/>
        <w:jc w:val="center"/>
        <w:rPr>
          <w:rFonts w:hint="eastAsia"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益阳市</w:t>
      </w:r>
      <w:r>
        <w:rPr>
          <w:rFonts w:hint="eastAsia" w:ascii="Times New Roman" w:hAnsi="Times New Roman" w:eastAsia="方正小标宋简体" w:cs="Times New Roman"/>
          <w:sz w:val="72"/>
          <w:szCs w:val="72"/>
          <w:lang w:val="en-US" w:eastAsia="zh-CN"/>
        </w:rPr>
        <w:t>沧水铺镇芙蓉</w:t>
      </w:r>
      <w:r>
        <w:rPr>
          <w:rFonts w:hint="eastAsia" w:ascii="Times New Roman" w:hAnsi="Times New Roman" w:eastAsia="方正小标宋简体" w:cs="Times New Roman"/>
          <w:sz w:val="72"/>
          <w:szCs w:val="72"/>
        </w:rPr>
        <w:t>学校</w:t>
      </w:r>
    </w:p>
    <w:p w14:paraId="36B26746">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部门决算</w:t>
      </w:r>
    </w:p>
    <w:p w14:paraId="75A26F5B">
      <w:pPr>
        <w:pStyle w:val="12"/>
        <w:jc w:val="center"/>
        <w:rPr>
          <w:rFonts w:ascii="Times New Roman" w:hAnsi="Times New Roman" w:eastAsia="方正小标宋_GBK" w:cs="Times New Roman"/>
          <w:sz w:val="56"/>
          <w:szCs w:val="56"/>
        </w:rPr>
      </w:pPr>
    </w:p>
    <w:p w14:paraId="1FAF417D">
      <w:pPr>
        <w:pStyle w:val="12"/>
        <w:jc w:val="center"/>
        <w:rPr>
          <w:rFonts w:ascii="Times New Roman" w:hAnsi="Times New Roman" w:cs="Times New Roman"/>
          <w:sz w:val="56"/>
          <w:szCs w:val="56"/>
        </w:rPr>
      </w:pPr>
    </w:p>
    <w:p w14:paraId="33DBF013">
      <w:pPr>
        <w:pStyle w:val="12"/>
        <w:rPr>
          <w:rFonts w:ascii="Times New Roman" w:hAnsi="Times New Roman" w:cs="Times New Roman"/>
          <w:sz w:val="56"/>
          <w:szCs w:val="56"/>
        </w:rPr>
      </w:pPr>
    </w:p>
    <w:p w14:paraId="54178D7D">
      <w:pPr>
        <w:pStyle w:val="12"/>
        <w:jc w:val="center"/>
        <w:rPr>
          <w:rFonts w:ascii="Times New Roman" w:hAnsi="Times New Roman" w:cs="Times New Roman"/>
          <w:sz w:val="32"/>
          <w:szCs w:val="32"/>
        </w:rPr>
      </w:pPr>
    </w:p>
    <w:p w14:paraId="2CF28D03">
      <w:pPr>
        <w:pStyle w:val="12"/>
        <w:spacing w:line="600" w:lineRule="exact"/>
        <w:jc w:val="center"/>
        <w:rPr>
          <w:rFonts w:ascii="Times New Roman" w:hAnsi="Times New Roman" w:cs="Times New Roman"/>
          <w:bCs/>
          <w:sz w:val="36"/>
          <w:szCs w:val="28"/>
        </w:rPr>
      </w:pPr>
    </w:p>
    <w:p w14:paraId="3A84EFC8">
      <w:pPr>
        <w:pStyle w:val="12"/>
        <w:spacing w:line="600" w:lineRule="exact"/>
        <w:jc w:val="center"/>
        <w:rPr>
          <w:rFonts w:ascii="Times New Roman" w:hAnsi="Times New Roman" w:cs="Times New Roman"/>
          <w:bCs/>
          <w:sz w:val="36"/>
          <w:szCs w:val="28"/>
        </w:rPr>
      </w:pPr>
    </w:p>
    <w:p w14:paraId="32166466">
      <w:pPr>
        <w:pStyle w:val="12"/>
        <w:spacing w:line="600" w:lineRule="exact"/>
        <w:jc w:val="center"/>
        <w:rPr>
          <w:rFonts w:ascii="Times New Roman" w:hAnsi="Times New Roman" w:cs="Times New Roman"/>
          <w:bCs/>
          <w:sz w:val="36"/>
          <w:szCs w:val="28"/>
        </w:rPr>
      </w:pPr>
    </w:p>
    <w:p w14:paraId="7DFB9137">
      <w:pPr>
        <w:pStyle w:val="12"/>
        <w:spacing w:line="600" w:lineRule="exact"/>
        <w:jc w:val="center"/>
        <w:rPr>
          <w:rFonts w:ascii="Times New Roman" w:hAnsi="Times New Roman" w:cs="Times New Roman"/>
          <w:bCs/>
          <w:sz w:val="36"/>
          <w:szCs w:val="28"/>
        </w:rPr>
      </w:pPr>
    </w:p>
    <w:p w14:paraId="64207A85">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604F545E">
      <w:pPr>
        <w:pStyle w:val="12"/>
        <w:spacing w:line="600" w:lineRule="exact"/>
        <w:jc w:val="center"/>
        <w:rPr>
          <w:rFonts w:ascii="Times New Roman" w:hAnsi="Times New Roman" w:cs="Times New Roman"/>
          <w:b/>
          <w:sz w:val="36"/>
          <w:szCs w:val="28"/>
        </w:rPr>
      </w:pPr>
    </w:p>
    <w:p w14:paraId="670ACC52">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益阳市沧水铺镇芙蓉学校</w:t>
      </w:r>
      <w:r>
        <w:rPr>
          <w:rFonts w:ascii="Times New Roman" w:hAnsi="Times New Roman" w:cs="Times New Roman"/>
          <w:bCs/>
          <w:sz w:val="32"/>
          <w:szCs w:val="32"/>
        </w:rPr>
        <w:t>概况</w:t>
      </w:r>
    </w:p>
    <w:p w14:paraId="6BFB2F9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33C2927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127FCAC4">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5685A736">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6006890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1DD9B5F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65A1AE2E">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6F50E76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4D1152F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55D91C9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72EB3EDF">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72115E99">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610D64B0">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4FF2C57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259A8EAF">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2B5E802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7728F76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5F45126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4212538">
      <w:pPr>
        <w:autoSpaceDE w:val="0"/>
        <w:autoSpaceDN w:val="0"/>
        <w:adjustRightInd w:val="0"/>
        <w:spacing w:line="600" w:lineRule="exact"/>
        <w:jc w:val="left"/>
        <w:rPr>
          <w:rFonts w:ascii="Times New Roman" w:hAnsi="Times New Roman" w:eastAsia="仿宋_GB2312" w:cs="Times New Roman"/>
          <w:color w:val="000000"/>
          <w:kern w:val="0"/>
          <w:sz w:val="32"/>
          <w:szCs w:val="32"/>
        </w:rPr>
        <w:sectPr>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14256F3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1A43489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FC91A3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1FB34F8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1B8C1C7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71DED37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62DDB06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553F9ED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2AE76A9B">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7D876F69">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65EC6F35">
      <w:pPr>
        <w:pStyle w:val="12"/>
        <w:spacing w:line="600" w:lineRule="exact"/>
        <w:rPr>
          <w:rFonts w:ascii="Times New Roman" w:hAnsi="Times New Roman" w:cs="Times New Roman"/>
          <w:bCs/>
          <w:sz w:val="28"/>
          <w:szCs w:val="28"/>
        </w:rPr>
      </w:pPr>
    </w:p>
    <w:p w14:paraId="2A5B5256">
      <w:pPr>
        <w:jc w:val="center"/>
        <w:rPr>
          <w:rFonts w:ascii="Times New Roman" w:hAnsi="Times New Roman" w:cs="Times New Roman"/>
          <w:sz w:val="72"/>
          <w:szCs w:val="72"/>
        </w:rPr>
      </w:pPr>
    </w:p>
    <w:p w14:paraId="43D00B30">
      <w:pPr>
        <w:jc w:val="center"/>
        <w:rPr>
          <w:rFonts w:ascii="Times New Roman" w:hAnsi="Times New Roman" w:cs="Times New Roman"/>
          <w:sz w:val="72"/>
          <w:szCs w:val="72"/>
        </w:rPr>
      </w:pPr>
    </w:p>
    <w:p w14:paraId="4742BFC5">
      <w:pPr>
        <w:jc w:val="center"/>
        <w:rPr>
          <w:rFonts w:ascii="Times New Roman" w:hAnsi="Times New Roman" w:cs="Times New Roman"/>
          <w:sz w:val="72"/>
          <w:szCs w:val="72"/>
        </w:rPr>
      </w:pPr>
    </w:p>
    <w:p w14:paraId="7C324D3B">
      <w:pPr>
        <w:pStyle w:val="2"/>
        <w:rPr>
          <w:rFonts w:ascii="Times New Roman" w:hAnsi="Times New Roman" w:cs="Times New Roman"/>
        </w:rPr>
        <w:sectPr>
          <w:footerReference r:id="rId3"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25E23748">
      <w:pPr>
        <w:rPr>
          <w:rFonts w:ascii="Times New Roman" w:hAnsi="Times New Roman" w:eastAsia="方正小标宋_GBK" w:cs="Times New Roman"/>
          <w:sz w:val="72"/>
          <w:szCs w:val="72"/>
        </w:rPr>
      </w:pPr>
    </w:p>
    <w:p w14:paraId="477C3A5A">
      <w:pPr>
        <w:pStyle w:val="12"/>
        <w:spacing w:line="360" w:lineRule="auto"/>
        <w:jc w:val="center"/>
        <w:rPr>
          <w:rFonts w:ascii="Times New Roman" w:hAnsi="Times New Roman" w:eastAsia="方正小标宋_GBK" w:cs="Times New Roman"/>
          <w:sz w:val="52"/>
          <w:szCs w:val="52"/>
        </w:rPr>
      </w:pPr>
    </w:p>
    <w:p w14:paraId="1699560A">
      <w:pPr>
        <w:pStyle w:val="12"/>
        <w:spacing w:line="360" w:lineRule="auto"/>
        <w:jc w:val="center"/>
        <w:rPr>
          <w:rFonts w:ascii="Times New Roman" w:hAnsi="Times New Roman" w:eastAsia="方正小标宋_GBK" w:cs="Times New Roman"/>
          <w:sz w:val="52"/>
          <w:szCs w:val="52"/>
        </w:rPr>
      </w:pPr>
    </w:p>
    <w:p w14:paraId="27B0A45A">
      <w:pPr>
        <w:pStyle w:val="12"/>
        <w:spacing w:line="360" w:lineRule="auto"/>
        <w:jc w:val="center"/>
        <w:rPr>
          <w:rFonts w:ascii="Times New Roman" w:hAnsi="Times New Roman" w:eastAsia="方正小标宋_GBK" w:cs="Times New Roman"/>
          <w:sz w:val="52"/>
          <w:szCs w:val="52"/>
        </w:rPr>
      </w:pPr>
    </w:p>
    <w:p w14:paraId="07E411C0">
      <w:pPr>
        <w:pStyle w:val="12"/>
        <w:spacing w:line="360" w:lineRule="auto"/>
        <w:jc w:val="center"/>
        <w:rPr>
          <w:rFonts w:ascii="Times New Roman" w:hAnsi="Times New Roman" w:eastAsia="方正小标宋_GBK" w:cs="Times New Roman"/>
          <w:sz w:val="52"/>
          <w:szCs w:val="52"/>
        </w:rPr>
      </w:pPr>
    </w:p>
    <w:p w14:paraId="0F01E0A2">
      <w:pPr>
        <w:pStyle w:val="12"/>
        <w:spacing w:line="360" w:lineRule="auto"/>
        <w:jc w:val="center"/>
        <w:rPr>
          <w:rFonts w:ascii="Times New Roman" w:hAnsi="Times New Roman" w:eastAsia="方正小标宋_GBK" w:cs="Times New Roman"/>
          <w:sz w:val="52"/>
          <w:szCs w:val="52"/>
        </w:rPr>
      </w:pPr>
    </w:p>
    <w:p w14:paraId="319F6731">
      <w:pPr>
        <w:pStyle w:val="12"/>
        <w:spacing w:line="360" w:lineRule="auto"/>
        <w:jc w:val="center"/>
        <w:rPr>
          <w:rFonts w:ascii="Times New Roman" w:hAnsi="Times New Roman" w:eastAsia="方正小标宋_GBK" w:cs="Times New Roman"/>
          <w:sz w:val="52"/>
          <w:szCs w:val="52"/>
        </w:rPr>
      </w:pPr>
    </w:p>
    <w:p w14:paraId="1CBA11C9">
      <w:pPr>
        <w:pStyle w:val="12"/>
        <w:spacing w:line="360" w:lineRule="auto"/>
        <w:jc w:val="center"/>
        <w:rPr>
          <w:rFonts w:ascii="Times New Roman" w:hAnsi="Times New Roman" w:eastAsia="方正小标宋_GBK" w:cs="Times New Roman"/>
          <w:sz w:val="52"/>
          <w:szCs w:val="52"/>
        </w:rPr>
      </w:pPr>
    </w:p>
    <w:p w14:paraId="7D7ABCB6">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3C4EECBB">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益阳市沧水铺镇芙蓉学校</w:t>
      </w:r>
      <w:r>
        <w:rPr>
          <w:rFonts w:ascii="Times New Roman" w:hAnsi="Times New Roman" w:eastAsia="方正小标宋_GBK" w:cs="Times New Roman"/>
          <w:sz w:val="52"/>
          <w:szCs w:val="52"/>
        </w:rPr>
        <w:t>概况</w:t>
      </w:r>
    </w:p>
    <w:p w14:paraId="28972204">
      <w:pPr>
        <w:pStyle w:val="3"/>
        <w:ind w:left="0" w:leftChars="0" w:firstLine="0" w:firstLineChars="0"/>
        <w:rPr>
          <w:rFonts w:ascii="Times New Roman" w:hAnsi="Times New Roman" w:cs="Times New Roman"/>
        </w:rPr>
      </w:pPr>
    </w:p>
    <w:p w14:paraId="1D500034">
      <w:pPr>
        <w:rPr>
          <w:rFonts w:ascii="Times New Roman" w:hAnsi="Times New Roman" w:cs="Times New Roman"/>
        </w:rPr>
      </w:pPr>
    </w:p>
    <w:p w14:paraId="559F79D3">
      <w:pPr>
        <w:pStyle w:val="2"/>
        <w:rPr>
          <w:rFonts w:ascii="Times New Roman" w:hAnsi="Times New Roman" w:cs="Times New Roman"/>
        </w:rPr>
      </w:pPr>
    </w:p>
    <w:p w14:paraId="154CF337">
      <w:pPr>
        <w:pStyle w:val="3"/>
        <w:rPr>
          <w:rFonts w:ascii="Times New Roman" w:hAnsi="Times New Roman" w:cs="Times New Roman"/>
        </w:rPr>
      </w:pPr>
    </w:p>
    <w:p w14:paraId="76625346">
      <w:pPr>
        <w:rPr>
          <w:rFonts w:ascii="Times New Roman" w:hAnsi="Times New Roman" w:cs="Times New Roman"/>
        </w:rPr>
      </w:pPr>
    </w:p>
    <w:p w14:paraId="66A3CF5E">
      <w:pPr>
        <w:pStyle w:val="2"/>
        <w:rPr>
          <w:rFonts w:ascii="Times New Roman" w:hAnsi="Times New Roman" w:cs="Times New Roman"/>
        </w:rPr>
      </w:pPr>
    </w:p>
    <w:p w14:paraId="09D9D6C3">
      <w:pPr>
        <w:pStyle w:val="3"/>
        <w:rPr>
          <w:rFonts w:ascii="Times New Roman" w:hAnsi="Times New Roman" w:cs="Times New Roman"/>
        </w:rPr>
      </w:pPr>
    </w:p>
    <w:p w14:paraId="3A475155">
      <w:pPr>
        <w:rPr>
          <w:rFonts w:ascii="Times New Roman" w:hAnsi="Times New Roman" w:cs="Times New Roman"/>
        </w:rPr>
      </w:pPr>
    </w:p>
    <w:p w14:paraId="7E24D6DF">
      <w:pPr>
        <w:pStyle w:val="2"/>
        <w:rPr>
          <w:rFonts w:ascii="Times New Roman" w:hAnsi="Times New Roman" w:cs="Times New Roman"/>
        </w:rPr>
      </w:pPr>
    </w:p>
    <w:p w14:paraId="52EA9D83">
      <w:pPr>
        <w:pStyle w:val="3"/>
        <w:rPr>
          <w:rFonts w:ascii="Times New Roman" w:hAnsi="Times New Roman" w:cs="Times New Roman"/>
        </w:rPr>
      </w:pPr>
    </w:p>
    <w:p w14:paraId="39050D5E">
      <w:pPr>
        <w:rPr>
          <w:rFonts w:ascii="Times New Roman" w:hAnsi="Times New Roman" w:cs="Times New Roman"/>
        </w:rPr>
      </w:pPr>
    </w:p>
    <w:p w14:paraId="40F3A037">
      <w:pPr>
        <w:pStyle w:val="2"/>
        <w:rPr>
          <w:rFonts w:ascii="Times New Roman" w:hAnsi="Times New Roman" w:cs="Times New Roman"/>
        </w:rPr>
      </w:pPr>
    </w:p>
    <w:p w14:paraId="525FDA10">
      <w:pPr>
        <w:pStyle w:val="3"/>
        <w:rPr>
          <w:rFonts w:ascii="Times New Roman" w:hAnsi="Times New Roman" w:cs="Times New Roman"/>
        </w:rPr>
      </w:pPr>
    </w:p>
    <w:p w14:paraId="79411D86">
      <w:pPr>
        <w:rPr>
          <w:rFonts w:ascii="Times New Roman" w:hAnsi="Times New Roman" w:cs="Times New Roman"/>
        </w:rPr>
      </w:pPr>
    </w:p>
    <w:p w14:paraId="5EEF4375">
      <w:pPr>
        <w:pStyle w:val="2"/>
        <w:rPr>
          <w:rFonts w:ascii="Times New Roman" w:hAnsi="Times New Roman" w:cs="Times New Roman"/>
        </w:rPr>
      </w:pPr>
    </w:p>
    <w:p w14:paraId="0D05C2C5">
      <w:pPr>
        <w:pStyle w:val="3"/>
        <w:rPr>
          <w:rFonts w:ascii="Times New Roman" w:hAnsi="Times New Roman" w:cs="Times New Roman"/>
        </w:rPr>
      </w:pPr>
    </w:p>
    <w:p w14:paraId="594C5F3E">
      <w:pPr>
        <w:rPr>
          <w:rFonts w:ascii="Times New Roman" w:hAnsi="Times New Roman" w:cs="Times New Roman"/>
        </w:rPr>
      </w:pPr>
    </w:p>
    <w:p w14:paraId="5EBB874C">
      <w:pPr>
        <w:pStyle w:val="2"/>
        <w:rPr>
          <w:rFonts w:ascii="Times New Roman" w:hAnsi="Times New Roman" w:cs="Times New Roman"/>
        </w:rPr>
      </w:pPr>
    </w:p>
    <w:p w14:paraId="40EE9D50">
      <w:pPr>
        <w:pStyle w:val="3"/>
        <w:rPr>
          <w:rFonts w:ascii="Times New Roman" w:hAnsi="Times New Roman" w:cs="Times New Roman"/>
        </w:rPr>
      </w:pPr>
    </w:p>
    <w:p w14:paraId="727E9030"/>
    <w:p w14:paraId="152D1F98">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2F7BAB4C">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1.负责贯彻党的教育方针,坚持社会主义办学方向,对学生进行德育、智育、体育、美育和劳动教育等方面的教育。</w:t>
      </w:r>
    </w:p>
    <w:p w14:paraId="012DEC64">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2.负责配合各级人民政府依法动员适龄儿童、少年入学,严格控制学生辍学,依法保证适龄儿童、少年接受九年义务教育。</w:t>
      </w:r>
    </w:p>
    <w:p w14:paraId="5BD4A9C1">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3.负责制定学校教育发展规划,并抓好组织实施和落实工作。</w:t>
      </w:r>
    </w:p>
    <w:p w14:paraId="315D10D1">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4.负责按照教育主管部门发布的指导性教学计划、教学大纲,组织实施教育教学活动。</w:t>
      </w:r>
    </w:p>
    <w:p w14:paraId="0CF0B280">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5.负责依据国家主管部门有关教学计划、课程设置等方面的规定,决定和实施本校的教学计划,组织教学评比、集体备课,对学生进行统一考核等。</w:t>
      </w:r>
    </w:p>
    <w:p w14:paraId="36AC89B6">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6.负责学籍管理。</w:t>
      </w:r>
    </w:p>
    <w:p w14:paraId="092F3D96">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7.负责聘任、培训、考核教师,依法奖励或处分有关教师和职工。</w:t>
      </w:r>
    </w:p>
    <w:p w14:paraId="60884D77">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8.负责科学管理、合理使用学校的设施和经费。</w:t>
      </w:r>
    </w:p>
    <w:p w14:paraId="2D5434B5">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9.负责维护学校、师生的合法权益,有权拒绝任何组织和个人对教育教学活动进行非法干涉。</w:t>
      </w:r>
    </w:p>
    <w:p w14:paraId="0C3858E8">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10.依法接受各级教育行政部门的检查指导和人民群众的监督。</w:t>
      </w:r>
    </w:p>
    <w:p w14:paraId="18ED7FA0">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315C9B68">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p>
    <w:p w14:paraId="1F23F563">
      <w:pPr>
        <w:widowControl/>
        <w:spacing w:line="600" w:lineRule="exact"/>
        <w:ind w:firstLine="640" w:firstLineChars="200"/>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益阳市</w:t>
      </w:r>
      <w:r>
        <w:rPr>
          <w:rFonts w:hint="eastAsia" w:ascii="Times New Roman" w:hAnsi="Times New Roman" w:eastAsia="仿宋_GB2312" w:cs="Times New Roman"/>
          <w:bCs/>
          <w:kern w:val="0"/>
          <w:sz w:val="32"/>
          <w:szCs w:val="32"/>
          <w:lang w:eastAsia="zh-CN"/>
        </w:rPr>
        <w:t>赫山区沧水铺</w:t>
      </w:r>
      <w:r>
        <w:rPr>
          <w:rFonts w:hint="eastAsia" w:ascii="Times New Roman" w:hAnsi="Times New Roman" w:eastAsia="仿宋_GB2312" w:cs="Times New Roman"/>
          <w:bCs/>
          <w:kern w:val="0"/>
          <w:sz w:val="32"/>
          <w:szCs w:val="32"/>
        </w:rPr>
        <w:t>镇中心学校内设机构：</w:t>
      </w:r>
      <w:r>
        <w:rPr>
          <w:rFonts w:hint="eastAsia" w:ascii="Times New Roman" w:hAnsi="Times New Roman" w:eastAsia="仿宋_GB2312" w:cs="Times New Roman"/>
          <w:bCs/>
          <w:kern w:val="0"/>
          <w:sz w:val="32"/>
          <w:szCs w:val="32"/>
          <w:lang w:eastAsia="zh-CN"/>
        </w:rPr>
        <w:t>办公室、</w:t>
      </w:r>
      <w:r>
        <w:rPr>
          <w:rFonts w:hint="eastAsia" w:ascii="Times New Roman" w:hAnsi="Times New Roman" w:eastAsia="仿宋_GB2312" w:cs="Times New Roman"/>
          <w:bCs/>
          <w:kern w:val="0"/>
          <w:sz w:val="32"/>
          <w:szCs w:val="32"/>
        </w:rPr>
        <w:t>政教处、总务处、后勤管理处、德育处、党建办</w:t>
      </w:r>
      <w:r>
        <w:rPr>
          <w:rFonts w:hint="eastAsia" w:ascii="Times New Roman" w:hAnsi="Times New Roman" w:eastAsia="仿宋_GB2312" w:cs="Times New Roman"/>
          <w:bCs/>
          <w:kern w:val="0"/>
          <w:sz w:val="32"/>
          <w:szCs w:val="32"/>
          <w:lang w:eastAsia="zh-CN"/>
        </w:rPr>
        <w:t>、阳光服务站等</w:t>
      </w:r>
      <w:r>
        <w:rPr>
          <w:rFonts w:hint="eastAsia" w:ascii="Times New Roman" w:hAnsi="Times New Roman" w:eastAsia="仿宋_GB2312" w:cs="Times New Roman"/>
          <w:bCs/>
          <w:kern w:val="0"/>
          <w:sz w:val="32"/>
          <w:szCs w:val="32"/>
        </w:rPr>
        <w:t>。</w:t>
      </w:r>
    </w:p>
    <w:p w14:paraId="61FFA157">
      <w:pPr>
        <w:widowControl/>
        <w:numPr>
          <w:ilvl w:val="0"/>
          <w:numId w:val="1"/>
        </w:numPr>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决算单位构成。</w:t>
      </w:r>
    </w:p>
    <w:p w14:paraId="430E8FBB">
      <w:pPr>
        <w:widowControl/>
        <w:numPr>
          <w:ilvl w:val="0"/>
          <w:numId w:val="0"/>
        </w:numPr>
        <w:spacing w:line="600" w:lineRule="exact"/>
        <w:ind w:firstLine="640" w:firstLineChars="200"/>
        <w:rPr>
          <w:rFonts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益阳市</w:t>
      </w:r>
      <w:r>
        <w:rPr>
          <w:rFonts w:hint="eastAsia" w:ascii="Times New Roman" w:hAnsi="Times New Roman" w:eastAsia="仿宋_GB2312" w:cs="Times New Roman"/>
          <w:bCs/>
          <w:kern w:val="0"/>
          <w:sz w:val="32"/>
          <w:szCs w:val="32"/>
          <w:lang w:eastAsia="zh-CN"/>
        </w:rPr>
        <w:t>赫山区沧水铺</w:t>
      </w:r>
      <w:r>
        <w:rPr>
          <w:rFonts w:hint="eastAsia" w:ascii="Times New Roman" w:hAnsi="Times New Roman" w:eastAsia="仿宋_GB2312" w:cs="Times New Roman"/>
          <w:bCs/>
          <w:kern w:val="0"/>
          <w:sz w:val="32"/>
          <w:szCs w:val="32"/>
        </w:rPr>
        <w:t>镇中心学校202</w:t>
      </w:r>
      <w:r>
        <w:rPr>
          <w:rFonts w:hint="eastAsia" w:ascii="Times New Roman" w:hAnsi="Times New Roman" w:eastAsia="仿宋_GB2312" w:cs="Times New Roman"/>
          <w:bCs/>
          <w:kern w:val="0"/>
          <w:sz w:val="32"/>
          <w:szCs w:val="32"/>
          <w:lang w:val="en-US" w:eastAsia="zh-CN"/>
        </w:rPr>
        <w:t>5</w:t>
      </w:r>
      <w:r>
        <w:rPr>
          <w:rFonts w:hint="eastAsia"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lang w:eastAsia="zh-CN"/>
        </w:rPr>
        <w:t>沧水铺</w:t>
      </w:r>
      <w:r>
        <w:rPr>
          <w:rFonts w:hint="eastAsia" w:ascii="Times New Roman" w:hAnsi="Times New Roman" w:eastAsia="仿宋_GB2312" w:cs="Times New Roman"/>
          <w:bCs/>
          <w:kern w:val="0"/>
          <w:sz w:val="32"/>
          <w:szCs w:val="32"/>
        </w:rPr>
        <w:t>镇</w:t>
      </w:r>
      <w:r>
        <w:rPr>
          <w:rFonts w:hint="eastAsia" w:ascii="Times New Roman" w:hAnsi="Times New Roman" w:eastAsia="仿宋_GB2312" w:cs="Times New Roman"/>
          <w:bCs/>
          <w:kern w:val="0"/>
          <w:sz w:val="32"/>
          <w:szCs w:val="32"/>
          <w:lang w:eastAsia="zh-CN"/>
        </w:rPr>
        <w:t>芙蓉</w:t>
      </w:r>
      <w:r>
        <w:rPr>
          <w:rFonts w:hint="eastAsia" w:ascii="Times New Roman" w:hAnsi="Times New Roman" w:eastAsia="仿宋_GB2312" w:cs="Times New Roman"/>
          <w:bCs/>
          <w:kern w:val="0"/>
          <w:sz w:val="32"/>
          <w:szCs w:val="32"/>
        </w:rPr>
        <w:t>学校、</w:t>
      </w:r>
      <w:r>
        <w:rPr>
          <w:rFonts w:hint="eastAsia" w:ascii="Times New Roman" w:hAnsi="Times New Roman" w:eastAsia="仿宋_GB2312" w:cs="Times New Roman"/>
          <w:bCs/>
          <w:kern w:val="0"/>
          <w:sz w:val="32"/>
          <w:szCs w:val="32"/>
          <w:lang w:eastAsia="zh-CN"/>
        </w:rPr>
        <w:t>沧水铺镇逸夫</w:t>
      </w:r>
      <w:r>
        <w:rPr>
          <w:rFonts w:hint="eastAsia" w:ascii="Times New Roman" w:hAnsi="Times New Roman" w:eastAsia="仿宋_GB2312" w:cs="Times New Roman"/>
          <w:bCs/>
          <w:kern w:val="0"/>
          <w:sz w:val="32"/>
          <w:szCs w:val="32"/>
        </w:rPr>
        <w:t>学校、</w:t>
      </w:r>
      <w:r>
        <w:rPr>
          <w:rFonts w:hint="eastAsia" w:ascii="Times New Roman" w:hAnsi="Times New Roman" w:eastAsia="仿宋_GB2312" w:cs="Times New Roman"/>
          <w:bCs/>
          <w:kern w:val="0"/>
          <w:sz w:val="32"/>
          <w:szCs w:val="32"/>
          <w:lang w:eastAsia="zh-CN"/>
        </w:rPr>
        <w:t>沧水铺镇花亭子</w:t>
      </w:r>
      <w:r>
        <w:rPr>
          <w:rFonts w:hint="eastAsia" w:ascii="Times New Roman" w:hAnsi="Times New Roman" w:eastAsia="仿宋_GB2312" w:cs="Times New Roman"/>
          <w:bCs/>
          <w:kern w:val="0"/>
          <w:sz w:val="32"/>
          <w:szCs w:val="32"/>
        </w:rPr>
        <w:t>学校、</w:t>
      </w:r>
      <w:r>
        <w:rPr>
          <w:rFonts w:hint="eastAsia" w:ascii="Times New Roman" w:hAnsi="Times New Roman" w:eastAsia="仿宋_GB2312" w:cs="Times New Roman"/>
          <w:bCs/>
          <w:kern w:val="0"/>
          <w:sz w:val="32"/>
          <w:szCs w:val="32"/>
          <w:lang w:eastAsia="zh-CN"/>
        </w:rPr>
        <w:t>沧水铺镇河江湾学校</w:t>
      </w:r>
      <w:r>
        <w:rPr>
          <w:rFonts w:hint="eastAsia" w:ascii="Times New Roman" w:hAnsi="Times New Roman" w:eastAsia="仿宋_GB2312" w:cs="Times New Roman"/>
          <w:bCs/>
          <w:kern w:val="0"/>
          <w:sz w:val="32"/>
          <w:szCs w:val="32"/>
        </w:rPr>
        <w:t>、</w:t>
      </w:r>
      <w:r>
        <w:rPr>
          <w:rFonts w:hint="eastAsia" w:ascii="Times New Roman" w:hAnsi="Times New Roman" w:eastAsia="仿宋_GB2312" w:cs="Times New Roman"/>
          <w:bCs/>
          <w:kern w:val="0"/>
          <w:sz w:val="32"/>
          <w:szCs w:val="32"/>
          <w:lang w:eastAsia="zh-CN"/>
        </w:rPr>
        <w:t>沧水铺镇金凤山学校、沧水铺</w:t>
      </w:r>
      <w:r>
        <w:rPr>
          <w:rFonts w:hint="eastAsia" w:ascii="Times New Roman" w:hAnsi="Times New Roman" w:eastAsia="仿宋_GB2312" w:cs="Times New Roman"/>
          <w:bCs/>
          <w:kern w:val="0"/>
          <w:sz w:val="32"/>
          <w:szCs w:val="32"/>
        </w:rPr>
        <w:t>镇中心幼儿园。</w:t>
      </w:r>
    </w:p>
    <w:p w14:paraId="44D5E9E0">
      <w:pPr>
        <w:ind w:firstLine="560" w:firstLineChars="200"/>
        <w:jc w:val="left"/>
        <w:rPr>
          <w:rFonts w:ascii="Times New Roman" w:hAnsi="Times New Roman" w:eastAsia="仿宋_GB2312" w:cs="Times New Roman"/>
          <w:sz w:val="28"/>
          <w:szCs w:val="32"/>
        </w:rPr>
      </w:pPr>
    </w:p>
    <w:p w14:paraId="69F13BA5">
      <w:pPr>
        <w:jc w:val="center"/>
        <w:rPr>
          <w:rFonts w:ascii="Times New Roman" w:hAnsi="Times New Roman" w:eastAsia="黑体" w:cs="Times New Roman"/>
          <w:sz w:val="28"/>
          <w:szCs w:val="28"/>
        </w:rPr>
      </w:pPr>
    </w:p>
    <w:p w14:paraId="3119C290">
      <w:pPr>
        <w:jc w:val="center"/>
        <w:rPr>
          <w:rFonts w:ascii="Times New Roman" w:hAnsi="Times New Roman" w:eastAsia="黑体" w:cs="Times New Roman"/>
          <w:sz w:val="28"/>
          <w:szCs w:val="28"/>
        </w:rPr>
      </w:pPr>
    </w:p>
    <w:p w14:paraId="0768564B">
      <w:pPr>
        <w:jc w:val="center"/>
        <w:rPr>
          <w:rFonts w:ascii="Times New Roman" w:hAnsi="Times New Roman" w:eastAsia="黑体" w:cs="Times New Roman"/>
          <w:sz w:val="28"/>
          <w:szCs w:val="28"/>
        </w:rPr>
      </w:pPr>
    </w:p>
    <w:p w14:paraId="3998D078">
      <w:pPr>
        <w:jc w:val="center"/>
        <w:rPr>
          <w:rFonts w:ascii="Times New Roman" w:hAnsi="Times New Roman" w:eastAsia="黑体" w:cs="Times New Roman"/>
          <w:sz w:val="28"/>
          <w:szCs w:val="28"/>
        </w:rPr>
      </w:pPr>
    </w:p>
    <w:p w14:paraId="223FA4B8">
      <w:pPr>
        <w:jc w:val="center"/>
        <w:rPr>
          <w:rFonts w:ascii="Times New Roman" w:hAnsi="Times New Roman" w:eastAsia="黑体" w:cs="Times New Roman"/>
          <w:sz w:val="28"/>
          <w:szCs w:val="28"/>
        </w:rPr>
      </w:pPr>
    </w:p>
    <w:p w14:paraId="17F9228C">
      <w:pPr>
        <w:pStyle w:val="2"/>
        <w:rPr>
          <w:rFonts w:ascii="Times New Roman" w:hAnsi="Times New Roman" w:cs="Times New Roman"/>
        </w:rPr>
        <w:sectPr>
          <w:footerReference r:id="rId4"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435365DF">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3900138E">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08AAF0FE">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0997210F">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2D675CEA">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533E6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A8A7F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19DD467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74EF2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E50733">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4AD58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3FE37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6C49E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50D58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2874AE8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8473E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F9A846">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DEDD2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F83D6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0DE99A">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2B7C4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43496D6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F79D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3E4CB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376A4">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4,677.48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B3604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B3640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B6F7E">
            <w:pPr>
              <w:jc w:val="right"/>
              <w:rPr>
                <w:rFonts w:ascii="Times New Roman" w:hAnsi="Times New Roman" w:eastAsia="仿宋_GB2312" w:cs="Times New Roman"/>
                <w:color w:val="000000"/>
                <w:sz w:val="22"/>
              </w:rPr>
            </w:pPr>
          </w:p>
        </w:tc>
      </w:tr>
      <w:tr w14:paraId="654308E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BEF05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7B2D3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4868A">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595.00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C672E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0B2BF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51947">
            <w:pPr>
              <w:jc w:val="right"/>
              <w:rPr>
                <w:rFonts w:ascii="Times New Roman" w:hAnsi="Times New Roman" w:eastAsia="仿宋_GB2312" w:cs="Times New Roman"/>
                <w:color w:val="000000"/>
                <w:sz w:val="22"/>
              </w:rPr>
            </w:pPr>
          </w:p>
        </w:tc>
      </w:tr>
      <w:tr w14:paraId="4FE4D4E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EC0B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3BBAE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F8502">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23B86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9C5F6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443EE">
            <w:pPr>
              <w:jc w:val="right"/>
              <w:rPr>
                <w:rFonts w:ascii="Times New Roman" w:hAnsi="Times New Roman" w:eastAsia="仿宋_GB2312" w:cs="Times New Roman"/>
                <w:color w:val="000000"/>
                <w:sz w:val="22"/>
              </w:rPr>
            </w:pPr>
          </w:p>
        </w:tc>
      </w:tr>
      <w:tr w14:paraId="2097B3C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EC2EC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13318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1BB6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30E86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B197D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92825">
            <w:pPr>
              <w:jc w:val="right"/>
              <w:rPr>
                <w:rFonts w:ascii="Times New Roman" w:hAnsi="Times New Roman" w:eastAsia="仿宋_GB2312" w:cs="Times New Roman"/>
                <w:color w:val="000000"/>
                <w:sz w:val="22"/>
              </w:rPr>
            </w:pPr>
          </w:p>
        </w:tc>
      </w:tr>
      <w:tr w14:paraId="05C5EB4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97ED3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70431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1C1AF">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127.40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D0492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A8CF6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F34AE">
            <w:pPr>
              <w:jc w:val="right"/>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5,584.86</w:t>
            </w:r>
          </w:p>
        </w:tc>
      </w:tr>
      <w:tr w14:paraId="3BC2419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3005A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EEFD7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59DCE">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2EB74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15156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8DE4D">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r>
      <w:tr w14:paraId="4DA7A1A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57009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357CF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4CFEE">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97396">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kern w:val="0"/>
                <w:sz w:val="24"/>
                <w:szCs w:val="24"/>
                <w:lang w:val="en-US" w:eastAsia="zh-CN" w:bidi="ar"/>
              </w:rPr>
              <w:t>七</w:t>
            </w:r>
            <w:r>
              <w:rPr>
                <w:rFonts w:hint="eastAsia" w:ascii="Times New Roman" w:hAnsi="Times New Roman" w:eastAsia="仿宋_GB2312" w:cs="Times New Roman"/>
                <w:color w:val="000000"/>
                <w:kern w:val="0"/>
                <w:sz w:val="24"/>
                <w:szCs w:val="24"/>
                <w:lang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0CCF5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AE1E7">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1.56 </w:t>
            </w:r>
          </w:p>
        </w:tc>
      </w:tr>
      <w:tr w14:paraId="549A93B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895A2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BD3F3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BDE22">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781.54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C888C">
            <w:pPr>
              <w:jc w:val="lef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八、债务还本支出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8EFAF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F3C5C">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595.00 </w:t>
            </w:r>
          </w:p>
        </w:tc>
      </w:tr>
      <w:tr w14:paraId="538BCEB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856E7">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5E3B8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5EC95">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CD9B9">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5B334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4C3BA">
            <w:pPr>
              <w:rPr>
                <w:rFonts w:ascii="Times New Roman" w:hAnsi="Times New Roman" w:eastAsia="仿宋_GB2312" w:cs="Times New Roman"/>
                <w:b/>
                <w:color w:val="000000"/>
                <w:sz w:val="22"/>
              </w:rPr>
            </w:pPr>
          </w:p>
        </w:tc>
      </w:tr>
      <w:tr w14:paraId="7C3F36C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CDF0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9E93A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658D0">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6,181.42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3679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AE7C6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EFA59">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6,181.42 </w:t>
            </w:r>
          </w:p>
        </w:tc>
      </w:tr>
      <w:tr w14:paraId="5E23413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A0D6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DAE2F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5108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126A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19A76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27298">
            <w:pPr>
              <w:jc w:val="right"/>
              <w:rPr>
                <w:rFonts w:ascii="Times New Roman" w:hAnsi="Times New Roman" w:eastAsia="仿宋_GB2312" w:cs="Times New Roman"/>
                <w:color w:val="000000"/>
                <w:sz w:val="22"/>
              </w:rPr>
            </w:pPr>
          </w:p>
        </w:tc>
      </w:tr>
      <w:tr w14:paraId="1C446C3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2E48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2D826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89CC9">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53A5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23FBB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9EAF4">
            <w:pPr>
              <w:jc w:val="right"/>
              <w:rPr>
                <w:rFonts w:ascii="Times New Roman" w:hAnsi="Times New Roman" w:eastAsia="仿宋_GB2312" w:cs="Times New Roman"/>
                <w:color w:val="000000"/>
                <w:sz w:val="22"/>
              </w:rPr>
            </w:pPr>
          </w:p>
        </w:tc>
      </w:tr>
      <w:tr w14:paraId="39739AB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C4F60B">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EC6DE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B4708">
            <w:pPr>
              <w:jc w:val="right"/>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6,181.42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6B9582">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C6A47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9F5A4">
            <w:pPr>
              <w:jc w:val="right"/>
              <w:rPr>
                <w:rFonts w:ascii="Times New Roman" w:hAnsi="Times New Roman" w:eastAsia="仿宋_GB2312" w:cs="Times New Roman"/>
                <w:b/>
                <w:color w:val="000000"/>
                <w:sz w:val="22"/>
              </w:rPr>
            </w:pPr>
            <w:r>
              <w:rPr>
                <w:rFonts w:hint="eastAsia" w:ascii="宋体" w:hAnsi="宋体" w:eastAsia="宋体" w:cs="宋体"/>
                <w:i w:val="0"/>
                <w:iCs w:val="0"/>
                <w:color w:val="000000"/>
                <w:kern w:val="0"/>
                <w:sz w:val="22"/>
                <w:szCs w:val="22"/>
                <w:u w:val="none"/>
                <w:lang w:val="en-US" w:eastAsia="zh-CN" w:bidi="ar"/>
              </w:rPr>
              <w:t>6,181.42</w:t>
            </w:r>
          </w:p>
        </w:tc>
      </w:tr>
    </w:tbl>
    <w:p w14:paraId="54790C58">
      <w:pPr>
        <w:widowControl/>
        <w:jc w:val="left"/>
        <w:textAlignment w:val="center"/>
        <w:rPr>
          <w:rFonts w:ascii="Times New Roman" w:hAnsi="Times New Roman" w:eastAsia="宋体" w:cs="Times New Roman"/>
          <w:color w:val="000000"/>
          <w:kern w:val="0"/>
          <w:sz w:val="24"/>
          <w:szCs w:val="24"/>
          <w:lang w:bidi="ar"/>
        </w:rPr>
      </w:pPr>
    </w:p>
    <w:p w14:paraId="66DD733F">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049FD7F1">
      <w:pPr>
        <w:rPr>
          <w:rFonts w:ascii="Times New Roman" w:hAnsi="Times New Roman" w:eastAsia="黑体" w:cs="Times New Roman"/>
          <w:color w:val="000000"/>
          <w:kern w:val="0"/>
          <w:sz w:val="32"/>
          <w:szCs w:val="32"/>
          <w:lang w:bidi="ar"/>
        </w:rPr>
      </w:pPr>
      <w:r>
        <w:rPr>
          <w:rFonts w:ascii="Times New Roman" w:hAnsi="Times New Roman" w:eastAsia="华文中宋" w:cs="Times New Roman"/>
          <w:color w:val="000000"/>
          <w:sz w:val="32"/>
          <w:szCs w:val="32"/>
        </w:rPr>
        <w:br w:type="page"/>
      </w:r>
    </w:p>
    <w:p w14:paraId="20CA406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0060916F">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7A2521C6">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750"/>
        <w:gridCol w:w="1436"/>
        <w:gridCol w:w="1640"/>
        <w:gridCol w:w="1640"/>
        <w:gridCol w:w="1640"/>
        <w:gridCol w:w="1640"/>
        <w:gridCol w:w="1640"/>
        <w:gridCol w:w="1897"/>
        <w:gridCol w:w="1383"/>
      </w:tblGrid>
      <w:tr w14:paraId="00E92691">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8A89F7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BD7B57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CD040D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41F717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F4AD9E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76C3EB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C544FF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DCAC00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44E66D53">
        <w:tblPrEx>
          <w:tblCellMar>
            <w:top w:w="0" w:type="dxa"/>
            <w:left w:w="0" w:type="dxa"/>
            <w:bottom w:w="0" w:type="dxa"/>
            <w:right w:w="0" w:type="dxa"/>
          </w:tblCellMar>
        </w:tblPrEx>
        <w:trPr>
          <w:trHeight w:val="334" w:hRule="exact"/>
          <w:jc w:val="center"/>
        </w:trPr>
        <w:tc>
          <w:tcPr>
            <w:tcW w:w="175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9DB458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436"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531E99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250C21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A4A91F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D125E6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48B6B8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209D429">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5D664257">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545923E6">
            <w:pPr>
              <w:rPr>
                <w:rFonts w:ascii="Times New Roman" w:hAnsi="Times New Roman" w:eastAsia="仿宋_GB2312" w:cs="Times New Roman"/>
                <w:sz w:val="24"/>
                <w:szCs w:val="24"/>
              </w:rPr>
            </w:pPr>
          </w:p>
        </w:tc>
      </w:tr>
      <w:tr w14:paraId="11D14B0C">
        <w:tblPrEx>
          <w:tblCellMar>
            <w:top w:w="0" w:type="dxa"/>
            <w:left w:w="0" w:type="dxa"/>
            <w:bottom w:w="0" w:type="dxa"/>
            <w:right w:w="0" w:type="dxa"/>
          </w:tblCellMar>
        </w:tblPrEx>
        <w:trPr>
          <w:trHeight w:val="312" w:hRule="atLeast"/>
          <w:jc w:val="center"/>
        </w:trPr>
        <w:tc>
          <w:tcPr>
            <w:tcW w:w="1750" w:type="dxa"/>
            <w:vMerge w:val="continue"/>
            <w:tcBorders>
              <w:top w:val="single" w:color="auto" w:sz="4" w:space="0"/>
              <w:left w:val="single" w:color="auto" w:sz="4" w:space="0"/>
              <w:bottom w:val="single" w:color="auto" w:sz="4" w:space="0"/>
              <w:right w:val="single" w:color="auto" w:sz="4" w:space="0"/>
            </w:tcBorders>
            <w:vAlign w:val="center"/>
          </w:tcPr>
          <w:p w14:paraId="052A48CE">
            <w:pPr>
              <w:rPr>
                <w:rFonts w:ascii="Times New Roman" w:hAnsi="Times New Roman" w:eastAsia="仿宋_GB2312" w:cs="Times New Roman"/>
                <w:sz w:val="24"/>
                <w:szCs w:val="24"/>
              </w:rPr>
            </w:pPr>
          </w:p>
        </w:tc>
        <w:tc>
          <w:tcPr>
            <w:tcW w:w="1436" w:type="dxa"/>
            <w:vMerge w:val="continue"/>
            <w:tcBorders>
              <w:top w:val="nil"/>
              <w:left w:val="single" w:color="auto" w:sz="4" w:space="0"/>
              <w:bottom w:val="single" w:color="auto" w:sz="4" w:space="0"/>
              <w:right w:val="single" w:color="auto" w:sz="4" w:space="0"/>
            </w:tcBorders>
            <w:vAlign w:val="center"/>
          </w:tcPr>
          <w:p w14:paraId="2C73EE9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89DAED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82867F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5C8FE0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82B276E">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1B84683">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262A38A3">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1C3782EC">
            <w:pPr>
              <w:rPr>
                <w:rFonts w:ascii="Times New Roman" w:hAnsi="Times New Roman" w:eastAsia="仿宋_GB2312" w:cs="Times New Roman"/>
                <w:sz w:val="24"/>
                <w:szCs w:val="24"/>
              </w:rPr>
            </w:pPr>
          </w:p>
        </w:tc>
      </w:tr>
      <w:tr w14:paraId="3A957C3B">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1D06E90">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CFF294A">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369C176">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F512135">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2105C00">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958AB36">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B9F92BB">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0F6EB6">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4560D884">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ABDC9FD">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E98CE38">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6,181.42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BBD3F2A">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5,272.48</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FDEDED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E6BED5D">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127.40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7DB8980">
            <w:pPr>
              <w:jc w:val="center"/>
              <w:rPr>
                <w:rFonts w:ascii="Times New Roman" w:hAnsi="Times New Roman" w:eastAsia="仿宋_GB2312" w:cs="Times New Roman"/>
                <w:sz w:val="24"/>
                <w:szCs w:val="24"/>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1043319">
            <w:pPr>
              <w:jc w:val="center"/>
              <w:rPr>
                <w:rFonts w:ascii="Times New Roman" w:hAnsi="Times New Roman" w:eastAsia="仿宋_GB2312" w:cs="Times New Roman"/>
                <w:sz w:val="24"/>
                <w:szCs w:val="24"/>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289F0D8">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781.54</w:t>
            </w:r>
          </w:p>
        </w:tc>
      </w:tr>
      <w:tr w14:paraId="430A80E9">
        <w:tblPrEx>
          <w:tblCellMar>
            <w:top w:w="0" w:type="dxa"/>
            <w:left w:w="0" w:type="dxa"/>
            <w:bottom w:w="0" w:type="dxa"/>
            <w:right w:w="0" w:type="dxa"/>
          </w:tblCellMar>
        </w:tblPrEx>
        <w:trPr>
          <w:trHeight w:val="450" w:hRule="atLeast"/>
          <w:jc w:val="center"/>
        </w:trPr>
        <w:tc>
          <w:tcPr>
            <w:tcW w:w="175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D1A4A7B">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2050201</w:t>
            </w:r>
          </w:p>
        </w:tc>
        <w:tc>
          <w:tcPr>
            <w:tcW w:w="14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42C4424">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学前教育</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80715BD">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105.52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35116B0">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105.52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87E03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B47E3ED">
            <w:pPr>
              <w:jc w:val="center"/>
              <w:rPr>
                <w:rFonts w:ascii="Times New Roman" w:hAnsi="Times New Roman" w:eastAsia="仿宋_GB2312" w:cs="Times New Roman"/>
                <w:sz w:val="24"/>
                <w:szCs w:val="24"/>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640E2E7">
            <w:pPr>
              <w:jc w:val="center"/>
              <w:rPr>
                <w:rFonts w:ascii="Times New Roman" w:hAnsi="Times New Roman" w:eastAsia="仿宋_GB2312" w:cs="Times New Roman"/>
                <w:sz w:val="24"/>
                <w:szCs w:val="24"/>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E0B0450">
            <w:pPr>
              <w:jc w:val="center"/>
              <w:rPr>
                <w:rFonts w:ascii="Times New Roman" w:hAnsi="Times New Roman" w:eastAsia="仿宋_GB2312" w:cs="Times New Roman"/>
                <w:sz w:val="24"/>
                <w:szCs w:val="24"/>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C37071C">
            <w:pPr>
              <w:jc w:val="center"/>
              <w:rPr>
                <w:rFonts w:ascii="Times New Roman" w:hAnsi="Times New Roman" w:eastAsia="仿宋_GB2312" w:cs="Times New Roman"/>
                <w:sz w:val="24"/>
                <w:szCs w:val="24"/>
              </w:rPr>
            </w:pPr>
          </w:p>
        </w:tc>
      </w:tr>
      <w:tr w14:paraId="0F3AA783">
        <w:tblPrEx>
          <w:tblCellMar>
            <w:top w:w="0" w:type="dxa"/>
            <w:left w:w="0" w:type="dxa"/>
            <w:bottom w:w="0" w:type="dxa"/>
            <w:right w:w="0" w:type="dxa"/>
          </w:tblCellMar>
        </w:tblPrEx>
        <w:trPr>
          <w:trHeight w:val="450" w:hRule="atLeast"/>
          <w:jc w:val="center"/>
        </w:trPr>
        <w:tc>
          <w:tcPr>
            <w:tcW w:w="175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86FCD1">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2050202</w:t>
            </w:r>
          </w:p>
        </w:tc>
        <w:tc>
          <w:tcPr>
            <w:tcW w:w="14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5FE8D77">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小学教育</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75063E7">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591.00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150F056">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591.00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18BAF7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0A6054D">
            <w:pPr>
              <w:jc w:val="center"/>
              <w:rPr>
                <w:rFonts w:ascii="Times New Roman" w:hAnsi="Times New Roman" w:eastAsia="仿宋_GB2312" w:cs="Times New Roman"/>
                <w:sz w:val="24"/>
                <w:szCs w:val="24"/>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EB68EBF">
            <w:pPr>
              <w:jc w:val="center"/>
              <w:rPr>
                <w:rFonts w:ascii="Times New Roman" w:hAnsi="Times New Roman" w:eastAsia="仿宋_GB2312" w:cs="Times New Roman"/>
                <w:sz w:val="24"/>
                <w:szCs w:val="24"/>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FB43349">
            <w:pPr>
              <w:jc w:val="center"/>
              <w:rPr>
                <w:rFonts w:ascii="Times New Roman" w:hAnsi="Times New Roman" w:eastAsia="仿宋_GB2312" w:cs="Times New Roman"/>
                <w:sz w:val="24"/>
                <w:szCs w:val="24"/>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C0C6C4C">
            <w:pPr>
              <w:jc w:val="center"/>
              <w:rPr>
                <w:rFonts w:ascii="Times New Roman" w:hAnsi="Times New Roman" w:eastAsia="仿宋_GB2312" w:cs="Times New Roman"/>
                <w:sz w:val="24"/>
                <w:szCs w:val="24"/>
              </w:rPr>
            </w:pPr>
          </w:p>
        </w:tc>
      </w:tr>
      <w:tr w14:paraId="379B4C6C">
        <w:tblPrEx>
          <w:tblCellMar>
            <w:top w:w="0" w:type="dxa"/>
            <w:left w:w="0" w:type="dxa"/>
            <w:bottom w:w="0" w:type="dxa"/>
            <w:right w:w="0" w:type="dxa"/>
          </w:tblCellMar>
        </w:tblPrEx>
        <w:trPr>
          <w:trHeight w:val="450" w:hRule="atLeast"/>
          <w:jc w:val="center"/>
        </w:trPr>
        <w:tc>
          <w:tcPr>
            <w:tcW w:w="175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5C862F9">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2050203</w:t>
            </w:r>
          </w:p>
        </w:tc>
        <w:tc>
          <w:tcPr>
            <w:tcW w:w="14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E748C0F">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初中教育</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E96063">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681.37</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9E73E5">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681.37</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2D8696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65CF839">
            <w:pPr>
              <w:jc w:val="center"/>
              <w:rPr>
                <w:rFonts w:ascii="Times New Roman" w:hAnsi="Times New Roman" w:eastAsia="仿宋_GB2312" w:cs="Times New Roman"/>
                <w:sz w:val="24"/>
                <w:szCs w:val="24"/>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0EEE9D9">
            <w:pPr>
              <w:jc w:val="center"/>
              <w:rPr>
                <w:rFonts w:ascii="Times New Roman" w:hAnsi="Times New Roman" w:eastAsia="仿宋_GB2312" w:cs="Times New Roman"/>
                <w:sz w:val="24"/>
                <w:szCs w:val="24"/>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98C2489">
            <w:pPr>
              <w:jc w:val="center"/>
              <w:rPr>
                <w:rFonts w:ascii="Times New Roman" w:hAnsi="Times New Roman" w:eastAsia="仿宋_GB2312" w:cs="Times New Roman"/>
                <w:sz w:val="24"/>
                <w:szCs w:val="24"/>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33490E3">
            <w:pPr>
              <w:jc w:val="center"/>
              <w:rPr>
                <w:rFonts w:ascii="Times New Roman" w:hAnsi="Times New Roman" w:eastAsia="仿宋_GB2312" w:cs="Times New Roman"/>
                <w:sz w:val="24"/>
                <w:szCs w:val="24"/>
              </w:rPr>
            </w:pPr>
          </w:p>
        </w:tc>
      </w:tr>
      <w:tr w14:paraId="5CF2E232">
        <w:tblPrEx>
          <w:tblCellMar>
            <w:top w:w="0" w:type="dxa"/>
            <w:left w:w="0" w:type="dxa"/>
            <w:bottom w:w="0" w:type="dxa"/>
            <w:right w:w="0" w:type="dxa"/>
          </w:tblCellMar>
        </w:tblPrEx>
        <w:trPr>
          <w:trHeight w:val="450" w:hRule="atLeast"/>
          <w:jc w:val="center"/>
        </w:trPr>
        <w:tc>
          <w:tcPr>
            <w:tcW w:w="175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116D706">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2050299</w:t>
            </w:r>
          </w:p>
        </w:tc>
        <w:tc>
          <w:tcPr>
            <w:tcW w:w="14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2FAAC02">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其他普通教育支出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93F394">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4,168.92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9A0A431">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3,259.98</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3AAD5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C840424">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127.40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2F22275">
            <w:pPr>
              <w:jc w:val="center"/>
              <w:rPr>
                <w:rFonts w:ascii="Times New Roman" w:hAnsi="Times New Roman" w:eastAsia="仿宋_GB2312" w:cs="Times New Roman"/>
                <w:sz w:val="24"/>
                <w:szCs w:val="24"/>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F2AB7E2">
            <w:pPr>
              <w:jc w:val="center"/>
              <w:rPr>
                <w:rFonts w:ascii="Times New Roman" w:hAnsi="Times New Roman" w:eastAsia="仿宋_GB2312" w:cs="Times New Roman"/>
                <w:sz w:val="24"/>
                <w:szCs w:val="24"/>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B3116B1">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781.54</w:t>
            </w:r>
          </w:p>
        </w:tc>
      </w:tr>
      <w:tr w14:paraId="5FA1D61A">
        <w:tblPrEx>
          <w:tblCellMar>
            <w:top w:w="0" w:type="dxa"/>
            <w:left w:w="0" w:type="dxa"/>
            <w:bottom w:w="0" w:type="dxa"/>
            <w:right w:w="0" w:type="dxa"/>
          </w:tblCellMar>
        </w:tblPrEx>
        <w:trPr>
          <w:trHeight w:val="450" w:hRule="atLeast"/>
          <w:jc w:val="center"/>
        </w:trPr>
        <w:tc>
          <w:tcPr>
            <w:tcW w:w="175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039E506">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2050999</w:t>
            </w:r>
          </w:p>
        </w:tc>
        <w:tc>
          <w:tcPr>
            <w:tcW w:w="14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5171B68">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BFD9328">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38.04</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6424289">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38.04</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67506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31608D0">
            <w:pPr>
              <w:jc w:val="right"/>
              <w:rPr>
                <w:rFonts w:ascii="Times New Roman" w:hAnsi="Times New Roman" w:eastAsia="仿宋_GB2312" w:cs="Times New Roman"/>
                <w:sz w:val="24"/>
                <w:szCs w:val="24"/>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DF6D91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1CAE4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9AAF5AA">
            <w:pPr>
              <w:jc w:val="right"/>
              <w:rPr>
                <w:rFonts w:ascii="Times New Roman" w:hAnsi="Times New Roman" w:eastAsia="仿宋_GB2312" w:cs="Times New Roman"/>
                <w:sz w:val="24"/>
                <w:szCs w:val="24"/>
              </w:rPr>
            </w:pPr>
          </w:p>
        </w:tc>
      </w:tr>
      <w:tr w14:paraId="64B35C8B">
        <w:tblPrEx>
          <w:tblCellMar>
            <w:top w:w="0" w:type="dxa"/>
            <w:left w:w="0" w:type="dxa"/>
            <w:bottom w:w="0" w:type="dxa"/>
            <w:right w:w="0" w:type="dxa"/>
          </w:tblCellMar>
        </w:tblPrEx>
        <w:trPr>
          <w:trHeight w:val="450" w:hRule="atLeast"/>
          <w:jc w:val="center"/>
        </w:trPr>
        <w:tc>
          <w:tcPr>
            <w:tcW w:w="175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CBFF332">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2080116</w:t>
            </w:r>
          </w:p>
        </w:tc>
        <w:tc>
          <w:tcPr>
            <w:tcW w:w="14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D7224A9">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引进人才费用</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69E985">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1.56</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7530F2F">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1.56</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C20D5C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886B29E">
            <w:pPr>
              <w:jc w:val="right"/>
              <w:rPr>
                <w:rFonts w:ascii="Times New Roman" w:hAnsi="Times New Roman" w:eastAsia="仿宋_GB2312" w:cs="Times New Roman"/>
                <w:sz w:val="24"/>
                <w:szCs w:val="24"/>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28392A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38AA92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14D49C9">
            <w:pPr>
              <w:jc w:val="right"/>
              <w:rPr>
                <w:rFonts w:ascii="Times New Roman" w:hAnsi="Times New Roman" w:eastAsia="仿宋_GB2312" w:cs="Times New Roman"/>
                <w:sz w:val="24"/>
                <w:szCs w:val="24"/>
              </w:rPr>
            </w:pPr>
          </w:p>
        </w:tc>
      </w:tr>
      <w:tr w14:paraId="36ED7762">
        <w:tblPrEx>
          <w:tblCellMar>
            <w:top w:w="0" w:type="dxa"/>
            <w:left w:w="0" w:type="dxa"/>
            <w:bottom w:w="0" w:type="dxa"/>
            <w:right w:w="0" w:type="dxa"/>
          </w:tblCellMar>
        </w:tblPrEx>
        <w:trPr>
          <w:trHeight w:val="450" w:hRule="atLeast"/>
          <w:jc w:val="center"/>
        </w:trPr>
        <w:tc>
          <w:tcPr>
            <w:tcW w:w="175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165612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2290403</w:t>
            </w:r>
          </w:p>
        </w:tc>
        <w:tc>
          <w:tcPr>
            <w:tcW w:w="14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BDFCE0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其他政府性基金债务收入安排的支出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77022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595.00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AAF53A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595.00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5DA412A">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0FBAB7">
            <w:pPr>
              <w:jc w:val="right"/>
              <w:rPr>
                <w:rFonts w:ascii="Times New Roman" w:hAnsi="Times New Roman" w:eastAsia="仿宋_GB2312" w:cs="Times New Roman"/>
                <w:sz w:val="24"/>
                <w:szCs w:val="24"/>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83F600">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EA0E4B8">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1B9FB38">
            <w:pPr>
              <w:jc w:val="right"/>
              <w:rPr>
                <w:rFonts w:ascii="Times New Roman" w:hAnsi="Times New Roman" w:eastAsia="仿宋_GB2312" w:cs="Times New Roman"/>
                <w:sz w:val="24"/>
                <w:szCs w:val="24"/>
              </w:rPr>
            </w:pPr>
          </w:p>
        </w:tc>
      </w:tr>
    </w:tbl>
    <w:p w14:paraId="3C93EB17">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33542CAE">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3C0E0EB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60A793DB">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3F94F7E1">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4996" w:type="pct"/>
        <w:jc w:val="center"/>
        <w:tblLayout w:type="fixed"/>
        <w:tblCellMar>
          <w:top w:w="0" w:type="dxa"/>
          <w:left w:w="108" w:type="dxa"/>
          <w:bottom w:w="0" w:type="dxa"/>
          <w:right w:w="108" w:type="dxa"/>
        </w:tblCellMar>
      </w:tblPr>
      <w:tblGrid>
        <w:gridCol w:w="1973"/>
        <w:gridCol w:w="1786"/>
        <w:gridCol w:w="1877"/>
        <w:gridCol w:w="1334"/>
        <w:gridCol w:w="1334"/>
        <w:gridCol w:w="1877"/>
        <w:gridCol w:w="1334"/>
        <w:gridCol w:w="2696"/>
      </w:tblGrid>
      <w:tr w14:paraId="642889CC">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3CBA091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84E863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85BCA6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8CA14C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5559B8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F1CC23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CA3CB0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1BB5B1C6">
        <w:tblPrEx>
          <w:tblCellMar>
            <w:top w:w="0" w:type="dxa"/>
            <w:left w:w="108" w:type="dxa"/>
            <w:bottom w:w="0" w:type="dxa"/>
            <w:right w:w="108" w:type="dxa"/>
          </w:tblCellMar>
        </w:tblPrEx>
        <w:trPr>
          <w:trHeight w:val="312" w:hRule="exact"/>
          <w:jc w:val="center"/>
        </w:trPr>
        <w:tc>
          <w:tcPr>
            <w:tcW w:w="69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B827F7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628" w:type="pct"/>
            <w:vMerge w:val="restart"/>
            <w:tcBorders>
              <w:top w:val="nil"/>
              <w:left w:val="single" w:color="auto" w:sz="4" w:space="0"/>
              <w:bottom w:val="single" w:color="auto" w:sz="4" w:space="0"/>
              <w:right w:val="single" w:color="auto" w:sz="4" w:space="0"/>
            </w:tcBorders>
            <w:shd w:val="clear" w:color="000000" w:fill="FFFFFF"/>
            <w:vAlign w:val="center"/>
          </w:tcPr>
          <w:p w14:paraId="43D2785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11E27C6">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DB7D478">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4BFFAE3">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26520904">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FE5B098">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13B5B74A">
            <w:pPr>
              <w:widowControl/>
              <w:jc w:val="left"/>
              <w:rPr>
                <w:rFonts w:ascii="Times New Roman" w:hAnsi="Times New Roman" w:eastAsia="仿宋_GB2312" w:cs="Times New Roman"/>
                <w:b/>
                <w:bCs/>
                <w:kern w:val="0"/>
                <w:sz w:val="24"/>
                <w:szCs w:val="24"/>
              </w:rPr>
            </w:pPr>
          </w:p>
        </w:tc>
      </w:tr>
      <w:tr w14:paraId="74F7AE02">
        <w:tblPrEx>
          <w:tblCellMar>
            <w:top w:w="0" w:type="dxa"/>
            <w:left w:w="108" w:type="dxa"/>
            <w:bottom w:w="0" w:type="dxa"/>
            <w:right w:w="108" w:type="dxa"/>
          </w:tblCellMar>
        </w:tblPrEx>
        <w:trPr>
          <w:trHeight w:val="595" w:hRule="atLeast"/>
          <w:jc w:val="center"/>
        </w:trPr>
        <w:tc>
          <w:tcPr>
            <w:tcW w:w="694" w:type="pct"/>
            <w:vMerge w:val="continue"/>
            <w:tcBorders>
              <w:top w:val="single" w:color="auto" w:sz="4" w:space="0"/>
              <w:left w:val="single" w:color="auto" w:sz="4" w:space="0"/>
              <w:bottom w:val="single" w:color="auto" w:sz="4" w:space="0"/>
              <w:right w:val="single" w:color="auto" w:sz="4" w:space="0"/>
            </w:tcBorders>
            <w:vAlign w:val="center"/>
          </w:tcPr>
          <w:p w14:paraId="467002C4">
            <w:pPr>
              <w:widowControl/>
              <w:jc w:val="left"/>
              <w:rPr>
                <w:rFonts w:ascii="Times New Roman" w:hAnsi="Times New Roman" w:eastAsia="仿宋_GB2312" w:cs="Times New Roman"/>
                <w:kern w:val="0"/>
                <w:sz w:val="24"/>
                <w:szCs w:val="24"/>
              </w:rPr>
            </w:pPr>
          </w:p>
        </w:tc>
        <w:tc>
          <w:tcPr>
            <w:tcW w:w="628" w:type="pct"/>
            <w:vMerge w:val="continue"/>
            <w:tcBorders>
              <w:top w:val="nil"/>
              <w:left w:val="single" w:color="auto" w:sz="4" w:space="0"/>
              <w:bottom w:val="single" w:color="auto" w:sz="4" w:space="0"/>
              <w:right w:val="single" w:color="auto" w:sz="4" w:space="0"/>
            </w:tcBorders>
            <w:vAlign w:val="center"/>
          </w:tcPr>
          <w:p w14:paraId="13716458">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D3F3915">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A09F867">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1483DBD6">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2AB9DC6F">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FC100BA">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22B944FD">
            <w:pPr>
              <w:widowControl/>
              <w:jc w:val="left"/>
              <w:rPr>
                <w:rFonts w:ascii="Times New Roman" w:hAnsi="Times New Roman" w:eastAsia="仿宋_GB2312" w:cs="Times New Roman"/>
                <w:kern w:val="0"/>
                <w:sz w:val="24"/>
                <w:szCs w:val="24"/>
              </w:rPr>
            </w:pPr>
          </w:p>
        </w:tc>
      </w:tr>
      <w:tr w14:paraId="060169B1">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2E5F24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167545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C297E8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160BBD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A246FA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90DF62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2BDF0F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0715FB96">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48F331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E68CB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6,181.42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877FC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5,504.31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45BED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677.11 </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AE3C4A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E81DA6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BF9B99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16833F6">
        <w:tblPrEx>
          <w:tblCellMar>
            <w:top w:w="0" w:type="dxa"/>
            <w:left w:w="108" w:type="dxa"/>
            <w:bottom w:w="0" w:type="dxa"/>
            <w:right w:w="108" w:type="dxa"/>
          </w:tblCellMar>
        </w:tblPrEx>
        <w:trPr>
          <w:trHeight w:val="595" w:hRule="atLeast"/>
          <w:jc w:val="center"/>
        </w:trPr>
        <w:tc>
          <w:tcPr>
            <w:tcW w:w="69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D75031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2050201</w:t>
            </w:r>
          </w:p>
        </w:tc>
        <w:tc>
          <w:tcPr>
            <w:tcW w:w="62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695A50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学前教育</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5F23B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105.52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F70CB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105.52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D0CB8A">
            <w:pPr>
              <w:jc w:val="right"/>
              <w:rPr>
                <w:rFonts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D6B73F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8E3280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F37C76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7BE4ED7">
        <w:tblPrEx>
          <w:tblCellMar>
            <w:top w:w="0" w:type="dxa"/>
            <w:left w:w="108" w:type="dxa"/>
            <w:bottom w:w="0" w:type="dxa"/>
            <w:right w:w="108" w:type="dxa"/>
          </w:tblCellMar>
        </w:tblPrEx>
        <w:trPr>
          <w:trHeight w:val="595" w:hRule="atLeast"/>
          <w:jc w:val="center"/>
        </w:trPr>
        <w:tc>
          <w:tcPr>
            <w:tcW w:w="69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41BF75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2050202</w:t>
            </w:r>
          </w:p>
        </w:tc>
        <w:tc>
          <w:tcPr>
            <w:tcW w:w="62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273166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小学教育</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38D8E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591.00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3F3FD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591.00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8876F2">
            <w:pPr>
              <w:jc w:val="right"/>
              <w:rPr>
                <w:rFonts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031494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325007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798BB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B151581">
        <w:tblPrEx>
          <w:tblCellMar>
            <w:top w:w="0" w:type="dxa"/>
            <w:left w:w="108" w:type="dxa"/>
            <w:bottom w:w="0" w:type="dxa"/>
            <w:right w:w="108" w:type="dxa"/>
          </w:tblCellMar>
        </w:tblPrEx>
        <w:trPr>
          <w:trHeight w:val="595" w:hRule="atLeast"/>
          <w:jc w:val="center"/>
        </w:trPr>
        <w:tc>
          <w:tcPr>
            <w:tcW w:w="69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EA5F8B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2050203</w:t>
            </w:r>
          </w:p>
        </w:tc>
        <w:tc>
          <w:tcPr>
            <w:tcW w:w="62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0ED018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初中教育</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1DD86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681.37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DA76B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681.37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4F5C15">
            <w:pPr>
              <w:jc w:val="right"/>
              <w:rPr>
                <w:rFonts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CFA9FA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FBBE53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38B702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3A5E572">
        <w:tblPrEx>
          <w:tblCellMar>
            <w:top w:w="0" w:type="dxa"/>
            <w:left w:w="108" w:type="dxa"/>
            <w:bottom w:w="0" w:type="dxa"/>
            <w:right w:w="108" w:type="dxa"/>
          </w:tblCellMar>
        </w:tblPrEx>
        <w:trPr>
          <w:trHeight w:val="595" w:hRule="atLeast"/>
          <w:jc w:val="center"/>
        </w:trPr>
        <w:tc>
          <w:tcPr>
            <w:tcW w:w="69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A85E67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2050299</w:t>
            </w:r>
          </w:p>
        </w:tc>
        <w:tc>
          <w:tcPr>
            <w:tcW w:w="62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204829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其他普通教育支出</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C46E2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4,168.92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2CD13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4,124.85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40DF9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44.07 </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39F3D1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B7675F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A08BBB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79386E7">
        <w:tblPrEx>
          <w:tblCellMar>
            <w:top w:w="0" w:type="dxa"/>
            <w:left w:w="108" w:type="dxa"/>
            <w:bottom w:w="0" w:type="dxa"/>
            <w:right w:w="108" w:type="dxa"/>
          </w:tblCellMar>
        </w:tblPrEx>
        <w:trPr>
          <w:trHeight w:val="595" w:hRule="atLeast"/>
          <w:jc w:val="center"/>
        </w:trPr>
        <w:tc>
          <w:tcPr>
            <w:tcW w:w="69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2C2A64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2050999</w:t>
            </w:r>
          </w:p>
        </w:tc>
        <w:tc>
          <w:tcPr>
            <w:tcW w:w="62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7575FB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9AFDD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38.04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6D72CE">
            <w:pPr>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3457C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38.04 </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F3A586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B4E52B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7EA37C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169C7C8">
        <w:tblPrEx>
          <w:tblCellMar>
            <w:top w:w="0" w:type="dxa"/>
            <w:left w:w="108" w:type="dxa"/>
            <w:bottom w:w="0" w:type="dxa"/>
            <w:right w:w="108" w:type="dxa"/>
          </w:tblCellMar>
        </w:tblPrEx>
        <w:trPr>
          <w:trHeight w:val="595" w:hRule="atLeast"/>
          <w:jc w:val="center"/>
        </w:trPr>
        <w:tc>
          <w:tcPr>
            <w:tcW w:w="69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932F7A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2080116</w:t>
            </w:r>
          </w:p>
        </w:tc>
        <w:tc>
          <w:tcPr>
            <w:tcW w:w="62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2EAF47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引进人才费用</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8C9CC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1.56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F58F7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1.56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8FA2AF">
            <w:pPr>
              <w:jc w:val="right"/>
              <w:rPr>
                <w:rFonts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8ECFE8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55B6DB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8D35FC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456077B">
        <w:tblPrEx>
          <w:tblCellMar>
            <w:top w:w="0" w:type="dxa"/>
            <w:left w:w="108" w:type="dxa"/>
            <w:bottom w:w="0" w:type="dxa"/>
            <w:right w:w="108" w:type="dxa"/>
          </w:tblCellMar>
        </w:tblPrEx>
        <w:trPr>
          <w:trHeight w:val="595" w:hRule="atLeast"/>
          <w:jc w:val="center"/>
        </w:trPr>
        <w:tc>
          <w:tcPr>
            <w:tcW w:w="69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EA1039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2290403</w:t>
            </w:r>
          </w:p>
        </w:tc>
        <w:tc>
          <w:tcPr>
            <w:tcW w:w="62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EC37FA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其他政府性基金债务收入安排的支出</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A9EAC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595.00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95932D">
            <w:pPr>
              <w:jc w:val="right"/>
              <w:rPr>
                <w:rFonts w:hint="eastAsia" w:ascii="宋体" w:hAnsi="宋体" w:eastAsia="宋体" w:cs="宋体"/>
                <w:i w:val="0"/>
                <w:iCs w:val="0"/>
                <w:color w:val="000000"/>
                <w:kern w:val="0"/>
                <w:sz w:val="22"/>
                <w:szCs w:val="22"/>
                <w:u w:val="none"/>
                <w:lang w:val="en-US" w:eastAsia="zh-CN" w:bidi="ar"/>
              </w:rPr>
            </w:pP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272FA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595.00 </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94E22ED">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85578A0">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6435850">
            <w:pPr>
              <w:widowControl/>
              <w:jc w:val="right"/>
              <w:rPr>
                <w:rFonts w:ascii="Times New Roman" w:hAnsi="Times New Roman" w:eastAsia="仿宋_GB2312" w:cs="Times New Roman"/>
                <w:kern w:val="0"/>
                <w:sz w:val="24"/>
                <w:szCs w:val="24"/>
              </w:rPr>
            </w:pPr>
          </w:p>
        </w:tc>
      </w:tr>
    </w:tbl>
    <w:p w14:paraId="19F8020A">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6D126B01">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49BCDE5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3508F3C3">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6276F3AC">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0" w:type="auto"/>
        <w:jc w:val="center"/>
        <w:tblLayout w:type="autofit"/>
        <w:tblCellMar>
          <w:top w:w="0" w:type="dxa"/>
          <w:left w:w="108" w:type="dxa"/>
          <w:bottom w:w="0" w:type="dxa"/>
          <w:right w:w="108" w:type="dxa"/>
        </w:tblCellMar>
      </w:tblPr>
      <w:tblGrid>
        <w:gridCol w:w="3516"/>
        <w:gridCol w:w="616"/>
        <w:gridCol w:w="1096"/>
        <w:gridCol w:w="2856"/>
        <w:gridCol w:w="616"/>
        <w:gridCol w:w="1096"/>
        <w:gridCol w:w="1619"/>
        <w:gridCol w:w="1436"/>
        <w:gridCol w:w="1369"/>
      </w:tblGrid>
      <w:tr w14:paraId="0EF1FE73">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3148BA3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2A75D2C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4ABDCCAC">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3AB1B2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62531FF3">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3E2776A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0C99B6C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47975CD2">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1C457FB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1C0974A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26D2E46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19885D1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6C65801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382CEF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1A25916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01085FD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4DF7740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46D4CEC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37AD3ED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295614F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6B9D571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720B838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3C33617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0A261A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21E37EC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096" w:type="dxa"/>
            <w:tcBorders>
              <w:top w:val="nil"/>
              <w:left w:val="nil"/>
              <w:bottom w:val="single" w:color="auto" w:sz="4" w:space="0"/>
              <w:right w:val="single" w:color="auto" w:sz="4" w:space="0"/>
            </w:tcBorders>
            <w:shd w:val="clear" w:color="auto" w:fill="auto"/>
            <w:noWrap/>
            <w:vAlign w:val="center"/>
          </w:tcPr>
          <w:p w14:paraId="56522776">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4,677.48 </w:t>
            </w:r>
          </w:p>
        </w:tc>
        <w:tc>
          <w:tcPr>
            <w:tcW w:w="0" w:type="auto"/>
            <w:tcBorders>
              <w:top w:val="nil"/>
              <w:left w:val="nil"/>
              <w:bottom w:val="single" w:color="auto" w:sz="4" w:space="0"/>
              <w:right w:val="single" w:color="auto" w:sz="4" w:space="0"/>
            </w:tcBorders>
            <w:shd w:val="clear" w:color="auto" w:fill="auto"/>
            <w:noWrap/>
            <w:vAlign w:val="center"/>
          </w:tcPr>
          <w:p w14:paraId="02F145C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7B6D268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1DB2CBC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CE60F6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61353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12665D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9E76D3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0394E3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153F4BB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1096" w:type="dxa"/>
            <w:tcBorders>
              <w:top w:val="nil"/>
              <w:left w:val="nil"/>
              <w:bottom w:val="single" w:color="auto" w:sz="4" w:space="0"/>
              <w:right w:val="single" w:color="auto" w:sz="4" w:space="0"/>
            </w:tcBorders>
            <w:shd w:val="clear" w:color="auto" w:fill="auto"/>
            <w:noWrap/>
            <w:vAlign w:val="center"/>
          </w:tcPr>
          <w:p w14:paraId="1AF5961C">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595.00 </w:t>
            </w:r>
          </w:p>
        </w:tc>
        <w:tc>
          <w:tcPr>
            <w:tcW w:w="0" w:type="auto"/>
            <w:tcBorders>
              <w:top w:val="nil"/>
              <w:left w:val="nil"/>
              <w:bottom w:val="single" w:color="auto" w:sz="4" w:space="0"/>
              <w:right w:val="single" w:color="auto" w:sz="4" w:space="0"/>
            </w:tcBorders>
            <w:shd w:val="clear" w:color="auto" w:fill="auto"/>
            <w:noWrap/>
            <w:vAlign w:val="center"/>
          </w:tcPr>
          <w:p w14:paraId="52592F8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0A040D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72A102E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BFBCBC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5127FA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02C925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5A8CF8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95A3FF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754627C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694F452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097AF6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1D6C948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399E191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A3BB17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8D09E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D1C195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223436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4BF313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2F3BA1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11D7C77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9DE9DD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716379F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6307B6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FB3C30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8F67F5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3EF03B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CDFDFC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210CAE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AFF766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0CD4903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11859E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422EDDC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931" w:type="dxa"/>
            <w:tcBorders>
              <w:top w:val="nil"/>
              <w:left w:val="nil"/>
              <w:bottom w:val="single" w:color="auto" w:sz="4" w:space="0"/>
              <w:right w:val="single" w:color="auto" w:sz="4" w:space="0"/>
            </w:tcBorders>
            <w:shd w:val="clear" w:color="auto" w:fill="auto"/>
            <w:noWrap/>
            <w:vAlign w:val="center"/>
          </w:tcPr>
          <w:p w14:paraId="2D5560A2">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4,675.92</w:t>
            </w:r>
          </w:p>
        </w:tc>
        <w:tc>
          <w:tcPr>
            <w:tcW w:w="1619" w:type="dxa"/>
            <w:tcBorders>
              <w:top w:val="nil"/>
              <w:left w:val="nil"/>
              <w:bottom w:val="single" w:color="auto" w:sz="4" w:space="0"/>
              <w:right w:val="single" w:color="auto" w:sz="4" w:space="0"/>
            </w:tcBorders>
            <w:shd w:val="clear" w:color="auto" w:fill="auto"/>
            <w:noWrap/>
            <w:vAlign w:val="center"/>
          </w:tcPr>
          <w:p w14:paraId="14CE9BE2">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4,675.92</w:t>
            </w:r>
          </w:p>
        </w:tc>
        <w:tc>
          <w:tcPr>
            <w:tcW w:w="0" w:type="auto"/>
            <w:tcBorders>
              <w:top w:val="nil"/>
              <w:left w:val="nil"/>
              <w:bottom w:val="single" w:color="auto" w:sz="4" w:space="0"/>
              <w:right w:val="single" w:color="auto" w:sz="4" w:space="0"/>
            </w:tcBorders>
            <w:shd w:val="clear" w:color="auto" w:fill="auto"/>
            <w:noWrap/>
            <w:vAlign w:val="center"/>
          </w:tcPr>
          <w:p w14:paraId="1C4DE509">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8C292A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D33AE8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789E1E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5CB4BC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24C2271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92787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0AF22A0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931" w:type="dxa"/>
            <w:tcBorders>
              <w:top w:val="nil"/>
              <w:left w:val="nil"/>
              <w:bottom w:val="single" w:color="auto" w:sz="4" w:space="0"/>
              <w:right w:val="single" w:color="auto" w:sz="4" w:space="0"/>
            </w:tcBorders>
            <w:shd w:val="clear" w:color="auto" w:fill="auto"/>
            <w:noWrap/>
            <w:vAlign w:val="center"/>
          </w:tcPr>
          <w:p w14:paraId="02863AD4">
            <w:pPr>
              <w:jc w:val="center"/>
              <w:rPr>
                <w:rFonts w:ascii="Times New Roman" w:hAnsi="Times New Roman" w:eastAsia="仿宋_GB2312" w:cs="Times New Roman"/>
                <w:kern w:val="0"/>
                <w:sz w:val="22"/>
              </w:rPr>
            </w:pPr>
          </w:p>
        </w:tc>
        <w:tc>
          <w:tcPr>
            <w:tcW w:w="1619" w:type="dxa"/>
            <w:tcBorders>
              <w:top w:val="nil"/>
              <w:left w:val="nil"/>
              <w:bottom w:val="single" w:color="auto" w:sz="4" w:space="0"/>
              <w:right w:val="single" w:color="auto" w:sz="4" w:space="0"/>
            </w:tcBorders>
            <w:shd w:val="clear" w:color="auto" w:fill="auto"/>
            <w:noWrap/>
            <w:vAlign w:val="center"/>
          </w:tcPr>
          <w:p w14:paraId="02666828">
            <w:pPr>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35035BC">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D8201F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5EB77F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4B8ECF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A86720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5E77506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0ACA52A">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七</w:t>
            </w:r>
            <w:r>
              <w:rPr>
                <w:rFonts w:hint="eastAsia" w:ascii="Times New Roman" w:hAnsi="Times New Roman" w:eastAsia="仿宋_GB2312" w:cs="Times New Roman"/>
                <w:kern w:val="0"/>
                <w:sz w:val="24"/>
                <w:szCs w:val="24"/>
              </w:rPr>
              <w:t>、社会保障和就业支出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1FB04B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931" w:type="dxa"/>
            <w:tcBorders>
              <w:top w:val="nil"/>
              <w:left w:val="nil"/>
              <w:bottom w:val="single" w:color="auto" w:sz="4" w:space="0"/>
              <w:right w:val="single" w:color="auto" w:sz="4" w:space="0"/>
            </w:tcBorders>
            <w:shd w:val="clear" w:color="auto" w:fill="auto"/>
            <w:noWrap/>
            <w:vAlign w:val="center"/>
          </w:tcPr>
          <w:p w14:paraId="28F16707">
            <w:pPr>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1.56</w:t>
            </w:r>
          </w:p>
        </w:tc>
        <w:tc>
          <w:tcPr>
            <w:tcW w:w="1619" w:type="dxa"/>
            <w:tcBorders>
              <w:top w:val="nil"/>
              <w:left w:val="nil"/>
              <w:bottom w:val="single" w:color="auto" w:sz="4" w:space="0"/>
              <w:right w:val="single" w:color="auto" w:sz="4" w:space="0"/>
            </w:tcBorders>
            <w:shd w:val="clear" w:color="auto" w:fill="auto"/>
            <w:noWrap/>
            <w:vAlign w:val="center"/>
          </w:tcPr>
          <w:p w14:paraId="358D726B">
            <w:pPr>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1.56</w:t>
            </w:r>
          </w:p>
        </w:tc>
        <w:tc>
          <w:tcPr>
            <w:tcW w:w="0" w:type="auto"/>
            <w:tcBorders>
              <w:top w:val="nil"/>
              <w:left w:val="nil"/>
              <w:bottom w:val="single" w:color="auto" w:sz="4" w:space="0"/>
              <w:right w:val="single" w:color="auto" w:sz="4" w:space="0"/>
            </w:tcBorders>
            <w:shd w:val="clear" w:color="auto" w:fill="auto"/>
            <w:noWrap/>
            <w:vAlign w:val="center"/>
          </w:tcPr>
          <w:p w14:paraId="2B271935">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656950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5D92E2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654463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AA0F0B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387731E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3902BAA">
            <w:pPr>
              <w:widowControl/>
              <w:jc w:val="left"/>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八、其他支出</w:t>
            </w:r>
          </w:p>
        </w:tc>
        <w:tc>
          <w:tcPr>
            <w:tcW w:w="0" w:type="auto"/>
            <w:tcBorders>
              <w:top w:val="nil"/>
              <w:left w:val="nil"/>
              <w:bottom w:val="single" w:color="auto" w:sz="4" w:space="0"/>
              <w:right w:val="single" w:color="auto" w:sz="4" w:space="0"/>
            </w:tcBorders>
            <w:shd w:val="clear" w:color="auto" w:fill="auto"/>
            <w:noWrap/>
            <w:vAlign w:val="center"/>
          </w:tcPr>
          <w:p w14:paraId="33A6596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2DAAC1A3">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595.00</w:t>
            </w:r>
          </w:p>
        </w:tc>
        <w:tc>
          <w:tcPr>
            <w:tcW w:w="0" w:type="auto"/>
            <w:tcBorders>
              <w:top w:val="nil"/>
              <w:left w:val="nil"/>
              <w:bottom w:val="single" w:color="auto" w:sz="4" w:space="0"/>
              <w:right w:val="single" w:color="auto" w:sz="4" w:space="0"/>
            </w:tcBorders>
            <w:shd w:val="clear" w:color="auto" w:fill="auto"/>
            <w:noWrap/>
            <w:vAlign w:val="center"/>
          </w:tcPr>
          <w:p w14:paraId="2886268F">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8C29ECE">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595.00</w:t>
            </w:r>
          </w:p>
        </w:tc>
        <w:tc>
          <w:tcPr>
            <w:tcW w:w="0" w:type="auto"/>
            <w:tcBorders>
              <w:top w:val="nil"/>
              <w:left w:val="nil"/>
              <w:bottom w:val="single" w:color="auto" w:sz="4" w:space="0"/>
              <w:right w:val="single" w:color="auto" w:sz="4" w:space="0"/>
            </w:tcBorders>
            <w:shd w:val="clear" w:color="auto" w:fill="auto"/>
            <w:noWrap/>
            <w:vAlign w:val="center"/>
          </w:tcPr>
          <w:p w14:paraId="6899348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09994A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502F098">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6A2AC2A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1096" w:type="dxa"/>
            <w:tcBorders>
              <w:top w:val="nil"/>
              <w:left w:val="nil"/>
              <w:bottom w:val="single" w:color="auto" w:sz="4" w:space="0"/>
              <w:right w:val="single" w:color="auto" w:sz="4" w:space="0"/>
            </w:tcBorders>
            <w:shd w:val="clear" w:color="auto" w:fill="auto"/>
            <w:noWrap/>
            <w:vAlign w:val="center"/>
          </w:tcPr>
          <w:p w14:paraId="04A56531">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5,272.48 </w:t>
            </w:r>
          </w:p>
        </w:tc>
        <w:tc>
          <w:tcPr>
            <w:tcW w:w="0" w:type="auto"/>
            <w:tcBorders>
              <w:top w:val="nil"/>
              <w:left w:val="nil"/>
              <w:bottom w:val="single" w:color="auto" w:sz="4" w:space="0"/>
              <w:right w:val="single" w:color="auto" w:sz="4" w:space="0"/>
            </w:tcBorders>
            <w:shd w:val="clear" w:color="auto" w:fill="auto"/>
            <w:noWrap/>
            <w:vAlign w:val="center"/>
          </w:tcPr>
          <w:p w14:paraId="2E10034F">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207C51A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931" w:type="dxa"/>
            <w:tcBorders>
              <w:top w:val="nil"/>
              <w:left w:val="nil"/>
              <w:bottom w:val="single" w:color="auto" w:sz="4" w:space="0"/>
              <w:right w:val="single" w:color="auto" w:sz="4" w:space="0"/>
            </w:tcBorders>
            <w:shd w:val="clear" w:color="auto" w:fill="auto"/>
            <w:noWrap/>
            <w:vAlign w:val="center"/>
          </w:tcPr>
          <w:p w14:paraId="4274F818">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5,272.48</w:t>
            </w:r>
          </w:p>
        </w:tc>
        <w:tc>
          <w:tcPr>
            <w:tcW w:w="1619" w:type="dxa"/>
            <w:tcBorders>
              <w:top w:val="nil"/>
              <w:left w:val="nil"/>
              <w:bottom w:val="single" w:color="auto" w:sz="4" w:space="0"/>
              <w:right w:val="single" w:color="auto" w:sz="4" w:space="0"/>
            </w:tcBorders>
            <w:shd w:val="clear" w:color="auto" w:fill="auto"/>
            <w:noWrap/>
            <w:vAlign w:val="center"/>
          </w:tcPr>
          <w:p w14:paraId="63A56BB7">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4,677.48</w:t>
            </w:r>
          </w:p>
        </w:tc>
        <w:tc>
          <w:tcPr>
            <w:tcW w:w="1436" w:type="dxa"/>
            <w:tcBorders>
              <w:top w:val="nil"/>
              <w:left w:val="nil"/>
              <w:bottom w:val="single" w:color="auto" w:sz="4" w:space="0"/>
              <w:right w:val="single" w:color="auto" w:sz="4" w:space="0"/>
            </w:tcBorders>
            <w:shd w:val="clear" w:color="auto" w:fill="auto"/>
            <w:noWrap/>
            <w:vAlign w:val="center"/>
          </w:tcPr>
          <w:p w14:paraId="3450AF95">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595.00</w:t>
            </w:r>
          </w:p>
        </w:tc>
        <w:tc>
          <w:tcPr>
            <w:tcW w:w="0" w:type="auto"/>
            <w:tcBorders>
              <w:top w:val="nil"/>
              <w:left w:val="nil"/>
              <w:bottom w:val="single" w:color="auto" w:sz="4" w:space="0"/>
              <w:right w:val="single" w:color="auto" w:sz="4" w:space="0"/>
            </w:tcBorders>
            <w:shd w:val="clear" w:color="auto" w:fill="auto"/>
            <w:noWrap/>
            <w:vAlign w:val="center"/>
          </w:tcPr>
          <w:p w14:paraId="7ABECE3C">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6E193AD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B4B6F5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399A9A3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3B03AA9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E3FB13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4A48560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6718BBFC">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BE2D452">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61F739A">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6780FF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62CB4F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B29D2E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5771568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2EE2AD6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9AEFB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DED0CE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63D4DE2F">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B38200A">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DBABB70">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E46A33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4ABCB3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9FCFDE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5CEBD49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78EB0DF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9ED629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09C30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697B066B">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E0078BB">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352AB75">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FA5DA4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701872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EC73FC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5347342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236804E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EE6D64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8B3401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4AC898EE">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817B31B">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BE9231A">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19C216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513FF1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1E29B115">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3A569C4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1096" w:type="dxa"/>
            <w:tcBorders>
              <w:top w:val="nil"/>
              <w:left w:val="nil"/>
              <w:bottom w:val="single" w:color="auto" w:sz="4" w:space="0"/>
              <w:right w:val="single" w:color="auto" w:sz="4" w:space="0"/>
            </w:tcBorders>
            <w:shd w:val="clear" w:color="auto" w:fill="auto"/>
            <w:noWrap/>
            <w:vAlign w:val="center"/>
          </w:tcPr>
          <w:p w14:paraId="486B14B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5,272.48 </w:t>
            </w:r>
          </w:p>
        </w:tc>
        <w:tc>
          <w:tcPr>
            <w:tcW w:w="0" w:type="auto"/>
            <w:tcBorders>
              <w:top w:val="nil"/>
              <w:left w:val="nil"/>
              <w:bottom w:val="single" w:color="auto" w:sz="4" w:space="0"/>
              <w:right w:val="single" w:color="auto" w:sz="4" w:space="0"/>
            </w:tcBorders>
            <w:shd w:val="clear" w:color="000000" w:fill="FFFFFF"/>
            <w:noWrap/>
            <w:vAlign w:val="center"/>
          </w:tcPr>
          <w:p w14:paraId="1820A70A">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32BF063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931" w:type="dxa"/>
            <w:tcBorders>
              <w:top w:val="nil"/>
              <w:left w:val="nil"/>
              <w:bottom w:val="single" w:color="auto" w:sz="4" w:space="0"/>
              <w:right w:val="single" w:color="auto" w:sz="4" w:space="0"/>
            </w:tcBorders>
            <w:shd w:val="clear" w:color="000000" w:fill="FFFFFF"/>
            <w:noWrap/>
            <w:vAlign w:val="center"/>
          </w:tcPr>
          <w:p w14:paraId="0D79F35E">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5,272.48</w:t>
            </w:r>
          </w:p>
        </w:tc>
        <w:tc>
          <w:tcPr>
            <w:tcW w:w="1619" w:type="dxa"/>
            <w:tcBorders>
              <w:top w:val="nil"/>
              <w:left w:val="nil"/>
              <w:bottom w:val="single" w:color="auto" w:sz="4" w:space="0"/>
              <w:right w:val="single" w:color="auto" w:sz="4" w:space="0"/>
            </w:tcBorders>
            <w:shd w:val="clear" w:color="000000" w:fill="FFFFFF"/>
            <w:noWrap/>
            <w:vAlign w:val="center"/>
          </w:tcPr>
          <w:p w14:paraId="1749AB3F">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4,677.48</w:t>
            </w:r>
          </w:p>
        </w:tc>
        <w:tc>
          <w:tcPr>
            <w:tcW w:w="1436" w:type="dxa"/>
            <w:tcBorders>
              <w:top w:val="nil"/>
              <w:left w:val="nil"/>
              <w:bottom w:val="single" w:color="auto" w:sz="4" w:space="0"/>
              <w:right w:val="single" w:color="auto" w:sz="4" w:space="0"/>
            </w:tcBorders>
            <w:shd w:val="clear" w:color="auto" w:fill="auto"/>
            <w:noWrap/>
            <w:vAlign w:val="center"/>
          </w:tcPr>
          <w:p w14:paraId="75645826">
            <w:pPr>
              <w:keepNext w:val="0"/>
              <w:keepLines w:val="0"/>
              <w:widowControl/>
              <w:suppressLineNumbers w:val="0"/>
              <w:jc w:val="center"/>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bidi="ar"/>
              </w:rPr>
              <w:t>595.00</w:t>
            </w:r>
          </w:p>
        </w:tc>
        <w:tc>
          <w:tcPr>
            <w:tcW w:w="0" w:type="auto"/>
            <w:tcBorders>
              <w:top w:val="nil"/>
              <w:left w:val="nil"/>
              <w:bottom w:val="single" w:color="auto" w:sz="4" w:space="0"/>
              <w:right w:val="single" w:color="auto" w:sz="4" w:space="0"/>
            </w:tcBorders>
            <w:shd w:val="clear" w:color="auto" w:fill="auto"/>
            <w:noWrap/>
            <w:vAlign w:val="center"/>
          </w:tcPr>
          <w:p w14:paraId="5F8C62D4">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24A1B3EE">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28B6E23F">
      <w:pPr>
        <w:widowControl/>
        <w:jc w:val="center"/>
        <w:rPr>
          <w:rFonts w:ascii="Times New Roman" w:hAnsi="Times New Roman" w:eastAsia="方正小标宋_GBK" w:cs="Times New Roman"/>
          <w:kern w:val="0"/>
          <w:sz w:val="36"/>
          <w:szCs w:val="36"/>
        </w:rPr>
      </w:pPr>
    </w:p>
    <w:p w14:paraId="4946ED0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7DB8BADF">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14:paraId="5E436318">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34497D54">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8" w:space="0"/>
              <w:right w:val="single" w:color="auto" w:sz="4" w:space="0"/>
            </w:tcBorders>
            <w:shd w:val="clear" w:color="auto" w:fill="auto"/>
            <w:vAlign w:val="center"/>
          </w:tcPr>
          <w:p w14:paraId="72513DE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8" w:space="0"/>
              <w:right w:val="single" w:color="000000" w:sz="8" w:space="0"/>
            </w:tcBorders>
            <w:shd w:val="clear" w:color="auto" w:fill="auto"/>
            <w:vAlign w:val="center"/>
          </w:tcPr>
          <w:p w14:paraId="1FCA872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095265F7">
        <w:tblPrEx>
          <w:tblCellMar>
            <w:top w:w="0" w:type="dxa"/>
            <w:left w:w="108" w:type="dxa"/>
            <w:bottom w:w="0" w:type="dxa"/>
            <w:right w:w="108" w:type="dxa"/>
          </w:tblCellMar>
        </w:tblPrEx>
        <w:trPr>
          <w:trHeight w:val="312" w:hRule="exact"/>
          <w:jc w:val="center"/>
        </w:trPr>
        <w:tc>
          <w:tcPr>
            <w:tcW w:w="1200" w:type="dxa"/>
            <w:vMerge w:val="restart"/>
            <w:tcBorders>
              <w:top w:val="single" w:color="auto" w:sz="8" w:space="0"/>
              <w:left w:val="single" w:color="auto" w:sz="8" w:space="0"/>
              <w:bottom w:val="single" w:color="auto" w:sz="8" w:space="0"/>
              <w:right w:val="single" w:color="auto" w:sz="8" w:space="0"/>
            </w:tcBorders>
            <w:shd w:val="clear" w:color="auto" w:fill="auto"/>
            <w:vAlign w:val="center"/>
          </w:tcPr>
          <w:p w14:paraId="5972F2B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single" w:color="auto" w:sz="8" w:space="0"/>
              <w:left w:val="single" w:color="auto" w:sz="8" w:space="0"/>
              <w:bottom w:val="single" w:color="auto" w:sz="8" w:space="0"/>
              <w:right w:val="single" w:color="auto" w:sz="8" w:space="0"/>
            </w:tcBorders>
            <w:shd w:val="clear" w:color="auto" w:fill="auto"/>
            <w:vAlign w:val="center"/>
          </w:tcPr>
          <w:p w14:paraId="7AAE6FE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single" w:color="auto" w:sz="8" w:space="0"/>
              <w:left w:val="single" w:color="auto" w:sz="8" w:space="0"/>
              <w:bottom w:val="single" w:color="auto" w:sz="8" w:space="0"/>
              <w:right w:val="single" w:color="auto" w:sz="8" w:space="0"/>
            </w:tcBorders>
            <w:shd w:val="clear" w:color="auto" w:fill="auto"/>
            <w:vAlign w:val="center"/>
          </w:tcPr>
          <w:p w14:paraId="5A10701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single" w:color="auto" w:sz="8" w:space="0"/>
              <w:left w:val="single" w:color="auto" w:sz="8" w:space="0"/>
              <w:bottom w:val="single" w:color="auto" w:sz="8" w:space="0"/>
              <w:right w:val="single" w:color="auto" w:sz="8" w:space="0"/>
            </w:tcBorders>
            <w:shd w:val="clear" w:color="auto" w:fill="auto"/>
            <w:vAlign w:val="center"/>
          </w:tcPr>
          <w:p w14:paraId="4F4CEC5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single" w:color="auto" w:sz="8" w:space="0"/>
              <w:left w:val="single" w:color="auto" w:sz="8" w:space="0"/>
              <w:bottom w:val="single" w:color="auto" w:sz="8" w:space="0"/>
              <w:right w:val="single" w:color="auto" w:sz="8" w:space="0"/>
            </w:tcBorders>
            <w:shd w:val="clear" w:color="auto" w:fill="auto"/>
            <w:vAlign w:val="center"/>
          </w:tcPr>
          <w:p w14:paraId="62C39F0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62103374">
        <w:tblPrEx>
          <w:tblCellMar>
            <w:top w:w="0" w:type="dxa"/>
            <w:left w:w="108" w:type="dxa"/>
            <w:bottom w:w="0" w:type="dxa"/>
            <w:right w:w="108" w:type="dxa"/>
          </w:tblCellMar>
        </w:tblPrEx>
        <w:trPr>
          <w:trHeight w:val="360" w:hRule="atLeast"/>
          <w:jc w:val="center"/>
        </w:trPr>
        <w:tc>
          <w:tcPr>
            <w:tcW w:w="1200" w:type="dxa"/>
            <w:vMerge w:val="continue"/>
            <w:tcBorders>
              <w:top w:val="single" w:color="auto" w:sz="8" w:space="0"/>
              <w:left w:val="single" w:color="auto" w:sz="8" w:space="0"/>
              <w:bottom w:val="single" w:color="auto" w:sz="8" w:space="0"/>
              <w:right w:val="single" w:color="auto" w:sz="8" w:space="0"/>
            </w:tcBorders>
            <w:vAlign w:val="center"/>
          </w:tcPr>
          <w:p w14:paraId="7C79D158">
            <w:pPr>
              <w:widowControl/>
              <w:jc w:val="left"/>
              <w:rPr>
                <w:rFonts w:ascii="Times New Roman" w:hAnsi="Times New Roman" w:eastAsia="仿宋_GB2312" w:cs="Times New Roman"/>
                <w:kern w:val="0"/>
                <w:szCs w:val="21"/>
              </w:rPr>
            </w:pPr>
          </w:p>
        </w:tc>
        <w:tc>
          <w:tcPr>
            <w:tcW w:w="3527" w:type="dxa"/>
            <w:vMerge w:val="continue"/>
            <w:tcBorders>
              <w:top w:val="single" w:color="auto" w:sz="8" w:space="0"/>
              <w:left w:val="single" w:color="auto" w:sz="8" w:space="0"/>
              <w:bottom w:val="single" w:color="auto" w:sz="8" w:space="0"/>
              <w:right w:val="single" w:color="auto" w:sz="8" w:space="0"/>
            </w:tcBorders>
            <w:vAlign w:val="center"/>
          </w:tcPr>
          <w:p w14:paraId="63A3D360">
            <w:pPr>
              <w:widowControl/>
              <w:jc w:val="left"/>
              <w:rPr>
                <w:rFonts w:ascii="Times New Roman" w:hAnsi="Times New Roman" w:eastAsia="仿宋_GB2312" w:cs="Times New Roman"/>
                <w:kern w:val="0"/>
                <w:szCs w:val="21"/>
              </w:rPr>
            </w:pPr>
          </w:p>
        </w:tc>
        <w:tc>
          <w:tcPr>
            <w:tcW w:w="3000" w:type="dxa"/>
            <w:vMerge w:val="continue"/>
            <w:tcBorders>
              <w:top w:val="single" w:color="auto" w:sz="8" w:space="0"/>
              <w:left w:val="single" w:color="auto" w:sz="8" w:space="0"/>
              <w:bottom w:val="single" w:color="auto" w:sz="8" w:space="0"/>
              <w:right w:val="single" w:color="auto" w:sz="8" w:space="0"/>
            </w:tcBorders>
            <w:vAlign w:val="center"/>
          </w:tcPr>
          <w:p w14:paraId="349973C4">
            <w:pPr>
              <w:widowControl/>
              <w:jc w:val="left"/>
              <w:rPr>
                <w:rFonts w:ascii="Times New Roman" w:hAnsi="Times New Roman" w:eastAsia="仿宋_GB2312" w:cs="Times New Roman"/>
                <w:kern w:val="0"/>
                <w:szCs w:val="21"/>
              </w:rPr>
            </w:pPr>
          </w:p>
        </w:tc>
        <w:tc>
          <w:tcPr>
            <w:tcW w:w="3492" w:type="dxa"/>
            <w:vMerge w:val="continue"/>
            <w:tcBorders>
              <w:top w:val="single" w:color="auto" w:sz="8" w:space="0"/>
              <w:left w:val="single" w:color="auto" w:sz="8" w:space="0"/>
              <w:bottom w:val="single" w:color="auto" w:sz="8" w:space="0"/>
              <w:right w:val="single" w:color="auto" w:sz="8" w:space="0"/>
            </w:tcBorders>
            <w:vAlign w:val="center"/>
          </w:tcPr>
          <w:p w14:paraId="44B8F4CE">
            <w:pPr>
              <w:widowControl/>
              <w:jc w:val="left"/>
              <w:rPr>
                <w:rFonts w:ascii="Times New Roman" w:hAnsi="Times New Roman" w:eastAsia="仿宋_GB2312" w:cs="Times New Roman"/>
                <w:kern w:val="0"/>
                <w:szCs w:val="21"/>
              </w:rPr>
            </w:pPr>
          </w:p>
        </w:tc>
        <w:tc>
          <w:tcPr>
            <w:tcW w:w="3000" w:type="dxa"/>
            <w:vMerge w:val="continue"/>
            <w:tcBorders>
              <w:top w:val="single" w:color="auto" w:sz="8" w:space="0"/>
              <w:left w:val="single" w:color="auto" w:sz="8" w:space="0"/>
              <w:bottom w:val="single" w:color="auto" w:sz="8" w:space="0"/>
              <w:right w:val="single" w:color="auto" w:sz="8" w:space="0"/>
            </w:tcBorders>
            <w:vAlign w:val="center"/>
          </w:tcPr>
          <w:p w14:paraId="5E38444F">
            <w:pPr>
              <w:widowControl/>
              <w:jc w:val="left"/>
              <w:rPr>
                <w:rFonts w:ascii="Times New Roman" w:hAnsi="Times New Roman" w:eastAsia="仿宋_GB2312" w:cs="Times New Roman"/>
                <w:kern w:val="0"/>
                <w:szCs w:val="21"/>
              </w:rPr>
            </w:pPr>
          </w:p>
        </w:tc>
      </w:tr>
      <w:tr w14:paraId="7D578E86">
        <w:tblPrEx>
          <w:tblCellMar>
            <w:top w:w="0" w:type="dxa"/>
            <w:left w:w="108" w:type="dxa"/>
            <w:bottom w:w="0" w:type="dxa"/>
            <w:right w:w="108" w:type="dxa"/>
          </w:tblCellMar>
        </w:tblPrEx>
        <w:trPr>
          <w:trHeight w:val="312" w:hRule="atLeast"/>
          <w:jc w:val="center"/>
        </w:trPr>
        <w:tc>
          <w:tcPr>
            <w:tcW w:w="1200" w:type="dxa"/>
            <w:vMerge w:val="continue"/>
            <w:tcBorders>
              <w:top w:val="single" w:color="auto" w:sz="8" w:space="0"/>
              <w:left w:val="single" w:color="auto" w:sz="8" w:space="0"/>
              <w:bottom w:val="single" w:color="auto" w:sz="8" w:space="0"/>
              <w:right w:val="single" w:color="auto" w:sz="8" w:space="0"/>
            </w:tcBorders>
            <w:vAlign w:val="center"/>
          </w:tcPr>
          <w:p w14:paraId="6AEF9BEF">
            <w:pPr>
              <w:widowControl/>
              <w:jc w:val="left"/>
              <w:rPr>
                <w:rFonts w:ascii="Times New Roman" w:hAnsi="Times New Roman" w:eastAsia="仿宋_GB2312" w:cs="Times New Roman"/>
                <w:kern w:val="0"/>
                <w:szCs w:val="21"/>
              </w:rPr>
            </w:pPr>
          </w:p>
        </w:tc>
        <w:tc>
          <w:tcPr>
            <w:tcW w:w="3527" w:type="dxa"/>
            <w:vMerge w:val="continue"/>
            <w:tcBorders>
              <w:top w:val="single" w:color="auto" w:sz="8" w:space="0"/>
              <w:left w:val="single" w:color="auto" w:sz="8" w:space="0"/>
              <w:bottom w:val="single" w:color="auto" w:sz="8" w:space="0"/>
              <w:right w:val="single" w:color="auto" w:sz="8" w:space="0"/>
            </w:tcBorders>
            <w:vAlign w:val="center"/>
          </w:tcPr>
          <w:p w14:paraId="0580B785">
            <w:pPr>
              <w:widowControl/>
              <w:jc w:val="left"/>
              <w:rPr>
                <w:rFonts w:ascii="Times New Roman" w:hAnsi="Times New Roman" w:eastAsia="仿宋_GB2312" w:cs="Times New Roman"/>
                <w:kern w:val="0"/>
                <w:szCs w:val="21"/>
              </w:rPr>
            </w:pPr>
          </w:p>
        </w:tc>
        <w:tc>
          <w:tcPr>
            <w:tcW w:w="3000" w:type="dxa"/>
            <w:vMerge w:val="continue"/>
            <w:tcBorders>
              <w:top w:val="single" w:color="auto" w:sz="8" w:space="0"/>
              <w:left w:val="single" w:color="auto" w:sz="8" w:space="0"/>
              <w:bottom w:val="single" w:color="auto" w:sz="8" w:space="0"/>
              <w:right w:val="single" w:color="auto" w:sz="8" w:space="0"/>
            </w:tcBorders>
            <w:vAlign w:val="center"/>
          </w:tcPr>
          <w:p w14:paraId="488D6D48">
            <w:pPr>
              <w:widowControl/>
              <w:jc w:val="left"/>
              <w:rPr>
                <w:rFonts w:ascii="Times New Roman" w:hAnsi="Times New Roman" w:eastAsia="仿宋_GB2312" w:cs="Times New Roman"/>
                <w:kern w:val="0"/>
                <w:szCs w:val="21"/>
              </w:rPr>
            </w:pPr>
          </w:p>
        </w:tc>
        <w:tc>
          <w:tcPr>
            <w:tcW w:w="3492" w:type="dxa"/>
            <w:vMerge w:val="continue"/>
            <w:tcBorders>
              <w:top w:val="single" w:color="auto" w:sz="8" w:space="0"/>
              <w:left w:val="single" w:color="auto" w:sz="8" w:space="0"/>
              <w:bottom w:val="single" w:color="auto" w:sz="8" w:space="0"/>
              <w:right w:val="single" w:color="auto" w:sz="8" w:space="0"/>
            </w:tcBorders>
            <w:vAlign w:val="center"/>
          </w:tcPr>
          <w:p w14:paraId="47B179F5">
            <w:pPr>
              <w:widowControl/>
              <w:jc w:val="left"/>
              <w:rPr>
                <w:rFonts w:ascii="Times New Roman" w:hAnsi="Times New Roman" w:eastAsia="仿宋_GB2312" w:cs="Times New Roman"/>
                <w:kern w:val="0"/>
                <w:szCs w:val="21"/>
              </w:rPr>
            </w:pPr>
          </w:p>
        </w:tc>
        <w:tc>
          <w:tcPr>
            <w:tcW w:w="3000" w:type="dxa"/>
            <w:vMerge w:val="continue"/>
            <w:tcBorders>
              <w:top w:val="single" w:color="auto" w:sz="8" w:space="0"/>
              <w:left w:val="single" w:color="auto" w:sz="8" w:space="0"/>
              <w:bottom w:val="single" w:color="auto" w:sz="8" w:space="0"/>
              <w:right w:val="single" w:color="auto" w:sz="8" w:space="0"/>
            </w:tcBorders>
            <w:vAlign w:val="center"/>
          </w:tcPr>
          <w:p w14:paraId="0E563748">
            <w:pPr>
              <w:widowControl/>
              <w:jc w:val="left"/>
              <w:rPr>
                <w:rFonts w:ascii="Times New Roman" w:hAnsi="Times New Roman" w:eastAsia="仿宋_GB2312" w:cs="Times New Roman"/>
                <w:kern w:val="0"/>
                <w:szCs w:val="21"/>
              </w:rPr>
            </w:pPr>
          </w:p>
        </w:tc>
      </w:tr>
      <w:tr w14:paraId="7B53A010">
        <w:tblPrEx>
          <w:tblCellMar>
            <w:top w:w="0" w:type="dxa"/>
            <w:left w:w="108" w:type="dxa"/>
            <w:bottom w:w="0" w:type="dxa"/>
            <w:right w:w="108" w:type="dxa"/>
          </w:tblCellMar>
        </w:tblPrEx>
        <w:trPr>
          <w:trHeight w:val="450" w:hRule="atLeast"/>
          <w:jc w:val="center"/>
        </w:trPr>
        <w:tc>
          <w:tcPr>
            <w:tcW w:w="4727" w:type="dxa"/>
            <w:gridSpan w:val="2"/>
            <w:tcBorders>
              <w:top w:val="single" w:color="auto" w:sz="8" w:space="0"/>
              <w:left w:val="single" w:color="auto" w:sz="8" w:space="0"/>
              <w:bottom w:val="single" w:color="auto" w:sz="8" w:space="0"/>
              <w:right w:val="single" w:color="auto" w:sz="8" w:space="0"/>
            </w:tcBorders>
            <w:shd w:val="clear" w:color="auto" w:fill="auto"/>
            <w:vAlign w:val="center"/>
          </w:tcPr>
          <w:p w14:paraId="0790FAB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single" w:color="auto" w:sz="8" w:space="0"/>
              <w:left w:val="single" w:color="auto" w:sz="8" w:space="0"/>
              <w:bottom w:val="single" w:color="auto" w:sz="8" w:space="0"/>
              <w:right w:val="single" w:color="auto" w:sz="8" w:space="0"/>
            </w:tcBorders>
            <w:shd w:val="clear" w:color="auto" w:fill="auto"/>
            <w:vAlign w:val="center"/>
          </w:tcPr>
          <w:p w14:paraId="4EFE3E4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single" w:color="auto" w:sz="8" w:space="0"/>
              <w:left w:val="single" w:color="auto" w:sz="8" w:space="0"/>
              <w:bottom w:val="single" w:color="auto" w:sz="8" w:space="0"/>
              <w:right w:val="single" w:color="auto" w:sz="8" w:space="0"/>
            </w:tcBorders>
            <w:shd w:val="clear" w:color="auto" w:fill="auto"/>
            <w:vAlign w:val="center"/>
          </w:tcPr>
          <w:p w14:paraId="2462B2A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single" w:color="auto" w:sz="8" w:space="0"/>
              <w:left w:val="single" w:color="auto" w:sz="8" w:space="0"/>
              <w:bottom w:val="single" w:color="auto" w:sz="8" w:space="0"/>
              <w:right w:val="single" w:color="auto" w:sz="8" w:space="0"/>
            </w:tcBorders>
            <w:shd w:val="clear" w:color="auto" w:fill="auto"/>
            <w:vAlign w:val="center"/>
          </w:tcPr>
          <w:p w14:paraId="3D7FFAA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3733A18E">
        <w:tblPrEx>
          <w:tblCellMar>
            <w:top w:w="0" w:type="dxa"/>
            <w:left w:w="108" w:type="dxa"/>
            <w:bottom w:w="0" w:type="dxa"/>
            <w:right w:w="108" w:type="dxa"/>
          </w:tblCellMar>
        </w:tblPrEx>
        <w:trPr>
          <w:trHeight w:val="450" w:hRule="atLeast"/>
          <w:jc w:val="center"/>
        </w:trPr>
        <w:tc>
          <w:tcPr>
            <w:tcW w:w="4727" w:type="dxa"/>
            <w:gridSpan w:val="2"/>
            <w:tcBorders>
              <w:top w:val="single" w:color="auto" w:sz="8" w:space="0"/>
              <w:left w:val="single" w:color="auto" w:sz="8" w:space="0"/>
              <w:bottom w:val="single" w:color="auto" w:sz="8" w:space="0"/>
              <w:right w:val="single" w:color="auto" w:sz="8" w:space="0"/>
            </w:tcBorders>
            <w:shd w:val="clear" w:color="auto" w:fill="auto"/>
            <w:vAlign w:val="center"/>
          </w:tcPr>
          <w:p w14:paraId="44EE879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single" w:color="auto" w:sz="8" w:space="0"/>
              <w:left w:val="single" w:color="auto" w:sz="8" w:space="0"/>
              <w:bottom w:val="single" w:color="auto" w:sz="8" w:space="0"/>
              <w:right w:val="single" w:color="auto" w:sz="8" w:space="0"/>
            </w:tcBorders>
            <w:shd w:val="clear" w:color="auto" w:fill="auto"/>
            <w:vAlign w:val="center"/>
          </w:tcPr>
          <w:p w14:paraId="3540456D">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4,677.48</w:t>
            </w:r>
          </w:p>
        </w:tc>
        <w:tc>
          <w:tcPr>
            <w:tcW w:w="3492" w:type="dxa"/>
            <w:tcBorders>
              <w:top w:val="single" w:color="auto" w:sz="8" w:space="0"/>
              <w:left w:val="single" w:color="auto" w:sz="8" w:space="0"/>
              <w:bottom w:val="single" w:color="auto" w:sz="8" w:space="0"/>
              <w:right w:val="single" w:color="auto" w:sz="8" w:space="0"/>
            </w:tcBorders>
            <w:shd w:val="clear" w:color="auto" w:fill="auto"/>
            <w:vAlign w:val="center"/>
          </w:tcPr>
          <w:p w14:paraId="47EAB970">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4,595.37</w:t>
            </w:r>
          </w:p>
        </w:tc>
        <w:tc>
          <w:tcPr>
            <w:tcW w:w="3000" w:type="dxa"/>
            <w:tcBorders>
              <w:top w:val="single" w:color="auto" w:sz="8" w:space="0"/>
              <w:left w:val="single" w:color="auto" w:sz="8" w:space="0"/>
              <w:bottom w:val="single" w:color="auto" w:sz="8" w:space="0"/>
              <w:right w:val="single" w:color="auto" w:sz="8" w:space="0"/>
            </w:tcBorders>
            <w:shd w:val="clear" w:color="auto" w:fill="auto"/>
            <w:vAlign w:val="center"/>
          </w:tcPr>
          <w:p w14:paraId="09EE1A1C">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82.11</w:t>
            </w:r>
          </w:p>
        </w:tc>
      </w:tr>
      <w:tr w14:paraId="03F21284">
        <w:tblPrEx>
          <w:tblCellMar>
            <w:top w:w="0" w:type="dxa"/>
            <w:left w:w="108" w:type="dxa"/>
            <w:bottom w:w="0" w:type="dxa"/>
            <w:right w:w="108" w:type="dxa"/>
          </w:tblCellMar>
        </w:tblPrEx>
        <w:trPr>
          <w:trHeight w:val="450" w:hRule="atLeast"/>
          <w:jc w:val="center"/>
        </w:trPr>
        <w:tc>
          <w:tcPr>
            <w:tcW w:w="1200" w:type="dxa"/>
            <w:tcBorders>
              <w:top w:val="single" w:color="auto" w:sz="8" w:space="0"/>
              <w:left w:val="single" w:color="auto" w:sz="8" w:space="0"/>
              <w:bottom w:val="single" w:color="auto" w:sz="8" w:space="0"/>
              <w:right w:val="single" w:color="auto" w:sz="8" w:space="0"/>
            </w:tcBorders>
            <w:shd w:val="clear" w:color="auto" w:fill="auto"/>
            <w:vAlign w:val="center"/>
          </w:tcPr>
          <w:p w14:paraId="2167E50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2050201</w:t>
            </w:r>
          </w:p>
        </w:tc>
        <w:tc>
          <w:tcPr>
            <w:tcW w:w="3527" w:type="dxa"/>
            <w:tcBorders>
              <w:top w:val="single" w:color="auto" w:sz="8" w:space="0"/>
              <w:left w:val="single" w:color="auto" w:sz="8" w:space="0"/>
              <w:bottom w:val="single" w:color="auto" w:sz="8" w:space="0"/>
              <w:right w:val="single" w:color="auto" w:sz="8" w:space="0"/>
            </w:tcBorders>
            <w:shd w:val="clear" w:color="auto" w:fill="auto"/>
            <w:vAlign w:val="center"/>
          </w:tcPr>
          <w:p w14:paraId="7735A8C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学前教育</w:t>
            </w:r>
          </w:p>
        </w:tc>
        <w:tc>
          <w:tcPr>
            <w:tcW w:w="3000" w:type="dxa"/>
            <w:tcBorders>
              <w:top w:val="single" w:color="auto" w:sz="8" w:space="0"/>
              <w:left w:val="single" w:color="auto" w:sz="8" w:space="0"/>
              <w:bottom w:val="single" w:color="auto" w:sz="8" w:space="0"/>
              <w:right w:val="single" w:color="auto" w:sz="8" w:space="0"/>
            </w:tcBorders>
            <w:shd w:val="clear" w:color="auto" w:fill="auto"/>
            <w:vAlign w:val="center"/>
          </w:tcPr>
          <w:p w14:paraId="68DC4293">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105.52</w:t>
            </w:r>
          </w:p>
        </w:tc>
        <w:tc>
          <w:tcPr>
            <w:tcW w:w="3492" w:type="dxa"/>
            <w:tcBorders>
              <w:top w:val="single" w:color="auto" w:sz="8" w:space="0"/>
              <w:left w:val="single" w:color="auto" w:sz="8" w:space="0"/>
              <w:bottom w:val="single" w:color="auto" w:sz="8" w:space="0"/>
              <w:right w:val="single" w:color="auto" w:sz="8" w:space="0"/>
            </w:tcBorders>
            <w:shd w:val="clear" w:color="auto" w:fill="auto"/>
            <w:vAlign w:val="center"/>
          </w:tcPr>
          <w:p w14:paraId="71FF2CF2">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105.52</w:t>
            </w:r>
          </w:p>
        </w:tc>
        <w:tc>
          <w:tcPr>
            <w:tcW w:w="3000" w:type="dxa"/>
            <w:tcBorders>
              <w:top w:val="single" w:color="auto" w:sz="8" w:space="0"/>
              <w:left w:val="single" w:color="auto" w:sz="8" w:space="0"/>
              <w:bottom w:val="single" w:color="auto" w:sz="8" w:space="0"/>
              <w:right w:val="single" w:color="auto" w:sz="8" w:space="0"/>
            </w:tcBorders>
            <w:shd w:val="clear" w:color="auto" w:fill="auto"/>
            <w:vAlign w:val="center"/>
          </w:tcPr>
          <w:p w14:paraId="56DA6E3C">
            <w:pPr>
              <w:jc w:val="center"/>
              <w:rPr>
                <w:rFonts w:ascii="Times New Roman" w:hAnsi="Times New Roman" w:eastAsia="仿宋_GB2312" w:cs="Times New Roman"/>
                <w:kern w:val="0"/>
                <w:szCs w:val="21"/>
              </w:rPr>
            </w:pPr>
          </w:p>
        </w:tc>
      </w:tr>
      <w:tr w14:paraId="5AC77ED9">
        <w:tblPrEx>
          <w:tblCellMar>
            <w:top w:w="0" w:type="dxa"/>
            <w:left w:w="108" w:type="dxa"/>
            <w:bottom w:w="0" w:type="dxa"/>
            <w:right w:w="108" w:type="dxa"/>
          </w:tblCellMar>
        </w:tblPrEx>
        <w:trPr>
          <w:trHeight w:val="450" w:hRule="atLeast"/>
          <w:jc w:val="center"/>
        </w:trPr>
        <w:tc>
          <w:tcPr>
            <w:tcW w:w="1200" w:type="dxa"/>
            <w:tcBorders>
              <w:top w:val="single" w:color="auto" w:sz="8" w:space="0"/>
              <w:left w:val="single" w:color="auto" w:sz="8" w:space="0"/>
              <w:bottom w:val="single" w:color="auto" w:sz="8" w:space="0"/>
              <w:right w:val="single" w:color="auto" w:sz="8" w:space="0"/>
            </w:tcBorders>
            <w:shd w:val="clear" w:color="auto" w:fill="auto"/>
            <w:vAlign w:val="center"/>
          </w:tcPr>
          <w:p w14:paraId="4D69A5C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2050202</w:t>
            </w:r>
          </w:p>
        </w:tc>
        <w:tc>
          <w:tcPr>
            <w:tcW w:w="3527" w:type="dxa"/>
            <w:tcBorders>
              <w:top w:val="single" w:color="auto" w:sz="8" w:space="0"/>
              <w:left w:val="single" w:color="auto" w:sz="8" w:space="0"/>
              <w:bottom w:val="single" w:color="auto" w:sz="8" w:space="0"/>
              <w:right w:val="single" w:color="auto" w:sz="8" w:space="0"/>
            </w:tcBorders>
            <w:shd w:val="clear" w:color="auto" w:fill="auto"/>
            <w:vAlign w:val="center"/>
          </w:tcPr>
          <w:p w14:paraId="0758764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小学教育</w:t>
            </w:r>
          </w:p>
        </w:tc>
        <w:tc>
          <w:tcPr>
            <w:tcW w:w="3000" w:type="dxa"/>
            <w:tcBorders>
              <w:top w:val="single" w:color="auto" w:sz="8" w:space="0"/>
              <w:left w:val="single" w:color="auto" w:sz="8" w:space="0"/>
              <w:bottom w:val="single" w:color="auto" w:sz="8" w:space="0"/>
              <w:right w:val="single" w:color="auto" w:sz="8" w:space="0"/>
            </w:tcBorders>
            <w:shd w:val="clear" w:color="auto" w:fill="auto"/>
            <w:vAlign w:val="center"/>
          </w:tcPr>
          <w:p w14:paraId="388995D6">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591.00</w:t>
            </w:r>
          </w:p>
        </w:tc>
        <w:tc>
          <w:tcPr>
            <w:tcW w:w="3492" w:type="dxa"/>
            <w:tcBorders>
              <w:top w:val="single" w:color="auto" w:sz="8" w:space="0"/>
              <w:left w:val="single" w:color="auto" w:sz="8" w:space="0"/>
              <w:bottom w:val="single" w:color="auto" w:sz="8" w:space="0"/>
              <w:right w:val="single" w:color="auto" w:sz="8" w:space="0"/>
            </w:tcBorders>
            <w:shd w:val="clear" w:color="auto" w:fill="auto"/>
            <w:vAlign w:val="center"/>
          </w:tcPr>
          <w:p w14:paraId="05918ED8">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591.00</w:t>
            </w:r>
          </w:p>
        </w:tc>
        <w:tc>
          <w:tcPr>
            <w:tcW w:w="3000" w:type="dxa"/>
            <w:tcBorders>
              <w:top w:val="single" w:color="auto" w:sz="8" w:space="0"/>
              <w:left w:val="single" w:color="auto" w:sz="8" w:space="0"/>
              <w:bottom w:val="single" w:color="auto" w:sz="8" w:space="0"/>
              <w:right w:val="single" w:color="auto" w:sz="8" w:space="0"/>
            </w:tcBorders>
            <w:shd w:val="clear" w:color="auto" w:fill="auto"/>
            <w:vAlign w:val="center"/>
          </w:tcPr>
          <w:p w14:paraId="450A7A5A">
            <w:pPr>
              <w:jc w:val="center"/>
              <w:rPr>
                <w:rFonts w:ascii="Times New Roman" w:hAnsi="Times New Roman" w:eastAsia="仿宋_GB2312" w:cs="Times New Roman"/>
                <w:kern w:val="0"/>
                <w:szCs w:val="21"/>
              </w:rPr>
            </w:pPr>
          </w:p>
        </w:tc>
      </w:tr>
      <w:tr w14:paraId="1766939A">
        <w:tblPrEx>
          <w:tblCellMar>
            <w:top w:w="0" w:type="dxa"/>
            <w:left w:w="108" w:type="dxa"/>
            <w:bottom w:w="0" w:type="dxa"/>
            <w:right w:w="108" w:type="dxa"/>
          </w:tblCellMar>
        </w:tblPrEx>
        <w:trPr>
          <w:trHeight w:val="450" w:hRule="atLeast"/>
          <w:jc w:val="center"/>
        </w:trPr>
        <w:tc>
          <w:tcPr>
            <w:tcW w:w="1200" w:type="dxa"/>
            <w:tcBorders>
              <w:top w:val="single" w:color="auto" w:sz="8" w:space="0"/>
              <w:left w:val="single" w:color="auto" w:sz="8" w:space="0"/>
              <w:bottom w:val="single" w:color="auto" w:sz="8" w:space="0"/>
              <w:right w:val="single" w:color="auto" w:sz="8" w:space="0"/>
            </w:tcBorders>
            <w:shd w:val="clear" w:color="auto" w:fill="auto"/>
            <w:vAlign w:val="center"/>
          </w:tcPr>
          <w:p w14:paraId="2DAF634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2050203</w:t>
            </w:r>
          </w:p>
        </w:tc>
        <w:tc>
          <w:tcPr>
            <w:tcW w:w="3527" w:type="dxa"/>
            <w:tcBorders>
              <w:top w:val="single" w:color="auto" w:sz="8" w:space="0"/>
              <w:left w:val="single" w:color="auto" w:sz="8" w:space="0"/>
              <w:bottom w:val="single" w:color="auto" w:sz="8" w:space="0"/>
              <w:right w:val="single" w:color="auto" w:sz="8" w:space="0"/>
            </w:tcBorders>
            <w:shd w:val="clear" w:color="auto" w:fill="auto"/>
            <w:vAlign w:val="center"/>
          </w:tcPr>
          <w:p w14:paraId="436C1D8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初中教育</w:t>
            </w:r>
          </w:p>
        </w:tc>
        <w:tc>
          <w:tcPr>
            <w:tcW w:w="3000" w:type="dxa"/>
            <w:tcBorders>
              <w:top w:val="single" w:color="auto" w:sz="8" w:space="0"/>
              <w:left w:val="single" w:color="auto" w:sz="8" w:space="0"/>
              <w:bottom w:val="single" w:color="auto" w:sz="8" w:space="0"/>
              <w:right w:val="single" w:color="auto" w:sz="8" w:space="0"/>
            </w:tcBorders>
            <w:shd w:val="clear" w:color="auto" w:fill="auto"/>
            <w:vAlign w:val="center"/>
          </w:tcPr>
          <w:p w14:paraId="1655E5C7">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681.37</w:t>
            </w:r>
          </w:p>
        </w:tc>
        <w:tc>
          <w:tcPr>
            <w:tcW w:w="3492" w:type="dxa"/>
            <w:tcBorders>
              <w:top w:val="single" w:color="auto" w:sz="8" w:space="0"/>
              <w:left w:val="single" w:color="auto" w:sz="8" w:space="0"/>
              <w:bottom w:val="single" w:color="auto" w:sz="8" w:space="0"/>
              <w:right w:val="single" w:color="auto" w:sz="8" w:space="0"/>
            </w:tcBorders>
            <w:shd w:val="clear" w:color="auto" w:fill="auto"/>
            <w:vAlign w:val="center"/>
          </w:tcPr>
          <w:p w14:paraId="406F4D82">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681.37</w:t>
            </w:r>
          </w:p>
        </w:tc>
        <w:tc>
          <w:tcPr>
            <w:tcW w:w="3000" w:type="dxa"/>
            <w:tcBorders>
              <w:top w:val="single" w:color="auto" w:sz="8" w:space="0"/>
              <w:left w:val="single" w:color="auto" w:sz="8" w:space="0"/>
              <w:bottom w:val="single" w:color="auto" w:sz="8" w:space="0"/>
              <w:right w:val="single" w:color="auto" w:sz="8" w:space="0"/>
            </w:tcBorders>
            <w:shd w:val="clear" w:color="auto" w:fill="auto"/>
            <w:vAlign w:val="center"/>
          </w:tcPr>
          <w:p w14:paraId="4793A3D7">
            <w:pPr>
              <w:jc w:val="center"/>
              <w:rPr>
                <w:rFonts w:ascii="Times New Roman" w:hAnsi="Times New Roman" w:eastAsia="仿宋_GB2312" w:cs="Times New Roman"/>
                <w:kern w:val="0"/>
                <w:szCs w:val="21"/>
              </w:rPr>
            </w:pPr>
          </w:p>
        </w:tc>
      </w:tr>
      <w:tr w14:paraId="365A0978">
        <w:tblPrEx>
          <w:tblCellMar>
            <w:top w:w="0" w:type="dxa"/>
            <w:left w:w="108" w:type="dxa"/>
            <w:bottom w:w="0" w:type="dxa"/>
            <w:right w:w="108" w:type="dxa"/>
          </w:tblCellMar>
        </w:tblPrEx>
        <w:trPr>
          <w:trHeight w:val="450" w:hRule="atLeast"/>
          <w:jc w:val="center"/>
        </w:trPr>
        <w:tc>
          <w:tcPr>
            <w:tcW w:w="1200" w:type="dxa"/>
            <w:tcBorders>
              <w:top w:val="single" w:color="auto" w:sz="8" w:space="0"/>
              <w:left w:val="single" w:color="auto" w:sz="8" w:space="0"/>
              <w:bottom w:val="single" w:color="auto" w:sz="8" w:space="0"/>
              <w:right w:val="single" w:color="auto" w:sz="8" w:space="0"/>
            </w:tcBorders>
            <w:shd w:val="clear" w:color="auto" w:fill="auto"/>
            <w:vAlign w:val="center"/>
          </w:tcPr>
          <w:p w14:paraId="767FF16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2050299</w:t>
            </w:r>
          </w:p>
        </w:tc>
        <w:tc>
          <w:tcPr>
            <w:tcW w:w="3527" w:type="dxa"/>
            <w:tcBorders>
              <w:top w:val="single" w:color="auto" w:sz="8" w:space="0"/>
              <w:left w:val="single" w:color="auto" w:sz="8" w:space="0"/>
              <w:bottom w:val="single" w:color="auto" w:sz="8" w:space="0"/>
              <w:right w:val="single" w:color="auto" w:sz="8" w:space="0"/>
            </w:tcBorders>
            <w:shd w:val="clear" w:color="auto" w:fill="auto"/>
            <w:vAlign w:val="center"/>
          </w:tcPr>
          <w:p w14:paraId="2675599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其他普通教育支出</w:t>
            </w:r>
          </w:p>
        </w:tc>
        <w:tc>
          <w:tcPr>
            <w:tcW w:w="3000" w:type="dxa"/>
            <w:tcBorders>
              <w:top w:val="single" w:color="auto" w:sz="8" w:space="0"/>
              <w:left w:val="single" w:color="auto" w:sz="8" w:space="0"/>
              <w:bottom w:val="single" w:color="auto" w:sz="8" w:space="0"/>
              <w:right w:val="single" w:color="auto" w:sz="8" w:space="0"/>
            </w:tcBorders>
            <w:shd w:val="clear" w:color="auto" w:fill="auto"/>
            <w:vAlign w:val="center"/>
          </w:tcPr>
          <w:p w14:paraId="1CDA4A9A">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3,259.98</w:t>
            </w:r>
          </w:p>
        </w:tc>
        <w:tc>
          <w:tcPr>
            <w:tcW w:w="3492" w:type="dxa"/>
            <w:tcBorders>
              <w:top w:val="single" w:color="auto" w:sz="8" w:space="0"/>
              <w:left w:val="single" w:color="auto" w:sz="8" w:space="0"/>
              <w:bottom w:val="single" w:color="auto" w:sz="8" w:space="0"/>
              <w:right w:val="single" w:color="auto" w:sz="8" w:space="0"/>
            </w:tcBorders>
            <w:shd w:val="clear" w:color="auto" w:fill="auto"/>
            <w:vAlign w:val="center"/>
          </w:tcPr>
          <w:p w14:paraId="6A4567AA">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3,215.91</w:t>
            </w:r>
          </w:p>
        </w:tc>
        <w:tc>
          <w:tcPr>
            <w:tcW w:w="3000" w:type="dxa"/>
            <w:tcBorders>
              <w:top w:val="single" w:color="auto" w:sz="8" w:space="0"/>
              <w:left w:val="single" w:color="auto" w:sz="8" w:space="0"/>
              <w:bottom w:val="single" w:color="auto" w:sz="8" w:space="0"/>
              <w:right w:val="single" w:color="auto" w:sz="8" w:space="0"/>
            </w:tcBorders>
            <w:shd w:val="clear" w:color="auto" w:fill="auto"/>
            <w:vAlign w:val="center"/>
          </w:tcPr>
          <w:p w14:paraId="5DD9F217">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44.07</w:t>
            </w:r>
          </w:p>
        </w:tc>
      </w:tr>
      <w:tr w14:paraId="5889CB20">
        <w:tblPrEx>
          <w:tblCellMar>
            <w:top w:w="0" w:type="dxa"/>
            <w:left w:w="108" w:type="dxa"/>
            <w:bottom w:w="0" w:type="dxa"/>
            <w:right w:w="108" w:type="dxa"/>
          </w:tblCellMar>
        </w:tblPrEx>
        <w:trPr>
          <w:trHeight w:val="450" w:hRule="atLeast"/>
          <w:jc w:val="center"/>
        </w:trPr>
        <w:tc>
          <w:tcPr>
            <w:tcW w:w="1200" w:type="dxa"/>
            <w:tcBorders>
              <w:top w:val="single" w:color="auto" w:sz="8" w:space="0"/>
              <w:left w:val="single" w:color="auto" w:sz="8" w:space="0"/>
              <w:bottom w:val="single" w:color="auto" w:sz="8" w:space="0"/>
              <w:right w:val="single" w:color="auto" w:sz="8" w:space="0"/>
            </w:tcBorders>
            <w:shd w:val="clear" w:color="auto" w:fill="auto"/>
            <w:vAlign w:val="center"/>
          </w:tcPr>
          <w:p w14:paraId="3A0A1D2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2050999</w:t>
            </w:r>
          </w:p>
        </w:tc>
        <w:tc>
          <w:tcPr>
            <w:tcW w:w="3527" w:type="dxa"/>
            <w:tcBorders>
              <w:top w:val="single" w:color="auto" w:sz="8" w:space="0"/>
              <w:left w:val="single" w:color="auto" w:sz="8" w:space="0"/>
              <w:bottom w:val="single" w:color="auto" w:sz="8" w:space="0"/>
              <w:right w:val="single" w:color="auto" w:sz="8" w:space="0"/>
            </w:tcBorders>
            <w:shd w:val="clear" w:color="auto" w:fill="auto"/>
            <w:vAlign w:val="center"/>
          </w:tcPr>
          <w:p w14:paraId="0D565BF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3000" w:type="dxa"/>
            <w:tcBorders>
              <w:top w:val="single" w:color="auto" w:sz="8" w:space="0"/>
              <w:left w:val="single" w:color="auto" w:sz="8" w:space="0"/>
              <w:bottom w:val="single" w:color="auto" w:sz="8" w:space="0"/>
              <w:right w:val="single" w:color="auto" w:sz="8" w:space="0"/>
            </w:tcBorders>
            <w:shd w:val="clear" w:color="auto" w:fill="auto"/>
            <w:vAlign w:val="center"/>
          </w:tcPr>
          <w:p w14:paraId="0A890E19">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38.04</w:t>
            </w:r>
          </w:p>
        </w:tc>
        <w:tc>
          <w:tcPr>
            <w:tcW w:w="3492" w:type="dxa"/>
            <w:tcBorders>
              <w:top w:val="single" w:color="auto" w:sz="8" w:space="0"/>
              <w:left w:val="single" w:color="auto" w:sz="8" w:space="0"/>
              <w:bottom w:val="single" w:color="auto" w:sz="8" w:space="0"/>
              <w:right w:val="single" w:color="auto" w:sz="8" w:space="0"/>
            </w:tcBorders>
            <w:shd w:val="clear" w:color="auto" w:fill="auto"/>
            <w:vAlign w:val="center"/>
          </w:tcPr>
          <w:p w14:paraId="2AE28AF6">
            <w:pPr>
              <w:jc w:val="center"/>
              <w:rPr>
                <w:rFonts w:ascii="Times New Roman" w:hAnsi="Times New Roman" w:eastAsia="仿宋_GB2312" w:cs="Times New Roman"/>
                <w:kern w:val="0"/>
                <w:szCs w:val="21"/>
              </w:rPr>
            </w:pPr>
          </w:p>
        </w:tc>
        <w:tc>
          <w:tcPr>
            <w:tcW w:w="3000" w:type="dxa"/>
            <w:tcBorders>
              <w:top w:val="single" w:color="auto" w:sz="8" w:space="0"/>
              <w:left w:val="single" w:color="auto" w:sz="8" w:space="0"/>
              <w:bottom w:val="single" w:color="auto" w:sz="8" w:space="0"/>
              <w:right w:val="single" w:color="auto" w:sz="8" w:space="0"/>
            </w:tcBorders>
            <w:shd w:val="clear" w:color="auto" w:fill="auto"/>
            <w:vAlign w:val="center"/>
          </w:tcPr>
          <w:p w14:paraId="038DE6E2">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38.04</w:t>
            </w:r>
          </w:p>
        </w:tc>
      </w:tr>
      <w:tr w14:paraId="7DF45D16">
        <w:tblPrEx>
          <w:tblCellMar>
            <w:top w:w="0" w:type="dxa"/>
            <w:left w:w="108" w:type="dxa"/>
            <w:bottom w:w="0" w:type="dxa"/>
            <w:right w:w="108" w:type="dxa"/>
          </w:tblCellMar>
        </w:tblPrEx>
        <w:trPr>
          <w:trHeight w:val="450" w:hRule="atLeast"/>
          <w:jc w:val="center"/>
        </w:trPr>
        <w:tc>
          <w:tcPr>
            <w:tcW w:w="1200" w:type="dxa"/>
            <w:tcBorders>
              <w:top w:val="single" w:color="auto" w:sz="8" w:space="0"/>
              <w:left w:val="single" w:color="auto" w:sz="8" w:space="0"/>
              <w:bottom w:val="single" w:color="auto" w:sz="8" w:space="0"/>
              <w:right w:val="single" w:color="auto" w:sz="8" w:space="0"/>
            </w:tcBorders>
            <w:shd w:val="clear" w:color="auto" w:fill="auto"/>
            <w:vAlign w:val="center"/>
          </w:tcPr>
          <w:p w14:paraId="39117DE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2080116</w:t>
            </w:r>
          </w:p>
        </w:tc>
        <w:tc>
          <w:tcPr>
            <w:tcW w:w="3527" w:type="dxa"/>
            <w:tcBorders>
              <w:top w:val="single" w:color="auto" w:sz="8" w:space="0"/>
              <w:left w:val="single" w:color="auto" w:sz="8" w:space="0"/>
              <w:bottom w:val="single" w:color="auto" w:sz="8" w:space="0"/>
              <w:right w:val="single" w:color="auto" w:sz="8" w:space="0"/>
            </w:tcBorders>
            <w:shd w:val="clear" w:color="auto" w:fill="auto"/>
            <w:vAlign w:val="center"/>
          </w:tcPr>
          <w:p w14:paraId="126727E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引进人才费用</w:t>
            </w:r>
          </w:p>
        </w:tc>
        <w:tc>
          <w:tcPr>
            <w:tcW w:w="3000" w:type="dxa"/>
            <w:tcBorders>
              <w:top w:val="single" w:color="auto" w:sz="8" w:space="0"/>
              <w:left w:val="single" w:color="auto" w:sz="8" w:space="0"/>
              <w:bottom w:val="single" w:color="auto" w:sz="8" w:space="0"/>
              <w:right w:val="single" w:color="auto" w:sz="8" w:space="0"/>
            </w:tcBorders>
            <w:shd w:val="clear" w:color="auto" w:fill="auto"/>
            <w:vAlign w:val="center"/>
          </w:tcPr>
          <w:p w14:paraId="25ABF421">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1.56</w:t>
            </w:r>
          </w:p>
        </w:tc>
        <w:tc>
          <w:tcPr>
            <w:tcW w:w="3492" w:type="dxa"/>
            <w:tcBorders>
              <w:top w:val="single" w:color="auto" w:sz="8" w:space="0"/>
              <w:left w:val="single" w:color="auto" w:sz="8" w:space="0"/>
              <w:bottom w:val="single" w:color="auto" w:sz="8" w:space="0"/>
              <w:right w:val="single" w:color="auto" w:sz="8" w:space="0"/>
            </w:tcBorders>
            <w:shd w:val="clear" w:color="auto" w:fill="auto"/>
            <w:vAlign w:val="center"/>
          </w:tcPr>
          <w:p w14:paraId="61B62F54">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1.56</w:t>
            </w:r>
          </w:p>
        </w:tc>
        <w:tc>
          <w:tcPr>
            <w:tcW w:w="3000" w:type="dxa"/>
            <w:tcBorders>
              <w:top w:val="single" w:color="auto" w:sz="8" w:space="0"/>
              <w:left w:val="single" w:color="auto" w:sz="8" w:space="0"/>
              <w:bottom w:val="single" w:color="auto" w:sz="8" w:space="0"/>
              <w:right w:val="single" w:color="auto" w:sz="8" w:space="0"/>
            </w:tcBorders>
            <w:shd w:val="clear" w:color="auto" w:fill="auto"/>
            <w:vAlign w:val="center"/>
          </w:tcPr>
          <w:p w14:paraId="0D219110">
            <w:pPr>
              <w:jc w:val="center"/>
              <w:rPr>
                <w:rFonts w:ascii="Times New Roman" w:hAnsi="Times New Roman" w:eastAsia="仿宋_GB2312" w:cs="Times New Roman"/>
                <w:kern w:val="0"/>
                <w:szCs w:val="21"/>
              </w:rPr>
            </w:pPr>
          </w:p>
        </w:tc>
      </w:tr>
    </w:tbl>
    <w:p w14:paraId="700C69D2">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1EA01B35">
      <w:pPr>
        <w:widowControl/>
        <w:jc w:val="left"/>
        <w:rPr>
          <w:rFonts w:ascii="Times New Roman" w:hAnsi="Times New Roman" w:eastAsia="仿宋_GB2312" w:cs="Times New Roman"/>
          <w:bCs/>
          <w:kern w:val="0"/>
          <w:szCs w:val="21"/>
        </w:rPr>
      </w:pPr>
    </w:p>
    <w:p w14:paraId="25B9DA8B">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7405A318">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53179320">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14:paraId="45D971D6">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633"/>
        <w:gridCol w:w="1183"/>
        <w:gridCol w:w="1116"/>
        <w:gridCol w:w="2018"/>
        <w:gridCol w:w="933"/>
        <w:gridCol w:w="1217"/>
        <w:gridCol w:w="3517"/>
        <w:gridCol w:w="929"/>
      </w:tblGrid>
      <w:tr w14:paraId="7BF178C9">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4CC0578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633" w:type="dxa"/>
            <w:tcBorders>
              <w:top w:val="single" w:color="auto" w:sz="4" w:space="0"/>
              <w:left w:val="nil"/>
              <w:bottom w:val="single" w:color="auto" w:sz="4" w:space="0"/>
              <w:right w:val="single" w:color="auto" w:sz="4" w:space="0"/>
            </w:tcBorders>
            <w:shd w:val="clear" w:color="auto" w:fill="auto"/>
            <w:vAlign w:val="center"/>
          </w:tcPr>
          <w:p w14:paraId="704F26A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183" w:type="dxa"/>
            <w:tcBorders>
              <w:top w:val="single" w:color="auto" w:sz="4" w:space="0"/>
              <w:left w:val="nil"/>
              <w:bottom w:val="single" w:color="auto" w:sz="4" w:space="0"/>
              <w:right w:val="single" w:color="auto" w:sz="4" w:space="0"/>
            </w:tcBorders>
            <w:shd w:val="clear" w:color="auto" w:fill="auto"/>
            <w:vAlign w:val="center"/>
          </w:tcPr>
          <w:p w14:paraId="237CCE2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4AC9D8A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4A50A03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32A3B44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62AC595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76677D3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11B4BCC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27CBCC18">
        <w:tblPrEx>
          <w:tblCellMar>
            <w:top w:w="0" w:type="dxa"/>
            <w:left w:w="108" w:type="dxa"/>
            <w:bottom w:w="0" w:type="dxa"/>
            <w:right w:w="108" w:type="dxa"/>
          </w:tblCellMar>
        </w:tblPrEx>
        <w:trPr>
          <w:trHeight w:val="239"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8E92C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633" w:type="dxa"/>
            <w:tcBorders>
              <w:top w:val="nil"/>
              <w:left w:val="nil"/>
              <w:bottom w:val="single" w:color="auto" w:sz="4" w:space="0"/>
              <w:right w:val="single" w:color="auto" w:sz="4" w:space="0"/>
            </w:tcBorders>
            <w:shd w:val="clear" w:color="auto" w:fill="auto"/>
            <w:noWrap/>
            <w:vAlign w:val="center"/>
          </w:tcPr>
          <w:p w14:paraId="1CE5D2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1183" w:type="dxa"/>
            <w:tcBorders>
              <w:top w:val="nil"/>
              <w:left w:val="nil"/>
              <w:bottom w:val="single" w:color="auto" w:sz="4" w:space="0"/>
              <w:right w:val="single" w:color="auto" w:sz="4" w:space="0"/>
            </w:tcBorders>
            <w:shd w:val="clear" w:color="auto" w:fill="auto"/>
            <w:noWrap/>
            <w:vAlign w:val="center"/>
          </w:tcPr>
          <w:p w14:paraId="6889489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3,534.05 </w:t>
            </w:r>
          </w:p>
        </w:tc>
        <w:tc>
          <w:tcPr>
            <w:tcW w:w="1116" w:type="dxa"/>
            <w:tcBorders>
              <w:top w:val="nil"/>
              <w:left w:val="nil"/>
              <w:bottom w:val="single" w:color="auto" w:sz="4" w:space="0"/>
              <w:right w:val="single" w:color="auto" w:sz="4" w:space="0"/>
            </w:tcBorders>
            <w:shd w:val="clear" w:color="auto" w:fill="auto"/>
            <w:noWrap/>
            <w:vAlign w:val="center"/>
          </w:tcPr>
          <w:p w14:paraId="2A1C72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09E329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088E1038">
            <w:pPr>
              <w:keepNext w:val="0"/>
              <w:keepLines w:val="0"/>
              <w:widowControl/>
              <w:suppressLineNumbers w:val="0"/>
              <w:jc w:val="center"/>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869.60</w:t>
            </w:r>
          </w:p>
        </w:tc>
        <w:tc>
          <w:tcPr>
            <w:tcW w:w="1217" w:type="dxa"/>
            <w:tcBorders>
              <w:top w:val="nil"/>
              <w:left w:val="nil"/>
              <w:bottom w:val="single" w:color="auto" w:sz="4" w:space="0"/>
              <w:right w:val="single" w:color="auto" w:sz="4" w:space="0"/>
            </w:tcBorders>
            <w:shd w:val="clear" w:color="auto" w:fill="auto"/>
            <w:noWrap/>
            <w:vAlign w:val="center"/>
          </w:tcPr>
          <w:p w14:paraId="46CDDE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10B119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225BA9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9FEC6A6">
        <w:tblPrEx>
          <w:tblCellMar>
            <w:top w:w="0" w:type="dxa"/>
            <w:left w:w="108" w:type="dxa"/>
            <w:bottom w:w="0" w:type="dxa"/>
            <w:right w:w="108" w:type="dxa"/>
          </w:tblCellMar>
        </w:tblPrEx>
        <w:trPr>
          <w:trHeight w:val="23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F0F86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633" w:type="dxa"/>
            <w:tcBorders>
              <w:top w:val="nil"/>
              <w:left w:val="nil"/>
              <w:bottom w:val="single" w:color="auto" w:sz="4" w:space="0"/>
              <w:right w:val="single" w:color="auto" w:sz="4" w:space="0"/>
            </w:tcBorders>
            <w:shd w:val="clear" w:color="auto" w:fill="auto"/>
            <w:noWrap/>
            <w:vAlign w:val="center"/>
          </w:tcPr>
          <w:p w14:paraId="2F4E0D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1183" w:type="dxa"/>
            <w:tcBorders>
              <w:top w:val="nil"/>
              <w:left w:val="nil"/>
              <w:bottom w:val="single" w:color="auto" w:sz="4" w:space="0"/>
              <w:right w:val="single" w:color="auto" w:sz="4" w:space="0"/>
            </w:tcBorders>
            <w:shd w:val="clear" w:color="auto" w:fill="auto"/>
            <w:noWrap/>
            <w:vAlign w:val="center"/>
          </w:tcPr>
          <w:p w14:paraId="13B101A4">
            <w:pPr>
              <w:keepNext w:val="0"/>
              <w:keepLines w:val="0"/>
              <w:widowControl/>
              <w:suppressLineNumbers w:val="0"/>
              <w:jc w:val="right"/>
              <w:textAlignment w:val="center"/>
              <w:rPr>
                <w:rFonts w:hint="eastAsia"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1,621.74 </w:t>
            </w:r>
          </w:p>
        </w:tc>
        <w:tc>
          <w:tcPr>
            <w:tcW w:w="1116" w:type="dxa"/>
            <w:tcBorders>
              <w:top w:val="nil"/>
              <w:left w:val="nil"/>
              <w:bottom w:val="single" w:color="auto" w:sz="4" w:space="0"/>
              <w:right w:val="single" w:color="auto" w:sz="4" w:space="0"/>
            </w:tcBorders>
            <w:shd w:val="clear" w:color="auto" w:fill="auto"/>
            <w:noWrap/>
            <w:vAlign w:val="center"/>
          </w:tcPr>
          <w:p w14:paraId="6CD69D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5FAEBD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53ACD17F">
            <w:pPr>
              <w:keepNext w:val="0"/>
              <w:keepLines w:val="0"/>
              <w:widowControl/>
              <w:suppressLineNumbers w:val="0"/>
              <w:jc w:val="center"/>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152.65</w:t>
            </w:r>
          </w:p>
        </w:tc>
        <w:tc>
          <w:tcPr>
            <w:tcW w:w="1217" w:type="dxa"/>
            <w:tcBorders>
              <w:top w:val="nil"/>
              <w:left w:val="nil"/>
              <w:bottom w:val="single" w:color="auto" w:sz="4" w:space="0"/>
              <w:right w:val="single" w:color="auto" w:sz="4" w:space="0"/>
            </w:tcBorders>
            <w:shd w:val="clear" w:color="auto" w:fill="auto"/>
            <w:noWrap/>
            <w:vAlign w:val="center"/>
          </w:tcPr>
          <w:p w14:paraId="355DF8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2E4A64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261B27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6E5503B">
        <w:tblPrEx>
          <w:tblCellMar>
            <w:top w:w="0" w:type="dxa"/>
            <w:left w:w="108" w:type="dxa"/>
            <w:bottom w:w="0" w:type="dxa"/>
            <w:right w:w="108" w:type="dxa"/>
          </w:tblCellMar>
        </w:tblPrEx>
        <w:trPr>
          <w:trHeight w:val="251"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C5AD5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633" w:type="dxa"/>
            <w:tcBorders>
              <w:top w:val="nil"/>
              <w:left w:val="nil"/>
              <w:bottom w:val="single" w:color="auto" w:sz="4" w:space="0"/>
              <w:right w:val="single" w:color="auto" w:sz="4" w:space="0"/>
            </w:tcBorders>
            <w:shd w:val="clear" w:color="auto" w:fill="auto"/>
            <w:noWrap/>
            <w:vAlign w:val="center"/>
          </w:tcPr>
          <w:p w14:paraId="3BD448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1183" w:type="dxa"/>
            <w:tcBorders>
              <w:top w:val="nil"/>
              <w:left w:val="nil"/>
              <w:bottom w:val="single" w:color="auto" w:sz="4" w:space="0"/>
              <w:right w:val="single" w:color="auto" w:sz="4" w:space="0"/>
            </w:tcBorders>
            <w:shd w:val="clear" w:color="auto" w:fill="auto"/>
            <w:noWrap/>
            <w:vAlign w:val="center"/>
          </w:tcPr>
          <w:p w14:paraId="591C67EB">
            <w:pPr>
              <w:keepNext w:val="0"/>
              <w:keepLines w:val="0"/>
              <w:widowControl/>
              <w:suppressLineNumbers w:val="0"/>
              <w:jc w:val="right"/>
              <w:textAlignment w:val="center"/>
              <w:rPr>
                <w:rFonts w:hint="eastAsia"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128.22 </w:t>
            </w:r>
          </w:p>
        </w:tc>
        <w:tc>
          <w:tcPr>
            <w:tcW w:w="1116" w:type="dxa"/>
            <w:tcBorders>
              <w:top w:val="nil"/>
              <w:left w:val="nil"/>
              <w:bottom w:val="single" w:color="auto" w:sz="4" w:space="0"/>
              <w:right w:val="single" w:color="auto" w:sz="4" w:space="0"/>
            </w:tcBorders>
            <w:shd w:val="clear" w:color="auto" w:fill="auto"/>
            <w:noWrap/>
            <w:vAlign w:val="center"/>
          </w:tcPr>
          <w:p w14:paraId="1FE306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110938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1E6EA55A">
            <w:pPr>
              <w:keepNext w:val="0"/>
              <w:keepLines w:val="0"/>
              <w:widowControl/>
              <w:suppressLineNumbers w:val="0"/>
              <w:jc w:val="center"/>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120.85</w:t>
            </w:r>
          </w:p>
        </w:tc>
        <w:tc>
          <w:tcPr>
            <w:tcW w:w="1217" w:type="dxa"/>
            <w:tcBorders>
              <w:top w:val="nil"/>
              <w:left w:val="nil"/>
              <w:bottom w:val="single" w:color="auto" w:sz="4" w:space="0"/>
              <w:right w:val="single" w:color="auto" w:sz="4" w:space="0"/>
            </w:tcBorders>
            <w:shd w:val="clear" w:color="auto" w:fill="auto"/>
            <w:noWrap/>
            <w:vAlign w:val="center"/>
          </w:tcPr>
          <w:p w14:paraId="3C24A1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64A683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644D8C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08E8B5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C824F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633" w:type="dxa"/>
            <w:tcBorders>
              <w:top w:val="nil"/>
              <w:left w:val="nil"/>
              <w:bottom w:val="single" w:color="auto" w:sz="4" w:space="0"/>
              <w:right w:val="single" w:color="auto" w:sz="4" w:space="0"/>
            </w:tcBorders>
            <w:shd w:val="clear" w:color="auto" w:fill="auto"/>
            <w:noWrap/>
            <w:vAlign w:val="center"/>
          </w:tcPr>
          <w:p w14:paraId="1C6B49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1183" w:type="dxa"/>
            <w:tcBorders>
              <w:top w:val="nil"/>
              <w:left w:val="nil"/>
              <w:bottom w:val="single" w:color="auto" w:sz="4" w:space="0"/>
              <w:right w:val="single" w:color="auto" w:sz="4" w:space="0"/>
            </w:tcBorders>
            <w:shd w:val="clear" w:color="auto" w:fill="auto"/>
            <w:noWrap/>
            <w:vAlign w:val="center"/>
          </w:tcPr>
          <w:p w14:paraId="4982D2A1">
            <w:pPr>
              <w:keepNext w:val="0"/>
              <w:keepLines w:val="0"/>
              <w:widowControl/>
              <w:suppressLineNumbers w:val="0"/>
              <w:jc w:val="right"/>
              <w:textAlignment w:val="center"/>
              <w:rPr>
                <w:rFonts w:hint="eastAsia"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83.96 </w:t>
            </w:r>
          </w:p>
        </w:tc>
        <w:tc>
          <w:tcPr>
            <w:tcW w:w="1116" w:type="dxa"/>
            <w:tcBorders>
              <w:top w:val="nil"/>
              <w:left w:val="nil"/>
              <w:bottom w:val="single" w:color="auto" w:sz="4" w:space="0"/>
              <w:right w:val="single" w:color="auto" w:sz="4" w:space="0"/>
            </w:tcBorders>
            <w:shd w:val="clear" w:color="auto" w:fill="auto"/>
            <w:noWrap/>
            <w:vAlign w:val="center"/>
          </w:tcPr>
          <w:p w14:paraId="7A92C4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1CD6F4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439E79C6">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76CAE9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3F471B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12105C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63FB84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CB28D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633" w:type="dxa"/>
            <w:tcBorders>
              <w:top w:val="nil"/>
              <w:left w:val="nil"/>
              <w:bottom w:val="single" w:color="auto" w:sz="4" w:space="0"/>
              <w:right w:val="single" w:color="auto" w:sz="4" w:space="0"/>
            </w:tcBorders>
            <w:shd w:val="clear" w:color="auto" w:fill="auto"/>
            <w:noWrap/>
            <w:vAlign w:val="center"/>
          </w:tcPr>
          <w:p w14:paraId="022143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1183" w:type="dxa"/>
            <w:tcBorders>
              <w:top w:val="nil"/>
              <w:left w:val="nil"/>
              <w:bottom w:val="single" w:color="auto" w:sz="4" w:space="0"/>
              <w:right w:val="single" w:color="auto" w:sz="4" w:space="0"/>
            </w:tcBorders>
            <w:shd w:val="clear" w:color="auto" w:fill="auto"/>
            <w:noWrap/>
            <w:vAlign w:val="center"/>
          </w:tcPr>
          <w:p w14:paraId="6E120722">
            <w:pPr>
              <w:keepNext w:val="0"/>
              <w:keepLines w:val="0"/>
              <w:widowControl/>
              <w:suppressLineNumbers w:val="0"/>
              <w:jc w:val="right"/>
              <w:textAlignment w:val="center"/>
              <w:rPr>
                <w:rFonts w:hint="eastAsia"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2.40 </w:t>
            </w:r>
          </w:p>
        </w:tc>
        <w:tc>
          <w:tcPr>
            <w:tcW w:w="1116" w:type="dxa"/>
            <w:tcBorders>
              <w:top w:val="nil"/>
              <w:left w:val="nil"/>
              <w:bottom w:val="single" w:color="auto" w:sz="4" w:space="0"/>
              <w:right w:val="single" w:color="auto" w:sz="4" w:space="0"/>
            </w:tcBorders>
            <w:shd w:val="clear" w:color="auto" w:fill="auto"/>
            <w:noWrap/>
            <w:vAlign w:val="center"/>
          </w:tcPr>
          <w:p w14:paraId="655A89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6AF2F9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4E9A057C">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25.69</w:t>
            </w:r>
          </w:p>
        </w:tc>
        <w:tc>
          <w:tcPr>
            <w:tcW w:w="1217" w:type="dxa"/>
            <w:tcBorders>
              <w:top w:val="nil"/>
              <w:left w:val="nil"/>
              <w:bottom w:val="single" w:color="auto" w:sz="4" w:space="0"/>
              <w:right w:val="single" w:color="auto" w:sz="4" w:space="0"/>
            </w:tcBorders>
            <w:shd w:val="clear" w:color="auto" w:fill="auto"/>
            <w:noWrap/>
            <w:vAlign w:val="center"/>
          </w:tcPr>
          <w:p w14:paraId="1AFBCF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2A58AD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6EEE0D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7E42DCA">
        <w:tblPrEx>
          <w:tblCellMar>
            <w:top w:w="0" w:type="dxa"/>
            <w:left w:w="108" w:type="dxa"/>
            <w:bottom w:w="0" w:type="dxa"/>
            <w:right w:w="108" w:type="dxa"/>
          </w:tblCellMar>
        </w:tblPrEx>
        <w:trPr>
          <w:trHeight w:val="282"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00515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633" w:type="dxa"/>
            <w:tcBorders>
              <w:top w:val="nil"/>
              <w:left w:val="nil"/>
              <w:bottom w:val="single" w:color="auto" w:sz="4" w:space="0"/>
              <w:right w:val="single" w:color="auto" w:sz="4" w:space="0"/>
            </w:tcBorders>
            <w:shd w:val="clear" w:color="auto" w:fill="auto"/>
            <w:noWrap/>
            <w:vAlign w:val="center"/>
          </w:tcPr>
          <w:p w14:paraId="0AC86E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1183" w:type="dxa"/>
            <w:tcBorders>
              <w:top w:val="nil"/>
              <w:left w:val="nil"/>
              <w:bottom w:val="single" w:color="auto" w:sz="4" w:space="0"/>
              <w:right w:val="single" w:color="auto" w:sz="4" w:space="0"/>
            </w:tcBorders>
            <w:shd w:val="clear" w:color="auto" w:fill="auto"/>
            <w:noWrap/>
            <w:vAlign w:val="center"/>
          </w:tcPr>
          <w:p w14:paraId="5EFCCB49">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625.66 </w:t>
            </w:r>
          </w:p>
        </w:tc>
        <w:tc>
          <w:tcPr>
            <w:tcW w:w="1116" w:type="dxa"/>
            <w:tcBorders>
              <w:top w:val="nil"/>
              <w:left w:val="nil"/>
              <w:bottom w:val="single" w:color="auto" w:sz="4" w:space="0"/>
              <w:right w:val="single" w:color="auto" w:sz="4" w:space="0"/>
            </w:tcBorders>
            <w:shd w:val="clear" w:color="auto" w:fill="auto"/>
            <w:noWrap/>
            <w:vAlign w:val="center"/>
          </w:tcPr>
          <w:p w14:paraId="1A35AF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6CC0FF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75B950D4">
            <w:pPr>
              <w:keepNext w:val="0"/>
              <w:keepLines w:val="0"/>
              <w:widowControl/>
              <w:suppressLineNumbers w:val="0"/>
              <w:jc w:val="center"/>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53.01</w:t>
            </w:r>
          </w:p>
        </w:tc>
        <w:tc>
          <w:tcPr>
            <w:tcW w:w="1217" w:type="dxa"/>
            <w:tcBorders>
              <w:top w:val="nil"/>
              <w:left w:val="nil"/>
              <w:bottom w:val="single" w:color="auto" w:sz="4" w:space="0"/>
              <w:right w:val="single" w:color="auto" w:sz="4" w:space="0"/>
            </w:tcBorders>
            <w:shd w:val="clear" w:color="auto" w:fill="auto"/>
            <w:noWrap/>
            <w:vAlign w:val="center"/>
          </w:tcPr>
          <w:p w14:paraId="1E55D6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14BED5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399287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84C234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89EFB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633" w:type="dxa"/>
            <w:tcBorders>
              <w:top w:val="nil"/>
              <w:left w:val="nil"/>
              <w:bottom w:val="single" w:color="auto" w:sz="4" w:space="0"/>
              <w:right w:val="single" w:color="auto" w:sz="4" w:space="0"/>
            </w:tcBorders>
            <w:shd w:val="clear" w:color="auto" w:fill="auto"/>
            <w:noWrap/>
            <w:vAlign w:val="center"/>
          </w:tcPr>
          <w:p w14:paraId="0FD5B8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1183" w:type="dxa"/>
            <w:tcBorders>
              <w:top w:val="nil"/>
              <w:left w:val="nil"/>
              <w:bottom w:val="single" w:color="auto" w:sz="4" w:space="0"/>
              <w:right w:val="single" w:color="auto" w:sz="4" w:space="0"/>
            </w:tcBorders>
            <w:shd w:val="clear" w:color="auto" w:fill="auto"/>
            <w:noWrap/>
            <w:vAlign w:val="center"/>
          </w:tcPr>
          <w:p w14:paraId="21226E49">
            <w:pPr>
              <w:keepNext w:val="0"/>
              <w:keepLines w:val="0"/>
              <w:widowControl/>
              <w:suppressLineNumbers w:val="0"/>
              <w:jc w:val="right"/>
              <w:textAlignment w:val="center"/>
              <w:rPr>
                <w:rFonts w:hint="eastAsia"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357.57 </w:t>
            </w:r>
          </w:p>
        </w:tc>
        <w:tc>
          <w:tcPr>
            <w:tcW w:w="1116" w:type="dxa"/>
            <w:tcBorders>
              <w:top w:val="nil"/>
              <w:left w:val="nil"/>
              <w:bottom w:val="single" w:color="auto" w:sz="4" w:space="0"/>
              <w:right w:val="single" w:color="auto" w:sz="4" w:space="0"/>
            </w:tcBorders>
            <w:shd w:val="clear" w:color="auto" w:fill="auto"/>
            <w:noWrap/>
            <w:vAlign w:val="center"/>
          </w:tcPr>
          <w:p w14:paraId="015F25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0FACAF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73150628">
            <w:pPr>
              <w:keepNext w:val="0"/>
              <w:keepLines w:val="0"/>
              <w:widowControl/>
              <w:suppressLineNumbers w:val="0"/>
              <w:jc w:val="center"/>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7.51</w:t>
            </w:r>
          </w:p>
        </w:tc>
        <w:tc>
          <w:tcPr>
            <w:tcW w:w="1217" w:type="dxa"/>
            <w:tcBorders>
              <w:top w:val="nil"/>
              <w:left w:val="nil"/>
              <w:bottom w:val="single" w:color="auto" w:sz="4" w:space="0"/>
              <w:right w:val="single" w:color="auto" w:sz="4" w:space="0"/>
            </w:tcBorders>
            <w:shd w:val="clear" w:color="auto" w:fill="auto"/>
            <w:noWrap/>
            <w:vAlign w:val="center"/>
          </w:tcPr>
          <w:p w14:paraId="1113A2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7E4670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0E9746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344D9B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0C7B5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633" w:type="dxa"/>
            <w:tcBorders>
              <w:top w:val="nil"/>
              <w:left w:val="nil"/>
              <w:bottom w:val="single" w:color="auto" w:sz="4" w:space="0"/>
              <w:right w:val="single" w:color="auto" w:sz="4" w:space="0"/>
            </w:tcBorders>
            <w:shd w:val="clear" w:color="auto" w:fill="auto"/>
            <w:noWrap/>
            <w:vAlign w:val="center"/>
          </w:tcPr>
          <w:p w14:paraId="256E5C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1183" w:type="dxa"/>
            <w:tcBorders>
              <w:top w:val="nil"/>
              <w:left w:val="nil"/>
              <w:bottom w:val="single" w:color="auto" w:sz="4" w:space="0"/>
              <w:right w:val="single" w:color="auto" w:sz="4" w:space="0"/>
            </w:tcBorders>
            <w:shd w:val="clear" w:color="auto" w:fill="auto"/>
            <w:noWrap/>
            <w:vAlign w:val="center"/>
          </w:tcPr>
          <w:p w14:paraId="693E73F3">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89.39 </w:t>
            </w:r>
          </w:p>
        </w:tc>
        <w:tc>
          <w:tcPr>
            <w:tcW w:w="1116" w:type="dxa"/>
            <w:tcBorders>
              <w:top w:val="nil"/>
              <w:left w:val="nil"/>
              <w:bottom w:val="single" w:color="auto" w:sz="4" w:space="0"/>
              <w:right w:val="single" w:color="auto" w:sz="4" w:space="0"/>
            </w:tcBorders>
            <w:shd w:val="clear" w:color="auto" w:fill="auto"/>
            <w:noWrap/>
            <w:vAlign w:val="center"/>
          </w:tcPr>
          <w:p w14:paraId="715C96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09F001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43CD8E1B">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4D0235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49F2C0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6965AC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4CC56D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B3A77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633" w:type="dxa"/>
            <w:tcBorders>
              <w:top w:val="nil"/>
              <w:left w:val="nil"/>
              <w:bottom w:val="single" w:color="auto" w:sz="4" w:space="0"/>
              <w:right w:val="single" w:color="auto" w:sz="4" w:space="0"/>
            </w:tcBorders>
            <w:shd w:val="clear" w:color="auto" w:fill="auto"/>
            <w:noWrap/>
            <w:vAlign w:val="center"/>
          </w:tcPr>
          <w:p w14:paraId="1A1D1E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1183" w:type="dxa"/>
            <w:tcBorders>
              <w:top w:val="nil"/>
              <w:left w:val="nil"/>
              <w:bottom w:val="single" w:color="auto" w:sz="4" w:space="0"/>
              <w:right w:val="single" w:color="auto" w:sz="4" w:space="0"/>
            </w:tcBorders>
            <w:shd w:val="clear" w:color="auto" w:fill="auto"/>
            <w:noWrap/>
            <w:vAlign w:val="center"/>
          </w:tcPr>
          <w:p w14:paraId="3DA70FDC">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178.78 </w:t>
            </w:r>
          </w:p>
        </w:tc>
        <w:tc>
          <w:tcPr>
            <w:tcW w:w="1116" w:type="dxa"/>
            <w:tcBorders>
              <w:top w:val="nil"/>
              <w:left w:val="nil"/>
              <w:bottom w:val="single" w:color="auto" w:sz="4" w:space="0"/>
              <w:right w:val="single" w:color="auto" w:sz="4" w:space="0"/>
            </w:tcBorders>
            <w:shd w:val="clear" w:color="auto" w:fill="auto"/>
            <w:noWrap/>
            <w:vAlign w:val="center"/>
          </w:tcPr>
          <w:p w14:paraId="4C988D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22180A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1B38DD2C">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45.97</w:t>
            </w:r>
          </w:p>
        </w:tc>
        <w:tc>
          <w:tcPr>
            <w:tcW w:w="1217" w:type="dxa"/>
            <w:tcBorders>
              <w:top w:val="nil"/>
              <w:left w:val="nil"/>
              <w:bottom w:val="single" w:color="auto" w:sz="4" w:space="0"/>
              <w:right w:val="single" w:color="auto" w:sz="4" w:space="0"/>
            </w:tcBorders>
            <w:shd w:val="clear" w:color="auto" w:fill="auto"/>
            <w:noWrap/>
            <w:vAlign w:val="center"/>
          </w:tcPr>
          <w:p w14:paraId="208E37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70F714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3822D2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61B170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733C0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633" w:type="dxa"/>
            <w:tcBorders>
              <w:top w:val="nil"/>
              <w:left w:val="nil"/>
              <w:bottom w:val="single" w:color="auto" w:sz="4" w:space="0"/>
              <w:right w:val="single" w:color="auto" w:sz="4" w:space="0"/>
            </w:tcBorders>
            <w:shd w:val="clear" w:color="auto" w:fill="auto"/>
            <w:noWrap/>
            <w:vAlign w:val="center"/>
          </w:tcPr>
          <w:p w14:paraId="49AFFF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1183" w:type="dxa"/>
            <w:tcBorders>
              <w:top w:val="nil"/>
              <w:left w:val="nil"/>
              <w:bottom w:val="single" w:color="auto" w:sz="4" w:space="0"/>
              <w:right w:val="single" w:color="auto" w:sz="4" w:space="0"/>
            </w:tcBorders>
            <w:shd w:val="clear" w:color="auto" w:fill="auto"/>
            <w:noWrap/>
            <w:vAlign w:val="center"/>
          </w:tcPr>
          <w:p w14:paraId="0920BE79">
            <w:pPr>
              <w:jc w:val="right"/>
              <w:rPr>
                <w:rFonts w:hint="eastAsia"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415C4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0CE562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53C3A94A">
            <w:pPr>
              <w:keepNext w:val="0"/>
              <w:keepLines w:val="0"/>
              <w:widowControl/>
              <w:suppressLineNumbers w:val="0"/>
              <w:jc w:val="center"/>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10.63</w:t>
            </w:r>
          </w:p>
        </w:tc>
        <w:tc>
          <w:tcPr>
            <w:tcW w:w="1217" w:type="dxa"/>
            <w:tcBorders>
              <w:top w:val="nil"/>
              <w:left w:val="nil"/>
              <w:bottom w:val="single" w:color="auto" w:sz="4" w:space="0"/>
              <w:right w:val="single" w:color="auto" w:sz="4" w:space="0"/>
            </w:tcBorders>
            <w:shd w:val="clear" w:color="auto" w:fill="auto"/>
            <w:noWrap/>
            <w:vAlign w:val="center"/>
          </w:tcPr>
          <w:p w14:paraId="5DA6B3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1494F7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0F318A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AB2D2A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B355B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633" w:type="dxa"/>
            <w:tcBorders>
              <w:top w:val="nil"/>
              <w:left w:val="nil"/>
              <w:bottom w:val="single" w:color="auto" w:sz="4" w:space="0"/>
              <w:right w:val="single" w:color="auto" w:sz="4" w:space="0"/>
            </w:tcBorders>
            <w:shd w:val="clear" w:color="auto" w:fill="auto"/>
            <w:noWrap/>
            <w:vAlign w:val="center"/>
          </w:tcPr>
          <w:p w14:paraId="0B40D5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1183" w:type="dxa"/>
            <w:tcBorders>
              <w:top w:val="nil"/>
              <w:left w:val="nil"/>
              <w:bottom w:val="single" w:color="auto" w:sz="4" w:space="0"/>
              <w:right w:val="single" w:color="auto" w:sz="4" w:space="0"/>
            </w:tcBorders>
            <w:shd w:val="clear" w:color="auto" w:fill="auto"/>
            <w:noWrap/>
            <w:vAlign w:val="center"/>
          </w:tcPr>
          <w:p w14:paraId="58E35EE9">
            <w:pPr>
              <w:jc w:val="right"/>
              <w:rPr>
                <w:rFonts w:hint="eastAsia"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2555A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1B41FE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5B814024">
            <w:pPr>
              <w:keepNext w:val="0"/>
              <w:keepLines w:val="0"/>
              <w:widowControl/>
              <w:suppressLineNumbers w:val="0"/>
              <w:jc w:val="center"/>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2DA6CB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7FBCF7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284424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2E956C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30CF3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633" w:type="dxa"/>
            <w:tcBorders>
              <w:top w:val="nil"/>
              <w:left w:val="nil"/>
              <w:bottom w:val="single" w:color="auto" w:sz="4" w:space="0"/>
              <w:right w:val="single" w:color="auto" w:sz="4" w:space="0"/>
            </w:tcBorders>
            <w:shd w:val="clear" w:color="auto" w:fill="auto"/>
            <w:noWrap/>
            <w:vAlign w:val="center"/>
          </w:tcPr>
          <w:p w14:paraId="7214CA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1183" w:type="dxa"/>
            <w:tcBorders>
              <w:top w:val="nil"/>
              <w:left w:val="nil"/>
              <w:bottom w:val="single" w:color="auto" w:sz="4" w:space="0"/>
              <w:right w:val="single" w:color="auto" w:sz="4" w:space="0"/>
            </w:tcBorders>
            <w:shd w:val="clear" w:color="auto" w:fill="auto"/>
            <w:noWrap/>
            <w:vAlign w:val="center"/>
          </w:tcPr>
          <w:p w14:paraId="67BF6ECB">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326.01 </w:t>
            </w:r>
          </w:p>
        </w:tc>
        <w:tc>
          <w:tcPr>
            <w:tcW w:w="1116" w:type="dxa"/>
            <w:tcBorders>
              <w:top w:val="nil"/>
              <w:left w:val="nil"/>
              <w:bottom w:val="single" w:color="auto" w:sz="4" w:space="0"/>
              <w:right w:val="single" w:color="auto" w:sz="4" w:space="0"/>
            </w:tcBorders>
            <w:shd w:val="clear" w:color="auto" w:fill="auto"/>
            <w:noWrap/>
            <w:vAlign w:val="center"/>
          </w:tcPr>
          <w:p w14:paraId="2B5329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62E3B3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32313530">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126.16</w:t>
            </w:r>
          </w:p>
        </w:tc>
        <w:tc>
          <w:tcPr>
            <w:tcW w:w="1217" w:type="dxa"/>
            <w:tcBorders>
              <w:top w:val="nil"/>
              <w:left w:val="nil"/>
              <w:bottom w:val="single" w:color="auto" w:sz="4" w:space="0"/>
              <w:right w:val="single" w:color="auto" w:sz="4" w:space="0"/>
            </w:tcBorders>
            <w:shd w:val="clear" w:color="auto" w:fill="auto"/>
            <w:noWrap/>
            <w:vAlign w:val="center"/>
          </w:tcPr>
          <w:p w14:paraId="251BD5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0E88A3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0F5E41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F5EEF0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2E722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633" w:type="dxa"/>
            <w:tcBorders>
              <w:top w:val="nil"/>
              <w:left w:val="nil"/>
              <w:bottom w:val="single" w:color="auto" w:sz="4" w:space="0"/>
              <w:right w:val="single" w:color="auto" w:sz="4" w:space="0"/>
            </w:tcBorders>
            <w:shd w:val="clear" w:color="auto" w:fill="auto"/>
            <w:noWrap/>
            <w:vAlign w:val="center"/>
          </w:tcPr>
          <w:p w14:paraId="1FAAC7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1183" w:type="dxa"/>
            <w:tcBorders>
              <w:top w:val="nil"/>
              <w:left w:val="nil"/>
              <w:bottom w:val="single" w:color="auto" w:sz="4" w:space="0"/>
              <w:right w:val="single" w:color="auto" w:sz="4" w:space="0"/>
            </w:tcBorders>
            <w:shd w:val="clear" w:color="auto" w:fill="auto"/>
            <w:noWrap/>
            <w:vAlign w:val="center"/>
          </w:tcPr>
          <w:p w14:paraId="6C73DCC9">
            <w:pPr>
              <w:jc w:val="right"/>
              <w:rPr>
                <w:rFonts w:hint="eastAsia"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EB140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1894F1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55F3D139">
            <w:pPr>
              <w:keepNext w:val="0"/>
              <w:keepLines w:val="0"/>
              <w:widowControl/>
              <w:suppressLineNumbers w:val="0"/>
              <w:jc w:val="center"/>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418DF1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566899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5A97CE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1C2A6A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F8B95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633" w:type="dxa"/>
            <w:tcBorders>
              <w:top w:val="nil"/>
              <w:left w:val="nil"/>
              <w:bottom w:val="single" w:color="auto" w:sz="4" w:space="0"/>
              <w:right w:val="single" w:color="auto" w:sz="4" w:space="0"/>
            </w:tcBorders>
            <w:shd w:val="clear" w:color="auto" w:fill="auto"/>
            <w:noWrap/>
            <w:vAlign w:val="center"/>
          </w:tcPr>
          <w:p w14:paraId="7E4DD0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1183" w:type="dxa"/>
            <w:tcBorders>
              <w:top w:val="nil"/>
              <w:left w:val="nil"/>
              <w:bottom w:val="single" w:color="auto" w:sz="4" w:space="0"/>
              <w:right w:val="single" w:color="auto" w:sz="4" w:space="0"/>
            </w:tcBorders>
            <w:shd w:val="clear" w:color="auto" w:fill="auto"/>
            <w:noWrap/>
            <w:vAlign w:val="center"/>
          </w:tcPr>
          <w:p w14:paraId="3BBABC5A">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120.32 </w:t>
            </w:r>
          </w:p>
        </w:tc>
        <w:tc>
          <w:tcPr>
            <w:tcW w:w="1116" w:type="dxa"/>
            <w:tcBorders>
              <w:top w:val="nil"/>
              <w:left w:val="nil"/>
              <w:bottom w:val="single" w:color="auto" w:sz="4" w:space="0"/>
              <w:right w:val="single" w:color="auto" w:sz="4" w:space="0"/>
            </w:tcBorders>
            <w:shd w:val="clear" w:color="auto" w:fill="auto"/>
            <w:noWrap/>
            <w:vAlign w:val="center"/>
          </w:tcPr>
          <w:p w14:paraId="528A58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28FE97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2331894B">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15.59</w:t>
            </w:r>
          </w:p>
        </w:tc>
        <w:tc>
          <w:tcPr>
            <w:tcW w:w="1217" w:type="dxa"/>
            <w:tcBorders>
              <w:top w:val="nil"/>
              <w:left w:val="nil"/>
              <w:bottom w:val="single" w:color="auto" w:sz="4" w:space="0"/>
              <w:right w:val="single" w:color="auto" w:sz="4" w:space="0"/>
            </w:tcBorders>
            <w:shd w:val="clear" w:color="auto" w:fill="auto"/>
            <w:noWrap/>
            <w:vAlign w:val="center"/>
          </w:tcPr>
          <w:p w14:paraId="584174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2F53CF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6AF0CF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F9CAC1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0DF87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633" w:type="dxa"/>
            <w:tcBorders>
              <w:top w:val="nil"/>
              <w:left w:val="nil"/>
              <w:bottom w:val="single" w:color="auto" w:sz="4" w:space="0"/>
              <w:right w:val="single" w:color="auto" w:sz="4" w:space="0"/>
            </w:tcBorders>
            <w:shd w:val="clear" w:color="auto" w:fill="auto"/>
            <w:noWrap/>
            <w:vAlign w:val="center"/>
          </w:tcPr>
          <w:p w14:paraId="7DF8B5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1183" w:type="dxa"/>
            <w:tcBorders>
              <w:top w:val="nil"/>
              <w:left w:val="nil"/>
              <w:bottom w:val="single" w:color="auto" w:sz="4" w:space="0"/>
              <w:right w:val="single" w:color="auto" w:sz="4" w:space="0"/>
            </w:tcBorders>
            <w:shd w:val="clear" w:color="auto" w:fill="auto"/>
            <w:noWrap/>
            <w:vAlign w:val="center"/>
          </w:tcPr>
          <w:p w14:paraId="56287A88">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191.71 </w:t>
            </w:r>
          </w:p>
        </w:tc>
        <w:tc>
          <w:tcPr>
            <w:tcW w:w="1116" w:type="dxa"/>
            <w:tcBorders>
              <w:top w:val="nil"/>
              <w:left w:val="nil"/>
              <w:bottom w:val="single" w:color="auto" w:sz="4" w:space="0"/>
              <w:right w:val="single" w:color="auto" w:sz="4" w:space="0"/>
            </w:tcBorders>
            <w:shd w:val="clear" w:color="auto" w:fill="auto"/>
            <w:noWrap/>
            <w:vAlign w:val="center"/>
          </w:tcPr>
          <w:p w14:paraId="738D8A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3AA6C1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631DE411">
            <w:pPr>
              <w:keepNext w:val="0"/>
              <w:keepLines w:val="0"/>
              <w:widowControl/>
              <w:suppressLineNumbers w:val="0"/>
              <w:jc w:val="center"/>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27.32</w:t>
            </w:r>
          </w:p>
        </w:tc>
        <w:tc>
          <w:tcPr>
            <w:tcW w:w="1217" w:type="dxa"/>
            <w:tcBorders>
              <w:top w:val="nil"/>
              <w:left w:val="nil"/>
              <w:bottom w:val="single" w:color="auto" w:sz="4" w:space="0"/>
              <w:right w:val="single" w:color="auto" w:sz="4" w:space="0"/>
            </w:tcBorders>
            <w:shd w:val="clear" w:color="auto" w:fill="auto"/>
            <w:noWrap/>
            <w:vAlign w:val="center"/>
          </w:tcPr>
          <w:p w14:paraId="756749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5FC0B6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3EC38B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A92A3F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D4075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633" w:type="dxa"/>
            <w:tcBorders>
              <w:top w:val="nil"/>
              <w:left w:val="nil"/>
              <w:bottom w:val="single" w:color="auto" w:sz="4" w:space="0"/>
              <w:right w:val="single" w:color="auto" w:sz="4" w:space="0"/>
            </w:tcBorders>
            <w:shd w:val="clear" w:color="auto" w:fill="auto"/>
            <w:noWrap/>
            <w:vAlign w:val="center"/>
          </w:tcPr>
          <w:p w14:paraId="7AD1B8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1183" w:type="dxa"/>
            <w:tcBorders>
              <w:top w:val="nil"/>
              <w:left w:val="nil"/>
              <w:bottom w:val="single" w:color="auto" w:sz="4" w:space="0"/>
              <w:right w:val="single" w:color="auto" w:sz="4" w:space="0"/>
            </w:tcBorders>
            <w:shd w:val="clear" w:color="auto" w:fill="auto"/>
            <w:noWrap/>
            <w:vAlign w:val="center"/>
          </w:tcPr>
          <w:p w14:paraId="7FBD3913">
            <w:pPr>
              <w:jc w:val="right"/>
              <w:rPr>
                <w:rFonts w:hint="eastAsia"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3D1E7C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72FCFE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16371310">
            <w:pPr>
              <w:keepNext w:val="0"/>
              <w:keepLines w:val="0"/>
              <w:widowControl/>
              <w:suppressLineNumbers w:val="0"/>
              <w:jc w:val="center"/>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076B7E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519BBE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51114A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A00C59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8730F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633" w:type="dxa"/>
            <w:tcBorders>
              <w:top w:val="nil"/>
              <w:left w:val="nil"/>
              <w:bottom w:val="single" w:color="auto" w:sz="4" w:space="0"/>
              <w:right w:val="single" w:color="auto" w:sz="4" w:space="0"/>
            </w:tcBorders>
            <w:shd w:val="clear" w:color="auto" w:fill="auto"/>
            <w:noWrap/>
            <w:vAlign w:val="center"/>
          </w:tcPr>
          <w:p w14:paraId="797CE1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1183" w:type="dxa"/>
            <w:tcBorders>
              <w:top w:val="nil"/>
              <w:left w:val="nil"/>
              <w:bottom w:val="single" w:color="auto" w:sz="4" w:space="0"/>
              <w:right w:val="single" w:color="auto" w:sz="4" w:space="0"/>
            </w:tcBorders>
            <w:shd w:val="clear" w:color="auto" w:fill="auto"/>
            <w:noWrap/>
            <w:vAlign w:val="center"/>
          </w:tcPr>
          <w:p w14:paraId="7BC45365">
            <w:pPr>
              <w:jc w:val="right"/>
              <w:rPr>
                <w:rFonts w:hint="eastAsia"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7AC81B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46F208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44A04BF0">
            <w:pPr>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583B78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230368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6D61D9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99CA35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4605F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633" w:type="dxa"/>
            <w:tcBorders>
              <w:top w:val="nil"/>
              <w:left w:val="nil"/>
              <w:bottom w:val="single" w:color="auto" w:sz="4" w:space="0"/>
              <w:right w:val="single" w:color="auto" w:sz="4" w:space="0"/>
            </w:tcBorders>
            <w:shd w:val="clear" w:color="auto" w:fill="auto"/>
            <w:noWrap/>
            <w:vAlign w:val="center"/>
          </w:tcPr>
          <w:p w14:paraId="223405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1183" w:type="dxa"/>
            <w:tcBorders>
              <w:top w:val="nil"/>
              <w:left w:val="nil"/>
              <w:bottom w:val="single" w:color="auto" w:sz="4" w:space="0"/>
              <w:right w:val="single" w:color="auto" w:sz="4" w:space="0"/>
            </w:tcBorders>
            <w:shd w:val="clear" w:color="auto" w:fill="auto"/>
            <w:noWrap/>
            <w:vAlign w:val="center"/>
          </w:tcPr>
          <w:p w14:paraId="295790CC">
            <w:pPr>
              <w:jc w:val="right"/>
              <w:rPr>
                <w:rFonts w:hint="eastAsia"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DC096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384534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1BA5D509">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67BDBF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366073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454A19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92BDF9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824E0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633" w:type="dxa"/>
            <w:tcBorders>
              <w:top w:val="nil"/>
              <w:left w:val="nil"/>
              <w:bottom w:val="single" w:color="auto" w:sz="4" w:space="0"/>
              <w:right w:val="single" w:color="auto" w:sz="4" w:space="0"/>
            </w:tcBorders>
            <w:shd w:val="clear" w:color="auto" w:fill="auto"/>
            <w:noWrap/>
            <w:vAlign w:val="center"/>
          </w:tcPr>
          <w:p w14:paraId="10903C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1183" w:type="dxa"/>
            <w:tcBorders>
              <w:top w:val="nil"/>
              <w:left w:val="nil"/>
              <w:bottom w:val="single" w:color="auto" w:sz="4" w:space="0"/>
              <w:right w:val="single" w:color="auto" w:sz="4" w:space="0"/>
            </w:tcBorders>
            <w:shd w:val="clear" w:color="auto" w:fill="auto"/>
            <w:noWrap/>
            <w:vAlign w:val="center"/>
          </w:tcPr>
          <w:p w14:paraId="7B15F712">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41.23 </w:t>
            </w:r>
          </w:p>
        </w:tc>
        <w:tc>
          <w:tcPr>
            <w:tcW w:w="1116" w:type="dxa"/>
            <w:tcBorders>
              <w:top w:val="nil"/>
              <w:left w:val="nil"/>
              <w:bottom w:val="single" w:color="auto" w:sz="4" w:space="0"/>
              <w:right w:val="single" w:color="auto" w:sz="4" w:space="0"/>
            </w:tcBorders>
            <w:shd w:val="clear" w:color="auto" w:fill="auto"/>
            <w:noWrap/>
            <w:vAlign w:val="center"/>
          </w:tcPr>
          <w:p w14:paraId="40D838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32D5BC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6265C52A">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05A3EE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6BDB39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0B27D1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5946BD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60C64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633" w:type="dxa"/>
            <w:tcBorders>
              <w:top w:val="nil"/>
              <w:left w:val="nil"/>
              <w:bottom w:val="single" w:color="auto" w:sz="4" w:space="0"/>
              <w:right w:val="single" w:color="auto" w:sz="4" w:space="0"/>
            </w:tcBorders>
            <w:shd w:val="clear" w:color="auto" w:fill="auto"/>
            <w:noWrap/>
            <w:vAlign w:val="center"/>
          </w:tcPr>
          <w:p w14:paraId="7D5AEA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1183" w:type="dxa"/>
            <w:tcBorders>
              <w:top w:val="nil"/>
              <w:left w:val="nil"/>
              <w:bottom w:val="single" w:color="auto" w:sz="4" w:space="0"/>
              <w:right w:val="single" w:color="auto" w:sz="4" w:space="0"/>
            </w:tcBorders>
            <w:shd w:val="clear" w:color="auto" w:fill="auto"/>
            <w:noWrap/>
            <w:vAlign w:val="center"/>
          </w:tcPr>
          <w:p w14:paraId="3FC47B7D">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54.78 </w:t>
            </w:r>
          </w:p>
        </w:tc>
        <w:tc>
          <w:tcPr>
            <w:tcW w:w="1116" w:type="dxa"/>
            <w:tcBorders>
              <w:top w:val="nil"/>
              <w:left w:val="nil"/>
              <w:bottom w:val="single" w:color="auto" w:sz="4" w:space="0"/>
              <w:right w:val="single" w:color="auto" w:sz="4" w:space="0"/>
            </w:tcBorders>
            <w:shd w:val="clear" w:color="auto" w:fill="auto"/>
            <w:noWrap/>
            <w:vAlign w:val="center"/>
          </w:tcPr>
          <w:p w14:paraId="6844E1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7A29A3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18C3ED3B">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11.99</w:t>
            </w:r>
          </w:p>
        </w:tc>
        <w:tc>
          <w:tcPr>
            <w:tcW w:w="1217" w:type="dxa"/>
            <w:tcBorders>
              <w:top w:val="nil"/>
              <w:left w:val="nil"/>
              <w:bottom w:val="single" w:color="auto" w:sz="4" w:space="0"/>
              <w:right w:val="single" w:color="auto" w:sz="4" w:space="0"/>
            </w:tcBorders>
            <w:shd w:val="clear" w:color="auto" w:fill="auto"/>
            <w:noWrap/>
            <w:vAlign w:val="center"/>
          </w:tcPr>
          <w:p w14:paraId="1009D6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20A42A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0447A1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A6EE6C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12683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633" w:type="dxa"/>
            <w:tcBorders>
              <w:top w:val="nil"/>
              <w:left w:val="nil"/>
              <w:bottom w:val="single" w:color="auto" w:sz="4" w:space="0"/>
              <w:right w:val="single" w:color="auto" w:sz="4" w:space="0"/>
            </w:tcBorders>
            <w:shd w:val="clear" w:color="auto" w:fill="auto"/>
            <w:noWrap/>
            <w:vAlign w:val="center"/>
          </w:tcPr>
          <w:p w14:paraId="7EFD90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1183" w:type="dxa"/>
            <w:tcBorders>
              <w:top w:val="nil"/>
              <w:left w:val="nil"/>
              <w:bottom w:val="single" w:color="auto" w:sz="4" w:space="0"/>
              <w:right w:val="single" w:color="auto" w:sz="4" w:space="0"/>
            </w:tcBorders>
            <w:shd w:val="clear" w:color="auto" w:fill="auto"/>
            <w:noWrap/>
            <w:vAlign w:val="center"/>
          </w:tcPr>
          <w:p w14:paraId="282462C2">
            <w:pPr>
              <w:keepNext w:val="0"/>
              <w:keepLines w:val="0"/>
              <w:widowControl/>
              <w:suppressLineNumbers w:val="0"/>
              <w:jc w:val="right"/>
              <w:textAlignment w:val="center"/>
              <w:rPr>
                <w:rFonts w:hint="eastAsia"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14:paraId="41E9DA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50357B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116DFD19">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270B66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7B68B9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50EFCD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735DD1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006C2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633" w:type="dxa"/>
            <w:tcBorders>
              <w:top w:val="nil"/>
              <w:left w:val="nil"/>
              <w:bottom w:val="single" w:color="auto" w:sz="4" w:space="0"/>
              <w:right w:val="single" w:color="auto" w:sz="4" w:space="0"/>
            </w:tcBorders>
            <w:shd w:val="clear" w:color="auto" w:fill="auto"/>
            <w:noWrap/>
            <w:vAlign w:val="center"/>
          </w:tcPr>
          <w:p w14:paraId="63C38A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1183" w:type="dxa"/>
            <w:tcBorders>
              <w:top w:val="nil"/>
              <w:left w:val="nil"/>
              <w:bottom w:val="single" w:color="auto" w:sz="4" w:space="0"/>
              <w:right w:val="single" w:color="auto" w:sz="4" w:space="0"/>
            </w:tcBorders>
            <w:shd w:val="clear" w:color="auto" w:fill="auto"/>
            <w:noWrap/>
            <w:vAlign w:val="center"/>
          </w:tcPr>
          <w:p w14:paraId="0804A757">
            <w:pPr>
              <w:jc w:val="right"/>
              <w:rPr>
                <w:rFonts w:hint="eastAsia"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82DB8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4F60AD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4809332A">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44.54</w:t>
            </w:r>
          </w:p>
        </w:tc>
        <w:tc>
          <w:tcPr>
            <w:tcW w:w="1217" w:type="dxa"/>
            <w:tcBorders>
              <w:top w:val="nil"/>
              <w:left w:val="nil"/>
              <w:bottom w:val="single" w:color="auto" w:sz="4" w:space="0"/>
              <w:right w:val="single" w:color="auto" w:sz="4" w:space="0"/>
            </w:tcBorders>
            <w:shd w:val="clear" w:color="auto" w:fill="auto"/>
            <w:noWrap/>
            <w:vAlign w:val="center"/>
          </w:tcPr>
          <w:p w14:paraId="2B00E3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7453BE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608670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DD1F62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9224C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633" w:type="dxa"/>
            <w:tcBorders>
              <w:top w:val="nil"/>
              <w:left w:val="nil"/>
              <w:bottom w:val="single" w:color="auto" w:sz="4" w:space="0"/>
              <w:right w:val="single" w:color="auto" w:sz="4" w:space="0"/>
            </w:tcBorders>
            <w:shd w:val="clear" w:color="auto" w:fill="auto"/>
            <w:noWrap/>
            <w:vAlign w:val="center"/>
          </w:tcPr>
          <w:p w14:paraId="6FF6F8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1183" w:type="dxa"/>
            <w:tcBorders>
              <w:top w:val="nil"/>
              <w:left w:val="nil"/>
              <w:bottom w:val="single" w:color="auto" w:sz="4" w:space="0"/>
              <w:right w:val="single" w:color="auto" w:sz="4" w:space="0"/>
            </w:tcBorders>
            <w:shd w:val="clear" w:color="auto" w:fill="auto"/>
            <w:noWrap/>
            <w:vAlign w:val="center"/>
          </w:tcPr>
          <w:p w14:paraId="7FCB0DE7">
            <w:pPr>
              <w:keepNext w:val="0"/>
              <w:keepLines w:val="0"/>
              <w:widowControl/>
              <w:suppressLineNumbers w:val="0"/>
              <w:jc w:val="right"/>
              <w:textAlignment w:val="center"/>
              <w:rPr>
                <w:rFonts w:hint="eastAsia"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51.71 </w:t>
            </w:r>
          </w:p>
        </w:tc>
        <w:tc>
          <w:tcPr>
            <w:tcW w:w="1116" w:type="dxa"/>
            <w:tcBorders>
              <w:top w:val="nil"/>
              <w:left w:val="nil"/>
              <w:bottom w:val="single" w:color="auto" w:sz="4" w:space="0"/>
              <w:right w:val="single" w:color="auto" w:sz="4" w:space="0"/>
            </w:tcBorders>
            <w:shd w:val="clear" w:color="auto" w:fill="auto"/>
            <w:noWrap/>
            <w:vAlign w:val="center"/>
          </w:tcPr>
          <w:p w14:paraId="2721CA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650674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275E0328">
            <w:pPr>
              <w:keepNext w:val="0"/>
              <w:keepLines w:val="0"/>
              <w:widowControl/>
              <w:suppressLineNumbers w:val="0"/>
              <w:jc w:val="center"/>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6AF7BB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7F2847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6ADA54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100E6B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DAAC4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633" w:type="dxa"/>
            <w:tcBorders>
              <w:top w:val="nil"/>
              <w:left w:val="nil"/>
              <w:bottom w:val="single" w:color="auto" w:sz="4" w:space="0"/>
              <w:right w:val="single" w:color="auto" w:sz="4" w:space="0"/>
            </w:tcBorders>
            <w:shd w:val="clear" w:color="auto" w:fill="auto"/>
            <w:noWrap/>
            <w:vAlign w:val="center"/>
          </w:tcPr>
          <w:p w14:paraId="36696E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1183" w:type="dxa"/>
            <w:tcBorders>
              <w:top w:val="nil"/>
              <w:left w:val="nil"/>
              <w:bottom w:val="single" w:color="auto" w:sz="4" w:space="0"/>
              <w:right w:val="single" w:color="auto" w:sz="4" w:space="0"/>
            </w:tcBorders>
            <w:shd w:val="clear" w:color="auto" w:fill="auto"/>
            <w:noWrap/>
            <w:vAlign w:val="center"/>
          </w:tcPr>
          <w:p w14:paraId="69913185">
            <w:pPr>
              <w:jc w:val="right"/>
              <w:rPr>
                <w:rFonts w:hint="eastAsia"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99C14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620DEF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350B35E7">
            <w:pPr>
              <w:keepNext w:val="0"/>
              <w:keepLines w:val="0"/>
              <w:widowControl/>
              <w:suppressLineNumbers w:val="0"/>
              <w:jc w:val="center"/>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0DD35C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728208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4C6F83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6D3979EC">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600B2573">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188F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290273AB">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DD06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4C5B2ED4">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2A66CF91">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BFA9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5884A371">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066A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32106586">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6D379D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E916A4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BFBC8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633" w:type="dxa"/>
            <w:tcBorders>
              <w:top w:val="nil"/>
              <w:left w:val="nil"/>
              <w:bottom w:val="single" w:color="auto" w:sz="4" w:space="0"/>
              <w:right w:val="single" w:color="auto" w:sz="4" w:space="0"/>
            </w:tcBorders>
            <w:shd w:val="clear" w:color="auto" w:fill="auto"/>
            <w:noWrap/>
            <w:vAlign w:val="center"/>
          </w:tcPr>
          <w:p w14:paraId="5513F4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1183" w:type="dxa"/>
            <w:tcBorders>
              <w:top w:val="nil"/>
              <w:left w:val="nil"/>
              <w:bottom w:val="single" w:color="auto" w:sz="4" w:space="0"/>
              <w:right w:val="single" w:color="auto" w:sz="4" w:space="0"/>
            </w:tcBorders>
            <w:shd w:val="clear" w:color="auto" w:fill="auto"/>
            <w:noWrap/>
            <w:vAlign w:val="center"/>
          </w:tcPr>
          <w:p w14:paraId="6492EC0F">
            <w:pPr>
              <w:jc w:val="right"/>
              <w:rPr>
                <w:rFonts w:hint="eastAsia"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52DEE0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54CA0C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1338376A">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6.20</w:t>
            </w:r>
          </w:p>
        </w:tc>
        <w:tc>
          <w:tcPr>
            <w:tcW w:w="1217" w:type="dxa"/>
            <w:tcBorders>
              <w:top w:val="nil"/>
              <w:left w:val="nil"/>
              <w:bottom w:val="single" w:color="auto" w:sz="4" w:space="0"/>
              <w:right w:val="single" w:color="auto" w:sz="4" w:space="0"/>
            </w:tcBorders>
            <w:shd w:val="clear" w:color="auto" w:fill="auto"/>
            <w:noWrap/>
            <w:vAlign w:val="center"/>
          </w:tcPr>
          <w:p w14:paraId="64216F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23C235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2A5BFB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766FF4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CDC42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633" w:type="dxa"/>
            <w:tcBorders>
              <w:top w:val="nil"/>
              <w:left w:val="nil"/>
              <w:bottom w:val="single" w:color="auto" w:sz="4" w:space="0"/>
              <w:right w:val="single" w:color="auto" w:sz="4" w:space="0"/>
            </w:tcBorders>
            <w:shd w:val="clear" w:color="auto" w:fill="auto"/>
            <w:noWrap/>
            <w:vAlign w:val="center"/>
          </w:tcPr>
          <w:p w14:paraId="548B61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1183" w:type="dxa"/>
            <w:tcBorders>
              <w:top w:val="nil"/>
              <w:left w:val="nil"/>
              <w:bottom w:val="single" w:color="auto" w:sz="4" w:space="0"/>
              <w:right w:val="single" w:color="auto" w:sz="4" w:space="0"/>
            </w:tcBorders>
            <w:shd w:val="clear" w:color="auto" w:fill="auto"/>
            <w:noWrap/>
            <w:vAlign w:val="center"/>
          </w:tcPr>
          <w:p w14:paraId="54CF04CC">
            <w:pPr>
              <w:jc w:val="right"/>
              <w:rPr>
                <w:rFonts w:hint="eastAsia"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62975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18A409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52816D5C">
            <w:pPr>
              <w:keepNext w:val="0"/>
              <w:keepLines w:val="0"/>
              <w:widowControl/>
              <w:suppressLineNumbers w:val="0"/>
              <w:jc w:val="center"/>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4C9044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7FBD8E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054188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AA9549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4328F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633" w:type="dxa"/>
            <w:tcBorders>
              <w:top w:val="nil"/>
              <w:left w:val="nil"/>
              <w:bottom w:val="single" w:color="auto" w:sz="4" w:space="0"/>
              <w:right w:val="single" w:color="auto" w:sz="4" w:space="0"/>
            </w:tcBorders>
            <w:shd w:val="clear" w:color="auto" w:fill="auto"/>
            <w:noWrap/>
            <w:vAlign w:val="center"/>
          </w:tcPr>
          <w:p w14:paraId="3E6302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1183" w:type="dxa"/>
            <w:tcBorders>
              <w:top w:val="nil"/>
              <w:left w:val="nil"/>
              <w:bottom w:val="single" w:color="auto" w:sz="4" w:space="0"/>
              <w:right w:val="single" w:color="auto" w:sz="4" w:space="0"/>
            </w:tcBorders>
            <w:shd w:val="clear" w:color="auto" w:fill="auto"/>
            <w:noWrap/>
            <w:vAlign w:val="center"/>
          </w:tcPr>
          <w:p w14:paraId="401C1963">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44.01 </w:t>
            </w:r>
          </w:p>
        </w:tc>
        <w:tc>
          <w:tcPr>
            <w:tcW w:w="1116" w:type="dxa"/>
            <w:tcBorders>
              <w:top w:val="nil"/>
              <w:left w:val="nil"/>
              <w:bottom w:val="single" w:color="auto" w:sz="4" w:space="0"/>
              <w:right w:val="single" w:color="auto" w:sz="4" w:space="0"/>
            </w:tcBorders>
            <w:shd w:val="clear" w:color="auto" w:fill="auto"/>
            <w:noWrap/>
            <w:vAlign w:val="center"/>
          </w:tcPr>
          <w:p w14:paraId="19B601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4758D1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00120B58">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221.47</w:t>
            </w:r>
          </w:p>
        </w:tc>
        <w:tc>
          <w:tcPr>
            <w:tcW w:w="1217" w:type="dxa"/>
            <w:tcBorders>
              <w:top w:val="nil"/>
              <w:left w:val="nil"/>
              <w:bottom w:val="single" w:color="auto" w:sz="4" w:space="0"/>
              <w:right w:val="single" w:color="auto" w:sz="4" w:space="0"/>
            </w:tcBorders>
            <w:shd w:val="clear" w:color="auto" w:fill="auto"/>
            <w:noWrap/>
            <w:vAlign w:val="center"/>
          </w:tcPr>
          <w:p w14:paraId="517B7B33">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11B8C8C8">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1AF790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688FDCA">
        <w:tblPrEx>
          <w:tblCellMar>
            <w:top w:w="0" w:type="dxa"/>
            <w:left w:w="108" w:type="dxa"/>
            <w:bottom w:w="0" w:type="dxa"/>
            <w:right w:w="108" w:type="dxa"/>
          </w:tblCellMar>
        </w:tblPrEx>
        <w:trPr>
          <w:trHeight w:val="28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EBD79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633" w:type="dxa"/>
            <w:tcBorders>
              <w:top w:val="nil"/>
              <w:left w:val="nil"/>
              <w:bottom w:val="single" w:color="auto" w:sz="4" w:space="0"/>
              <w:right w:val="single" w:color="auto" w:sz="4" w:space="0"/>
            </w:tcBorders>
            <w:shd w:val="clear" w:color="auto" w:fill="auto"/>
            <w:noWrap/>
            <w:vAlign w:val="center"/>
          </w:tcPr>
          <w:p w14:paraId="06D225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83" w:type="dxa"/>
            <w:tcBorders>
              <w:top w:val="nil"/>
              <w:left w:val="nil"/>
              <w:bottom w:val="single" w:color="auto" w:sz="4" w:space="0"/>
              <w:right w:val="single" w:color="auto" w:sz="4" w:space="0"/>
            </w:tcBorders>
            <w:shd w:val="clear" w:color="auto" w:fill="auto"/>
            <w:noWrap/>
            <w:vAlign w:val="center"/>
          </w:tcPr>
          <w:p w14:paraId="1C0C8F62">
            <w:pPr>
              <w:keepNext w:val="0"/>
              <w:keepLines w:val="0"/>
              <w:widowControl/>
              <w:suppressLineNumbers w:val="0"/>
              <w:jc w:val="right"/>
              <w:textAlignment w:val="center"/>
              <w:rPr>
                <w:rFonts w:hint="eastAsia"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3,725.76 </w:t>
            </w:r>
          </w:p>
        </w:tc>
        <w:tc>
          <w:tcPr>
            <w:tcW w:w="1116" w:type="dxa"/>
            <w:tcBorders>
              <w:top w:val="nil"/>
              <w:left w:val="nil"/>
              <w:bottom w:val="single" w:color="auto" w:sz="4" w:space="0"/>
              <w:right w:val="single" w:color="auto" w:sz="4" w:space="0"/>
            </w:tcBorders>
            <w:shd w:val="clear" w:color="auto" w:fill="auto"/>
            <w:noWrap/>
            <w:vAlign w:val="center"/>
          </w:tcPr>
          <w:p w14:paraId="3E41A8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6D0A33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48FBCA0A">
            <w:pPr>
              <w:keepNext w:val="0"/>
              <w:keepLines w:val="0"/>
              <w:widowControl/>
              <w:suppressLineNumbers w:val="0"/>
              <w:jc w:val="center"/>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869.60</w:t>
            </w:r>
          </w:p>
        </w:tc>
        <w:tc>
          <w:tcPr>
            <w:tcW w:w="1217" w:type="dxa"/>
            <w:tcBorders>
              <w:top w:val="nil"/>
              <w:left w:val="nil"/>
              <w:bottom w:val="single" w:color="auto" w:sz="4" w:space="0"/>
              <w:right w:val="single" w:color="auto" w:sz="4" w:space="0"/>
            </w:tcBorders>
            <w:shd w:val="clear" w:color="auto" w:fill="auto"/>
            <w:noWrap/>
            <w:vAlign w:val="center"/>
          </w:tcPr>
          <w:p w14:paraId="0FABF61C">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059F3E0B">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7C7F11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BAC67BE">
        <w:tblPrEx>
          <w:tblCellMar>
            <w:top w:w="0" w:type="dxa"/>
            <w:left w:w="108" w:type="dxa"/>
            <w:bottom w:w="0" w:type="dxa"/>
            <w:right w:w="108" w:type="dxa"/>
          </w:tblCellMar>
        </w:tblPrEx>
        <w:trPr>
          <w:trHeight w:val="257" w:hRule="exact"/>
          <w:jc w:val="center"/>
        </w:trPr>
        <w:tc>
          <w:tcPr>
            <w:tcW w:w="371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3AA048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183" w:type="dxa"/>
            <w:tcBorders>
              <w:top w:val="nil"/>
              <w:left w:val="nil"/>
              <w:bottom w:val="single" w:color="auto" w:sz="4" w:space="0"/>
              <w:right w:val="single" w:color="auto" w:sz="4" w:space="0"/>
            </w:tcBorders>
            <w:shd w:val="clear" w:color="auto" w:fill="auto"/>
            <w:noWrap/>
            <w:vAlign w:val="center"/>
          </w:tcPr>
          <w:p w14:paraId="100133D3">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3,534.05 </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47931AB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6D21016B">
            <w:pPr>
              <w:keepNext w:val="0"/>
              <w:keepLines w:val="0"/>
              <w:widowControl/>
              <w:suppressLineNumbers w:val="0"/>
              <w:jc w:val="right"/>
              <w:textAlignment w:val="center"/>
              <w:rPr>
                <w:rFonts w:hint="default" w:ascii="Times New Roman" w:hAnsi="Times New Roman" w:eastAsia="仿宋_GB2312" w:cs="Times New Roman"/>
                <w:color w:val="000000"/>
                <w:kern w:val="0"/>
                <w:szCs w:val="18"/>
                <w:lang w:val="en-US" w:eastAsia="zh-CN"/>
              </w:rPr>
            </w:pPr>
            <w:r>
              <w:rPr>
                <w:rFonts w:hint="eastAsia" w:ascii="宋体" w:hAnsi="宋体" w:eastAsia="宋体" w:cs="宋体"/>
                <w:i w:val="0"/>
                <w:iCs w:val="0"/>
                <w:color w:val="000000"/>
                <w:kern w:val="0"/>
                <w:sz w:val="22"/>
                <w:szCs w:val="22"/>
                <w:u w:val="none"/>
                <w:lang w:val="en-US" w:eastAsia="zh-CN" w:bidi="ar"/>
              </w:rPr>
              <w:t xml:space="preserve">869.60 </w:t>
            </w:r>
          </w:p>
        </w:tc>
      </w:tr>
    </w:tbl>
    <w:p w14:paraId="52698A89">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3A32669A">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5F08CBF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090F2DB1">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128889C3">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6C609CD6">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5E194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43D7B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7FE0A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ACB28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2B0EB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378D7467">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FB8C9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CE3F5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F6926">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18B07">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AC3DC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6C735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26528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F5B97">
            <w:pPr>
              <w:widowControl/>
              <w:jc w:val="center"/>
              <w:rPr>
                <w:rFonts w:ascii="Times New Roman" w:hAnsi="Times New Roman" w:eastAsia="仿宋_GB2312" w:cs="Times New Roman"/>
                <w:color w:val="000000"/>
                <w:sz w:val="24"/>
                <w:szCs w:val="24"/>
              </w:rPr>
            </w:pPr>
          </w:p>
        </w:tc>
      </w:tr>
      <w:tr w14:paraId="7F2A22B0">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65F29">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2680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63A85">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17C71">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F48F48">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C9DDB">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9658C">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E1727">
            <w:pPr>
              <w:jc w:val="center"/>
              <w:rPr>
                <w:rFonts w:ascii="Times New Roman" w:hAnsi="Times New Roman" w:eastAsia="仿宋_GB2312" w:cs="Times New Roman"/>
                <w:color w:val="000000"/>
                <w:sz w:val="24"/>
                <w:szCs w:val="24"/>
              </w:rPr>
            </w:pPr>
          </w:p>
        </w:tc>
      </w:tr>
      <w:tr w14:paraId="5425A6AA">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DC817">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FC0B1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860128">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1C5CF">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8FF39">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8C233">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62BC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4D191">
            <w:pPr>
              <w:jc w:val="center"/>
              <w:rPr>
                <w:rFonts w:ascii="Times New Roman" w:hAnsi="Times New Roman" w:eastAsia="仿宋_GB2312" w:cs="Times New Roman"/>
                <w:color w:val="000000"/>
                <w:sz w:val="24"/>
                <w:szCs w:val="24"/>
              </w:rPr>
            </w:pPr>
          </w:p>
        </w:tc>
      </w:tr>
      <w:tr w14:paraId="0C3E1AE1">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B4FD6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4E5B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7977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B4BE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561A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13FA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46C7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0152E250">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4CB87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8D144">
            <w:pPr>
              <w:keepNext w:val="0"/>
              <w:keepLines w:val="0"/>
              <w:widowControl/>
              <w:suppressLineNumbers w:val="0"/>
              <w:jc w:val="center"/>
              <w:textAlignment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6C1FD">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595.00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AAAB5">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D3897">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2DDA7">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595.00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DCDCE">
            <w:pPr>
              <w:jc w:val="center"/>
              <w:rPr>
                <w:rFonts w:ascii="Times New Roman" w:hAnsi="Times New Roman" w:eastAsia="仿宋_GB2312" w:cs="Times New Roman"/>
                <w:color w:val="000000"/>
                <w:sz w:val="24"/>
                <w:szCs w:val="24"/>
              </w:rPr>
            </w:pPr>
          </w:p>
        </w:tc>
      </w:tr>
      <w:tr w14:paraId="21421F4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09E68">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2290403</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75FA9">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其他政府性基金债务收入安排的支出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66B45">
            <w:pPr>
              <w:keepNext w:val="0"/>
              <w:keepLines w:val="0"/>
              <w:widowControl/>
              <w:suppressLineNumbers w:val="0"/>
              <w:jc w:val="center"/>
              <w:textAlignment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EBC5E">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595.00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F6185">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8FE7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E0C08">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595.00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1B099">
            <w:pPr>
              <w:rPr>
                <w:rFonts w:ascii="Times New Roman" w:hAnsi="Times New Roman" w:eastAsia="仿宋_GB2312" w:cs="Times New Roman"/>
                <w:color w:val="000000"/>
                <w:sz w:val="24"/>
                <w:szCs w:val="24"/>
              </w:rPr>
            </w:pPr>
          </w:p>
        </w:tc>
      </w:tr>
      <w:tr w14:paraId="6152BFC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3A7A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E50F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AE2A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9A6A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5A8A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B28F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CD5A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360AC">
            <w:pPr>
              <w:rPr>
                <w:rFonts w:ascii="Times New Roman" w:hAnsi="Times New Roman" w:eastAsia="仿宋_GB2312" w:cs="Times New Roman"/>
                <w:color w:val="000000"/>
                <w:sz w:val="24"/>
                <w:szCs w:val="24"/>
              </w:rPr>
            </w:pPr>
          </w:p>
        </w:tc>
      </w:tr>
      <w:tr w14:paraId="44AFDEC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D6C2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E8C6E">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D81D0">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8637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3FCD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3A06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EC6C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698D6">
            <w:pPr>
              <w:rPr>
                <w:rFonts w:ascii="Times New Roman" w:hAnsi="Times New Roman" w:eastAsia="仿宋_GB2312" w:cs="Times New Roman"/>
                <w:color w:val="000000"/>
                <w:sz w:val="24"/>
                <w:szCs w:val="24"/>
              </w:rPr>
            </w:pPr>
          </w:p>
        </w:tc>
      </w:tr>
      <w:tr w14:paraId="072E84E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1CB79">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BA82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62A8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EAB7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862F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8FD5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1B6D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06C09">
            <w:pPr>
              <w:rPr>
                <w:rFonts w:ascii="Times New Roman" w:hAnsi="Times New Roman" w:eastAsia="仿宋_GB2312" w:cs="Times New Roman"/>
                <w:color w:val="000000"/>
                <w:sz w:val="24"/>
                <w:szCs w:val="24"/>
              </w:rPr>
            </w:pPr>
          </w:p>
        </w:tc>
      </w:tr>
      <w:tr w14:paraId="5D39F10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7AEF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E561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0C36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4DB2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4360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1B6E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9CBE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628F6">
            <w:pPr>
              <w:rPr>
                <w:rFonts w:ascii="Times New Roman" w:hAnsi="Times New Roman" w:eastAsia="仿宋_GB2312" w:cs="Times New Roman"/>
                <w:color w:val="000000"/>
                <w:sz w:val="24"/>
                <w:szCs w:val="24"/>
              </w:rPr>
            </w:pPr>
          </w:p>
        </w:tc>
      </w:tr>
      <w:tr w14:paraId="624C4CB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9D82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123E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1D03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7511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48AE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3A37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B9C1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947CE">
            <w:pPr>
              <w:rPr>
                <w:rFonts w:ascii="Times New Roman" w:hAnsi="Times New Roman" w:eastAsia="仿宋_GB2312" w:cs="Times New Roman"/>
                <w:color w:val="000000"/>
                <w:sz w:val="24"/>
                <w:szCs w:val="24"/>
              </w:rPr>
            </w:pPr>
          </w:p>
        </w:tc>
      </w:tr>
    </w:tbl>
    <w:p w14:paraId="133F3B57">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6D6A7193">
      <w:pPr>
        <w:widowControl/>
        <w:jc w:val="left"/>
        <w:textAlignment w:val="center"/>
        <w:rPr>
          <w:rFonts w:ascii="Times New Roman" w:hAnsi="Times New Roman" w:eastAsia="仿宋_GB2312" w:cs="Times New Roman"/>
          <w:color w:val="000000"/>
          <w:kern w:val="0"/>
          <w:sz w:val="24"/>
          <w:szCs w:val="24"/>
          <w:lang w:bidi="ar"/>
        </w:rPr>
      </w:pPr>
    </w:p>
    <w:p w14:paraId="519D7C20">
      <w:pPr>
        <w:widowControl/>
        <w:jc w:val="center"/>
        <w:rPr>
          <w:rFonts w:ascii="Times New Roman" w:hAnsi="Times New Roman" w:eastAsia="方正小标宋_GBK" w:cs="Times New Roman"/>
          <w:color w:val="000000"/>
          <w:kern w:val="0"/>
          <w:sz w:val="36"/>
          <w:szCs w:val="36"/>
        </w:rPr>
      </w:pPr>
    </w:p>
    <w:p w14:paraId="6DDC6855">
      <w:pPr>
        <w:widowControl/>
        <w:spacing w:line="400" w:lineRule="exact"/>
        <w:textAlignment w:val="center"/>
        <w:rPr>
          <w:rFonts w:ascii="Times New Roman" w:hAnsi="Times New Roman" w:eastAsia="黑体" w:cs="Times New Roman"/>
          <w:color w:val="000000"/>
          <w:kern w:val="0"/>
          <w:sz w:val="36"/>
          <w:szCs w:val="36"/>
          <w:lang w:bidi="ar"/>
        </w:rPr>
      </w:pPr>
    </w:p>
    <w:p w14:paraId="30DACB9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5B5BABC3">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320443DB">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7A5FD6CD">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2C1B9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A1DDD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07B942A1">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4BCF7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54BEA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46F50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2FDBC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F845B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7F48D208">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D7E1F">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E3BFB">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15B8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21D6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ECA78">
            <w:pPr>
              <w:jc w:val="center"/>
              <w:rPr>
                <w:rFonts w:ascii="Times New Roman" w:hAnsi="Times New Roman" w:eastAsia="仿宋_GB2312" w:cs="Times New Roman"/>
                <w:color w:val="000000"/>
                <w:sz w:val="24"/>
                <w:szCs w:val="24"/>
              </w:rPr>
            </w:pPr>
          </w:p>
        </w:tc>
      </w:tr>
      <w:tr w14:paraId="0F56E8D9">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094C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42931">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A2E3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C7B6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FA6DE3">
            <w:pPr>
              <w:jc w:val="center"/>
              <w:rPr>
                <w:rFonts w:ascii="Times New Roman" w:hAnsi="Times New Roman" w:eastAsia="仿宋_GB2312" w:cs="Times New Roman"/>
                <w:color w:val="000000"/>
                <w:sz w:val="24"/>
                <w:szCs w:val="24"/>
              </w:rPr>
            </w:pPr>
          </w:p>
        </w:tc>
      </w:tr>
      <w:tr w14:paraId="1E41AD95">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8553A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BD75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8613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D37F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574351FA">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A9417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478C3">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2F687">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9954F">
            <w:pPr>
              <w:jc w:val="center"/>
              <w:rPr>
                <w:rFonts w:ascii="Times New Roman" w:hAnsi="Times New Roman" w:eastAsia="仿宋_GB2312" w:cs="Times New Roman"/>
                <w:color w:val="000000"/>
                <w:sz w:val="24"/>
                <w:szCs w:val="24"/>
              </w:rPr>
            </w:pPr>
          </w:p>
        </w:tc>
      </w:tr>
      <w:tr w14:paraId="04CC2EC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997DB">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59E93">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C5644">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96BC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36A57">
            <w:pPr>
              <w:rPr>
                <w:rFonts w:ascii="Times New Roman" w:hAnsi="Times New Roman" w:eastAsia="仿宋_GB2312" w:cs="Times New Roman"/>
                <w:color w:val="000000"/>
                <w:sz w:val="24"/>
                <w:szCs w:val="24"/>
              </w:rPr>
            </w:pPr>
          </w:p>
        </w:tc>
      </w:tr>
      <w:tr w14:paraId="55B8A7A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8657A">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7C606">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89A52">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CACCF">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E1545">
            <w:pPr>
              <w:rPr>
                <w:rFonts w:ascii="Times New Roman" w:hAnsi="Times New Roman" w:eastAsia="仿宋_GB2312" w:cs="Times New Roman"/>
                <w:color w:val="000000"/>
                <w:sz w:val="24"/>
                <w:szCs w:val="24"/>
              </w:rPr>
            </w:pPr>
          </w:p>
        </w:tc>
      </w:tr>
      <w:tr w14:paraId="3D5406A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15742">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3863A">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23FF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EBDC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3B46F">
            <w:pPr>
              <w:rPr>
                <w:rFonts w:ascii="Times New Roman" w:hAnsi="Times New Roman" w:eastAsia="宋体" w:cs="Times New Roman"/>
                <w:color w:val="000000"/>
                <w:sz w:val="24"/>
                <w:szCs w:val="24"/>
              </w:rPr>
            </w:pPr>
          </w:p>
        </w:tc>
      </w:tr>
      <w:tr w14:paraId="1FB17B2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0C08E">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D06DA">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9F77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2A2D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797E8">
            <w:pPr>
              <w:rPr>
                <w:rFonts w:ascii="Times New Roman" w:hAnsi="Times New Roman" w:eastAsia="宋体" w:cs="Times New Roman"/>
                <w:color w:val="000000"/>
                <w:sz w:val="24"/>
                <w:szCs w:val="24"/>
              </w:rPr>
            </w:pPr>
          </w:p>
        </w:tc>
      </w:tr>
      <w:tr w14:paraId="3CC748B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90548">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6E727">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5080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988F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AE825">
            <w:pPr>
              <w:rPr>
                <w:rFonts w:ascii="Times New Roman" w:hAnsi="Times New Roman" w:eastAsia="宋体" w:cs="Times New Roman"/>
                <w:color w:val="000000"/>
                <w:sz w:val="24"/>
                <w:szCs w:val="24"/>
              </w:rPr>
            </w:pPr>
          </w:p>
        </w:tc>
      </w:tr>
      <w:tr w14:paraId="24B4FB93">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B915D">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A8FAB">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A239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1883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CC340">
            <w:pPr>
              <w:rPr>
                <w:rFonts w:ascii="Times New Roman" w:hAnsi="Times New Roman" w:eastAsia="宋体" w:cs="Times New Roman"/>
                <w:color w:val="000000"/>
                <w:sz w:val="24"/>
                <w:szCs w:val="24"/>
              </w:rPr>
            </w:pPr>
          </w:p>
        </w:tc>
      </w:tr>
    </w:tbl>
    <w:p w14:paraId="08C45A10">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5E905A14">
      <w:pPr>
        <w:widowControl/>
        <w:jc w:val="left"/>
        <w:textAlignment w:val="center"/>
        <w:rPr>
          <w:rFonts w:ascii="Times New Roman" w:hAnsi="Times New Roman" w:eastAsia="宋体" w:cs="Times New Roman"/>
          <w:color w:val="000000"/>
          <w:kern w:val="0"/>
          <w:sz w:val="24"/>
          <w:szCs w:val="24"/>
          <w:lang w:bidi="ar"/>
        </w:rPr>
      </w:pPr>
    </w:p>
    <w:p w14:paraId="1E97CF3E">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7708CFEB">
      <w:pPr>
        <w:widowControl/>
        <w:jc w:val="center"/>
        <w:rPr>
          <w:rFonts w:ascii="Times New Roman" w:hAnsi="Times New Roman" w:eastAsia="方正小标宋_GBK" w:cs="Times New Roman"/>
          <w:color w:val="000000"/>
          <w:kern w:val="0"/>
          <w:sz w:val="36"/>
          <w:szCs w:val="36"/>
        </w:rPr>
      </w:pPr>
    </w:p>
    <w:p w14:paraId="60ECDC38">
      <w:pPr>
        <w:pStyle w:val="2"/>
        <w:spacing w:line="400" w:lineRule="exact"/>
        <w:rPr>
          <w:rFonts w:ascii="Times New Roman" w:hAnsi="Times New Roman" w:eastAsia="华文中宋" w:cs="Times New Roman"/>
          <w:color w:val="000000"/>
          <w:kern w:val="0"/>
          <w:sz w:val="32"/>
          <w:szCs w:val="32"/>
          <w:lang w:bidi="ar"/>
        </w:rPr>
      </w:pPr>
    </w:p>
    <w:p w14:paraId="1717067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291A7B46">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4BD506AE">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5BD618FD">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27AAEC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3F841D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3C8E48C8">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19CF7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52973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11F2F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16962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4039E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5830D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AF93A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85C69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4F5CC352">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E0020">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4DC1D4">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EB67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ECAB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7AF6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6040F">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995E8">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46E70">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F1A6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2419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DD25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53555">
            <w:pPr>
              <w:jc w:val="center"/>
              <w:rPr>
                <w:rFonts w:ascii="Times New Roman" w:hAnsi="Times New Roman" w:eastAsia="仿宋_GB2312" w:cs="Times New Roman"/>
                <w:color w:val="000000"/>
                <w:sz w:val="22"/>
              </w:rPr>
            </w:pPr>
          </w:p>
        </w:tc>
      </w:tr>
      <w:tr w14:paraId="3D1FCF4D">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A1CF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647A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A573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F23F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692D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3394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E0D5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76C4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9112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B1C2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6BC7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4CB9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59339136">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64710">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F7CB5">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177D6">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74A7C">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75E3A">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BAB79">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6C4F4">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D8423">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EA0A2">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AC795">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0C5D1">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72058">
            <w:pPr>
              <w:rPr>
                <w:rFonts w:ascii="Times New Roman" w:hAnsi="Times New Roman" w:eastAsia="仿宋_GB2312" w:cs="Times New Roman"/>
                <w:color w:val="000000"/>
                <w:sz w:val="22"/>
              </w:rPr>
            </w:pPr>
          </w:p>
        </w:tc>
      </w:tr>
    </w:tbl>
    <w:p w14:paraId="15009B1B">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0076C9AC">
      <w:pPr>
        <w:autoSpaceDE w:val="0"/>
        <w:autoSpaceDN w:val="0"/>
        <w:adjustRightInd w:val="0"/>
        <w:ind w:left="315" w:leftChars="150"/>
        <w:jc w:val="left"/>
        <w:rPr>
          <w:rFonts w:ascii="Times New Roman" w:hAnsi="Times New Roman" w:eastAsia="宋体" w:cs="Times New Roman"/>
          <w:kern w:val="0"/>
          <w:sz w:val="24"/>
          <w:szCs w:val="24"/>
        </w:rPr>
      </w:pPr>
    </w:p>
    <w:p w14:paraId="75A7395A">
      <w:pPr>
        <w:autoSpaceDE w:val="0"/>
        <w:autoSpaceDN w:val="0"/>
        <w:adjustRightInd w:val="0"/>
        <w:ind w:left="315" w:leftChars="150"/>
        <w:jc w:val="left"/>
        <w:rPr>
          <w:rFonts w:ascii="Times New Roman" w:hAnsi="Times New Roman" w:eastAsia="宋体" w:cs="Times New Roman"/>
          <w:kern w:val="0"/>
          <w:sz w:val="24"/>
          <w:szCs w:val="24"/>
        </w:rPr>
      </w:pPr>
    </w:p>
    <w:p w14:paraId="598F1E16">
      <w:pPr>
        <w:autoSpaceDE w:val="0"/>
        <w:autoSpaceDN w:val="0"/>
        <w:adjustRightInd w:val="0"/>
        <w:ind w:left="315" w:leftChars="150"/>
        <w:jc w:val="left"/>
        <w:rPr>
          <w:rFonts w:ascii="Times New Roman" w:hAnsi="Times New Roman" w:eastAsia="宋体" w:cs="Times New Roman"/>
          <w:kern w:val="0"/>
          <w:sz w:val="24"/>
          <w:szCs w:val="24"/>
        </w:rPr>
      </w:pPr>
      <w:r>
        <w:rPr>
          <w:rFonts w:ascii="Times New Roman" w:hAnsi="Times New Roman" w:eastAsia="楷体_GB2312" w:cs="Times New Roman"/>
          <w:b/>
          <w:bCs/>
          <w:kern w:val="0"/>
          <w:sz w:val="24"/>
          <w:szCs w:val="24"/>
          <w:lang w:bidi="ar"/>
        </w:rPr>
        <w:t>说明：我单位没有“三公”经费支出，故本表无数据。</w:t>
      </w:r>
    </w:p>
    <w:p w14:paraId="77D84CDC">
      <w:pPr>
        <w:autoSpaceDE w:val="0"/>
        <w:autoSpaceDN w:val="0"/>
        <w:adjustRightInd w:val="0"/>
        <w:ind w:left="315" w:leftChars="150"/>
        <w:jc w:val="left"/>
        <w:rPr>
          <w:rFonts w:ascii="Times New Roman" w:hAnsi="Times New Roman" w:eastAsia="宋体" w:cs="Times New Roman"/>
          <w:kern w:val="0"/>
          <w:sz w:val="24"/>
          <w:szCs w:val="24"/>
        </w:rPr>
      </w:pPr>
    </w:p>
    <w:p w14:paraId="17D87999">
      <w:pPr>
        <w:autoSpaceDE w:val="0"/>
        <w:autoSpaceDN w:val="0"/>
        <w:adjustRightInd w:val="0"/>
        <w:ind w:left="315" w:leftChars="150"/>
        <w:jc w:val="left"/>
        <w:rPr>
          <w:rFonts w:ascii="Times New Roman" w:hAnsi="Times New Roman" w:eastAsia="宋体" w:cs="Times New Roman"/>
          <w:kern w:val="0"/>
          <w:sz w:val="24"/>
          <w:szCs w:val="24"/>
        </w:rPr>
      </w:pPr>
    </w:p>
    <w:p w14:paraId="5D0E914B">
      <w:pPr>
        <w:widowControl/>
        <w:rPr>
          <w:rFonts w:ascii="Times New Roman" w:hAnsi="Times New Roman" w:cs="Times New Roman"/>
          <w:sz w:val="72"/>
          <w:szCs w:val="72"/>
        </w:rPr>
        <w:sectPr>
          <w:pgSz w:w="16838" w:h="11906" w:orient="landscape"/>
          <w:pgMar w:top="1134" w:right="1417" w:bottom="1134" w:left="1417"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eastAsia="黑体" w:cs="Times New Roman"/>
          <w:szCs w:val="21"/>
        </w:rPr>
        <w:br w:type="page"/>
      </w:r>
    </w:p>
    <w:p w14:paraId="3F0A4951">
      <w:pPr>
        <w:pStyle w:val="12"/>
        <w:rPr>
          <w:rFonts w:ascii="Times New Roman" w:hAnsi="Times New Roman" w:cs="Times New Roman"/>
          <w:sz w:val="72"/>
          <w:szCs w:val="72"/>
        </w:rPr>
      </w:pPr>
    </w:p>
    <w:p w14:paraId="16EFED81">
      <w:pPr>
        <w:pStyle w:val="12"/>
        <w:rPr>
          <w:rFonts w:ascii="Times New Roman" w:hAnsi="Times New Roman" w:cs="Times New Roman"/>
          <w:sz w:val="72"/>
          <w:szCs w:val="72"/>
        </w:rPr>
      </w:pPr>
    </w:p>
    <w:p w14:paraId="0B8C5286">
      <w:pPr>
        <w:pStyle w:val="12"/>
        <w:rPr>
          <w:rFonts w:ascii="Times New Roman" w:hAnsi="Times New Roman" w:cs="Times New Roman"/>
          <w:sz w:val="72"/>
          <w:szCs w:val="72"/>
        </w:rPr>
      </w:pPr>
    </w:p>
    <w:p w14:paraId="55C9E7A5">
      <w:pPr>
        <w:pStyle w:val="12"/>
        <w:jc w:val="center"/>
        <w:rPr>
          <w:rFonts w:ascii="Times New Roman" w:hAnsi="Times New Roman" w:cs="Times New Roman"/>
          <w:sz w:val="72"/>
          <w:szCs w:val="72"/>
        </w:rPr>
      </w:pPr>
    </w:p>
    <w:p w14:paraId="7DD3103D">
      <w:pPr>
        <w:pStyle w:val="12"/>
        <w:jc w:val="center"/>
        <w:rPr>
          <w:rFonts w:ascii="Times New Roman" w:hAnsi="Times New Roman" w:eastAsia="方正小标宋_GBK" w:cs="Times New Roman"/>
          <w:sz w:val="72"/>
          <w:szCs w:val="72"/>
        </w:rPr>
      </w:pPr>
    </w:p>
    <w:p w14:paraId="7F76AF9C">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44EE8B6F">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48AFD311">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18231BC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679AD8B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w:t>
      </w:r>
      <w:r>
        <w:rPr>
          <w:rFonts w:hint="eastAsia" w:ascii="Times New Roman" w:hAnsi="Times New Roman" w:eastAsia="仿宋_GB2312" w:cs="Times New Roman"/>
          <w:sz w:val="32"/>
          <w:szCs w:val="32"/>
          <w:lang w:val="en-US" w:eastAsia="zh-CN"/>
        </w:rPr>
        <w:t>入总计6181.42万元</w:t>
      </w:r>
      <w:r>
        <w:rPr>
          <w:rFonts w:ascii="Times New Roman" w:hAnsi="Times New Roman" w:eastAsia="仿宋_GB2312" w:cs="Times New Roman"/>
          <w:sz w:val="32"/>
          <w:szCs w:val="32"/>
        </w:rPr>
        <w:t>、支</w:t>
      </w:r>
      <w:r>
        <w:rPr>
          <w:rFonts w:hint="eastAsia" w:ascii="Times New Roman" w:hAnsi="Times New Roman" w:eastAsia="仿宋_GB2312" w:cs="Times New Roman"/>
          <w:sz w:val="32"/>
          <w:szCs w:val="32"/>
          <w:lang w:val="en-US" w:eastAsia="zh-CN"/>
        </w:rPr>
        <w:t>出</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6181.42</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268.66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4.16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用于学校维修改造的项目资金减少</w:t>
      </w:r>
      <w:r>
        <w:rPr>
          <w:rFonts w:hint="eastAsia" w:ascii="Times New Roman" w:hAnsi="Times New Roman" w:eastAsia="仿宋_GB2312" w:cs="Times New Roman"/>
          <w:sz w:val="32"/>
          <w:szCs w:val="32"/>
          <w:lang w:eastAsia="zh-CN"/>
        </w:rPr>
        <w:t>。</w:t>
      </w:r>
    </w:p>
    <w:p w14:paraId="7FF92CD2">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教职工工资</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学生公用经费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学校校舍安全</w:t>
      </w:r>
      <w:r>
        <w:rPr>
          <w:rFonts w:hint="eastAsia" w:ascii="Times New Roman" w:hAnsi="Times New Roman" w:eastAsia="仿宋_GB2312" w:cs="Times New Roman"/>
          <w:sz w:val="32"/>
          <w:szCs w:val="32"/>
          <w:lang w:eastAsia="zh-CN"/>
        </w:rPr>
        <w:t>等重点支出，体现在有关支出科目中。</w:t>
      </w:r>
    </w:p>
    <w:p w14:paraId="6ED767E2">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49BBBB5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6181.42</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5272.48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85.3</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127.4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2.06</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781.54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12.64</w:t>
      </w:r>
      <w:r>
        <w:rPr>
          <w:rFonts w:ascii="Times New Roman" w:hAnsi="Times New Roman" w:eastAsia="仿宋_GB2312" w:cs="Times New Roman"/>
          <w:sz w:val="32"/>
          <w:szCs w:val="32"/>
        </w:rPr>
        <w:t>%。</w:t>
      </w:r>
    </w:p>
    <w:p w14:paraId="5AC1D74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77C6EAE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6181.42</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5504.31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89.05</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677.11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10.95</w:t>
      </w:r>
      <w:r>
        <w:rPr>
          <w:rFonts w:ascii="Times New Roman" w:hAnsi="Times New Roman" w:eastAsia="仿宋_GB2312" w:cs="Times New Roman"/>
          <w:sz w:val="32"/>
          <w:szCs w:val="32"/>
        </w:rPr>
        <w:t>%。</w:t>
      </w:r>
    </w:p>
    <w:p w14:paraId="7B27EC4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71D2F973">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w:t>
      </w:r>
      <w:r>
        <w:rPr>
          <w:rFonts w:hint="eastAsia" w:ascii="Times New Roman" w:hAnsi="Times New Roman" w:eastAsia="仿宋_GB2312" w:cs="Times New Roman"/>
          <w:sz w:val="32"/>
          <w:szCs w:val="32"/>
          <w:lang w:val="en-US" w:eastAsia="zh-CN"/>
        </w:rPr>
        <w:t>入总计5272.48万元</w:t>
      </w:r>
      <w:r>
        <w:rPr>
          <w:rFonts w:ascii="Times New Roman" w:hAnsi="Times New Roman" w:eastAsia="仿宋_GB2312" w:cs="Times New Roman"/>
          <w:sz w:val="32"/>
          <w:szCs w:val="32"/>
        </w:rPr>
        <w:t>、支</w:t>
      </w:r>
      <w:r>
        <w:rPr>
          <w:rFonts w:hint="eastAsia" w:ascii="Times New Roman" w:hAnsi="Times New Roman" w:eastAsia="仿宋_GB2312" w:cs="Times New Roman"/>
          <w:sz w:val="32"/>
          <w:szCs w:val="32"/>
          <w:lang w:val="en-US" w:eastAsia="zh-CN"/>
        </w:rPr>
        <w:t>出</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5272.48</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增加3.34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增加0.06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教师工资增加，人员支出增加。</w:t>
      </w:r>
    </w:p>
    <w:p w14:paraId="31DA72F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564A7A45">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09EF5EC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5272.48</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85.3</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增加3.34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增加0.06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教师工资增加，人员支出增加。</w:t>
      </w:r>
    </w:p>
    <w:p w14:paraId="1EC909BE">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17449178">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5272.48</w:t>
      </w:r>
      <w:r>
        <w:rPr>
          <w:rFonts w:ascii="Times New Roman" w:hAnsi="Times New Roman" w:eastAsia="仿宋_GB2312" w:cs="Times New Roman"/>
          <w:sz w:val="32"/>
          <w:szCs w:val="32"/>
        </w:rPr>
        <w:t>万元，主要用于以下方面：教育（类）支出</w:t>
      </w:r>
      <w:r>
        <w:rPr>
          <w:rFonts w:hint="eastAsia" w:ascii="Times New Roman" w:hAnsi="Times New Roman" w:eastAsia="仿宋_GB2312" w:cs="Times New Roman"/>
          <w:sz w:val="32"/>
          <w:szCs w:val="32"/>
          <w:lang w:val="en-US" w:eastAsia="zh-CN"/>
        </w:rPr>
        <w:t>4675.92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88.69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其他（类）支出595.00万元，占11.29%；</w:t>
      </w:r>
      <w:r>
        <w:rPr>
          <w:rFonts w:hint="eastAsia" w:ascii="Times New Roman" w:hAnsi="Times New Roman" w:eastAsia="仿宋_GB2312" w:cs="Times New Roman"/>
          <w:sz w:val="32"/>
          <w:szCs w:val="32"/>
        </w:rPr>
        <w:t>社会保障和就业</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类）</w:t>
      </w:r>
      <w:r>
        <w:rPr>
          <w:rFonts w:hint="eastAsia"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1.56万元，占0.02%。</w:t>
      </w:r>
    </w:p>
    <w:p w14:paraId="6C8914F4">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27A87C8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2984.01</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4677.48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156.75</w:t>
      </w:r>
      <w:r>
        <w:rPr>
          <w:rFonts w:ascii="Times New Roman" w:hAnsi="Times New Roman" w:eastAsia="仿宋_GB2312" w:cs="Times New Roman"/>
          <w:sz w:val="32"/>
          <w:szCs w:val="32"/>
        </w:rPr>
        <w:t>%，其中：</w:t>
      </w:r>
    </w:p>
    <w:p w14:paraId="3770EABD">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1.教育支出（类）普通教育（款）学前教育（项）</w:t>
      </w:r>
    </w:p>
    <w:p w14:paraId="4D56AA63">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年初预算为0万元，支出决算数为</w:t>
      </w:r>
      <w:r>
        <w:rPr>
          <w:rFonts w:hint="eastAsia" w:ascii="Times New Roman" w:hAnsi="Times New Roman" w:eastAsia="仿宋_GB2312" w:cs="Times New Roman"/>
          <w:sz w:val="32"/>
          <w:szCs w:val="32"/>
          <w:lang w:val="en-US" w:eastAsia="zh-CN"/>
        </w:rPr>
        <w:t>105.52</w:t>
      </w:r>
      <w:r>
        <w:rPr>
          <w:rFonts w:hint="eastAsia" w:ascii="Times New Roman" w:hAnsi="Times New Roman" w:eastAsia="仿宋_GB2312" w:cs="Times New Roman"/>
          <w:sz w:val="32"/>
          <w:szCs w:val="32"/>
        </w:rPr>
        <w:t>万元。决算数大于预算数的主要原因是预算时全部纳入教育支出（类）普通教育（款）其他普通教育支出（项），决算时进行了分类。</w:t>
      </w:r>
    </w:p>
    <w:p w14:paraId="503894F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2.教育支出（类）普通教育（款）小学教育（项）</w:t>
      </w:r>
    </w:p>
    <w:p w14:paraId="06EBF34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35.49</w:t>
      </w:r>
      <w:r>
        <w:rPr>
          <w:rFonts w:hint="eastAsia"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591</w:t>
      </w:r>
      <w:r>
        <w:rPr>
          <w:rFonts w:hint="eastAsia" w:ascii="Times New Roman" w:hAnsi="Times New Roman" w:eastAsia="仿宋_GB2312" w:cs="Times New Roman"/>
          <w:sz w:val="32"/>
          <w:szCs w:val="32"/>
        </w:rPr>
        <w:t>万元。决算数大于预算数的主要原因是预算时</w:t>
      </w:r>
      <w:r>
        <w:rPr>
          <w:rFonts w:hint="eastAsia" w:ascii="Times New Roman" w:hAnsi="Times New Roman" w:eastAsia="仿宋_GB2312" w:cs="Times New Roman"/>
          <w:sz w:val="32"/>
          <w:szCs w:val="32"/>
          <w:lang w:val="en-US" w:eastAsia="zh-CN"/>
        </w:rPr>
        <w:t>工资等</w:t>
      </w:r>
      <w:r>
        <w:rPr>
          <w:rFonts w:hint="eastAsia" w:ascii="Times New Roman" w:hAnsi="Times New Roman" w:eastAsia="仿宋_GB2312" w:cs="Times New Roman"/>
          <w:sz w:val="32"/>
          <w:szCs w:val="32"/>
        </w:rPr>
        <w:t>全部纳入教育支出（类）普通教育（款）其他普通教育支出（项），决算时进行了分类。</w:t>
      </w:r>
    </w:p>
    <w:p w14:paraId="273B6AE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3.教育支出（类）普通教育（款）初中教育（项）</w:t>
      </w:r>
    </w:p>
    <w:p w14:paraId="5B3262C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43.16</w:t>
      </w:r>
      <w:r>
        <w:rPr>
          <w:rFonts w:hint="eastAsia"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681.38</w:t>
      </w:r>
      <w:r>
        <w:rPr>
          <w:rFonts w:hint="eastAsia" w:ascii="Times New Roman" w:hAnsi="Times New Roman" w:eastAsia="仿宋_GB2312" w:cs="Times New Roman"/>
          <w:sz w:val="32"/>
          <w:szCs w:val="32"/>
        </w:rPr>
        <w:t>万元。决算数大于预算数的主要原因是预算时</w:t>
      </w:r>
      <w:r>
        <w:rPr>
          <w:rFonts w:hint="eastAsia" w:ascii="Times New Roman" w:hAnsi="Times New Roman" w:eastAsia="仿宋_GB2312" w:cs="Times New Roman"/>
          <w:sz w:val="32"/>
          <w:szCs w:val="32"/>
          <w:lang w:val="en-US" w:eastAsia="zh-CN"/>
        </w:rPr>
        <w:t>人员经费等绝大部分支出</w:t>
      </w:r>
      <w:r>
        <w:rPr>
          <w:rFonts w:hint="eastAsia" w:ascii="Times New Roman" w:hAnsi="Times New Roman" w:eastAsia="仿宋_GB2312" w:cs="Times New Roman"/>
          <w:sz w:val="32"/>
          <w:szCs w:val="32"/>
        </w:rPr>
        <w:t>全部纳入教育支出（类）普通教育（款）其他普通教育支出（项），决算时进行了分类。</w:t>
      </w:r>
    </w:p>
    <w:p w14:paraId="188DDC89">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.教育支出（类）普通教育（款）其他普通教育支出（项）</w:t>
      </w:r>
    </w:p>
    <w:p w14:paraId="7D080BA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2711.74</w:t>
      </w:r>
      <w:r>
        <w:rPr>
          <w:rFonts w:hint="eastAsia"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3259.98</w:t>
      </w:r>
      <w:r>
        <w:rPr>
          <w:rFonts w:hint="eastAsia" w:ascii="Times New Roman" w:hAnsi="Times New Roman" w:eastAsia="仿宋_GB2312" w:cs="Times New Roman"/>
          <w:sz w:val="32"/>
          <w:szCs w:val="32"/>
        </w:rPr>
        <w:t>万元。决算数大于预算数主要是因为教职工资增长，年中追加了人员经费</w:t>
      </w:r>
      <w:r>
        <w:rPr>
          <w:rFonts w:hint="eastAsia" w:ascii="Times New Roman" w:hAnsi="Times New Roman" w:eastAsia="仿宋_GB2312" w:cs="Times New Roman"/>
          <w:sz w:val="32"/>
          <w:szCs w:val="32"/>
          <w:lang w:val="en-US" w:eastAsia="zh-CN"/>
        </w:rPr>
        <w:t>；学生人数增加，公用经费增加；校舍维修改造类支出增加</w:t>
      </w:r>
      <w:r>
        <w:rPr>
          <w:rFonts w:hint="eastAsia" w:ascii="Times New Roman" w:hAnsi="Times New Roman" w:eastAsia="仿宋_GB2312" w:cs="Times New Roman"/>
          <w:sz w:val="32"/>
          <w:szCs w:val="32"/>
        </w:rPr>
        <w:t>。</w:t>
      </w:r>
    </w:p>
    <w:p w14:paraId="13BA3BE0">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.教育支出（类）其他教育支出（款）其他教育费附加安排的支出（项）</w:t>
      </w:r>
    </w:p>
    <w:p w14:paraId="64C2927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年初预算为0万元，支出决算数为</w:t>
      </w:r>
      <w:r>
        <w:rPr>
          <w:rFonts w:hint="eastAsia" w:ascii="Times New Roman" w:hAnsi="Times New Roman" w:eastAsia="仿宋_GB2312" w:cs="Times New Roman"/>
          <w:sz w:val="32"/>
          <w:szCs w:val="32"/>
          <w:lang w:val="en-US" w:eastAsia="zh-CN"/>
        </w:rPr>
        <w:t>38.04</w:t>
      </w:r>
      <w:r>
        <w:rPr>
          <w:rFonts w:hint="eastAsia" w:ascii="Times New Roman" w:hAnsi="Times New Roman" w:eastAsia="仿宋_GB2312" w:cs="Times New Roman"/>
          <w:sz w:val="32"/>
          <w:szCs w:val="32"/>
        </w:rPr>
        <w:t>万元。决算数大于预算数的主要原因是预算时全部纳入教育支出（类）普通教育（款）其他普通教育支出（项），决算时进行了分类。</w:t>
      </w:r>
    </w:p>
    <w:p w14:paraId="7DDEFEA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6.社会保障和就业支出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类）</w:t>
      </w:r>
      <w:r>
        <w:rPr>
          <w:rFonts w:hint="eastAsia" w:ascii="Times New Roman" w:hAnsi="Times New Roman" w:eastAsia="仿宋_GB2312" w:cs="Times New Roman"/>
          <w:sz w:val="32"/>
          <w:szCs w:val="32"/>
        </w:rPr>
        <w:t>人力资源和社会保障管理事务（款）引进人才费用（项）</w:t>
      </w:r>
    </w:p>
    <w:p w14:paraId="079CF120">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年初预算为0万元，支出决算为</w:t>
      </w:r>
      <w:r>
        <w:rPr>
          <w:rFonts w:hint="eastAsia" w:ascii="Times New Roman" w:hAnsi="Times New Roman" w:eastAsia="仿宋_GB2312" w:cs="Times New Roman"/>
          <w:sz w:val="32"/>
          <w:szCs w:val="32"/>
          <w:lang w:val="en-US" w:eastAsia="zh-CN"/>
        </w:rPr>
        <w:t>1.56</w:t>
      </w:r>
      <w:r>
        <w:rPr>
          <w:rFonts w:hint="eastAsia" w:ascii="Times New Roman" w:hAnsi="Times New Roman" w:eastAsia="仿宋_GB2312" w:cs="Times New Roman"/>
          <w:sz w:val="32"/>
          <w:szCs w:val="32"/>
        </w:rPr>
        <w:t>万元。决算数大于预算数的主要原因是预算时全部纳入教育支出（类）普通教育（款）其他普通教育支出（项），决算时进行了分类。</w:t>
      </w:r>
    </w:p>
    <w:p w14:paraId="544F79B3">
      <w:pPr>
        <w:pStyle w:val="12"/>
        <w:numPr>
          <w:ilvl w:val="0"/>
          <w:numId w:val="2"/>
        </w:numPr>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疾病预防控制机构</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类）行政事业单位医疗</w:t>
      </w:r>
      <w:r>
        <w:rPr>
          <w:rFonts w:hint="eastAsia"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事业单位医疗</w:t>
      </w:r>
      <w:r>
        <w:rPr>
          <w:rFonts w:hint="eastAsia" w:ascii="Times New Roman" w:hAnsi="Times New Roman" w:eastAsia="仿宋_GB2312" w:cs="Times New Roman"/>
          <w:sz w:val="32"/>
          <w:szCs w:val="32"/>
        </w:rPr>
        <w:t>（项）</w:t>
      </w:r>
    </w:p>
    <w:p w14:paraId="25D51EE3">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193.62</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预</w:t>
      </w:r>
      <w:r>
        <w:rPr>
          <w:rFonts w:hint="eastAsia" w:ascii="Times New Roman" w:hAnsi="Times New Roman" w:eastAsia="仿宋_GB2312" w:cs="Times New Roman"/>
          <w:sz w:val="32"/>
          <w:szCs w:val="32"/>
        </w:rPr>
        <w:t>算数大于</w:t>
      </w:r>
      <w:r>
        <w:rPr>
          <w:rFonts w:hint="eastAsia" w:ascii="Times New Roman" w:hAnsi="Times New Roman" w:eastAsia="仿宋_GB2312" w:cs="Times New Roman"/>
          <w:sz w:val="32"/>
          <w:szCs w:val="32"/>
          <w:lang w:val="en-US" w:eastAsia="zh-CN"/>
        </w:rPr>
        <w:t>决</w:t>
      </w:r>
      <w:r>
        <w:rPr>
          <w:rFonts w:hint="eastAsia" w:ascii="Times New Roman" w:hAnsi="Times New Roman" w:eastAsia="仿宋_GB2312" w:cs="Times New Roman"/>
          <w:sz w:val="32"/>
          <w:szCs w:val="32"/>
        </w:rPr>
        <w:t>算数的主要原因是预算时</w:t>
      </w:r>
      <w:r>
        <w:rPr>
          <w:rFonts w:hint="eastAsia" w:ascii="Times New Roman" w:hAnsi="Times New Roman" w:eastAsia="仿宋_GB2312" w:cs="Times New Roman"/>
          <w:sz w:val="32"/>
          <w:szCs w:val="32"/>
          <w:lang w:val="en-US" w:eastAsia="zh-CN"/>
        </w:rPr>
        <w:t>单独列支，决算时</w:t>
      </w:r>
      <w:r>
        <w:rPr>
          <w:rFonts w:hint="eastAsia" w:ascii="Times New Roman" w:hAnsi="Times New Roman" w:eastAsia="仿宋_GB2312" w:cs="Times New Roman"/>
          <w:sz w:val="32"/>
          <w:szCs w:val="32"/>
        </w:rPr>
        <w:t>全部纳入教育支出（类）普通教育（款）其他普通教育支出（项）。</w:t>
      </w:r>
    </w:p>
    <w:p w14:paraId="0D94CB62">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val="en-US" w:eastAsia="zh-CN"/>
        </w:rPr>
        <w:t>其他普通教育</w:t>
      </w:r>
      <w:r>
        <w:rPr>
          <w:rFonts w:hint="eastAsia" w:ascii="Times New Roman" w:hAnsi="Times New Roman" w:eastAsia="仿宋_GB2312" w:cs="Times New Roman"/>
          <w:sz w:val="32"/>
          <w:szCs w:val="32"/>
        </w:rPr>
        <w:t>方面的支出规模较大（或占财政拨款支出总额的比重较高），主要是：</w:t>
      </w:r>
      <w:r>
        <w:rPr>
          <w:rFonts w:hint="eastAsia" w:ascii="Times New Roman" w:hAnsi="Times New Roman" w:eastAsia="仿宋_GB2312" w:cs="Times New Roman"/>
          <w:sz w:val="32"/>
          <w:szCs w:val="32"/>
          <w:lang w:val="en-US" w:eastAsia="zh-CN"/>
        </w:rPr>
        <w:t>其他普教育</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3259.98</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61.83</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教职工工资支出和保障正常教育教学的办公费、印刷费、维修维护费等</w:t>
      </w:r>
      <w:r>
        <w:rPr>
          <w:rFonts w:hint="eastAsia" w:ascii="Times New Roman" w:hAnsi="Times New Roman" w:eastAsia="楷体_GB2312" w:cs="Times New Roman"/>
          <w:b/>
          <w:bCs/>
          <w:i/>
          <w:color w:val="auto"/>
          <w:sz w:val="32"/>
          <w:szCs w:val="32"/>
        </w:rPr>
        <w:t>。</w:t>
      </w:r>
    </w:p>
    <w:p w14:paraId="77C5CDB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096198B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4595.37</w:t>
      </w:r>
      <w:r>
        <w:rPr>
          <w:rFonts w:ascii="Times New Roman" w:hAnsi="Times New Roman" w:eastAsia="仿宋_GB2312" w:cs="Times New Roman"/>
          <w:sz w:val="32"/>
          <w:szCs w:val="32"/>
        </w:rPr>
        <w:t>万元，其中：</w:t>
      </w:r>
    </w:p>
    <w:p w14:paraId="3AB7E21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3725.76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81.08</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lang w:val="en-US" w:eastAsia="zh-CN"/>
        </w:rPr>
        <w:t>机关养老保险、绩效工资、住房公积金等</w:t>
      </w:r>
      <w:r>
        <w:rPr>
          <w:rFonts w:ascii="Times New Roman" w:hAnsi="Times New Roman" w:eastAsia="仿宋_GB2312" w:cs="Times New Roman"/>
          <w:sz w:val="32"/>
          <w:szCs w:val="32"/>
        </w:rPr>
        <w:t>。</w:t>
      </w:r>
    </w:p>
    <w:p w14:paraId="3ECBC4F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869.6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18.92</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lang w:val="en-US" w:eastAsia="zh-CN"/>
        </w:rPr>
        <w:t>水电费、培训费、工会经费、培训费等</w:t>
      </w:r>
      <w:r>
        <w:rPr>
          <w:rFonts w:ascii="Times New Roman" w:hAnsi="Times New Roman" w:eastAsia="仿宋_GB2312" w:cs="Times New Roman"/>
          <w:sz w:val="32"/>
          <w:szCs w:val="32"/>
        </w:rPr>
        <w:t>。</w:t>
      </w:r>
    </w:p>
    <w:p w14:paraId="55472F1B">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727F297A">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225C89F6">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w:t>
      </w:r>
    </w:p>
    <w:p w14:paraId="0618F982">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12B8C238">
      <w:pPr>
        <w:pStyle w:val="12"/>
        <w:overflowPunct w:val="0"/>
        <w:autoSpaceDE/>
        <w:autoSpaceDN/>
        <w:spacing w:line="600" w:lineRule="exact"/>
        <w:ind w:firstLine="640" w:firstLineChars="200"/>
        <w:jc w:val="both"/>
        <w:rPr>
          <w:rFonts w:ascii="Times New Roman" w:hAnsi="Times New Roman" w:eastAsia="仿宋_GB2312" w:cs="Times New Roman"/>
          <w:b/>
          <w:bCs/>
          <w:i/>
          <w:color w:val="auto"/>
          <w:sz w:val="32"/>
          <w:szCs w:val="32"/>
        </w:rPr>
      </w:pPr>
      <w:r>
        <w:rPr>
          <w:rFonts w:ascii="Times New Roman" w:hAnsi="Times New Roman" w:eastAsia="仿宋_GB2312" w:cs="Times New Roman"/>
          <w:sz w:val="32"/>
          <w:szCs w:val="32"/>
        </w:rPr>
        <w:t>1.因公出国（境）费</w:t>
      </w:r>
      <w:r>
        <w:rPr>
          <w:rFonts w:hint="eastAsia" w:ascii="Times New Roman" w:hAnsi="Times New Roman" w:eastAsia="仿宋_GB2312" w:cs="Times New Roman"/>
          <w:sz w:val="32"/>
          <w:szCs w:val="32"/>
        </w:rPr>
        <w:t>出预算为0万元，支出决算为0万元，与上年持平。</w:t>
      </w:r>
    </w:p>
    <w:p w14:paraId="32567175">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2.公务用车购置费及运行维护费出预算为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w:t>
      </w:r>
    </w:p>
    <w:p w14:paraId="058E587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14:paraId="39E4674C">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w:t>
      </w:r>
      <w:r>
        <w:rPr>
          <w:rFonts w:hint="eastAsia" w:ascii="Times New Roman" w:hAnsi="Times New Roman" w:eastAsia="仿宋_GB2312" w:cs="Times New Roman"/>
          <w:sz w:val="32"/>
          <w:szCs w:val="32"/>
        </w:rPr>
        <w:t>出预算为0万元，支出决算为0万元，与上年持平。</w:t>
      </w:r>
    </w:p>
    <w:p w14:paraId="24B873C5">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4F17DAA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595.00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595.00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595.00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3A7E2E8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3DD6C1DA">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楷体_GB2312" w:cs="Times New Roman"/>
          <w:b/>
          <w:bCs/>
          <w:i/>
          <w:color w:val="auto"/>
          <w:sz w:val="32"/>
          <w:szCs w:val="32"/>
        </w:rPr>
        <w:t>（与部门决算中行政单位和参照公务员法管理事业单位财政拨款基本支出中公用经费之和一致）</w:t>
      </w:r>
      <w:r>
        <w:rPr>
          <w:rFonts w:ascii="Times New Roman" w:hAnsi="Times New Roman" w:eastAsia="仿宋_GB2312" w:cs="Times New Roman"/>
          <w:sz w:val="32"/>
          <w:szCs w:val="32"/>
        </w:rPr>
        <w:t>。</w:t>
      </w:r>
    </w:p>
    <w:p w14:paraId="28EF2E0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4AC6AFC7">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15.59</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val="en-US" w:eastAsia="zh-CN"/>
        </w:rPr>
        <w:t>开学、安全工作、财务工作等</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750</w:t>
      </w:r>
      <w:r>
        <w:rPr>
          <w:rFonts w:ascii="Times New Roman" w:hAnsi="Times New Roman" w:eastAsia="仿宋_GB2312" w:cs="Times New Roman"/>
          <w:sz w:val="32"/>
          <w:szCs w:val="32"/>
        </w:rPr>
        <w:t>人，</w:t>
      </w:r>
      <w:r>
        <w:rPr>
          <w:rFonts w:hint="eastAsia" w:ascii="Times New Roman" w:hAnsi="Times New Roman" w:eastAsia="仿宋_GB2312" w:cs="Times New Roman"/>
          <w:sz w:val="32"/>
          <w:szCs w:val="32"/>
        </w:rPr>
        <w:t>内容为校园安全、师德师风教育、固定资产管理、财务管理等</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27.32</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val="en-US" w:eastAsia="zh-CN"/>
        </w:rPr>
        <w:t>新教材、财务、赫山教育云平台</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1035</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新教材的使用、如何进行教学设计、食堂财务管理、赫山教育云平台的使用和管理等。</w:t>
      </w:r>
    </w:p>
    <w:p w14:paraId="7930220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43C58BAD">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w:t>
      </w:r>
    </w:p>
    <w:p w14:paraId="608C03BE">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61CD9375">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734F25D0">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44C9B7E5">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677.11</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82.11</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12.13</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595.00</w:t>
      </w:r>
      <w:r>
        <w:rPr>
          <w:rFonts w:ascii="Times New Roman" w:hAnsi="Times New Roman" w:eastAsia="仿宋_GB2312" w:cs="Times New Roman"/>
          <w:kern w:val="0"/>
          <w:sz w:val="32"/>
          <w:szCs w:val="32"/>
        </w:rPr>
        <w:t xml:space="preserve"> 万元</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val="en-US" w:eastAsia="zh-CN"/>
        </w:rPr>
        <w:t>占87.87%</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16FF6D91">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6286.25</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6181.42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98.33</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rPr>
        <w:t>一是满足了教职工工资等人员经费；二是使用好了学生公用经费，教育教学工作取得好的成绩。发现的主要问题及原因：固定资产管理不规范。下一步改进措施：一是摸清底数，及时处置资产；二是加强固定资产管理人员责任。</w:t>
      </w:r>
      <w:r>
        <w:rPr>
          <w:rFonts w:ascii="Times New Roman" w:hAnsi="Times New Roman" w:eastAsia="仿宋_GB2312" w:cs="Times New Roman"/>
          <w:kern w:val="0"/>
          <w:sz w:val="32"/>
          <w:szCs w:val="32"/>
        </w:rPr>
        <w:t>。</w:t>
      </w:r>
    </w:p>
    <w:p w14:paraId="2146CC03">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优化教育经费使用效率，向教学一线和薄弱环节倾斜，压减办公费、水电费等支出，加大教师培训力度，提高培训费；强化预算执行与绩效挂钩，提升资金使用透明度；细化预算编制、执行与监督流程；202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年预算安排需以“精准化、绩效化、法治化”为核心；进一步加强绩效评价，让经费投入取得的效益最大化。</w:t>
      </w:r>
    </w:p>
    <w:p w14:paraId="5A2A050C">
      <w:pPr>
        <w:pStyle w:val="12"/>
        <w:jc w:val="center"/>
        <w:rPr>
          <w:rFonts w:ascii="Times New Roman" w:hAnsi="Times New Roman" w:cs="Times New Roman"/>
          <w:sz w:val="72"/>
          <w:szCs w:val="72"/>
        </w:rPr>
      </w:pPr>
    </w:p>
    <w:p w14:paraId="200CDF64">
      <w:pPr>
        <w:pStyle w:val="12"/>
        <w:jc w:val="center"/>
        <w:rPr>
          <w:rFonts w:ascii="Times New Roman" w:hAnsi="Times New Roman" w:cs="Times New Roman"/>
          <w:sz w:val="72"/>
          <w:szCs w:val="72"/>
        </w:rPr>
      </w:pPr>
    </w:p>
    <w:p w14:paraId="55573CE6">
      <w:pPr>
        <w:pStyle w:val="12"/>
        <w:jc w:val="center"/>
        <w:rPr>
          <w:rFonts w:ascii="Times New Roman" w:hAnsi="Times New Roman" w:cs="Times New Roman"/>
          <w:sz w:val="72"/>
          <w:szCs w:val="72"/>
        </w:rPr>
      </w:pPr>
    </w:p>
    <w:p w14:paraId="27AD0B75">
      <w:pPr>
        <w:pStyle w:val="12"/>
        <w:jc w:val="center"/>
        <w:rPr>
          <w:rFonts w:ascii="Times New Roman" w:hAnsi="Times New Roman" w:cs="Times New Roman"/>
          <w:sz w:val="72"/>
          <w:szCs w:val="72"/>
        </w:rPr>
      </w:pPr>
    </w:p>
    <w:p w14:paraId="24226225">
      <w:pPr>
        <w:pStyle w:val="12"/>
        <w:jc w:val="center"/>
        <w:rPr>
          <w:rFonts w:ascii="Times New Roman" w:hAnsi="Times New Roman" w:cs="Times New Roman"/>
          <w:sz w:val="72"/>
          <w:szCs w:val="72"/>
        </w:rPr>
      </w:pPr>
    </w:p>
    <w:p w14:paraId="13CF040F">
      <w:pPr>
        <w:pStyle w:val="12"/>
        <w:jc w:val="center"/>
        <w:rPr>
          <w:rFonts w:ascii="Times New Roman" w:hAnsi="Times New Roman" w:cs="Times New Roman"/>
          <w:sz w:val="72"/>
          <w:szCs w:val="72"/>
        </w:rPr>
      </w:pPr>
    </w:p>
    <w:p w14:paraId="3B000765">
      <w:pPr>
        <w:pStyle w:val="12"/>
        <w:jc w:val="center"/>
        <w:rPr>
          <w:rFonts w:ascii="Times New Roman" w:hAnsi="Times New Roman" w:cs="Times New Roman"/>
          <w:sz w:val="72"/>
          <w:szCs w:val="72"/>
        </w:rPr>
      </w:pPr>
    </w:p>
    <w:p w14:paraId="1E8FD97E">
      <w:pPr>
        <w:pStyle w:val="12"/>
        <w:jc w:val="center"/>
        <w:rPr>
          <w:rFonts w:ascii="Times New Roman" w:hAnsi="Times New Roman" w:cs="Times New Roman"/>
          <w:sz w:val="72"/>
          <w:szCs w:val="72"/>
        </w:rPr>
      </w:pPr>
    </w:p>
    <w:p w14:paraId="5EE63DF2">
      <w:pPr>
        <w:pStyle w:val="12"/>
        <w:jc w:val="center"/>
        <w:rPr>
          <w:rFonts w:ascii="Times New Roman" w:hAnsi="Times New Roman" w:cs="Times New Roman"/>
          <w:sz w:val="72"/>
          <w:szCs w:val="72"/>
        </w:rPr>
      </w:pPr>
    </w:p>
    <w:p w14:paraId="00EE93DF">
      <w:pPr>
        <w:pStyle w:val="12"/>
        <w:jc w:val="center"/>
        <w:rPr>
          <w:rFonts w:ascii="Times New Roman" w:hAnsi="Times New Roman" w:cs="Times New Roman"/>
          <w:sz w:val="72"/>
          <w:szCs w:val="72"/>
        </w:rPr>
      </w:pPr>
    </w:p>
    <w:p w14:paraId="67D19D4D">
      <w:pPr>
        <w:pStyle w:val="12"/>
        <w:jc w:val="center"/>
        <w:rPr>
          <w:rFonts w:ascii="Times New Roman" w:hAnsi="Times New Roman" w:cs="Times New Roman"/>
          <w:sz w:val="72"/>
          <w:szCs w:val="72"/>
        </w:rPr>
      </w:pPr>
    </w:p>
    <w:p w14:paraId="7BFC7AD3">
      <w:pPr>
        <w:pStyle w:val="12"/>
        <w:jc w:val="center"/>
        <w:rPr>
          <w:rFonts w:ascii="Times New Roman" w:hAnsi="Times New Roman" w:cs="Times New Roman"/>
          <w:sz w:val="72"/>
          <w:szCs w:val="72"/>
        </w:rPr>
      </w:pPr>
    </w:p>
    <w:p w14:paraId="60F7A7B2">
      <w:pPr>
        <w:pStyle w:val="12"/>
        <w:jc w:val="center"/>
        <w:rPr>
          <w:rFonts w:ascii="Times New Roman" w:hAnsi="Times New Roman" w:cs="Times New Roman"/>
          <w:sz w:val="72"/>
          <w:szCs w:val="72"/>
        </w:rPr>
      </w:pPr>
    </w:p>
    <w:p w14:paraId="5BBC84E8">
      <w:pPr>
        <w:pStyle w:val="12"/>
        <w:jc w:val="center"/>
        <w:rPr>
          <w:rFonts w:ascii="Times New Roman" w:hAnsi="Times New Roman" w:cs="Times New Roman"/>
          <w:sz w:val="72"/>
          <w:szCs w:val="72"/>
        </w:rPr>
      </w:pPr>
    </w:p>
    <w:p w14:paraId="67A3D541">
      <w:pPr>
        <w:pStyle w:val="12"/>
        <w:jc w:val="center"/>
        <w:rPr>
          <w:rFonts w:ascii="Times New Roman" w:hAnsi="Times New Roman" w:cs="Times New Roman"/>
          <w:sz w:val="72"/>
          <w:szCs w:val="72"/>
        </w:rPr>
      </w:pPr>
    </w:p>
    <w:p w14:paraId="7070685F">
      <w:pPr>
        <w:pStyle w:val="12"/>
        <w:jc w:val="center"/>
        <w:rPr>
          <w:rFonts w:ascii="Times New Roman" w:hAnsi="Times New Roman" w:cs="Times New Roman"/>
          <w:sz w:val="72"/>
          <w:szCs w:val="72"/>
        </w:rPr>
      </w:pPr>
    </w:p>
    <w:p w14:paraId="70E80F74">
      <w:pPr>
        <w:pStyle w:val="12"/>
        <w:jc w:val="center"/>
        <w:rPr>
          <w:rFonts w:ascii="Times New Roman" w:hAnsi="Times New Roman" w:cs="Times New Roman"/>
          <w:sz w:val="72"/>
          <w:szCs w:val="72"/>
        </w:rPr>
      </w:pPr>
    </w:p>
    <w:p w14:paraId="6FCC550B">
      <w:pPr>
        <w:pStyle w:val="12"/>
        <w:jc w:val="center"/>
        <w:rPr>
          <w:rFonts w:ascii="Times New Roman" w:hAnsi="Times New Roman" w:cs="Times New Roman"/>
          <w:sz w:val="72"/>
          <w:szCs w:val="72"/>
        </w:rPr>
      </w:pPr>
    </w:p>
    <w:p w14:paraId="5BA3D066">
      <w:pPr>
        <w:pStyle w:val="12"/>
        <w:jc w:val="center"/>
        <w:rPr>
          <w:rFonts w:ascii="Times New Roman" w:hAnsi="Times New Roman" w:cs="Times New Roman"/>
          <w:sz w:val="72"/>
          <w:szCs w:val="72"/>
        </w:rPr>
      </w:pPr>
    </w:p>
    <w:p w14:paraId="63E345C6">
      <w:pPr>
        <w:pStyle w:val="12"/>
        <w:jc w:val="center"/>
        <w:rPr>
          <w:rFonts w:ascii="Times New Roman" w:hAnsi="Times New Roman" w:cs="Times New Roman"/>
          <w:sz w:val="72"/>
          <w:szCs w:val="72"/>
        </w:rPr>
      </w:pPr>
    </w:p>
    <w:p w14:paraId="30F902EA">
      <w:pPr>
        <w:pStyle w:val="12"/>
        <w:jc w:val="center"/>
        <w:rPr>
          <w:rFonts w:ascii="Times New Roman" w:hAnsi="Times New Roman" w:cs="Times New Roman"/>
          <w:sz w:val="72"/>
          <w:szCs w:val="72"/>
        </w:rPr>
      </w:pPr>
    </w:p>
    <w:p w14:paraId="356DF48E">
      <w:pPr>
        <w:pStyle w:val="12"/>
        <w:jc w:val="both"/>
        <w:rPr>
          <w:rFonts w:ascii="Times New Roman" w:hAnsi="Times New Roman" w:cs="Times New Roman"/>
          <w:sz w:val="72"/>
          <w:szCs w:val="72"/>
        </w:rPr>
      </w:pPr>
    </w:p>
    <w:p w14:paraId="73711640">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46CC40C7">
      <w:pPr>
        <w:widowControl/>
        <w:jc w:val="left"/>
        <w:rPr>
          <w:rFonts w:ascii="Times New Roman" w:hAnsi="Times New Roman" w:cs="Times New Roman"/>
          <w:color w:val="000000"/>
          <w:kern w:val="0"/>
          <w:sz w:val="32"/>
          <w:szCs w:val="32"/>
        </w:rPr>
      </w:pPr>
    </w:p>
    <w:p w14:paraId="4520F013">
      <w:pPr>
        <w:pStyle w:val="2"/>
        <w:rPr>
          <w:rFonts w:ascii="Times New Roman" w:hAnsi="Times New Roman" w:cs="Times New Roman"/>
          <w:color w:val="000000"/>
          <w:kern w:val="0"/>
          <w:sz w:val="32"/>
          <w:szCs w:val="32"/>
        </w:rPr>
      </w:pPr>
    </w:p>
    <w:p w14:paraId="0DA47C12">
      <w:pPr>
        <w:pStyle w:val="3"/>
        <w:rPr>
          <w:rFonts w:ascii="Times New Roman" w:hAnsi="Times New Roman" w:cs="Times New Roman"/>
          <w:color w:val="000000"/>
          <w:kern w:val="0"/>
          <w:sz w:val="32"/>
          <w:szCs w:val="32"/>
        </w:rPr>
      </w:pPr>
    </w:p>
    <w:p w14:paraId="52C026F1">
      <w:pPr>
        <w:rPr>
          <w:rFonts w:ascii="Times New Roman" w:hAnsi="Times New Roman" w:cs="Times New Roman"/>
          <w:color w:val="000000"/>
          <w:kern w:val="0"/>
          <w:sz w:val="32"/>
          <w:szCs w:val="32"/>
        </w:rPr>
      </w:pPr>
    </w:p>
    <w:p w14:paraId="1C561B10">
      <w:pPr>
        <w:pStyle w:val="2"/>
        <w:rPr>
          <w:rFonts w:ascii="Times New Roman" w:hAnsi="Times New Roman" w:cs="Times New Roman"/>
          <w:color w:val="000000"/>
          <w:kern w:val="0"/>
          <w:sz w:val="32"/>
          <w:szCs w:val="32"/>
        </w:rPr>
      </w:pPr>
    </w:p>
    <w:p w14:paraId="03737D99">
      <w:pPr>
        <w:pStyle w:val="3"/>
        <w:rPr>
          <w:rFonts w:ascii="Times New Roman" w:hAnsi="Times New Roman" w:cs="Times New Roman"/>
          <w:color w:val="000000"/>
          <w:kern w:val="0"/>
          <w:sz w:val="32"/>
          <w:szCs w:val="32"/>
        </w:rPr>
      </w:pPr>
    </w:p>
    <w:p w14:paraId="1C1EA848">
      <w:pPr>
        <w:rPr>
          <w:rFonts w:ascii="Times New Roman" w:hAnsi="Times New Roman" w:cs="Times New Roman"/>
          <w:color w:val="000000"/>
          <w:kern w:val="0"/>
          <w:sz w:val="32"/>
          <w:szCs w:val="32"/>
        </w:rPr>
      </w:pPr>
    </w:p>
    <w:p w14:paraId="60352626">
      <w:pPr>
        <w:pStyle w:val="2"/>
        <w:rPr>
          <w:rFonts w:ascii="Times New Roman" w:hAnsi="Times New Roman" w:cs="Times New Roman"/>
          <w:color w:val="000000"/>
          <w:kern w:val="0"/>
          <w:sz w:val="32"/>
          <w:szCs w:val="32"/>
        </w:rPr>
      </w:pPr>
    </w:p>
    <w:p w14:paraId="39410BCA">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一、财政拨款收入：指本级财政当年拨付的资金。</w:t>
      </w:r>
    </w:p>
    <w:p w14:paraId="7AC52838">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二、政府性基金预算财政拨款收入：指本级财政当年拨付的政府性基金预算资金。</w:t>
      </w:r>
    </w:p>
    <w:p w14:paraId="06ACE01A">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三、事业收入：指事业单位开展专业业务活动及辅助活动所取得的收入。</w:t>
      </w:r>
    </w:p>
    <w:p w14:paraId="3EC8A467">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四、其他收入：指除上述“财政拨款收入”、“上级补助收入”、“事业收入”、“经营收入”、“附属单位上缴收入”等以外的收入。</w:t>
      </w:r>
    </w:p>
    <w:p w14:paraId="7CED7C9C">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五、上年结转和结余：指以前年度尚未完成、结转到本年按有关规定继续使用的资金。</w:t>
      </w:r>
    </w:p>
    <w:p w14:paraId="41F49339">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六、教育支出（类）：是指用于政府教育事务支出，包括保障机构正常运转、完成日常和特定的工作任务或事业发展目标的支出。</w:t>
      </w:r>
    </w:p>
    <w:p w14:paraId="1B8B0D71">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七、基本支出：指保障机构正常运转、完成支日常工作任务而发生的人员支出和公用支出。</w:t>
      </w:r>
    </w:p>
    <w:p w14:paraId="0551BF8F">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八、项目支出：指在基本支出之外为完成特定行政任务和事业发展目标所发生的支出。</w:t>
      </w:r>
    </w:p>
    <w:p w14:paraId="5B24EE41">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九、“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0E45058A">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十、政府采购 ：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14:paraId="5C99DD7A">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一、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01EA3EF">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十二、教育支出（类）普通教育（款）学前教育（项）：指幼儿园用于保障机构正常运行、开展日常工作的基本支出。</w:t>
      </w:r>
    </w:p>
    <w:p w14:paraId="57D79F98">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十三、教育支出（类）普通教育（款）小学教育（项）：指小学学校用于保障机构正常运行、开展日常工作的基本支出。</w:t>
      </w:r>
    </w:p>
    <w:p w14:paraId="560A1471">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十四、教育支出（类）普通教育（款）初中教育（项）：指初中学校用于保障机构正常运行、开展日常工作的基本支出。</w:t>
      </w:r>
    </w:p>
    <w:p w14:paraId="37AE1AA5">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十五、教育支出（类）其他教育支出（款）其他教育支出（项）：指为用于学校正常运转、开展日常工作的其他支出。</w:t>
      </w:r>
    </w:p>
    <w:p w14:paraId="6ABE68D6">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十六、社会保障和就业支出（类）人力资源和社会保障管理事务（款）引进人才费用（项）：</w:t>
      </w:r>
      <w:r>
        <w:rPr>
          <w:rFonts w:hint="eastAsia" w:ascii="仿宋" w:hAnsi="仿宋" w:eastAsia="仿宋" w:cs="仿宋"/>
          <w:color w:val="000000"/>
          <w:kern w:val="0"/>
          <w:sz w:val="32"/>
          <w:szCs w:val="32"/>
          <w:lang w:val="en-US" w:eastAsia="zh-CN"/>
        </w:rPr>
        <w:t>用于引进外国专家、引智成果推广以及其他相关人才引进工作的专项经费支出。包括用于引进人才的租房补贴和生活补助等</w:t>
      </w:r>
      <w:r>
        <w:rPr>
          <w:rFonts w:hint="eastAsia" w:ascii="仿宋" w:hAnsi="仿宋" w:eastAsia="仿宋" w:cs="仿宋"/>
          <w:color w:val="000000"/>
          <w:kern w:val="0"/>
          <w:sz w:val="32"/>
          <w:szCs w:val="32"/>
        </w:rPr>
        <w:t>。</w:t>
      </w:r>
    </w:p>
    <w:p w14:paraId="2472F216">
      <w:pPr>
        <w:pStyle w:val="12"/>
        <w:numPr>
          <w:numId w:val="0"/>
        </w:numPr>
        <w:overflowPunct w:val="0"/>
        <w:autoSpaceDE/>
        <w:autoSpaceDN/>
        <w:spacing w:line="600" w:lineRule="exact"/>
        <w:ind w:firstLine="640" w:firstLineChars="200"/>
        <w:jc w:val="both"/>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w:t>
      </w:r>
      <w:r>
        <w:rPr>
          <w:rFonts w:hint="eastAsia" w:ascii="仿宋" w:hAnsi="仿宋" w:eastAsia="仿宋" w:cs="仿宋"/>
          <w:color w:val="000000"/>
          <w:kern w:val="0"/>
          <w:sz w:val="32"/>
          <w:szCs w:val="32"/>
          <w:lang w:val="en-US" w:eastAsia="zh-CN"/>
        </w:rPr>
        <w:t>七</w:t>
      </w:r>
      <w:r>
        <w:rPr>
          <w:rFonts w:hint="eastAsia" w:ascii="仿宋" w:hAnsi="仿宋" w:eastAsia="仿宋" w:cs="仿宋"/>
          <w:color w:val="000000"/>
          <w:kern w:val="0"/>
          <w:sz w:val="32"/>
          <w:szCs w:val="32"/>
        </w:rPr>
        <w:t>、</w:t>
      </w:r>
      <w:r>
        <w:rPr>
          <w:rFonts w:hint="eastAsia" w:ascii="Times New Roman" w:hAnsi="Times New Roman" w:eastAsia="仿宋_GB2312" w:cs="Times New Roman"/>
          <w:sz w:val="32"/>
          <w:szCs w:val="32"/>
          <w:lang w:val="en-US" w:eastAsia="zh-CN"/>
        </w:rPr>
        <w:t>疾病预防控制机构</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类）行政事业单位医疗</w:t>
      </w:r>
      <w:r>
        <w:rPr>
          <w:rFonts w:hint="eastAsia"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事业单位医疗</w:t>
      </w:r>
      <w:r>
        <w:rPr>
          <w:rFonts w:hint="eastAsia" w:ascii="Times New Roman" w:hAnsi="Times New Roman" w:eastAsia="仿宋_GB2312" w:cs="Times New Roman"/>
          <w:sz w:val="32"/>
          <w:szCs w:val="32"/>
        </w:rPr>
        <w:t>（项）</w:t>
      </w:r>
      <w:r>
        <w:rPr>
          <w:rFonts w:hint="eastAsia" w:ascii="仿宋" w:hAnsi="仿宋" w:eastAsia="仿宋" w:cs="仿宋"/>
          <w:color w:val="000000"/>
          <w:kern w:val="0"/>
          <w:sz w:val="32"/>
          <w:szCs w:val="32"/>
        </w:rPr>
        <w:t>：</w:t>
      </w:r>
      <w:r>
        <w:rPr>
          <w:rFonts w:hint="eastAsia" w:ascii="仿宋" w:hAnsi="仿宋" w:eastAsia="仿宋" w:cs="仿宋"/>
          <w:color w:val="000000"/>
          <w:kern w:val="0"/>
          <w:sz w:val="32"/>
          <w:szCs w:val="32"/>
          <w:lang w:val="en-US" w:eastAsia="zh-CN"/>
        </w:rPr>
        <w:t>反映财政部门安排的事业单位基本医疗保险缴费经费，未参加医疗保险的事业单位的公费医疗经费，按国家规定享受离休人员待遇的医疗经费</w:t>
      </w:r>
      <w:r>
        <w:rPr>
          <w:rFonts w:hint="eastAsia" w:ascii="仿宋" w:hAnsi="仿宋" w:eastAsia="仿宋" w:cs="仿宋"/>
          <w:color w:val="000000"/>
          <w:kern w:val="0"/>
          <w:sz w:val="32"/>
          <w:szCs w:val="32"/>
        </w:rPr>
        <w:t>。</w:t>
      </w:r>
    </w:p>
    <w:p w14:paraId="16A56CC4">
      <w:pPr>
        <w:pStyle w:val="12"/>
        <w:jc w:val="center"/>
        <w:rPr>
          <w:rFonts w:ascii="Times New Roman" w:hAnsi="Times New Roman" w:cs="Times New Roman"/>
          <w:sz w:val="72"/>
          <w:szCs w:val="72"/>
        </w:rPr>
      </w:pPr>
    </w:p>
    <w:p w14:paraId="5B215139">
      <w:pPr>
        <w:pStyle w:val="12"/>
        <w:jc w:val="center"/>
        <w:rPr>
          <w:rFonts w:ascii="Times New Roman" w:hAnsi="Times New Roman" w:cs="Times New Roman"/>
          <w:sz w:val="72"/>
          <w:szCs w:val="72"/>
        </w:rPr>
      </w:pPr>
    </w:p>
    <w:p w14:paraId="4FA0C8AF">
      <w:pPr>
        <w:pStyle w:val="12"/>
        <w:jc w:val="center"/>
        <w:rPr>
          <w:rFonts w:ascii="Times New Roman" w:hAnsi="Times New Roman" w:cs="Times New Roman"/>
          <w:sz w:val="72"/>
          <w:szCs w:val="72"/>
        </w:rPr>
      </w:pPr>
    </w:p>
    <w:p w14:paraId="190F3CF4">
      <w:pPr>
        <w:pStyle w:val="12"/>
        <w:jc w:val="center"/>
        <w:rPr>
          <w:rFonts w:ascii="Times New Roman" w:hAnsi="Times New Roman" w:cs="Times New Roman"/>
          <w:sz w:val="72"/>
          <w:szCs w:val="72"/>
        </w:rPr>
      </w:pPr>
    </w:p>
    <w:p w14:paraId="7676310D">
      <w:pPr>
        <w:pStyle w:val="12"/>
        <w:jc w:val="center"/>
        <w:rPr>
          <w:rFonts w:ascii="Times New Roman" w:hAnsi="Times New Roman" w:cs="Times New Roman"/>
          <w:sz w:val="72"/>
          <w:szCs w:val="72"/>
        </w:rPr>
      </w:pPr>
    </w:p>
    <w:p w14:paraId="192131BF">
      <w:pPr>
        <w:pStyle w:val="12"/>
        <w:jc w:val="center"/>
        <w:rPr>
          <w:rFonts w:ascii="Times New Roman" w:hAnsi="Times New Roman" w:cs="Times New Roman"/>
          <w:sz w:val="72"/>
          <w:szCs w:val="72"/>
        </w:rPr>
      </w:pPr>
    </w:p>
    <w:p w14:paraId="2EC81BC6">
      <w:pPr>
        <w:pStyle w:val="12"/>
        <w:jc w:val="center"/>
        <w:rPr>
          <w:rFonts w:ascii="Times New Roman" w:hAnsi="Times New Roman" w:cs="Times New Roman"/>
          <w:sz w:val="72"/>
          <w:szCs w:val="72"/>
        </w:rPr>
      </w:pPr>
    </w:p>
    <w:p w14:paraId="04D4ECBD">
      <w:pPr>
        <w:pStyle w:val="12"/>
        <w:jc w:val="both"/>
        <w:rPr>
          <w:rFonts w:ascii="Times New Roman" w:hAnsi="Times New Roman" w:cs="Times New Roman"/>
          <w:sz w:val="72"/>
          <w:szCs w:val="72"/>
        </w:rPr>
      </w:pPr>
    </w:p>
    <w:p w14:paraId="7558C156">
      <w:pPr>
        <w:pStyle w:val="12"/>
        <w:jc w:val="both"/>
        <w:rPr>
          <w:rFonts w:ascii="Times New Roman" w:hAnsi="Times New Roman" w:cs="Times New Roman"/>
          <w:sz w:val="72"/>
          <w:szCs w:val="72"/>
        </w:rPr>
      </w:pPr>
    </w:p>
    <w:p w14:paraId="6B6A744A">
      <w:pPr>
        <w:pStyle w:val="12"/>
        <w:jc w:val="both"/>
        <w:rPr>
          <w:rFonts w:ascii="Times New Roman" w:hAnsi="Times New Roman" w:cs="Times New Roman"/>
          <w:sz w:val="72"/>
          <w:szCs w:val="72"/>
        </w:rPr>
      </w:pPr>
    </w:p>
    <w:p w14:paraId="644D57B4">
      <w:pPr>
        <w:pStyle w:val="12"/>
        <w:jc w:val="both"/>
        <w:rPr>
          <w:rFonts w:ascii="Times New Roman" w:hAnsi="Times New Roman" w:cs="Times New Roman"/>
          <w:sz w:val="72"/>
          <w:szCs w:val="72"/>
        </w:rPr>
      </w:pPr>
    </w:p>
    <w:p w14:paraId="310782C3">
      <w:pPr>
        <w:pStyle w:val="12"/>
        <w:jc w:val="both"/>
        <w:rPr>
          <w:rFonts w:ascii="Times New Roman" w:hAnsi="Times New Roman" w:cs="Times New Roman"/>
          <w:sz w:val="72"/>
          <w:szCs w:val="72"/>
        </w:rPr>
      </w:pPr>
    </w:p>
    <w:p w14:paraId="79014C46">
      <w:pPr>
        <w:pStyle w:val="12"/>
        <w:jc w:val="both"/>
        <w:rPr>
          <w:rFonts w:ascii="Times New Roman" w:hAnsi="Times New Roman" w:cs="Times New Roman"/>
          <w:sz w:val="72"/>
          <w:szCs w:val="72"/>
        </w:rPr>
      </w:pPr>
    </w:p>
    <w:p w14:paraId="47E8669B">
      <w:pPr>
        <w:pStyle w:val="12"/>
        <w:jc w:val="both"/>
        <w:rPr>
          <w:rFonts w:ascii="Times New Roman" w:hAnsi="Times New Roman" w:cs="Times New Roman"/>
          <w:sz w:val="72"/>
          <w:szCs w:val="72"/>
        </w:rPr>
      </w:pPr>
    </w:p>
    <w:p w14:paraId="198B659E">
      <w:pPr>
        <w:pStyle w:val="12"/>
        <w:jc w:val="both"/>
        <w:rPr>
          <w:rFonts w:ascii="Times New Roman" w:hAnsi="Times New Roman" w:cs="Times New Roman"/>
          <w:sz w:val="72"/>
          <w:szCs w:val="72"/>
        </w:rPr>
      </w:pPr>
    </w:p>
    <w:p w14:paraId="43D59985">
      <w:pPr>
        <w:pStyle w:val="12"/>
        <w:jc w:val="both"/>
        <w:rPr>
          <w:rFonts w:ascii="Times New Roman" w:hAnsi="Times New Roman" w:cs="Times New Roman"/>
          <w:sz w:val="72"/>
          <w:szCs w:val="72"/>
        </w:rPr>
      </w:pPr>
    </w:p>
    <w:p w14:paraId="6898DA4B">
      <w:pPr>
        <w:pStyle w:val="12"/>
        <w:jc w:val="both"/>
        <w:rPr>
          <w:rFonts w:ascii="Times New Roman" w:hAnsi="Times New Roman" w:cs="Times New Roman"/>
          <w:sz w:val="72"/>
          <w:szCs w:val="72"/>
        </w:rPr>
      </w:pPr>
    </w:p>
    <w:p w14:paraId="5AD2F484">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19E17958">
      <w:pPr>
        <w:rPr>
          <w:rFonts w:ascii="Times New Roman" w:hAnsi="Times New Roman" w:cs="Times New Roman"/>
          <w:sz w:val="72"/>
          <w:szCs w:val="72"/>
        </w:rPr>
      </w:pPr>
    </w:p>
    <w:p w14:paraId="6278DAE1">
      <w:pPr>
        <w:pStyle w:val="12"/>
        <w:jc w:val="center"/>
        <w:rPr>
          <w:rFonts w:ascii="Times New Roman" w:hAnsi="Times New Roman" w:cs="Times New Roman"/>
          <w:sz w:val="72"/>
          <w:szCs w:val="72"/>
        </w:rPr>
      </w:pPr>
    </w:p>
    <w:p w14:paraId="0F6DA11C">
      <w:pPr>
        <w:pStyle w:val="12"/>
        <w:jc w:val="center"/>
        <w:rPr>
          <w:rFonts w:ascii="Times New Roman" w:hAnsi="Times New Roman" w:cs="Times New Roman"/>
          <w:sz w:val="72"/>
          <w:szCs w:val="72"/>
        </w:rPr>
      </w:pPr>
    </w:p>
    <w:p w14:paraId="74909776">
      <w:pPr>
        <w:pStyle w:val="12"/>
        <w:jc w:val="center"/>
        <w:rPr>
          <w:rFonts w:ascii="Times New Roman" w:hAnsi="Times New Roman" w:cs="Times New Roman"/>
          <w:sz w:val="72"/>
          <w:szCs w:val="72"/>
        </w:rPr>
      </w:pPr>
    </w:p>
    <w:p w14:paraId="14245720">
      <w:pPr>
        <w:pStyle w:val="12"/>
        <w:jc w:val="center"/>
        <w:rPr>
          <w:rFonts w:ascii="Times New Roman" w:hAnsi="Times New Roman" w:cs="Times New Roman"/>
          <w:sz w:val="72"/>
          <w:szCs w:val="72"/>
        </w:rPr>
      </w:pPr>
    </w:p>
    <w:p w14:paraId="4B451E22">
      <w:pPr>
        <w:pStyle w:val="12"/>
        <w:jc w:val="center"/>
        <w:rPr>
          <w:rFonts w:ascii="Times New Roman" w:hAnsi="Times New Roman" w:cs="Times New Roman"/>
          <w:sz w:val="72"/>
          <w:szCs w:val="72"/>
        </w:rPr>
      </w:pPr>
    </w:p>
    <w:p w14:paraId="146C351F">
      <w:pPr>
        <w:pStyle w:val="12"/>
        <w:jc w:val="center"/>
        <w:rPr>
          <w:rFonts w:ascii="Times New Roman" w:hAnsi="Times New Roman" w:cs="Times New Roman"/>
          <w:sz w:val="72"/>
          <w:szCs w:val="72"/>
        </w:rPr>
      </w:pPr>
    </w:p>
    <w:p w14:paraId="44364E4D">
      <w:pPr>
        <w:spacing w:line="540" w:lineRule="exact"/>
        <w:jc w:val="center"/>
        <w:rPr>
          <w:rFonts w:hint="eastAsia" w:ascii="宋体" w:hAnsi="宋体" w:eastAsia="宋体" w:cs="宋体"/>
          <w:b/>
          <w:bCs/>
          <w:sz w:val="44"/>
          <w:szCs w:val="44"/>
          <w:lang w:eastAsia="zh-CN"/>
        </w:rPr>
      </w:pPr>
      <w:r>
        <w:rPr>
          <w:rFonts w:hint="eastAsia" w:ascii="宋体" w:hAnsi="宋体" w:eastAsia="宋体" w:cs="宋体"/>
          <w:b/>
          <w:bCs/>
          <w:sz w:val="44"/>
          <w:szCs w:val="44"/>
        </w:rPr>
        <w:t>2025年度</w:t>
      </w:r>
      <w:r>
        <w:rPr>
          <w:rFonts w:hint="eastAsia" w:ascii="宋体" w:hAnsi="宋体" w:eastAsia="宋体" w:cs="宋体"/>
          <w:b/>
          <w:bCs/>
          <w:sz w:val="44"/>
          <w:szCs w:val="44"/>
          <w:lang w:eastAsia="zh-CN"/>
        </w:rPr>
        <w:t>益阳市</w:t>
      </w:r>
      <w:r>
        <w:rPr>
          <w:rFonts w:hint="eastAsia" w:ascii="宋体" w:hAnsi="宋体" w:eastAsia="宋体" w:cs="宋体"/>
          <w:b/>
          <w:bCs/>
          <w:sz w:val="44"/>
          <w:szCs w:val="44"/>
          <w:lang w:val="en-US" w:eastAsia="zh-CN"/>
        </w:rPr>
        <w:t>沧水铺镇中心</w:t>
      </w:r>
      <w:r>
        <w:rPr>
          <w:rFonts w:hint="eastAsia" w:ascii="宋体" w:hAnsi="宋体" w:eastAsia="宋体" w:cs="宋体"/>
          <w:b/>
          <w:bCs/>
          <w:sz w:val="44"/>
          <w:szCs w:val="44"/>
          <w:lang w:eastAsia="zh-CN"/>
        </w:rPr>
        <w:t>学校</w:t>
      </w:r>
    </w:p>
    <w:p w14:paraId="235B4787">
      <w:pPr>
        <w:spacing w:line="540" w:lineRule="exact"/>
        <w:jc w:val="center"/>
        <w:rPr>
          <w:rFonts w:hint="eastAsia" w:ascii="宋体" w:hAnsi="宋体" w:eastAsia="宋体" w:cs="宋体"/>
          <w:b/>
          <w:bCs/>
          <w:sz w:val="44"/>
          <w:szCs w:val="44"/>
        </w:rPr>
      </w:pPr>
      <w:r>
        <w:rPr>
          <w:rFonts w:hint="eastAsia" w:ascii="宋体" w:hAnsi="宋体" w:eastAsia="宋体" w:cs="宋体"/>
          <w:b/>
          <w:bCs/>
          <w:sz w:val="44"/>
          <w:szCs w:val="44"/>
        </w:rPr>
        <w:t>整体支出绩效自评报告</w:t>
      </w:r>
    </w:p>
    <w:p w14:paraId="5345BCB6">
      <w:pPr>
        <w:spacing w:line="540" w:lineRule="exact"/>
        <w:jc w:val="center"/>
        <w:rPr>
          <w:rFonts w:hint="eastAsia" w:ascii="方正小标宋简体" w:eastAsia="方正小标宋简体"/>
          <w:sz w:val="44"/>
          <w:szCs w:val="44"/>
        </w:rPr>
      </w:pPr>
    </w:p>
    <w:p w14:paraId="0275B2F6">
      <w:pPr>
        <w:numPr>
          <w:ilvl w:val="0"/>
          <w:numId w:val="3"/>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部门（单位）基本情况</w:t>
      </w:r>
    </w:p>
    <w:p w14:paraId="2C6C9F0D">
      <w:pPr>
        <w:spacing w:line="540" w:lineRule="exact"/>
        <w:ind w:firstLine="640" w:firstLineChars="200"/>
        <w:rPr>
          <w:rFonts w:hint="eastAsia" w:ascii="仿宋_GB2312" w:eastAsia="仿宋_GB2312"/>
          <w:sz w:val="32"/>
          <w:szCs w:val="32"/>
        </w:rPr>
      </w:pPr>
      <w:r>
        <w:rPr>
          <w:rFonts w:hint="eastAsia" w:ascii="楷体_GB2312" w:eastAsia="楷体_GB2312"/>
          <w:sz w:val="32"/>
          <w:szCs w:val="32"/>
        </w:rPr>
        <w:t>（一）主要职能</w:t>
      </w:r>
    </w:p>
    <w:p w14:paraId="65091623">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（一）负责贯彻党的教育方针,坚持社会主义办学方向,对学生进行德育、智育、体育、美育和劳动教育等方面的教育。</w:t>
      </w:r>
    </w:p>
    <w:p w14:paraId="37C34EBD">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（二）负责配合各级人民政府依法动员适龄儿童、少年入学,严格控制学生辍学,依法保证适龄儿童、少年接受九年义务教育。</w:t>
      </w:r>
    </w:p>
    <w:p w14:paraId="2B491C83">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（三）负责制定学校教育发展规划,并抓好组织实施和落实工作。</w:t>
      </w:r>
    </w:p>
    <w:p w14:paraId="39E1B497">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（四）负责按照教育主管部门发布的指导性教学计划、教学大纲,组织实施教育教学活动。</w:t>
      </w:r>
    </w:p>
    <w:p w14:paraId="25DABAAA">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（五）负责依据国家主管部门有关教学计划、课程设置等方面的规定,决定和实施本校的教学计划,组织教学评比、集体备课,对学生进行统一考核等。</w:t>
      </w:r>
    </w:p>
    <w:p w14:paraId="752542ED">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（六）负责学籍管理。</w:t>
      </w:r>
    </w:p>
    <w:p w14:paraId="5575EA81">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（七）负责聘任、培训、考核教师,依法奖励或处分有关教师和职工。</w:t>
      </w:r>
    </w:p>
    <w:p w14:paraId="56800623">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（八）负责科学管理、合理使用学校的设施和经费。</w:t>
      </w:r>
    </w:p>
    <w:p w14:paraId="1F08C1FD">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（九）负责维护学校、师生的合法权益,有权拒绝任何组织和个人对教育教学活动进行非法干涉。</w:t>
      </w:r>
    </w:p>
    <w:p w14:paraId="4B09D46E">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（十）依法接受各级教育行政部门的检查指导和人民群众的监督。</w:t>
      </w:r>
    </w:p>
    <w:p w14:paraId="54E047B8">
      <w:pPr>
        <w:spacing w:line="540" w:lineRule="exact"/>
        <w:ind w:firstLine="640" w:firstLineChars="200"/>
        <w:rPr>
          <w:rFonts w:hint="eastAsia" w:ascii="仿宋_GB2312" w:eastAsia="仿宋_GB2312"/>
          <w:sz w:val="32"/>
          <w:szCs w:val="32"/>
        </w:rPr>
      </w:pPr>
      <w:r>
        <w:rPr>
          <w:rFonts w:hint="eastAsia" w:ascii="楷体_GB2312" w:eastAsia="楷体_GB2312"/>
          <w:sz w:val="32"/>
          <w:szCs w:val="32"/>
        </w:rPr>
        <w:t>（二）部门决算单位构成</w:t>
      </w:r>
    </w:p>
    <w:p w14:paraId="599D0159">
      <w:pPr>
        <w:numPr>
          <w:ilvl w:val="0"/>
          <w:numId w:val="0"/>
        </w:num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益阳市赫山区沧水铺镇中心学校202</w:t>
      </w:r>
      <w:r>
        <w:rPr>
          <w:rFonts w:hint="eastAsia" w:ascii="仿宋_GB2312" w:eastAsia="仿宋_GB2312"/>
          <w:sz w:val="32"/>
          <w:szCs w:val="32"/>
          <w:lang w:val="en-US" w:eastAsia="zh-CN"/>
        </w:rPr>
        <w:t>5</w:t>
      </w:r>
      <w:r>
        <w:rPr>
          <w:rFonts w:hint="eastAsia" w:ascii="仿宋_GB2312" w:eastAsia="仿宋_GB2312"/>
          <w:sz w:val="32"/>
          <w:szCs w:val="32"/>
          <w:lang w:eastAsia="zh-CN"/>
        </w:rPr>
        <w:t>年部门决算汇总公开单位构成包括：沧水铺镇芙蓉学校、沧水铺镇逸夫学校、沧水铺镇花亭子学校、沧水铺镇河江湾学校、沧水铺镇金凤山学校、沧水铺镇中心幼儿园。</w:t>
      </w:r>
    </w:p>
    <w:p w14:paraId="0075A183">
      <w:pPr>
        <w:numPr>
          <w:ilvl w:val="0"/>
          <w:numId w:val="0"/>
        </w:numPr>
        <w:spacing w:line="540" w:lineRule="exact"/>
        <w:ind w:firstLine="640" w:firstLineChars="200"/>
        <w:rPr>
          <w:rFonts w:hint="eastAsia" w:ascii="黑体" w:hAnsi="黑体" w:eastAsia="黑体"/>
          <w:sz w:val="32"/>
          <w:szCs w:val="32"/>
        </w:rPr>
      </w:pPr>
      <w:r>
        <w:rPr>
          <w:rFonts w:hint="eastAsia" w:ascii="仿宋_GB2312" w:eastAsia="仿宋_GB2312"/>
          <w:sz w:val="32"/>
          <w:szCs w:val="32"/>
          <w:lang w:eastAsia="zh-CN"/>
        </w:rPr>
        <w:t>益阳市赫山区沧水铺镇中心学校</w:t>
      </w:r>
      <w:r>
        <w:rPr>
          <w:rFonts w:hint="eastAsia" w:ascii="仿宋_GB2312" w:eastAsia="仿宋_GB2312"/>
          <w:sz w:val="32"/>
          <w:szCs w:val="32"/>
        </w:rPr>
        <w:t>内设机构：政教处、总务处、后勤管理处、德育处、党建办等。</w:t>
      </w:r>
    </w:p>
    <w:p w14:paraId="52D1C7F9">
      <w:pPr>
        <w:spacing w:line="540" w:lineRule="exact"/>
        <w:ind w:firstLine="640" w:firstLineChars="200"/>
        <w:rPr>
          <w:rFonts w:ascii="黑体" w:hAnsi="黑体" w:eastAsia="黑体"/>
          <w:sz w:val="32"/>
          <w:szCs w:val="32"/>
        </w:rPr>
      </w:pPr>
      <w:r>
        <w:rPr>
          <w:rFonts w:hint="eastAsia" w:ascii="黑体" w:hAnsi="黑体" w:eastAsia="黑体"/>
          <w:sz w:val="32"/>
          <w:szCs w:val="32"/>
        </w:rPr>
        <w:t>二、一般公共预算支出情况</w:t>
      </w:r>
    </w:p>
    <w:p w14:paraId="429C041C">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（一）基本支出情况</w:t>
      </w:r>
    </w:p>
    <w:p w14:paraId="3C6D9A82">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益阳市赫山区沧水铺镇中心学校202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w:t>
      </w:r>
      <w:r>
        <w:rPr>
          <w:rFonts w:hint="eastAsia" w:ascii="仿宋_GB2312" w:eastAsia="仿宋_GB2312"/>
          <w:sz w:val="32"/>
          <w:szCs w:val="32"/>
          <w:lang w:val="en-US" w:eastAsia="zh-CN"/>
        </w:rPr>
        <w:t>4595.37</w:t>
      </w:r>
      <w:r>
        <w:rPr>
          <w:rFonts w:hint="eastAsia" w:ascii="仿宋_GB2312" w:eastAsia="仿宋_GB2312"/>
          <w:sz w:val="32"/>
          <w:szCs w:val="32"/>
        </w:rPr>
        <w:t>万元,其中工资福利支出</w:t>
      </w:r>
      <w:r>
        <w:rPr>
          <w:rFonts w:hint="eastAsia" w:ascii="仿宋_GB2312" w:eastAsia="仿宋_GB2312"/>
          <w:sz w:val="32"/>
          <w:szCs w:val="32"/>
          <w:lang w:val="en-US" w:eastAsia="zh-CN"/>
        </w:rPr>
        <w:t>3534.05</w:t>
      </w:r>
      <w:r>
        <w:rPr>
          <w:rFonts w:hint="eastAsia" w:ascii="仿宋_GB2312" w:eastAsia="仿宋_GB2312"/>
          <w:sz w:val="32"/>
          <w:szCs w:val="32"/>
        </w:rPr>
        <w:t>万元，对个人和家庭的补助支出</w:t>
      </w:r>
      <w:r>
        <w:rPr>
          <w:rFonts w:hint="eastAsia" w:ascii="仿宋_GB2312" w:eastAsia="仿宋_GB2312"/>
          <w:sz w:val="32"/>
          <w:szCs w:val="32"/>
          <w:lang w:val="en-US" w:eastAsia="zh-CN"/>
        </w:rPr>
        <w:t>191.71</w:t>
      </w:r>
      <w:r>
        <w:rPr>
          <w:rFonts w:hint="eastAsia" w:ascii="仿宋_GB2312" w:eastAsia="仿宋_GB2312"/>
          <w:sz w:val="32"/>
          <w:szCs w:val="32"/>
        </w:rPr>
        <w:t>万元，商品和服务支出</w:t>
      </w:r>
      <w:r>
        <w:rPr>
          <w:rFonts w:hint="eastAsia" w:ascii="仿宋_GB2312" w:eastAsia="仿宋_GB2312"/>
          <w:sz w:val="32"/>
          <w:szCs w:val="32"/>
          <w:lang w:val="en-US" w:eastAsia="zh-CN"/>
        </w:rPr>
        <w:t>869.6</w:t>
      </w:r>
      <w:r>
        <w:rPr>
          <w:rFonts w:hint="eastAsia" w:ascii="仿宋_GB2312" w:eastAsia="仿宋_GB2312"/>
          <w:sz w:val="32"/>
          <w:szCs w:val="32"/>
        </w:rPr>
        <w:t>万元。</w:t>
      </w:r>
    </w:p>
    <w:p w14:paraId="27682177">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1.工资福利支出</w:t>
      </w:r>
    </w:p>
    <w:p w14:paraId="21495B80">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w:t>
      </w:r>
      <w:r>
        <w:rPr>
          <w:rFonts w:hint="eastAsia" w:ascii="仿宋_GB2312" w:eastAsia="仿宋_GB2312"/>
          <w:sz w:val="32"/>
          <w:szCs w:val="32"/>
          <w:lang w:val="en-US" w:eastAsia="zh-CN"/>
        </w:rPr>
        <w:t>沧水铺镇</w:t>
      </w:r>
      <w:r>
        <w:rPr>
          <w:rFonts w:hint="eastAsia" w:ascii="仿宋_GB2312" w:eastAsia="仿宋_GB2312"/>
          <w:sz w:val="32"/>
          <w:szCs w:val="32"/>
          <w:lang w:eastAsia="zh-CN"/>
        </w:rPr>
        <w:t>中心学校202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年度一般公共预算财政拨款基本支出工资福利支出</w:t>
      </w:r>
      <w:r>
        <w:rPr>
          <w:rFonts w:hint="eastAsia" w:ascii="仿宋_GB2312" w:eastAsia="仿宋_GB2312"/>
          <w:sz w:val="32"/>
          <w:szCs w:val="32"/>
          <w:lang w:val="en-US" w:eastAsia="zh-CN"/>
        </w:rPr>
        <w:t>3534.05</w:t>
      </w:r>
      <w:r>
        <w:rPr>
          <w:rFonts w:hint="eastAsia" w:ascii="仿宋_GB2312" w:eastAsia="仿宋_GB2312"/>
          <w:sz w:val="32"/>
          <w:szCs w:val="32"/>
        </w:rPr>
        <w:t>万元，其中基本工资</w:t>
      </w:r>
      <w:r>
        <w:rPr>
          <w:rFonts w:hint="eastAsia" w:ascii="仿宋_GB2312" w:eastAsia="仿宋_GB2312"/>
          <w:sz w:val="32"/>
          <w:szCs w:val="32"/>
          <w:lang w:val="en-US" w:eastAsia="zh-CN"/>
        </w:rPr>
        <w:t>1621.74</w:t>
      </w:r>
      <w:r>
        <w:rPr>
          <w:rFonts w:hint="eastAsia" w:ascii="仿宋_GB2312" w:eastAsia="仿宋_GB2312"/>
          <w:sz w:val="32"/>
          <w:szCs w:val="32"/>
        </w:rPr>
        <w:t>万元、津贴补贴</w:t>
      </w:r>
      <w:r>
        <w:rPr>
          <w:rFonts w:hint="eastAsia" w:ascii="仿宋_GB2312" w:eastAsia="仿宋_GB2312"/>
          <w:sz w:val="32"/>
          <w:szCs w:val="32"/>
          <w:lang w:val="en-US" w:eastAsia="zh-CN"/>
        </w:rPr>
        <w:t>128.22</w:t>
      </w:r>
      <w:r>
        <w:rPr>
          <w:rFonts w:hint="eastAsia" w:ascii="仿宋_GB2312" w:eastAsia="仿宋_GB2312"/>
          <w:sz w:val="32"/>
          <w:szCs w:val="32"/>
        </w:rPr>
        <w:t>万元、</w:t>
      </w:r>
      <w:r>
        <w:rPr>
          <w:rFonts w:hint="eastAsia" w:ascii="仿宋_GB2312" w:eastAsia="仿宋_GB2312"/>
          <w:sz w:val="32"/>
          <w:szCs w:val="32"/>
          <w:lang w:val="en-US" w:eastAsia="zh-CN"/>
        </w:rPr>
        <w:t>奖金83.96万元、伙食补助2.4万元、</w:t>
      </w:r>
      <w:r>
        <w:rPr>
          <w:rFonts w:hint="eastAsia" w:ascii="仿宋_GB2312" w:eastAsia="仿宋_GB2312"/>
          <w:sz w:val="32"/>
          <w:szCs w:val="32"/>
        </w:rPr>
        <w:t>绩效工资</w:t>
      </w:r>
      <w:r>
        <w:rPr>
          <w:rFonts w:hint="eastAsia" w:ascii="仿宋_GB2312" w:eastAsia="仿宋_GB2312"/>
          <w:sz w:val="32"/>
          <w:szCs w:val="32"/>
          <w:lang w:val="en-US" w:eastAsia="zh-CN"/>
        </w:rPr>
        <w:t>625.66</w:t>
      </w:r>
      <w:r>
        <w:rPr>
          <w:rFonts w:hint="eastAsia" w:ascii="仿宋_GB2312" w:eastAsia="仿宋_GB2312"/>
          <w:sz w:val="32"/>
          <w:szCs w:val="32"/>
        </w:rPr>
        <w:t>万元、机关事业单位基本养老保险缴费</w:t>
      </w:r>
      <w:r>
        <w:rPr>
          <w:rFonts w:hint="eastAsia" w:ascii="仿宋_GB2312" w:eastAsia="仿宋_GB2312"/>
          <w:sz w:val="32"/>
          <w:szCs w:val="32"/>
          <w:lang w:val="en-US" w:eastAsia="zh-CN"/>
        </w:rPr>
        <w:t>357.57</w:t>
      </w:r>
      <w:r>
        <w:rPr>
          <w:rFonts w:hint="eastAsia" w:ascii="仿宋_GB2312" w:eastAsia="仿宋_GB2312"/>
          <w:sz w:val="32"/>
          <w:szCs w:val="32"/>
        </w:rPr>
        <w:t>万元、职业年金缴费</w:t>
      </w:r>
      <w:r>
        <w:rPr>
          <w:rFonts w:hint="eastAsia" w:ascii="仿宋_GB2312" w:eastAsia="仿宋_GB2312"/>
          <w:sz w:val="32"/>
          <w:szCs w:val="32"/>
          <w:lang w:val="en-US" w:eastAsia="zh-CN"/>
        </w:rPr>
        <w:t>89.39</w:t>
      </w:r>
      <w:r>
        <w:rPr>
          <w:rFonts w:hint="eastAsia" w:ascii="仿宋_GB2312" w:eastAsia="仿宋_GB2312"/>
          <w:sz w:val="32"/>
          <w:szCs w:val="32"/>
        </w:rPr>
        <w:t>万元、职工基本医疗保险缴费</w:t>
      </w:r>
      <w:r>
        <w:rPr>
          <w:rFonts w:hint="eastAsia" w:ascii="仿宋_GB2312" w:eastAsia="仿宋_GB2312"/>
          <w:sz w:val="32"/>
          <w:szCs w:val="32"/>
          <w:lang w:val="en-US" w:eastAsia="zh-CN"/>
        </w:rPr>
        <w:t>178.78</w:t>
      </w:r>
      <w:r>
        <w:rPr>
          <w:rFonts w:hint="eastAsia" w:ascii="仿宋_GB2312" w:eastAsia="仿宋_GB2312"/>
          <w:sz w:val="32"/>
          <w:szCs w:val="32"/>
        </w:rPr>
        <w:t>万元、住房公积金</w:t>
      </w:r>
      <w:r>
        <w:rPr>
          <w:rFonts w:hint="eastAsia" w:ascii="仿宋_GB2312" w:eastAsia="仿宋_GB2312"/>
          <w:sz w:val="32"/>
          <w:szCs w:val="32"/>
          <w:lang w:val="en-US" w:eastAsia="zh-CN"/>
        </w:rPr>
        <w:t>326.01</w:t>
      </w:r>
      <w:r>
        <w:rPr>
          <w:rFonts w:hint="eastAsia" w:ascii="仿宋_GB2312" w:eastAsia="仿宋_GB2312"/>
          <w:sz w:val="32"/>
          <w:szCs w:val="32"/>
        </w:rPr>
        <w:t>万元、其他工资福利支出</w:t>
      </w:r>
      <w:r>
        <w:rPr>
          <w:rFonts w:hint="eastAsia" w:ascii="仿宋_GB2312" w:eastAsia="仿宋_GB2312"/>
          <w:sz w:val="32"/>
          <w:szCs w:val="32"/>
          <w:lang w:val="en-US" w:eastAsia="zh-CN"/>
        </w:rPr>
        <w:t>120.32</w:t>
      </w:r>
      <w:r>
        <w:rPr>
          <w:rFonts w:hint="eastAsia" w:ascii="仿宋_GB2312" w:eastAsia="仿宋_GB2312"/>
          <w:sz w:val="32"/>
          <w:szCs w:val="32"/>
        </w:rPr>
        <w:t xml:space="preserve">万元。 </w:t>
      </w:r>
    </w:p>
    <w:p w14:paraId="11E61AFF">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2.商品服务支出</w:t>
      </w:r>
    </w:p>
    <w:p w14:paraId="4CCEC2CA">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w:t>
      </w:r>
      <w:r>
        <w:rPr>
          <w:rFonts w:hint="eastAsia" w:ascii="仿宋_GB2312" w:eastAsia="仿宋_GB2312"/>
          <w:sz w:val="32"/>
          <w:szCs w:val="32"/>
          <w:lang w:val="en-US" w:eastAsia="zh-CN"/>
        </w:rPr>
        <w:t>沧水铺</w:t>
      </w:r>
      <w:r>
        <w:rPr>
          <w:rFonts w:hint="eastAsia" w:ascii="仿宋_GB2312" w:eastAsia="仿宋_GB2312"/>
          <w:sz w:val="32"/>
          <w:szCs w:val="32"/>
          <w:lang w:eastAsia="zh-CN"/>
        </w:rPr>
        <w:t>镇中心学校202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年度一般公共预算财政拨款基本支出商品服务支出</w:t>
      </w:r>
      <w:r>
        <w:rPr>
          <w:rFonts w:hint="eastAsia" w:ascii="仿宋_GB2312" w:eastAsia="仿宋_GB2312"/>
          <w:sz w:val="32"/>
          <w:szCs w:val="32"/>
          <w:lang w:val="en-US" w:eastAsia="zh-CN"/>
        </w:rPr>
        <w:t>869.6</w:t>
      </w:r>
      <w:r>
        <w:rPr>
          <w:rFonts w:hint="eastAsia" w:ascii="仿宋_GB2312" w:eastAsia="仿宋_GB2312"/>
          <w:sz w:val="32"/>
          <w:szCs w:val="32"/>
        </w:rPr>
        <w:t>万元，其中办公费</w:t>
      </w:r>
      <w:r>
        <w:rPr>
          <w:rFonts w:hint="eastAsia" w:ascii="仿宋_GB2312" w:eastAsia="仿宋_GB2312"/>
          <w:sz w:val="32"/>
          <w:szCs w:val="32"/>
          <w:lang w:val="en-US" w:eastAsia="zh-CN"/>
        </w:rPr>
        <w:t>152.65</w:t>
      </w:r>
      <w:r>
        <w:rPr>
          <w:rFonts w:hint="eastAsia" w:ascii="仿宋_GB2312" w:eastAsia="仿宋_GB2312"/>
          <w:sz w:val="32"/>
          <w:szCs w:val="32"/>
        </w:rPr>
        <w:t>万元、印刷费</w:t>
      </w:r>
      <w:r>
        <w:rPr>
          <w:rFonts w:hint="eastAsia" w:ascii="仿宋_GB2312" w:eastAsia="仿宋_GB2312"/>
          <w:sz w:val="32"/>
          <w:szCs w:val="32"/>
          <w:lang w:val="en-US" w:eastAsia="zh-CN"/>
        </w:rPr>
        <w:t>120.85</w:t>
      </w:r>
      <w:r>
        <w:rPr>
          <w:rFonts w:hint="eastAsia" w:ascii="仿宋_GB2312" w:eastAsia="仿宋_GB2312"/>
          <w:sz w:val="32"/>
          <w:szCs w:val="32"/>
        </w:rPr>
        <w:t>万元、水费</w:t>
      </w:r>
      <w:r>
        <w:rPr>
          <w:rFonts w:hint="eastAsia" w:ascii="仿宋_GB2312" w:eastAsia="仿宋_GB2312"/>
          <w:sz w:val="32"/>
          <w:szCs w:val="32"/>
          <w:lang w:val="en-US" w:eastAsia="zh-CN"/>
        </w:rPr>
        <w:t>25.69</w:t>
      </w:r>
      <w:r>
        <w:rPr>
          <w:rFonts w:hint="eastAsia" w:ascii="仿宋_GB2312" w:eastAsia="仿宋_GB2312"/>
          <w:sz w:val="32"/>
          <w:szCs w:val="32"/>
        </w:rPr>
        <w:t>万元、电费</w:t>
      </w:r>
      <w:r>
        <w:rPr>
          <w:rFonts w:hint="eastAsia" w:ascii="仿宋_GB2312" w:eastAsia="仿宋_GB2312"/>
          <w:sz w:val="32"/>
          <w:szCs w:val="32"/>
          <w:lang w:val="en-US" w:eastAsia="zh-CN"/>
        </w:rPr>
        <w:t>53.01</w:t>
      </w:r>
      <w:r>
        <w:rPr>
          <w:rFonts w:hint="eastAsia" w:ascii="仿宋_GB2312" w:eastAsia="仿宋_GB2312"/>
          <w:sz w:val="32"/>
          <w:szCs w:val="32"/>
        </w:rPr>
        <w:t>万元、</w:t>
      </w:r>
      <w:r>
        <w:rPr>
          <w:rFonts w:hint="eastAsia" w:ascii="仿宋_GB2312" w:eastAsia="仿宋_GB2312"/>
          <w:sz w:val="32"/>
          <w:szCs w:val="32"/>
          <w:lang w:val="en-US" w:eastAsia="zh-CN"/>
        </w:rPr>
        <w:t>邮电费7.51万元、</w:t>
      </w:r>
      <w:r>
        <w:rPr>
          <w:rFonts w:hint="eastAsia" w:ascii="仿宋_GB2312" w:eastAsia="仿宋_GB2312"/>
          <w:sz w:val="32"/>
          <w:szCs w:val="32"/>
        </w:rPr>
        <w:t>物业管理费</w:t>
      </w:r>
      <w:r>
        <w:rPr>
          <w:rFonts w:hint="eastAsia" w:ascii="仿宋_GB2312" w:eastAsia="仿宋_GB2312"/>
          <w:sz w:val="32"/>
          <w:szCs w:val="32"/>
          <w:lang w:val="en-US" w:eastAsia="zh-CN"/>
        </w:rPr>
        <w:t>45.97</w:t>
      </w:r>
      <w:r>
        <w:rPr>
          <w:rFonts w:hint="eastAsia" w:ascii="仿宋_GB2312" w:eastAsia="仿宋_GB2312"/>
          <w:sz w:val="32"/>
          <w:szCs w:val="32"/>
        </w:rPr>
        <w:t>万元、差旅费</w:t>
      </w:r>
      <w:r>
        <w:rPr>
          <w:rFonts w:hint="eastAsia" w:ascii="仿宋_GB2312" w:eastAsia="仿宋_GB2312"/>
          <w:sz w:val="32"/>
          <w:szCs w:val="32"/>
          <w:lang w:val="en-US" w:eastAsia="zh-CN"/>
        </w:rPr>
        <w:t>10.63</w:t>
      </w:r>
      <w:r>
        <w:rPr>
          <w:rFonts w:hint="eastAsia" w:ascii="仿宋_GB2312" w:eastAsia="仿宋_GB2312"/>
          <w:sz w:val="32"/>
          <w:szCs w:val="32"/>
        </w:rPr>
        <w:t>万元、维修（护）费</w:t>
      </w:r>
      <w:r>
        <w:rPr>
          <w:rFonts w:hint="eastAsia" w:ascii="仿宋_GB2312" w:eastAsia="仿宋_GB2312"/>
          <w:sz w:val="32"/>
          <w:szCs w:val="32"/>
          <w:lang w:val="en-US" w:eastAsia="zh-CN"/>
        </w:rPr>
        <w:t>126.16</w:t>
      </w:r>
      <w:r>
        <w:rPr>
          <w:rFonts w:hint="eastAsia" w:ascii="仿宋_GB2312" w:eastAsia="仿宋_GB2312"/>
          <w:sz w:val="32"/>
          <w:szCs w:val="32"/>
        </w:rPr>
        <w:t>万元、会议费</w:t>
      </w:r>
      <w:r>
        <w:rPr>
          <w:rFonts w:hint="eastAsia" w:ascii="仿宋_GB2312" w:eastAsia="仿宋_GB2312"/>
          <w:sz w:val="32"/>
          <w:szCs w:val="32"/>
          <w:lang w:val="en-US" w:eastAsia="zh-CN"/>
        </w:rPr>
        <w:t>15.59</w:t>
      </w:r>
      <w:r>
        <w:rPr>
          <w:rFonts w:hint="eastAsia" w:ascii="仿宋_GB2312" w:eastAsia="仿宋_GB2312"/>
          <w:sz w:val="32"/>
          <w:szCs w:val="32"/>
        </w:rPr>
        <w:t>万元、培训费</w:t>
      </w:r>
      <w:r>
        <w:rPr>
          <w:rFonts w:hint="eastAsia" w:ascii="仿宋_GB2312" w:eastAsia="仿宋_GB2312"/>
          <w:sz w:val="32"/>
          <w:szCs w:val="32"/>
          <w:lang w:val="en-US" w:eastAsia="zh-CN"/>
        </w:rPr>
        <w:t>27.32</w:t>
      </w:r>
      <w:r>
        <w:rPr>
          <w:rFonts w:hint="eastAsia" w:ascii="仿宋_GB2312" w:eastAsia="仿宋_GB2312"/>
          <w:sz w:val="32"/>
          <w:szCs w:val="32"/>
        </w:rPr>
        <w:t>万元、</w:t>
      </w:r>
      <w:r>
        <w:rPr>
          <w:rFonts w:hint="eastAsia" w:ascii="仿宋_GB2312" w:eastAsia="仿宋_GB2312"/>
          <w:sz w:val="32"/>
          <w:szCs w:val="32"/>
          <w:lang w:val="en-US" w:eastAsia="zh-CN"/>
        </w:rPr>
        <w:t>劳务费11.99万元、</w:t>
      </w:r>
      <w:r>
        <w:rPr>
          <w:rFonts w:hint="eastAsia" w:ascii="仿宋_GB2312" w:eastAsia="仿宋_GB2312"/>
          <w:sz w:val="32"/>
          <w:szCs w:val="32"/>
        </w:rPr>
        <w:t>工会经费</w:t>
      </w:r>
      <w:r>
        <w:rPr>
          <w:rFonts w:hint="eastAsia" w:ascii="仿宋_GB2312" w:eastAsia="仿宋_GB2312"/>
          <w:sz w:val="32"/>
          <w:szCs w:val="32"/>
          <w:lang w:val="en-US" w:eastAsia="zh-CN"/>
        </w:rPr>
        <w:t>44.54</w:t>
      </w:r>
      <w:r>
        <w:rPr>
          <w:rFonts w:hint="eastAsia" w:ascii="仿宋_GB2312" w:eastAsia="仿宋_GB2312"/>
          <w:sz w:val="32"/>
          <w:szCs w:val="32"/>
        </w:rPr>
        <w:t>万元、其他交通费</w:t>
      </w:r>
      <w:r>
        <w:rPr>
          <w:rFonts w:hint="eastAsia" w:ascii="仿宋_GB2312" w:eastAsia="仿宋_GB2312"/>
          <w:sz w:val="32"/>
          <w:szCs w:val="32"/>
          <w:lang w:val="en-US" w:eastAsia="zh-CN"/>
        </w:rPr>
        <w:t>6.2</w:t>
      </w:r>
      <w:r>
        <w:rPr>
          <w:rFonts w:hint="eastAsia" w:ascii="仿宋_GB2312" w:eastAsia="仿宋_GB2312"/>
          <w:sz w:val="32"/>
          <w:szCs w:val="32"/>
        </w:rPr>
        <w:t>万元、其他商品和服务支出</w:t>
      </w:r>
      <w:r>
        <w:rPr>
          <w:rFonts w:hint="eastAsia" w:ascii="仿宋_GB2312" w:eastAsia="仿宋_GB2312"/>
          <w:sz w:val="32"/>
          <w:szCs w:val="32"/>
          <w:lang w:val="en-US" w:eastAsia="zh-CN"/>
        </w:rPr>
        <w:t>221.47</w:t>
      </w:r>
      <w:r>
        <w:rPr>
          <w:rFonts w:hint="eastAsia" w:ascii="仿宋_GB2312" w:eastAsia="仿宋_GB2312"/>
          <w:sz w:val="32"/>
          <w:szCs w:val="32"/>
        </w:rPr>
        <w:t>万元。</w:t>
      </w:r>
    </w:p>
    <w:p w14:paraId="1992DE27">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3.对个人和家庭和补助支出</w:t>
      </w:r>
    </w:p>
    <w:p w14:paraId="023AA60A">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w:t>
      </w:r>
      <w:r>
        <w:rPr>
          <w:rFonts w:hint="eastAsia" w:ascii="仿宋_GB2312" w:eastAsia="仿宋_GB2312"/>
          <w:sz w:val="32"/>
          <w:szCs w:val="32"/>
          <w:lang w:val="en-US" w:eastAsia="zh-CN"/>
        </w:rPr>
        <w:t>沧水铺</w:t>
      </w:r>
      <w:r>
        <w:rPr>
          <w:rFonts w:hint="eastAsia" w:ascii="仿宋_GB2312" w:eastAsia="仿宋_GB2312"/>
          <w:sz w:val="32"/>
          <w:szCs w:val="32"/>
          <w:lang w:eastAsia="zh-CN"/>
        </w:rPr>
        <w:t>镇中心学校202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年度一般公共预算财政拨款基本支出对个人和家庭和补助支出</w:t>
      </w:r>
      <w:r>
        <w:rPr>
          <w:rFonts w:hint="eastAsia" w:ascii="仿宋_GB2312" w:eastAsia="仿宋_GB2312"/>
          <w:sz w:val="32"/>
          <w:szCs w:val="32"/>
          <w:lang w:val="en-US" w:eastAsia="zh-CN"/>
        </w:rPr>
        <w:t>191.71</w:t>
      </w:r>
      <w:r>
        <w:rPr>
          <w:rFonts w:hint="eastAsia" w:ascii="仿宋_GB2312" w:eastAsia="仿宋_GB2312"/>
          <w:sz w:val="32"/>
          <w:szCs w:val="32"/>
        </w:rPr>
        <w:t>万元，其中抚恤金</w:t>
      </w:r>
      <w:r>
        <w:rPr>
          <w:rFonts w:hint="eastAsia" w:ascii="仿宋_GB2312" w:eastAsia="仿宋_GB2312"/>
          <w:sz w:val="32"/>
          <w:szCs w:val="32"/>
          <w:lang w:val="en-US" w:eastAsia="zh-CN"/>
        </w:rPr>
        <w:t>41.23</w:t>
      </w:r>
      <w:r>
        <w:rPr>
          <w:rFonts w:hint="eastAsia" w:ascii="仿宋_GB2312" w:eastAsia="仿宋_GB2312"/>
          <w:sz w:val="32"/>
          <w:szCs w:val="32"/>
        </w:rPr>
        <w:t>万元、生活补助</w:t>
      </w:r>
      <w:r>
        <w:rPr>
          <w:rFonts w:hint="eastAsia" w:ascii="仿宋_GB2312" w:eastAsia="仿宋_GB2312"/>
          <w:sz w:val="32"/>
          <w:szCs w:val="32"/>
          <w:lang w:val="en-US" w:eastAsia="zh-CN"/>
        </w:rPr>
        <w:t>54.78</w:t>
      </w:r>
      <w:r>
        <w:rPr>
          <w:rFonts w:hint="eastAsia" w:ascii="仿宋_GB2312" w:eastAsia="仿宋_GB2312"/>
          <w:sz w:val="32"/>
          <w:szCs w:val="32"/>
        </w:rPr>
        <w:t>万元、</w:t>
      </w:r>
      <w:r>
        <w:rPr>
          <w:rFonts w:hint="eastAsia" w:ascii="仿宋_GB2312" w:eastAsia="仿宋_GB2312"/>
          <w:sz w:val="32"/>
          <w:szCs w:val="32"/>
          <w:lang w:val="en-US" w:eastAsia="zh-CN"/>
        </w:rPr>
        <w:t>助学金51.71万元、</w:t>
      </w:r>
      <w:r>
        <w:rPr>
          <w:rFonts w:hint="eastAsia" w:ascii="仿宋_GB2312" w:eastAsia="仿宋_GB2312"/>
          <w:sz w:val="32"/>
          <w:szCs w:val="32"/>
        </w:rPr>
        <w:t>其他对个人和家庭的补助</w:t>
      </w:r>
      <w:r>
        <w:rPr>
          <w:rFonts w:hint="eastAsia" w:ascii="仿宋_GB2312" w:eastAsia="仿宋_GB2312"/>
          <w:sz w:val="32"/>
          <w:szCs w:val="32"/>
          <w:lang w:val="en-US" w:eastAsia="zh-CN"/>
        </w:rPr>
        <w:t>44.01</w:t>
      </w:r>
      <w:r>
        <w:rPr>
          <w:rFonts w:hint="eastAsia" w:ascii="仿宋_GB2312" w:eastAsia="仿宋_GB2312"/>
          <w:sz w:val="32"/>
          <w:szCs w:val="32"/>
        </w:rPr>
        <w:t>万元。</w:t>
      </w:r>
    </w:p>
    <w:p w14:paraId="065A38F2">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4.资本性支出</w:t>
      </w:r>
    </w:p>
    <w:p w14:paraId="6D19EC2E">
      <w:pPr>
        <w:spacing w:line="540" w:lineRule="exact"/>
        <w:ind w:firstLine="640" w:firstLineChars="200"/>
        <w:rPr>
          <w:rFonts w:hint="eastAsia" w:ascii="楷体_GB2312" w:eastAsia="楷体_GB2312"/>
          <w:sz w:val="32"/>
          <w:szCs w:val="32"/>
        </w:rPr>
      </w:pPr>
      <w:r>
        <w:rPr>
          <w:rFonts w:hint="eastAsia" w:ascii="仿宋_GB2312" w:eastAsia="仿宋_GB2312"/>
          <w:sz w:val="32"/>
          <w:szCs w:val="32"/>
          <w:lang w:eastAsia="zh-CN"/>
        </w:rPr>
        <w:t>益阳市</w:t>
      </w:r>
      <w:r>
        <w:rPr>
          <w:rFonts w:hint="eastAsia" w:ascii="仿宋_GB2312" w:eastAsia="仿宋_GB2312"/>
          <w:sz w:val="32"/>
          <w:szCs w:val="32"/>
          <w:lang w:val="en-US" w:eastAsia="zh-CN"/>
        </w:rPr>
        <w:t>沧水铺</w:t>
      </w:r>
      <w:r>
        <w:rPr>
          <w:rFonts w:hint="eastAsia" w:ascii="仿宋_GB2312" w:eastAsia="仿宋_GB2312"/>
          <w:sz w:val="32"/>
          <w:szCs w:val="32"/>
          <w:lang w:eastAsia="zh-CN"/>
        </w:rPr>
        <w:t>镇中心学校202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w:t>
      </w:r>
      <w:r>
        <w:rPr>
          <w:rFonts w:hint="eastAsia" w:ascii="仿宋_GB2312" w:eastAsia="仿宋_GB2312"/>
          <w:sz w:val="32"/>
          <w:szCs w:val="32"/>
          <w:lang w:val="en-US" w:eastAsia="zh-CN"/>
        </w:rPr>
        <w:t>资本性支出82.11万元，其中办公设备购置10.59万元、专用设备购置2.39万元、大型修缮69.13万元。</w:t>
      </w:r>
    </w:p>
    <w:p w14:paraId="40284B37">
      <w:pPr>
        <w:numPr>
          <w:ilvl w:val="0"/>
          <w:numId w:val="4"/>
        </w:num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项目支出情况</w:t>
      </w:r>
    </w:p>
    <w:p w14:paraId="6246880E">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益阳市沧水铺镇中心学校2025年度一般公共预算财政拨款项目支出82.11万元,其中资本性支出82.11万元。资本性支出占项目支出的100%。</w:t>
      </w:r>
    </w:p>
    <w:p w14:paraId="7A168D48">
      <w:p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三、政府性基金预算支出情况</w:t>
      </w:r>
    </w:p>
    <w:p w14:paraId="20A1EB5C">
      <w:pPr>
        <w:spacing w:line="540" w:lineRule="exact"/>
        <w:ind w:firstLine="640" w:firstLineChars="200"/>
        <w:rPr>
          <w:rFonts w:hint="eastAsia" w:ascii="黑体" w:hAnsi="黑体" w:eastAsia="黑体"/>
          <w:sz w:val="32"/>
          <w:szCs w:val="32"/>
          <w:lang w:eastAsia="zh-CN"/>
        </w:rPr>
      </w:pPr>
      <w:r>
        <w:rPr>
          <w:rFonts w:hint="eastAsia" w:ascii="仿宋_GB2312" w:eastAsia="仿宋_GB2312"/>
          <w:sz w:val="32"/>
          <w:szCs w:val="32"/>
          <w:lang w:val="en-US" w:eastAsia="zh-CN"/>
        </w:rPr>
        <w:t>益阳市沧水铺镇中心学校2025年度无政府性基金支出。</w:t>
      </w:r>
    </w:p>
    <w:p w14:paraId="3900294D">
      <w:pPr>
        <w:numPr>
          <w:ilvl w:val="0"/>
          <w:numId w:val="5"/>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国有资本经营预算支出情况</w:t>
      </w:r>
    </w:p>
    <w:p w14:paraId="26331B10">
      <w:pPr>
        <w:numPr>
          <w:ilvl w:val="0"/>
          <w:numId w:val="0"/>
        </w:numPr>
        <w:spacing w:line="540" w:lineRule="exact"/>
        <w:ind w:firstLine="640" w:firstLineChars="200"/>
        <w:rPr>
          <w:rFonts w:ascii="黑体" w:hAnsi="黑体" w:eastAsia="黑体"/>
          <w:sz w:val="32"/>
          <w:szCs w:val="32"/>
        </w:rPr>
      </w:pPr>
      <w:r>
        <w:rPr>
          <w:rFonts w:hint="eastAsia" w:ascii="仿宋_GB2312" w:eastAsia="仿宋_GB2312"/>
          <w:sz w:val="32"/>
          <w:szCs w:val="32"/>
          <w:lang w:val="en-US" w:eastAsia="zh-CN"/>
        </w:rPr>
        <w:t>本单位本年度无国有资本经营预算支出。</w:t>
      </w:r>
    </w:p>
    <w:p w14:paraId="4FDF19E8">
      <w:pPr>
        <w:numPr>
          <w:ilvl w:val="0"/>
          <w:numId w:val="5"/>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社会保险基金预算支出情况</w:t>
      </w:r>
    </w:p>
    <w:p w14:paraId="664B8AC4">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本单位本年度无社会保险基金预算支出。</w:t>
      </w:r>
    </w:p>
    <w:p w14:paraId="0F28A2F8">
      <w:pPr>
        <w:spacing w:line="540" w:lineRule="exact"/>
        <w:ind w:firstLine="640" w:firstLineChars="200"/>
        <w:rPr>
          <w:rFonts w:ascii="黑体" w:hAnsi="黑体" w:eastAsia="黑体"/>
          <w:sz w:val="32"/>
          <w:szCs w:val="32"/>
        </w:rPr>
      </w:pPr>
      <w:r>
        <w:rPr>
          <w:rFonts w:hint="eastAsia" w:ascii="黑体" w:hAnsi="黑体" w:eastAsia="黑体"/>
          <w:sz w:val="32"/>
          <w:szCs w:val="32"/>
        </w:rPr>
        <w:t>六、部门整体支出绩效情况</w:t>
      </w:r>
    </w:p>
    <w:p w14:paraId="12CB9CBE">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益阳市沧水铺镇中心学校</w:t>
      </w:r>
      <w:r>
        <w:rPr>
          <w:rFonts w:hint="eastAsia" w:ascii="仿宋_GB2312" w:eastAsia="仿宋_GB2312"/>
          <w:sz w:val="32"/>
          <w:szCs w:val="32"/>
        </w:rPr>
        <w:t>严格执行《预算法》，强化支出责任，不断提高资金使用效益，根据绩效评价相关制度规定对</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年度部门整体支出开展绩效评价，认真制定绩效自评工作方案，坚持客观公正和有效性原则，按照设定的指标体系，</w:t>
      </w:r>
      <w:r>
        <w:rPr>
          <w:rFonts w:hint="eastAsia" w:ascii="仿宋_GB2312" w:eastAsia="仿宋_GB2312"/>
          <w:sz w:val="32"/>
          <w:szCs w:val="32"/>
          <w:lang w:eastAsia="zh-CN"/>
        </w:rPr>
        <w:t>认真</w:t>
      </w:r>
      <w:r>
        <w:rPr>
          <w:rFonts w:hint="eastAsia" w:ascii="仿宋_GB2312" w:eastAsia="仿宋_GB2312"/>
          <w:sz w:val="32"/>
          <w:szCs w:val="32"/>
        </w:rPr>
        <w:t>对各类项目资金开展预算资金绩效自评。</w:t>
      </w:r>
    </w:p>
    <w:p w14:paraId="2DBDC6FC">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（一）绩效评价工作情况</w:t>
      </w:r>
    </w:p>
    <w:p w14:paraId="543FA8EA">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1.成立领导小组。</w:t>
      </w:r>
      <w:r>
        <w:rPr>
          <w:rFonts w:hint="eastAsia" w:ascii="仿宋_GB2312" w:eastAsia="仿宋_GB2312"/>
          <w:sz w:val="32"/>
          <w:szCs w:val="32"/>
          <w:lang w:eastAsia="zh-CN"/>
        </w:rPr>
        <w:t>由党总支书记任组长，</w:t>
      </w:r>
      <w:r>
        <w:rPr>
          <w:rFonts w:hint="eastAsia" w:ascii="仿宋_GB2312" w:eastAsia="仿宋_GB2312"/>
          <w:sz w:val="32"/>
          <w:szCs w:val="32"/>
        </w:rPr>
        <w:t>学校</w:t>
      </w:r>
      <w:r>
        <w:rPr>
          <w:rFonts w:hint="eastAsia" w:ascii="仿宋_GB2312" w:eastAsia="仿宋_GB2312"/>
          <w:sz w:val="32"/>
          <w:szCs w:val="32"/>
          <w:lang w:eastAsia="zh-CN"/>
        </w:rPr>
        <w:t>总务室、政教处、德育处相关人员</w:t>
      </w:r>
      <w:r>
        <w:rPr>
          <w:rFonts w:hint="eastAsia" w:ascii="仿宋_GB2312" w:eastAsia="仿宋_GB2312"/>
          <w:sz w:val="32"/>
          <w:szCs w:val="32"/>
        </w:rPr>
        <w:t>组成绩效评价工作领导小组，学习评价指标体系和绩效评价相关要求，明确工作职责和分工。</w:t>
      </w:r>
    </w:p>
    <w:p w14:paraId="60BC6EF1">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2.制定评价方案。由评价小组按照客观、科学、可行的原由则，由评价小组充分研究和讨论后，确定各项目绩效自评的对象和范围、评价目的、评价依据、评价内容、评价方法、评价指标、评价标准、评价实施步骤、人员和时间安排等内容。</w:t>
      </w:r>
    </w:p>
    <w:p w14:paraId="6C753268">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3.实施绩效评价</w:t>
      </w:r>
    </w:p>
    <w:p w14:paraId="2153B989">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通过实地勘察、询问、发放问卷调查、召开座谈会听取汇报等方式收集相关评价资料，由评价小组对资料进行分类、整理、分析，根据评价方案中制定的评价依据、评价标准进行打分。</w:t>
      </w:r>
    </w:p>
    <w:p w14:paraId="00A4083F">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（二）部门整体支出主要绩效及评价结论</w:t>
      </w:r>
    </w:p>
    <w:p w14:paraId="00C4A467">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1. 经济性与内控管理：</w:t>
      </w:r>
    </w:p>
    <w:p w14:paraId="35598E38">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严控非刚性支出：学校普遍坚持“过紧日子”的原则，将有限资金向教育教学、学生发展、师资培育及校园安全等核心领域倾斜。</w:t>
      </w:r>
      <w:bookmarkStart w:id="3" w:name="_GoBack"/>
      <w:bookmarkEnd w:id="3"/>
    </w:p>
    <w:p w14:paraId="0342AD02">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资产规范管理：建立健全固定资产动态管理台账，定期开展清查盘点，合理调配闲置资产，有效杜绝了资产闲置与流失，提高了资产使用效率。</w:t>
      </w:r>
    </w:p>
    <w:p w14:paraId="2A4DD503">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2. 资金使用效率（效率性）：</w:t>
      </w:r>
    </w:p>
    <w:p w14:paraId="68794AE1">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办学条件改善：高效推进校园基础设施维修改造（如宿舍改造、运动场修缮、食堂标准化建设、校园安防系统升级等），切实优化了师生学习与生活环境。</w:t>
      </w:r>
    </w:p>
    <w:p w14:paraId="5649FBDE">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教育教学提质：资金有效保障了课程改革、教学教研大比武、名师工作室建设等，提升了教师专业素养与课堂教学水平。</w:t>
      </w:r>
    </w:p>
    <w:p w14:paraId="34CE4FBC">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五育并举落实：统筹资金开展德育、心理健康、艺体教育及劳动教育等特色活动，丰富了课后服务内容，促进了学生综合素质的全面发展。</w:t>
      </w:r>
    </w:p>
    <w:p w14:paraId="0D8C3F96">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3. 履职成效与社会效益（效益性）：</w:t>
      </w:r>
    </w:p>
    <w:p w14:paraId="541CAE70">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教学质量稳步提升：中考成绩取得突破或保持优势。</w:t>
      </w:r>
    </w:p>
    <w:p w14:paraId="1C708003">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社会满意度高：通过落实课后服务、护学安园、校园餐整治等民生举措，切实解决了群众急难愁盼问题，家长及社会各界对学校办学的满意度不断提升。</w:t>
      </w:r>
    </w:p>
    <w:p w14:paraId="70DA3D57">
      <w:pPr>
        <w:numPr>
          <w:ilvl w:val="0"/>
          <w:numId w:val="6"/>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存在的问题及原因分析</w:t>
      </w:r>
    </w:p>
    <w:p w14:paraId="71B118EF">
      <w:pPr>
        <w:numPr>
          <w:ilvl w:val="0"/>
          <w:numId w:val="0"/>
        </w:num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w:t>
      </w:r>
      <w:r>
        <w:rPr>
          <w:rFonts w:hint="eastAsia" w:ascii="仿宋_GB2312" w:eastAsia="仿宋_GB2312"/>
          <w:sz w:val="32"/>
          <w:szCs w:val="32"/>
        </w:rPr>
        <w:t>预算编制与执行偏差：部分项目年初预算测算不够精准，实际支出与预算存在偏差；个别项目前期推进较慢，导致资金支付进度不均衡。</w:t>
      </w:r>
    </w:p>
    <w:p w14:paraId="3300EA87">
      <w:pPr>
        <w:pStyle w:val="2"/>
        <w:numPr>
          <w:ilvl w:val="0"/>
          <w:numId w:val="0"/>
        </w:numPr>
        <w:ind w:firstLine="640" w:firstLineChars="200"/>
        <w:rPr>
          <w:rFonts w:hint="eastAsia"/>
        </w:rPr>
      </w:pPr>
      <w:r>
        <w:rPr>
          <w:rFonts w:hint="eastAsia" w:ascii="仿宋_GB2312" w:eastAsia="仿宋_GB2312" w:hAnsiTheme="minorHAnsi" w:cstheme="minorBidi"/>
          <w:kern w:val="2"/>
          <w:sz w:val="32"/>
          <w:szCs w:val="32"/>
          <w:lang w:val="en-US" w:eastAsia="zh-CN" w:bidi="ar-SA"/>
        </w:rPr>
        <w:t>2. 绩效管理与制度执行不到位：虽然建立了基本的财务与资产管理制度，但针对资金使用全流程监管、绩效动态监控的专项制度仍需完善；部分环节存在“重制定、轻执行”的现象，制度约束力未充分发挥。</w:t>
      </w:r>
    </w:p>
    <w:p w14:paraId="5270E66D">
      <w:pPr>
        <w:numPr>
          <w:ilvl w:val="0"/>
          <w:numId w:val="6"/>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下一步改进措施</w:t>
      </w:r>
    </w:p>
    <w:p w14:paraId="2C072F24">
      <w:pPr>
        <w:numPr>
          <w:ilvl w:val="0"/>
          <w:numId w:val="7"/>
        </w:num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rPr>
        <w:t>强化预算编制的科学性与前瞻性，结合上年度资金使用情况合理测算；加强项目事前事中调度，加快资金执行进度。</w:t>
      </w:r>
      <w:r>
        <w:rPr>
          <w:rFonts w:hint="eastAsia" w:ascii="仿宋_GB2312" w:eastAsia="仿宋_GB2312"/>
          <w:sz w:val="32"/>
          <w:szCs w:val="32"/>
          <w:lang w:val="en-US" w:eastAsia="zh-CN"/>
        </w:rPr>
        <w:t xml:space="preserve">    </w:t>
      </w:r>
    </w:p>
    <w:p w14:paraId="7EB90CEC">
      <w:pPr>
        <w:numPr>
          <w:ilvl w:val="0"/>
          <w:numId w:val="0"/>
        </w:numPr>
        <w:spacing w:line="540" w:lineRule="exact"/>
        <w:ind w:firstLine="640" w:firstLineChars="200"/>
        <w:rPr>
          <w:rFonts w:hint="eastAsia" w:ascii="黑体" w:hAnsi="黑体" w:eastAsia="黑体"/>
          <w:sz w:val="32"/>
          <w:szCs w:val="32"/>
        </w:rPr>
      </w:pPr>
      <w:r>
        <w:rPr>
          <w:rFonts w:hint="eastAsia" w:ascii="仿宋_GB2312" w:eastAsia="仿宋_GB2312"/>
          <w:sz w:val="32"/>
          <w:szCs w:val="32"/>
        </w:rPr>
        <w:t>2.健全绩效目标精准编制与全过程动态监控机制，强化绩效评价结果的实际应用，将其作为下一年度预算安排的重要依据。</w:t>
      </w:r>
    </w:p>
    <w:p w14:paraId="6595954A">
      <w:pPr>
        <w:numPr>
          <w:ilvl w:val="0"/>
          <w:numId w:val="6"/>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绩效自评结果拟应用和公开情况</w:t>
      </w:r>
    </w:p>
    <w:p w14:paraId="39A73071">
      <w:pPr>
        <w:spacing w:line="540" w:lineRule="exact"/>
        <w:ind w:firstLine="640" w:firstLineChars="200"/>
        <w:rPr>
          <w:rFonts w:hint="eastAsia" w:ascii="黑体" w:hAnsi="黑体" w:eastAsia="黑体"/>
          <w:sz w:val="32"/>
          <w:szCs w:val="32"/>
        </w:rPr>
      </w:pPr>
      <w:r>
        <w:rPr>
          <w:rFonts w:hint="eastAsia" w:ascii="仿宋_GB2312" w:eastAsia="仿宋_GB2312"/>
          <w:sz w:val="32"/>
          <w:szCs w:val="32"/>
        </w:rPr>
        <w:t>根据财政部门要求，</w:t>
      </w:r>
      <w:r>
        <w:rPr>
          <w:rFonts w:hint="eastAsia" w:ascii="仿宋_GB2312" w:eastAsia="仿宋_GB2312"/>
          <w:sz w:val="32"/>
          <w:szCs w:val="32"/>
          <w:lang w:val="en-US" w:eastAsia="zh-CN"/>
        </w:rPr>
        <w:t>益阳市沧水铺镇中心学校</w:t>
      </w:r>
      <w:r>
        <w:rPr>
          <w:rFonts w:hint="eastAsia" w:ascii="仿宋_GB2312" w:eastAsia="仿宋_GB2312"/>
          <w:sz w:val="32"/>
          <w:szCs w:val="32"/>
        </w:rPr>
        <w:t>认真组织开展了</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年度预决算，对预算执行情况进行了部门整体支出绩效评价，根据财政部门要求在政府门户网站进行公开，公开内容包括</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w:t>
      </w:r>
      <w:r>
        <w:rPr>
          <w:rFonts w:hint="eastAsia" w:ascii="仿宋_GB2312" w:eastAsia="仿宋_GB2312"/>
          <w:sz w:val="32"/>
          <w:szCs w:val="32"/>
          <w:lang w:val="en-US" w:eastAsia="zh-CN"/>
        </w:rPr>
        <w:t>益阳市沧水铺镇中心学校</w:t>
      </w:r>
      <w:r>
        <w:rPr>
          <w:rFonts w:hint="eastAsia" w:ascii="仿宋_GB2312" w:eastAsia="仿宋_GB2312"/>
          <w:sz w:val="32"/>
          <w:szCs w:val="32"/>
        </w:rPr>
        <w:t>整体支出绩效自评报告和</w:t>
      </w:r>
      <w:r>
        <w:rPr>
          <w:rFonts w:hint="eastAsia" w:ascii="仿宋_GB2312" w:eastAsia="仿宋_GB2312"/>
          <w:sz w:val="32"/>
          <w:szCs w:val="32"/>
          <w:lang w:val="en-US" w:eastAsia="zh-CN"/>
        </w:rPr>
        <w:t>基础表、</w:t>
      </w:r>
      <w:r>
        <w:rPr>
          <w:rFonts w:hint="eastAsia" w:ascii="仿宋_GB2312" w:eastAsia="仿宋_GB2312"/>
          <w:sz w:val="32"/>
          <w:szCs w:val="32"/>
        </w:rPr>
        <w:t>自评表。</w:t>
      </w:r>
    </w:p>
    <w:p w14:paraId="50D87626">
      <w:pPr>
        <w:numPr>
          <w:ilvl w:val="0"/>
          <w:numId w:val="6"/>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其他需要说明的情况</w:t>
      </w:r>
    </w:p>
    <w:p w14:paraId="3E1F13B3">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无。</w:t>
      </w:r>
    </w:p>
    <w:p w14:paraId="31A1542E">
      <w:pPr>
        <w:pStyle w:val="12"/>
        <w:jc w:val="center"/>
        <w:rPr>
          <w:rFonts w:ascii="Times New Roman" w:hAnsi="Times New Roman" w:cs="Times New Roman"/>
          <w:sz w:val="72"/>
          <w:szCs w:val="72"/>
        </w:rPr>
      </w:pPr>
    </w:p>
    <w:p w14:paraId="4F731768">
      <w:pPr>
        <w:pStyle w:val="12"/>
        <w:jc w:val="center"/>
        <w:rPr>
          <w:rFonts w:ascii="Times New Roman" w:hAnsi="Times New Roman" w:cs="Times New Roman"/>
          <w:sz w:val="72"/>
          <w:szCs w:val="72"/>
        </w:rPr>
      </w:pPr>
    </w:p>
    <w:p w14:paraId="6402CC01">
      <w:pPr>
        <w:jc w:val="left"/>
        <w:rPr>
          <w:rFonts w:ascii="Times New Roman" w:hAnsi="Times New Roman" w:cs="Times New Roman"/>
          <w:color w:val="000000"/>
          <w:kern w:val="0"/>
          <w:sz w:val="32"/>
          <w:szCs w:val="32"/>
        </w:rPr>
      </w:pPr>
    </w:p>
    <w:sectPr>
      <w:pgSz w:w="11906" w:h="16838"/>
      <w:pgMar w:top="1417" w:right="1588" w:bottom="1417" w:left="1588" w:header="851" w:footer="992" w:gutter="0"/>
      <w:pgBorders>
        <w:top w:val="none" w:sz="0" w:space="0"/>
        <w:left w:val="none" w:sz="0" w:space="0"/>
        <w:bottom w:val="none" w:sz="0" w:space="0"/>
        <w:right w:val="none" w:sz="0" w:space="0"/>
      </w:pgBorders>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方正舒体"/>
    <w:panose1 w:val="02010601030101010101"/>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KSOFBE25B2F9">
    <w:panose1 w:val="0201060103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D9046">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50AC2">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B933BF">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BB933BF">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CAF5FB"/>
    <w:multiLevelType w:val="singleLevel"/>
    <w:tmpl w:val="8ACAF5FB"/>
    <w:lvl w:ilvl="0" w:tentative="0">
      <w:start w:val="2"/>
      <w:numFmt w:val="chineseCounting"/>
      <w:suff w:val="nothing"/>
      <w:lvlText w:val="（%1）"/>
      <w:lvlJc w:val="left"/>
      <w:rPr>
        <w:rFonts w:hint="eastAsia"/>
      </w:rPr>
    </w:lvl>
  </w:abstractNum>
  <w:abstractNum w:abstractNumId="1">
    <w:nsid w:val="91FDD762"/>
    <w:multiLevelType w:val="singleLevel"/>
    <w:tmpl w:val="91FDD762"/>
    <w:lvl w:ilvl="0" w:tentative="0">
      <w:start w:val="7"/>
      <w:numFmt w:val="decimal"/>
      <w:lvlText w:val="%1."/>
      <w:lvlJc w:val="left"/>
      <w:pPr>
        <w:tabs>
          <w:tab w:val="left" w:pos="312"/>
        </w:tabs>
      </w:pPr>
    </w:lvl>
  </w:abstractNum>
  <w:abstractNum w:abstractNumId="2">
    <w:nsid w:val="CF65111A"/>
    <w:multiLevelType w:val="singleLevel"/>
    <w:tmpl w:val="CF65111A"/>
    <w:lvl w:ilvl="0" w:tentative="0">
      <w:start w:val="1"/>
      <w:numFmt w:val="decimal"/>
      <w:lvlText w:val="%1."/>
      <w:lvlJc w:val="left"/>
      <w:pPr>
        <w:tabs>
          <w:tab w:val="left" w:pos="312"/>
        </w:tabs>
      </w:pPr>
    </w:lvl>
  </w:abstractNum>
  <w:abstractNum w:abstractNumId="3">
    <w:nsid w:val="32D1E1B7"/>
    <w:multiLevelType w:val="singleLevel"/>
    <w:tmpl w:val="32D1E1B7"/>
    <w:lvl w:ilvl="0" w:tentative="0">
      <w:start w:val="2"/>
      <w:numFmt w:val="chineseCounting"/>
      <w:suff w:val="nothing"/>
      <w:lvlText w:val="（%1）"/>
      <w:lvlJc w:val="left"/>
      <w:rPr>
        <w:rFonts w:hint="eastAsia"/>
      </w:rPr>
    </w:lvl>
  </w:abstractNum>
  <w:abstractNum w:abstractNumId="4">
    <w:nsid w:val="4D452EE6"/>
    <w:multiLevelType w:val="singleLevel"/>
    <w:tmpl w:val="4D452EE6"/>
    <w:lvl w:ilvl="0" w:tentative="0">
      <w:start w:val="1"/>
      <w:numFmt w:val="chineseCounting"/>
      <w:suff w:val="nothing"/>
      <w:lvlText w:val="%1、"/>
      <w:lvlJc w:val="left"/>
      <w:rPr>
        <w:rFonts w:hint="eastAsia"/>
      </w:rPr>
    </w:lvl>
  </w:abstractNum>
  <w:abstractNum w:abstractNumId="5">
    <w:nsid w:val="62FC3140"/>
    <w:multiLevelType w:val="singleLevel"/>
    <w:tmpl w:val="62FC3140"/>
    <w:lvl w:ilvl="0" w:tentative="0">
      <w:start w:val="4"/>
      <w:numFmt w:val="chineseCounting"/>
      <w:suff w:val="nothing"/>
      <w:lvlText w:val="%1、"/>
      <w:lvlJc w:val="left"/>
      <w:rPr>
        <w:rFonts w:hint="eastAsia"/>
      </w:rPr>
    </w:lvl>
  </w:abstractNum>
  <w:abstractNum w:abstractNumId="6">
    <w:nsid w:val="7879F838"/>
    <w:multiLevelType w:val="singleLevel"/>
    <w:tmpl w:val="7879F838"/>
    <w:lvl w:ilvl="0" w:tentative="0">
      <w:start w:val="7"/>
      <w:numFmt w:val="chineseCounting"/>
      <w:suff w:val="nothing"/>
      <w:lvlText w:val="%1、"/>
      <w:lvlJc w:val="left"/>
      <w:rPr>
        <w:rFonts w:hint="eastAsia"/>
      </w:rPr>
    </w:lvl>
  </w:abstractNum>
  <w:num w:numId="1">
    <w:abstractNumId w:val="0"/>
  </w:num>
  <w:num w:numId="2">
    <w:abstractNumId w:val="1"/>
  </w:num>
  <w:num w:numId="3">
    <w:abstractNumId w:val="4"/>
  </w:num>
  <w:num w:numId="4">
    <w:abstractNumId w:val="3"/>
  </w:num>
  <w:num w:numId="5">
    <w:abstractNumId w:val="5"/>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36C71"/>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983A63"/>
    <w:rsid w:val="01B15286"/>
    <w:rsid w:val="03316C08"/>
    <w:rsid w:val="035023CB"/>
    <w:rsid w:val="05A13B71"/>
    <w:rsid w:val="05EC5B44"/>
    <w:rsid w:val="06C841CD"/>
    <w:rsid w:val="08CB2A51"/>
    <w:rsid w:val="09E30D12"/>
    <w:rsid w:val="0B1D50BA"/>
    <w:rsid w:val="0B4D7F8C"/>
    <w:rsid w:val="0B67701F"/>
    <w:rsid w:val="0D1171B2"/>
    <w:rsid w:val="0D421DD9"/>
    <w:rsid w:val="0D9532AB"/>
    <w:rsid w:val="0DCB5811"/>
    <w:rsid w:val="12FA386A"/>
    <w:rsid w:val="1306180F"/>
    <w:rsid w:val="14DA401C"/>
    <w:rsid w:val="15E6711C"/>
    <w:rsid w:val="17BD5C5B"/>
    <w:rsid w:val="195E16BF"/>
    <w:rsid w:val="1A793299"/>
    <w:rsid w:val="1A7F5449"/>
    <w:rsid w:val="1A8A3DEE"/>
    <w:rsid w:val="1B1026FF"/>
    <w:rsid w:val="1B334486"/>
    <w:rsid w:val="1D34378C"/>
    <w:rsid w:val="1D97DEFF"/>
    <w:rsid w:val="1DE97868"/>
    <w:rsid w:val="1DFF72E5"/>
    <w:rsid w:val="1ECC695D"/>
    <w:rsid w:val="1EFC6F07"/>
    <w:rsid w:val="1FF3194D"/>
    <w:rsid w:val="20653333"/>
    <w:rsid w:val="23157033"/>
    <w:rsid w:val="24010499"/>
    <w:rsid w:val="24CF245B"/>
    <w:rsid w:val="252B12D5"/>
    <w:rsid w:val="2554219E"/>
    <w:rsid w:val="259A3A7F"/>
    <w:rsid w:val="26093F35"/>
    <w:rsid w:val="271B488C"/>
    <w:rsid w:val="27F33914"/>
    <w:rsid w:val="29E80A2A"/>
    <w:rsid w:val="2A1262DA"/>
    <w:rsid w:val="2A310F21"/>
    <w:rsid w:val="2AC05D36"/>
    <w:rsid w:val="2C5C383D"/>
    <w:rsid w:val="2C8D45D0"/>
    <w:rsid w:val="2DFD5B9C"/>
    <w:rsid w:val="2EC67693"/>
    <w:rsid w:val="2F1B669A"/>
    <w:rsid w:val="2FDF85B8"/>
    <w:rsid w:val="2FFC690A"/>
    <w:rsid w:val="2FFFEE04"/>
    <w:rsid w:val="30B55C11"/>
    <w:rsid w:val="34DF85B0"/>
    <w:rsid w:val="35BE6DEC"/>
    <w:rsid w:val="35F93F25"/>
    <w:rsid w:val="371C2474"/>
    <w:rsid w:val="372907BF"/>
    <w:rsid w:val="37863E63"/>
    <w:rsid w:val="378F4738"/>
    <w:rsid w:val="38DF7CCF"/>
    <w:rsid w:val="39DE4C98"/>
    <w:rsid w:val="3A91674F"/>
    <w:rsid w:val="3ADC57B6"/>
    <w:rsid w:val="3B8F36BC"/>
    <w:rsid w:val="3CC74B8E"/>
    <w:rsid w:val="3D8F33AD"/>
    <w:rsid w:val="3F0D09C6"/>
    <w:rsid w:val="3F5B5BD6"/>
    <w:rsid w:val="407C28A5"/>
    <w:rsid w:val="44550C1E"/>
    <w:rsid w:val="455F1926"/>
    <w:rsid w:val="491FF225"/>
    <w:rsid w:val="49407CA0"/>
    <w:rsid w:val="4AF73F53"/>
    <w:rsid w:val="4BD31AF3"/>
    <w:rsid w:val="4D8409ED"/>
    <w:rsid w:val="4DD279A2"/>
    <w:rsid w:val="4FFD214C"/>
    <w:rsid w:val="50F54B3B"/>
    <w:rsid w:val="51942920"/>
    <w:rsid w:val="5314255F"/>
    <w:rsid w:val="53353DD9"/>
    <w:rsid w:val="54DA0EF3"/>
    <w:rsid w:val="551951D9"/>
    <w:rsid w:val="5719079F"/>
    <w:rsid w:val="5777D4F5"/>
    <w:rsid w:val="59AF12F1"/>
    <w:rsid w:val="59DD8326"/>
    <w:rsid w:val="5BA5225B"/>
    <w:rsid w:val="5C0E52A6"/>
    <w:rsid w:val="5DEF592A"/>
    <w:rsid w:val="5E3D1B0F"/>
    <w:rsid w:val="5E67723A"/>
    <w:rsid w:val="5FC6BB1E"/>
    <w:rsid w:val="5FF720F1"/>
    <w:rsid w:val="60E1122D"/>
    <w:rsid w:val="61BE5E24"/>
    <w:rsid w:val="63A81F60"/>
    <w:rsid w:val="642D031A"/>
    <w:rsid w:val="6511270F"/>
    <w:rsid w:val="658C7FE7"/>
    <w:rsid w:val="65C854C3"/>
    <w:rsid w:val="67FF5C0B"/>
    <w:rsid w:val="68C55224"/>
    <w:rsid w:val="693552C0"/>
    <w:rsid w:val="6968585F"/>
    <w:rsid w:val="69A62BA0"/>
    <w:rsid w:val="6D4C69DA"/>
    <w:rsid w:val="6DA57E98"/>
    <w:rsid w:val="6DE5081F"/>
    <w:rsid w:val="6EFC0924"/>
    <w:rsid w:val="6FB74722"/>
    <w:rsid w:val="6FD63F19"/>
    <w:rsid w:val="6FEF8B7E"/>
    <w:rsid w:val="718D5813"/>
    <w:rsid w:val="71A6591B"/>
    <w:rsid w:val="737D59BA"/>
    <w:rsid w:val="75AF0A47"/>
    <w:rsid w:val="7716042C"/>
    <w:rsid w:val="77530965"/>
    <w:rsid w:val="77C37683"/>
    <w:rsid w:val="7935260A"/>
    <w:rsid w:val="79D19834"/>
    <w:rsid w:val="79FB61E9"/>
    <w:rsid w:val="79FF515B"/>
    <w:rsid w:val="7BF549BF"/>
    <w:rsid w:val="7D934A19"/>
    <w:rsid w:val="7E9E1962"/>
    <w:rsid w:val="7E9F11B4"/>
    <w:rsid w:val="7EB44FEF"/>
    <w:rsid w:val="7F37EC1E"/>
    <w:rsid w:val="7F472D9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 w:type="paragraph" w:customStyle="1" w:styleId="18">
    <w:name w:val="正文-公1"/>
    <w:basedOn w:val="19"/>
    <w:next w:val="1"/>
    <w:autoRedefine/>
    <w:qFormat/>
    <w:uiPriority w:val="0"/>
    <w:pPr>
      <w:ind w:firstLine="200" w:firstLineChars="200"/>
    </w:pPr>
  </w:style>
  <w:style w:type="paragraph" w:customStyle="1" w:styleId="19">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8"/>
    <w:autoRedefine/>
    <w:qFormat/>
    <w:uiPriority w:val="0"/>
    <w:pPr>
      <w:widowControl w:val="0"/>
      <w:jc w:val="both"/>
    </w:pPr>
    <w:rPr>
      <w:rFonts w:ascii="Times New Roman" w:hAnsi="Times New Roman" w:eastAsia="宋体" w:cs="Times New Roman"/>
      <w:kern w:val="2"/>
      <w:sz w:val="21"/>
      <w:lang w:val="en-US" w:eastAsia="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34</Pages>
  <Words>7298</Words>
  <Characters>8684</Characters>
  <Lines>69</Lines>
  <Paragraphs>19</Paragraphs>
  <TotalTime>3</TotalTime>
  <ScaleCrop>false</ScaleCrop>
  <LinksUpToDate>false</LinksUpToDate>
  <CharactersWithSpaces>9870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贺靖</cp:lastModifiedBy>
  <cp:lastPrinted>2024-08-10T02:20:00Z</cp:lastPrinted>
  <dcterms:modified xsi:type="dcterms:W3CDTF">2026-08-31T06:28:19Z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C8EA22144030455FA5006CBCCBF9BB45_13</vt:lpwstr>
  </property>
  <property fmtid="{D5CDD505-2E9C-101B-9397-08002B2CF9AE}" pid="4" name="KSOTemplateDocerSaveRecord">
    <vt:lpwstr>eyJoZGlkIjoiYjkyZDkxODQ1MDVjNDk3NGQ2MGU2NGI4NmIyMTVjMzUiLCJ1c2VySWQiOiIzMDczMTI1OTcifQ==</vt:lpwstr>
  </property>
</Properties>
</file>