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D95" w:rsidRDefault="00D81835">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2025</w:t>
      </w:r>
      <w:r w:rsidR="00F90613">
        <w:rPr>
          <w:rFonts w:ascii="Times New Roman" w:eastAsia="方正小标宋简体" w:hAnsi="Times New Roman" w:cs="Times New Roman"/>
          <w:sz w:val="72"/>
          <w:szCs w:val="72"/>
        </w:rPr>
        <w:t>年度</w:t>
      </w:r>
    </w:p>
    <w:p w:rsidR="001F4D95" w:rsidRDefault="00F90613">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益阳市三里桥学校</w:t>
      </w:r>
    </w:p>
    <w:p w:rsidR="001F4D95" w:rsidRDefault="00F90613">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rsidR="001F4D95" w:rsidRDefault="001F4D95">
      <w:pPr>
        <w:tabs>
          <w:tab w:val="left" w:pos="547"/>
        </w:tabs>
        <w:jc w:val="left"/>
        <w:sectPr w:rsidR="001F4D95">
          <w:pgSz w:w="11906" w:h="16838"/>
          <w:pgMar w:top="1417" w:right="1588" w:bottom="1417" w:left="1588" w:header="851" w:footer="992" w:gutter="0"/>
          <w:pgNumType w:start="1"/>
          <w:cols w:space="425"/>
          <w:docGrid w:type="lines" w:linePitch="312"/>
        </w:sectPr>
      </w:pPr>
    </w:p>
    <w:p w:rsidR="001F4D95" w:rsidRDefault="00F90613">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目录</w:t>
      </w:r>
    </w:p>
    <w:p w:rsidR="001F4D95" w:rsidRDefault="001F4D95">
      <w:pPr>
        <w:pStyle w:val="Default"/>
        <w:spacing w:line="600" w:lineRule="exact"/>
        <w:jc w:val="center"/>
        <w:rPr>
          <w:rFonts w:ascii="Times New Roman" w:hAnsi="Times New Roman" w:cs="Times New Roman"/>
          <w:b/>
          <w:sz w:val="36"/>
          <w:szCs w:val="28"/>
        </w:rPr>
      </w:pPr>
    </w:p>
    <w:p w:rsidR="001F4D95" w:rsidRDefault="00F90613" w:rsidP="00D81835">
      <w:pPr>
        <w:pStyle w:val="Default"/>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益阳市三里桥学校</w:t>
      </w:r>
      <w:r>
        <w:rPr>
          <w:rFonts w:ascii="Times New Roman" w:hAnsi="Times New Roman" w:cs="Times New Roman"/>
          <w:bCs/>
          <w:sz w:val="32"/>
          <w:szCs w:val="32"/>
        </w:rPr>
        <w:t>概况</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1F4D95" w:rsidRDefault="00F90613" w:rsidP="00D81835">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1F4D95" w:rsidRDefault="00F90613" w:rsidP="00D81835">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1F4D95" w:rsidRDefault="00F90613">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1F4D95" w:rsidRDefault="001F4D95">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1F4D95">
          <w:footerReference w:type="default" r:id="rId8"/>
          <w:pgSz w:w="11906" w:h="16838"/>
          <w:pgMar w:top="1417" w:right="1588" w:bottom="1417" w:left="1588" w:header="851" w:footer="992" w:gutter="0"/>
          <w:pgNumType w:start="1"/>
          <w:cols w:space="425"/>
          <w:docGrid w:type="lines" w:linePitch="312"/>
        </w:sectPr>
      </w:pP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1F4D95" w:rsidRDefault="00F90613">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1F4D95" w:rsidRDefault="00F90613">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sidR="00D81835">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年度预算绩效管理情况的说明</w:t>
      </w:r>
    </w:p>
    <w:p w:rsidR="001F4D95" w:rsidRDefault="00F90613" w:rsidP="00D81835">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rsidR="001F4D95" w:rsidRDefault="00F90613" w:rsidP="00D81835">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rsidR="001F4D95" w:rsidRDefault="001F4D95">
      <w:pPr>
        <w:pStyle w:val="Default"/>
        <w:spacing w:line="600" w:lineRule="exact"/>
        <w:rPr>
          <w:rFonts w:ascii="Times New Roman" w:hAnsi="Times New Roman" w:cs="Times New Roman"/>
          <w:bCs/>
          <w:sz w:val="28"/>
          <w:szCs w:val="28"/>
        </w:rPr>
      </w:pPr>
    </w:p>
    <w:p w:rsidR="001F4D95" w:rsidRDefault="001F4D95">
      <w:pPr>
        <w:jc w:val="center"/>
        <w:rPr>
          <w:rFonts w:ascii="Times New Roman" w:hAnsi="Times New Roman" w:cs="Times New Roman"/>
          <w:sz w:val="72"/>
          <w:szCs w:val="72"/>
        </w:rPr>
      </w:pPr>
    </w:p>
    <w:p w:rsidR="001F4D95" w:rsidRDefault="001F4D95">
      <w:pPr>
        <w:pStyle w:val="a7"/>
        <w:rPr>
          <w:rFonts w:ascii="Times New Roman" w:hAnsi="Times New Roman" w:cs="Times New Roman"/>
        </w:rPr>
        <w:sectPr w:rsidR="001F4D95">
          <w:footerReference w:type="default" r:id="rId9"/>
          <w:pgSz w:w="11906" w:h="16838"/>
          <w:pgMar w:top="1417" w:right="1588" w:bottom="1417" w:left="1588" w:header="851" w:footer="992" w:gutter="0"/>
          <w:pgNumType w:start="1"/>
          <w:cols w:space="425"/>
          <w:docGrid w:type="lines" w:linePitch="312"/>
        </w:sectPr>
      </w:pPr>
    </w:p>
    <w:p w:rsidR="001F4D95" w:rsidRDefault="001F4D95">
      <w:pPr>
        <w:rPr>
          <w:rFonts w:ascii="Times New Roman" w:eastAsia="方正小标宋_GBK" w:hAnsi="Times New Roman" w:cs="Times New Roman"/>
          <w:sz w:val="72"/>
          <w:szCs w:val="72"/>
        </w:rPr>
      </w:pPr>
    </w:p>
    <w:p w:rsidR="001F4D95" w:rsidRDefault="00F90613">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1F4D95" w:rsidRDefault="00F90613">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益阳市三里桥学校</w:t>
      </w:r>
      <w:r>
        <w:rPr>
          <w:rFonts w:ascii="Times New Roman" w:eastAsia="方正小标宋_GBK" w:hAnsi="Times New Roman" w:cs="Times New Roman"/>
          <w:sz w:val="52"/>
          <w:szCs w:val="52"/>
        </w:rPr>
        <w:t>概况</w:t>
      </w:r>
    </w:p>
    <w:p w:rsidR="001F4D95" w:rsidRDefault="00F90613">
      <w:pPr>
        <w:pStyle w:val="a8"/>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负责学籍管理。</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负责科学管理、合理使用学校的设施和经费。</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rsidR="001F4D95" w:rsidRDefault="00F90613">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10.</w:t>
      </w:r>
      <w:r>
        <w:rPr>
          <w:rFonts w:ascii="Times New Roman" w:eastAsia="仿宋_GB2312" w:hAnsi="Times New Roman" w:cs="Times New Roman" w:hint="eastAsia"/>
          <w:sz w:val="32"/>
          <w:szCs w:val="32"/>
        </w:rPr>
        <w:t>依法接受各级教育行政部门的检查指导和人民群众的监督。</w:t>
      </w:r>
    </w:p>
    <w:p w:rsidR="001F4D95" w:rsidRDefault="00F90613">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1F4D95" w:rsidRDefault="00F90613">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p>
    <w:p w:rsidR="001F4D95" w:rsidRDefault="00F90613">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益阳市三里桥学校内设机构：政教处、总务处、后勤管理处、德育处、党建办等。</w:t>
      </w:r>
    </w:p>
    <w:p w:rsidR="001F4D95" w:rsidRDefault="00F90613">
      <w:pPr>
        <w:widowControl/>
        <w:numPr>
          <w:ilvl w:val="0"/>
          <w:numId w:val="1"/>
        </w:numPr>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决算单位构成。</w:t>
      </w:r>
    </w:p>
    <w:p w:rsidR="001F4D95" w:rsidRDefault="00F90613">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益阳市三里桥学校</w:t>
      </w:r>
      <w:r w:rsidR="00D81835">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年部门决算汇总公开单位构成包括：三里桥学校本部。</w:t>
      </w:r>
    </w:p>
    <w:p w:rsidR="001F4D95" w:rsidRDefault="001F4D95">
      <w:pPr>
        <w:jc w:val="left"/>
        <w:rPr>
          <w:rFonts w:ascii="Times New Roman" w:eastAsia="仿宋_GB2312" w:hAnsi="Times New Roman" w:cs="Times New Roman"/>
          <w:sz w:val="28"/>
          <w:szCs w:val="32"/>
        </w:rPr>
      </w:pPr>
    </w:p>
    <w:p w:rsidR="001F4D95" w:rsidRDefault="001F4D95">
      <w:pPr>
        <w:jc w:val="center"/>
        <w:rPr>
          <w:rFonts w:ascii="Times New Roman" w:eastAsia="黑体" w:hAnsi="Times New Roman" w:cs="Times New Roman"/>
          <w:sz w:val="28"/>
          <w:szCs w:val="28"/>
        </w:rPr>
      </w:pPr>
    </w:p>
    <w:p w:rsidR="001F4D95" w:rsidRDefault="001F4D95">
      <w:pPr>
        <w:jc w:val="center"/>
        <w:rPr>
          <w:rFonts w:ascii="Times New Roman" w:eastAsia="黑体" w:hAnsi="Times New Roman" w:cs="Times New Roman"/>
          <w:sz w:val="28"/>
          <w:szCs w:val="28"/>
        </w:rPr>
      </w:pPr>
    </w:p>
    <w:p w:rsidR="001F4D95" w:rsidRDefault="001F4D95">
      <w:pPr>
        <w:jc w:val="center"/>
        <w:rPr>
          <w:rFonts w:ascii="Times New Roman" w:eastAsia="黑体" w:hAnsi="Times New Roman" w:cs="Times New Roman"/>
          <w:sz w:val="28"/>
          <w:szCs w:val="28"/>
        </w:rPr>
      </w:pPr>
    </w:p>
    <w:p w:rsidR="001F4D95" w:rsidRDefault="001F4D95">
      <w:pPr>
        <w:jc w:val="center"/>
        <w:rPr>
          <w:rFonts w:ascii="Times New Roman" w:eastAsia="黑体" w:hAnsi="Times New Roman" w:cs="Times New Roman"/>
          <w:sz w:val="28"/>
          <w:szCs w:val="28"/>
        </w:rPr>
      </w:pPr>
    </w:p>
    <w:p w:rsidR="001F4D95" w:rsidRDefault="001F4D95">
      <w:pPr>
        <w:jc w:val="center"/>
        <w:rPr>
          <w:rFonts w:ascii="Times New Roman" w:eastAsia="黑体" w:hAnsi="Times New Roman" w:cs="Times New Roman"/>
          <w:sz w:val="28"/>
          <w:szCs w:val="28"/>
        </w:rPr>
      </w:pPr>
    </w:p>
    <w:p w:rsidR="001F4D95" w:rsidRDefault="001F4D95">
      <w:pPr>
        <w:pStyle w:val="a7"/>
        <w:rPr>
          <w:rFonts w:ascii="Times New Roman" w:hAnsi="Times New Roman" w:cs="Times New Roman"/>
        </w:rPr>
        <w:sectPr w:rsidR="001F4D95">
          <w:footerReference w:type="default" r:id="rId10"/>
          <w:pgSz w:w="11906" w:h="16838"/>
          <w:pgMar w:top="1417" w:right="1588" w:bottom="1417" w:left="1588" w:header="851" w:footer="992" w:gutter="0"/>
          <w:pgNumType w:start="1"/>
          <w:cols w:space="425"/>
          <w:docGrid w:type="lines" w:linePitch="312"/>
        </w:sectPr>
      </w:pPr>
    </w:p>
    <w:p w:rsidR="001F4D95" w:rsidRDefault="00F90613">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第二部分部门决算表</w:t>
      </w:r>
    </w:p>
    <w:p w:rsidR="001F4D95" w:rsidRPr="00D81835" w:rsidRDefault="001F4D95">
      <w:pPr>
        <w:pStyle w:val="Default"/>
        <w:rPr>
          <w:rFonts w:ascii="Times New Roman" w:hAnsi="Times New Roman" w:cs="Times New Roman"/>
          <w:sz w:val="21"/>
          <w:szCs w:val="21"/>
        </w:rPr>
      </w:pPr>
    </w:p>
    <w:p w:rsidR="00D81835" w:rsidRDefault="00D81835">
      <w:pPr>
        <w:pStyle w:val="Default"/>
        <w:rPr>
          <w:rFonts w:ascii="Times New Roman" w:hAnsi="Times New Roman" w:cs="Times New Roman"/>
          <w:sz w:val="21"/>
          <w:szCs w:val="21"/>
        </w:rPr>
      </w:pPr>
      <w:r>
        <w:rPr>
          <w:rFonts w:ascii="Times New Roman" w:hAnsi="Times New Roman" w:cs="Times New Roman" w:hint="eastAsia"/>
          <w:sz w:val="21"/>
          <w:szCs w:val="21"/>
        </w:rPr>
        <w:t xml:space="preserve">                         </w:t>
      </w:r>
    </w:p>
    <w:tbl>
      <w:tblPr>
        <w:tblW w:w="12750" w:type="dxa"/>
        <w:tblInd w:w="98" w:type="dxa"/>
        <w:tblLook w:val="04A0"/>
      </w:tblPr>
      <w:tblGrid>
        <w:gridCol w:w="3870"/>
        <w:gridCol w:w="520"/>
        <w:gridCol w:w="2020"/>
        <w:gridCol w:w="3800"/>
        <w:gridCol w:w="520"/>
        <w:gridCol w:w="2020"/>
      </w:tblGrid>
      <w:tr w:rsidR="00D81835" w:rsidRPr="00D81835" w:rsidTr="00D81835">
        <w:trPr>
          <w:trHeight w:val="384"/>
        </w:trPr>
        <w:tc>
          <w:tcPr>
            <w:tcW w:w="387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center"/>
            <w:hideMark/>
          </w:tcPr>
          <w:p w:rsidR="00D81835" w:rsidRPr="00D81835" w:rsidRDefault="00D81835" w:rsidP="00D81835">
            <w:pPr>
              <w:widowControl/>
              <w:jc w:val="center"/>
              <w:rPr>
                <w:rFonts w:ascii="黑体" w:eastAsia="黑体" w:hAnsi="黑体" w:cs="宋体"/>
                <w:kern w:val="0"/>
                <w:sz w:val="30"/>
                <w:szCs w:val="30"/>
              </w:rPr>
            </w:pPr>
            <w:r w:rsidRPr="00D81835">
              <w:rPr>
                <w:rFonts w:ascii="黑体" w:eastAsia="黑体" w:hAnsi="黑体" w:cs="宋体" w:hint="eastAsia"/>
                <w:kern w:val="0"/>
                <w:sz w:val="30"/>
                <w:szCs w:val="30"/>
              </w:rPr>
              <w:t>收入支出决算总表</w:t>
            </w:r>
          </w:p>
        </w:tc>
        <w:tc>
          <w:tcPr>
            <w:tcW w:w="38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trHeight w:val="288"/>
        </w:trPr>
        <w:tc>
          <w:tcPr>
            <w:tcW w:w="387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8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公开01表</w:t>
            </w:r>
          </w:p>
        </w:tc>
      </w:tr>
      <w:tr w:rsidR="00D81835" w:rsidRPr="00D81835" w:rsidTr="00D81835">
        <w:trPr>
          <w:trHeight w:val="288"/>
        </w:trPr>
        <w:tc>
          <w:tcPr>
            <w:tcW w:w="3870" w:type="dxa"/>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部门：益阳市赫山区三里桥学校</w:t>
            </w: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8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金额单位：万元</w:t>
            </w:r>
          </w:p>
        </w:tc>
      </w:tr>
      <w:tr w:rsidR="00D81835" w:rsidRPr="00D81835" w:rsidTr="00D81835">
        <w:trPr>
          <w:trHeight w:val="300"/>
        </w:trPr>
        <w:tc>
          <w:tcPr>
            <w:tcW w:w="6410" w:type="dxa"/>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收入</w:t>
            </w:r>
          </w:p>
        </w:tc>
        <w:tc>
          <w:tcPr>
            <w:tcW w:w="6340" w:type="dxa"/>
            <w:gridSpan w:val="3"/>
            <w:tcBorders>
              <w:top w:val="single" w:sz="4" w:space="0" w:color="D4D4D4"/>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支出</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行次</w:t>
            </w:r>
          </w:p>
        </w:tc>
        <w:tc>
          <w:tcPr>
            <w:tcW w:w="20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决算数</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行次</w:t>
            </w:r>
          </w:p>
        </w:tc>
        <w:tc>
          <w:tcPr>
            <w:tcW w:w="20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决算数</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一、一般公共预算财政拨款收入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867.11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一、一般公共服务支出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31</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二、政府性基金预算财政拨款收入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551.73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二、外交支出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32</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三、国有资本经营预算财政拨款收入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三、国防支出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33</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四、上级补助收入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四、公共安全支出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34</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五、事业收入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五、教育支出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35</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1,235.32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六、经营收入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六、科学技术支出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36</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七、附属单位上缴收入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7</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七、文化旅游体育与传媒支出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37</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八、其他收入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8</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399.01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八、社会保障和就业支出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38</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9</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九、卫生健康支出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39</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10</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十、节能环保支出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40</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11</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十一、城乡社区支出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41</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12</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十二、农林水支出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42</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13</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十三、交通运输支出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43</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14</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十四、资源勘探工业信息等支出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44</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15</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十五、商业服务业等支出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45</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16</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十六、金融支出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46</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17</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十七、援助其他地区支出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47</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18</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十八、自然资源海洋气象等支出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48</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19</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十九、住房保障支出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49</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20</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二十、粮油物资储备支出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50</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21</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二十一、国有资本经营预算支出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51</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22</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二十二、灾害防治及应急管理支出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52</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23</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二十三、其他支出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53</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551.73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0"/>
                <w:szCs w:val="20"/>
              </w:rPr>
            </w:pPr>
            <w:r w:rsidRPr="00D81835">
              <w:rPr>
                <w:rFonts w:ascii="宋体" w:eastAsia="宋体" w:hAnsi="宋体" w:cs="宋体" w:hint="eastAsia"/>
                <w:b/>
                <w:bCs/>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24</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二十四、债务还本支出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54</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25</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二十五、债务付息支出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55</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26</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二十六、抗疫特别国债安排的支出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56</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本年收入合计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27</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1,817.85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本年支出合计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57</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1,817.85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使用非财政拨款结余（含专用结余）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28</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结余分配</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58</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lastRenderedPageBreak/>
              <w:t xml:space="preserve">   年初结转和结余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29</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年末结转和结余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59</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0.00 </w:t>
            </w:r>
          </w:p>
        </w:tc>
      </w:tr>
      <w:tr w:rsidR="00D81835" w:rsidRPr="00D81835" w:rsidTr="00D81835">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30</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1,817.85 </w:t>
            </w:r>
          </w:p>
        </w:tc>
        <w:tc>
          <w:tcPr>
            <w:tcW w:w="380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60</w:t>
            </w:r>
          </w:p>
        </w:tc>
        <w:tc>
          <w:tcPr>
            <w:tcW w:w="20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1,817.85 </w:t>
            </w:r>
          </w:p>
        </w:tc>
      </w:tr>
      <w:tr w:rsidR="00D81835" w:rsidRPr="00D81835" w:rsidTr="00D81835">
        <w:trPr>
          <w:trHeight w:val="300"/>
        </w:trPr>
        <w:tc>
          <w:tcPr>
            <w:tcW w:w="12750" w:type="dxa"/>
            <w:gridSpan w:val="6"/>
            <w:tcBorders>
              <w:top w:val="single" w:sz="4" w:space="0" w:color="D4D4D4"/>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注：1.本表反映部门本年度的总收支和年末结转结余情况。</w:t>
            </w:r>
          </w:p>
        </w:tc>
      </w:tr>
      <w:tr w:rsidR="00D81835" w:rsidRPr="00D81835" w:rsidTr="00D81835">
        <w:trPr>
          <w:trHeight w:val="300"/>
        </w:trPr>
        <w:tc>
          <w:tcPr>
            <w:tcW w:w="12750"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2.本套报表金额单位转换时可能存在尾数误差。</w:t>
            </w:r>
          </w:p>
        </w:tc>
      </w:tr>
    </w:tbl>
    <w:p w:rsidR="00D81835" w:rsidRPr="00D81835" w:rsidRDefault="00D81835">
      <w:pPr>
        <w:pStyle w:val="Default"/>
        <w:rPr>
          <w:rFonts w:ascii="Times New Roman" w:hAnsi="Times New Roman" w:cs="Times New Roman"/>
          <w:sz w:val="18"/>
          <w:szCs w:val="18"/>
        </w:rPr>
      </w:pPr>
      <w:r>
        <w:rPr>
          <w:rFonts w:ascii="Times New Roman" w:hAnsi="Times New Roman" w:cs="Times New Roman" w:hint="eastAsia"/>
          <w:sz w:val="21"/>
          <w:szCs w:val="21"/>
        </w:rPr>
        <w:t xml:space="preserve">     </w:t>
      </w:r>
    </w:p>
    <w:tbl>
      <w:tblPr>
        <w:tblW w:w="16160" w:type="dxa"/>
        <w:tblInd w:w="98" w:type="dxa"/>
        <w:tblLook w:val="04A0"/>
      </w:tblPr>
      <w:tblGrid>
        <w:gridCol w:w="329"/>
        <w:gridCol w:w="329"/>
        <w:gridCol w:w="329"/>
        <w:gridCol w:w="3540"/>
        <w:gridCol w:w="1620"/>
        <w:gridCol w:w="1620"/>
        <w:gridCol w:w="1620"/>
        <w:gridCol w:w="1620"/>
        <w:gridCol w:w="1620"/>
        <w:gridCol w:w="1860"/>
        <w:gridCol w:w="1760"/>
      </w:tblGrid>
      <w:tr w:rsidR="00D81835" w:rsidRPr="00D81835" w:rsidTr="00D81835">
        <w:trPr>
          <w:trHeight w:val="384"/>
        </w:trPr>
        <w:tc>
          <w:tcPr>
            <w:tcW w:w="3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center"/>
              <w:rPr>
                <w:rFonts w:ascii="黑体" w:eastAsia="黑体" w:hAnsi="黑体" w:cs="宋体"/>
                <w:kern w:val="0"/>
                <w:sz w:val="30"/>
                <w:szCs w:val="30"/>
              </w:rPr>
            </w:pPr>
            <w:r w:rsidRPr="00D81835">
              <w:rPr>
                <w:rFonts w:ascii="黑体" w:eastAsia="黑体" w:hAnsi="黑体" w:cs="宋体" w:hint="eastAsia"/>
                <w:kern w:val="0"/>
                <w:sz w:val="30"/>
                <w:szCs w:val="30"/>
              </w:rPr>
              <w:t>收入决算表</w:t>
            </w: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86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6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trHeight w:val="288"/>
        </w:trPr>
        <w:tc>
          <w:tcPr>
            <w:tcW w:w="3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0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86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60" w:type="dxa"/>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公开02表</w:t>
            </w:r>
          </w:p>
        </w:tc>
      </w:tr>
      <w:tr w:rsidR="00D81835" w:rsidRPr="00D81835" w:rsidTr="00D81835">
        <w:trPr>
          <w:trHeight w:val="288"/>
        </w:trPr>
        <w:tc>
          <w:tcPr>
            <w:tcW w:w="4440" w:type="dxa"/>
            <w:gridSpan w:val="4"/>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部门：益阳市赫山区三里桥学校</w:t>
            </w: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86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60" w:type="dxa"/>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金额单位：万元</w:t>
            </w:r>
          </w:p>
        </w:tc>
      </w:tr>
      <w:tr w:rsidR="00D81835" w:rsidRPr="00D81835" w:rsidTr="00D81835">
        <w:trPr>
          <w:trHeight w:val="300"/>
        </w:trPr>
        <w:tc>
          <w:tcPr>
            <w:tcW w:w="444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w:t>
            </w:r>
          </w:p>
        </w:tc>
        <w:tc>
          <w:tcPr>
            <w:tcW w:w="162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本年收入合计</w:t>
            </w:r>
          </w:p>
        </w:tc>
        <w:tc>
          <w:tcPr>
            <w:tcW w:w="162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财政拨款收入</w:t>
            </w:r>
          </w:p>
        </w:tc>
        <w:tc>
          <w:tcPr>
            <w:tcW w:w="162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上级补助收入</w:t>
            </w:r>
          </w:p>
        </w:tc>
        <w:tc>
          <w:tcPr>
            <w:tcW w:w="162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事业收入</w:t>
            </w:r>
          </w:p>
        </w:tc>
        <w:tc>
          <w:tcPr>
            <w:tcW w:w="162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经营收入</w:t>
            </w:r>
          </w:p>
        </w:tc>
        <w:tc>
          <w:tcPr>
            <w:tcW w:w="186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附属单位上缴收入</w:t>
            </w:r>
          </w:p>
        </w:tc>
        <w:tc>
          <w:tcPr>
            <w:tcW w:w="176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其他收入</w:t>
            </w:r>
          </w:p>
        </w:tc>
      </w:tr>
      <w:tr w:rsidR="00D81835" w:rsidRPr="00D81835" w:rsidTr="00D81835">
        <w:trPr>
          <w:trHeight w:val="312"/>
        </w:trPr>
        <w:tc>
          <w:tcPr>
            <w:tcW w:w="90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科目代码</w:t>
            </w:r>
          </w:p>
        </w:tc>
        <w:tc>
          <w:tcPr>
            <w:tcW w:w="354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科目名称</w:t>
            </w: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86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6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trHeight w:val="312"/>
        </w:trPr>
        <w:tc>
          <w:tcPr>
            <w:tcW w:w="900"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86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6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trHeight w:val="312"/>
        </w:trPr>
        <w:tc>
          <w:tcPr>
            <w:tcW w:w="900"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86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60" w:type="dxa"/>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trHeight w:val="300"/>
        </w:trPr>
        <w:tc>
          <w:tcPr>
            <w:tcW w:w="444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栏次</w:t>
            </w:r>
          </w:p>
        </w:tc>
        <w:tc>
          <w:tcPr>
            <w:tcW w:w="1620" w:type="dxa"/>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w:t>
            </w:r>
          </w:p>
        </w:tc>
        <w:tc>
          <w:tcPr>
            <w:tcW w:w="1620" w:type="dxa"/>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w:t>
            </w:r>
          </w:p>
        </w:tc>
        <w:tc>
          <w:tcPr>
            <w:tcW w:w="1620" w:type="dxa"/>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w:t>
            </w:r>
          </w:p>
        </w:tc>
        <w:tc>
          <w:tcPr>
            <w:tcW w:w="1620" w:type="dxa"/>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w:t>
            </w:r>
          </w:p>
        </w:tc>
        <w:tc>
          <w:tcPr>
            <w:tcW w:w="1620" w:type="dxa"/>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w:t>
            </w:r>
          </w:p>
        </w:tc>
        <w:tc>
          <w:tcPr>
            <w:tcW w:w="1860" w:type="dxa"/>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w:t>
            </w:r>
          </w:p>
        </w:tc>
        <w:tc>
          <w:tcPr>
            <w:tcW w:w="1760" w:type="dxa"/>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7</w:t>
            </w:r>
          </w:p>
        </w:tc>
      </w:tr>
      <w:tr w:rsidR="00D81835" w:rsidRPr="00D81835" w:rsidTr="00D81835">
        <w:trPr>
          <w:trHeight w:val="300"/>
        </w:trPr>
        <w:tc>
          <w:tcPr>
            <w:tcW w:w="444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合计</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1,817.85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1,418.84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399.01 </w:t>
            </w:r>
          </w:p>
        </w:tc>
      </w:tr>
      <w:tr w:rsidR="00D81835" w:rsidRPr="00D81835" w:rsidTr="00D81835">
        <w:trPr>
          <w:trHeight w:val="300"/>
        </w:trPr>
        <w:tc>
          <w:tcPr>
            <w:tcW w:w="90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2050202</w:t>
            </w:r>
          </w:p>
        </w:tc>
        <w:tc>
          <w:tcPr>
            <w:tcW w:w="354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小学教育</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221.59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221.59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90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2050299</w:t>
            </w:r>
          </w:p>
        </w:tc>
        <w:tc>
          <w:tcPr>
            <w:tcW w:w="354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其他普通教育支出</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999.54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600.53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399.01 </w:t>
            </w:r>
          </w:p>
        </w:tc>
      </w:tr>
      <w:tr w:rsidR="00D81835" w:rsidRPr="00D81835" w:rsidTr="00D81835">
        <w:trPr>
          <w:trHeight w:val="300"/>
        </w:trPr>
        <w:tc>
          <w:tcPr>
            <w:tcW w:w="90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2050999</w:t>
            </w:r>
          </w:p>
        </w:tc>
        <w:tc>
          <w:tcPr>
            <w:tcW w:w="354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其他教育费附加安排的支出</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14.19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14.19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90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2101102</w:t>
            </w:r>
          </w:p>
        </w:tc>
        <w:tc>
          <w:tcPr>
            <w:tcW w:w="354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事业单位医疗</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90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2290403</w:t>
            </w:r>
          </w:p>
        </w:tc>
        <w:tc>
          <w:tcPr>
            <w:tcW w:w="354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其他政府性基金债务收入安排的支出</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544.00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544.00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90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2290808</w:t>
            </w:r>
          </w:p>
        </w:tc>
        <w:tc>
          <w:tcPr>
            <w:tcW w:w="354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彩票市场调控资金支出</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7.73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7.73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16160" w:type="dxa"/>
            <w:gridSpan w:val="11"/>
            <w:tcBorders>
              <w:top w:val="single" w:sz="4" w:space="0" w:color="D4D4D4"/>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注：本表反映部门本年度取得的各项收入情况。</w:t>
            </w:r>
          </w:p>
        </w:tc>
      </w:tr>
    </w:tbl>
    <w:p w:rsidR="00D81835" w:rsidRPr="00D81835" w:rsidRDefault="00D81835">
      <w:pPr>
        <w:pStyle w:val="Default"/>
        <w:rPr>
          <w:rFonts w:ascii="Times New Roman" w:hAnsi="Times New Roman" w:cs="Times New Roman"/>
          <w:sz w:val="18"/>
          <w:szCs w:val="18"/>
        </w:rPr>
      </w:pPr>
      <w:r w:rsidRPr="00D81835">
        <w:rPr>
          <w:rFonts w:ascii="Times New Roman" w:hAnsi="Times New Roman" w:cs="Times New Roman" w:hint="eastAsia"/>
          <w:sz w:val="18"/>
          <w:szCs w:val="18"/>
        </w:rPr>
        <w:t xml:space="preserve"> </w:t>
      </w:r>
    </w:p>
    <w:tbl>
      <w:tblPr>
        <w:tblW w:w="17178" w:type="dxa"/>
        <w:tblInd w:w="98" w:type="dxa"/>
        <w:tblLook w:val="04A0"/>
      </w:tblPr>
      <w:tblGrid>
        <w:gridCol w:w="382"/>
        <w:gridCol w:w="37"/>
        <w:gridCol w:w="347"/>
        <w:gridCol w:w="62"/>
        <w:gridCol w:w="267"/>
        <w:gridCol w:w="85"/>
        <w:gridCol w:w="2223"/>
        <w:gridCol w:w="520"/>
        <w:gridCol w:w="163"/>
        <w:gridCol w:w="549"/>
        <w:gridCol w:w="85"/>
        <w:gridCol w:w="723"/>
        <w:gridCol w:w="263"/>
        <w:gridCol w:w="736"/>
        <w:gridCol w:w="30"/>
        <w:gridCol w:w="289"/>
        <w:gridCol w:w="1305"/>
        <w:gridCol w:w="715"/>
        <w:gridCol w:w="88"/>
        <w:gridCol w:w="103"/>
        <w:gridCol w:w="417"/>
        <w:gridCol w:w="297"/>
        <w:gridCol w:w="906"/>
        <w:gridCol w:w="243"/>
        <w:gridCol w:w="125"/>
        <w:gridCol w:w="398"/>
        <w:gridCol w:w="54"/>
        <w:gridCol w:w="1123"/>
        <w:gridCol w:w="497"/>
        <w:gridCol w:w="1023"/>
        <w:gridCol w:w="1037"/>
        <w:gridCol w:w="466"/>
        <w:gridCol w:w="117"/>
        <w:gridCol w:w="1503"/>
      </w:tblGrid>
      <w:tr w:rsidR="00D81835" w:rsidRPr="00D81835" w:rsidTr="00D81835">
        <w:trPr>
          <w:gridAfter w:val="3"/>
          <w:wAfter w:w="2086" w:type="dxa"/>
          <w:trHeight w:val="384"/>
        </w:trPr>
        <w:tc>
          <w:tcPr>
            <w:tcW w:w="419"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409"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2"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2"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4"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center"/>
              <w:rPr>
                <w:rFonts w:ascii="黑体" w:eastAsia="黑体" w:hAnsi="黑体" w:cs="宋体"/>
                <w:kern w:val="0"/>
                <w:sz w:val="30"/>
                <w:szCs w:val="30"/>
              </w:rPr>
            </w:pPr>
            <w:r w:rsidRPr="00D81835">
              <w:rPr>
                <w:rFonts w:ascii="黑体" w:eastAsia="黑体" w:hAnsi="黑体" w:cs="宋体" w:hint="eastAsia"/>
                <w:kern w:val="0"/>
                <w:sz w:val="30"/>
                <w:szCs w:val="30"/>
              </w:rPr>
              <w:t>支出决算表</w:t>
            </w:r>
          </w:p>
        </w:tc>
        <w:tc>
          <w:tcPr>
            <w:tcW w:w="162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6"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6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3"/>
          <w:wAfter w:w="2086" w:type="dxa"/>
          <w:trHeight w:val="288"/>
        </w:trPr>
        <w:tc>
          <w:tcPr>
            <w:tcW w:w="419"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409"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2"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2"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4"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6"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60" w:type="dxa"/>
            <w:gridSpan w:val="2"/>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公开03表</w:t>
            </w:r>
          </w:p>
        </w:tc>
      </w:tr>
      <w:tr w:rsidR="00D81835" w:rsidRPr="00D81835" w:rsidTr="00D81835">
        <w:trPr>
          <w:gridAfter w:val="3"/>
          <w:wAfter w:w="2086" w:type="dxa"/>
          <w:trHeight w:val="288"/>
        </w:trPr>
        <w:tc>
          <w:tcPr>
            <w:tcW w:w="4720" w:type="dxa"/>
            <w:gridSpan w:val="11"/>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部门：益阳市赫山区三里桥学校</w:t>
            </w:r>
          </w:p>
        </w:tc>
        <w:tc>
          <w:tcPr>
            <w:tcW w:w="1722"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4"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6"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60" w:type="dxa"/>
            <w:gridSpan w:val="2"/>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金额单位：万元</w:t>
            </w:r>
          </w:p>
        </w:tc>
      </w:tr>
      <w:tr w:rsidR="00D81835" w:rsidRPr="00D81835" w:rsidTr="00D81835">
        <w:trPr>
          <w:gridAfter w:val="3"/>
          <w:wAfter w:w="2086" w:type="dxa"/>
          <w:trHeight w:val="300"/>
        </w:trPr>
        <w:tc>
          <w:tcPr>
            <w:tcW w:w="4720" w:type="dxa"/>
            <w:gridSpan w:val="11"/>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w:t>
            </w:r>
          </w:p>
        </w:tc>
        <w:tc>
          <w:tcPr>
            <w:tcW w:w="1722"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本年支出合计</w:t>
            </w:r>
          </w:p>
        </w:tc>
        <w:tc>
          <w:tcPr>
            <w:tcW w:w="1624"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基本支出</w:t>
            </w:r>
          </w:p>
        </w:tc>
        <w:tc>
          <w:tcPr>
            <w:tcW w:w="16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项目支出</w:t>
            </w:r>
          </w:p>
        </w:tc>
        <w:tc>
          <w:tcPr>
            <w:tcW w:w="1726"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上缴上级支出</w:t>
            </w:r>
          </w:p>
        </w:tc>
        <w:tc>
          <w:tcPr>
            <w:tcW w:w="1620"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经营支出</w:t>
            </w:r>
          </w:p>
        </w:tc>
        <w:tc>
          <w:tcPr>
            <w:tcW w:w="2060"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对附属单位补助支出</w:t>
            </w:r>
          </w:p>
        </w:tc>
      </w:tr>
      <w:tr w:rsidR="00D81835" w:rsidRPr="00D81835" w:rsidTr="00D81835">
        <w:trPr>
          <w:gridAfter w:val="3"/>
          <w:wAfter w:w="2086" w:type="dxa"/>
          <w:trHeight w:val="312"/>
        </w:trPr>
        <w:tc>
          <w:tcPr>
            <w:tcW w:w="1180" w:type="dxa"/>
            <w:gridSpan w:val="6"/>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科目代码</w:t>
            </w:r>
          </w:p>
        </w:tc>
        <w:tc>
          <w:tcPr>
            <w:tcW w:w="3540" w:type="dxa"/>
            <w:gridSpan w:val="5"/>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科目名称</w:t>
            </w:r>
          </w:p>
        </w:tc>
        <w:tc>
          <w:tcPr>
            <w:tcW w:w="1722"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4"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6"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60"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3"/>
          <w:wAfter w:w="2086" w:type="dxa"/>
          <w:trHeight w:val="312"/>
        </w:trPr>
        <w:tc>
          <w:tcPr>
            <w:tcW w:w="1180" w:type="dxa"/>
            <w:gridSpan w:val="6"/>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2"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4"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6"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60"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3"/>
          <w:wAfter w:w="2086" w:type="dxa"/>
          <w:trHeight w:val="312"/>
        </w:trPr>
        <w:tc>
          <w:tcPr>
            <w:tcW w:w="1180" w:type="dxa"/>
            <w:gridSpan w:val="6"/>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2"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4"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726"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60"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3"/>
          <w:wAfter w:w="2086" w:type="dxa"/>
          <w:trHeight w:val="300"/>
        </w:trPr>
        <w:tc>
          <w:tcPr>
            <w:tcW w:w="4720" w:type="dxa"/>
            <w:gridSpan w:val="11"/>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栏次</w:t>
            </w:r>
          </w:p>
        </w:tc>
        <w:tc>
          <w:tcPr>
            <w:tcW w:w="1722" w:type="dxa"/>
            <w:gridSpan w:val="3"/>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w:t>
            </w:r>
          </w:p>
        </w:tc>
        <w:tc>
          <w:tcPr>
            <w:tcW w:w="1624" w:type="dxa"/>
            <w:gridSpan w:val="3"/>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w:t>
            </w:r>
          </w:p>
        </w:tc>
        <w:tc>
          <w:tcPr>
            <w:tcW w:w="1620" w:type="dxa"/>
            <w:gridSpan w:val="5"/>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w:t>
            </w:r>
          </w:p>
        </w:tc>
        <w:tc>
          <w:tcPr>
            <w:tcW w:w="1726" w:type="dxa"/>
            <w:gridSpan w:val="5"/>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w:t>
            </w:r>
          </w:p>
        </w:tc>
        <w:tc>
          <w:tcPr>
            <w:tcW w:w="1620" w:type="dxa"/>
            <w:gridSpan w:val="2"/>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w:t>
            </w:r>
          </w:p>
        </w:tc>
        <w:tc>
          <w:tcPr>
            <w:tcW w:w="2060" w:type="dxa"/>
            <w:gridSpan w:val="2"/>
            <w:tcBorders>
              <w:top w:val="nil"/>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w:t>
            </w:r>
          </w:p>
        </w:tc>
      </w:tr>
      <w:tr w:rsidR="00D81835" w:rsidRPr="00D81835" w:rsidTr="00D81835">
        <w:trPr>
          <w:gridAfter w:val="3"/>
          <w:wAfter w:w="2086" w:type="dxa"/>
          <w:trHeight w:val="300"/>
        </w:trPr>
        <w:tc>
          <w:tcPr>
            <w:tcW w:w="4720" w:type="dxa"/>
            <w:gridSpan w:val="11"/>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合计</w:t>
            </w:r>
          </w:p>
        </w:tc>
        <w:tc>
          <w:tcPr>
            <w:tcW w:w="1722"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1,817.85 </w:t>
            </w:r>
          </w:p>
        </w:tc>
        <w:tc>
          <w:tcPr>
            <w:tcW w:w="1624"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1,259.67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558.19 </w:t>
            </w:r>
          </w:p>
        </w:tc>
        <w:tc>
          <w:tcPr>
            <w:tcW w:w="1726"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　</w:t>
            </w:r>
          </w:p>
        </w:tc>
        <w:tc>
          <w:tcPr>
            <w:tcW w:w="206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　</w:t>
            </w:r>
          </w:p>
        </w:tc>
      </w:tr>
      <w:tr w:rsidR="00D81835" w:rsidRPr="00D81835" w:rsidTr="00D81835">
        <w:trPr>
          <w:gridAfter w:val="3"/>
          <w:wAfter w:w="2086" w:type="dxa"/>
          <w:trHeight w:val="300"/>
        </w:trPr>
        <w:tc>
          <w:tcPr>
            <w:tcW w:w="1180" w:type="dxa"/>
            <w:gridSpan w:val="6"/>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2050202</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小学教育</w:t>
            </w:r>
          </w:p>
        </w:tc>
        <w:tc>
          <w:tcPr>
            <w:tcW w:w="1722"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221.59 </w:t>
            </w:r>
          </w:p>
        </w:tc>
        <w:tc>
          <w:tcPr>
            <w:tcW w:w="1624"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221.59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26"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6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3"/>
          <w:wAfter w:w="2086" w:type="dxa"/>
          <w:trHeight w:val="300"/>
        </w:trPr>
        <w:tc>
          <w:tcPr>
            <w:tcW w:w="1180" w:type="dxa"/>
            <w:gridSpan w:val="6"/>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2050299</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其他普通教育支出</w:t>
            </w:r>
          </w:p>
        </w:tc>
        <w:tc>
          <w:tcPr>
            <w:tcW w:w="1722"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999.54 </w:t>
            </w:r>
          </w:p>
        </w:tc>
        <w:tc>
          <w:tcPr>
            <w:tcW w:w="1624"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999.54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26"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6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3"/>
          <w:wAfter w:w="2086" w:type="dxa"/>
          <w:trHeight w:val="300"/>
        </w:trPr>
        <w:tc>
          <w:tcPr>
            <w:tcW w:w="1180" w:type="dxa"/>
            <w:gridSpan w:val="6"/>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2050999</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其他教育费附加安排的支出</w:t>
            </w:r>
          </w:p>
        </w:tc>
        <w:tc>
          <w:tcPr>
            <w:tcW w:w="1722"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14.19 </w:t>
            </w:r>
          </w:p>
        </w:tc>
        <w:tc>
          <w:tcPr>
            <w:tcW w:w="1624"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14.19 </w:t>
            </w:r>
          </w:p>
        </w:tc>
        <w:tc>
          <w:tcPr>
            <w:tcW w:w="1726"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6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3"/>
          <w:wAfter w:w="2086" w:type="dxa"/>
          <w:trHeight w:val="300"/>
        </w:trPr>
        <w:tc>
          <w:tcPr>
            <w:tcW w:w="1180" w:type="dxa"/>
            <w:gridSpan w:val="6"/>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2101102</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事业单位医疗</w:t>
            </w:r>
          </w:p>
        </w:tc>
        <w:tc>
          <w:tcPr>
            <w:tcW w:w="1722"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1624"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26"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6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3"/>
          <w:wAfter w:w="2086" w:type="dxa"/>
          <w:trHeight w:val="300"/>
        </w:trPr>
        <w:tc>
          <w:tcPr>
            <w:tcW w:w="1180" w:type="dxa"/>
            <w:gridSpan w:val="6"/>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2290403</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其他政府性基金债务收入安排的支出</w:t>
            </w:r>
          </w:p>
        </w:tc>
        <w:tc>
          <w:tcPr>
            <w:tcW w:w="1722"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544.00 </w:t>
            </w:r>
          </w:p>
        </w:tc>
        <w:tc>
          <w:tcPr>
            <w:tcW w:w="1624"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544.00 </w:t>
            </w:r>
          </w:p>
        </w:tc>
        <w:tc>
          <w:tcPr>
            <w:tcW w:w="1726"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6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3"/>
          <w:wAfter w:w="2086" w:type="dxa"/>
          <w:trHeight w:val="300"/>
        </w:trPr>
        <w:tc>
          <w:tcPr>
            <w:tcW w:w="1180" w:type="dxa"/>
            <w:gridSpan w:val="6"/>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lastRenderedPageBreak/>
              <w:t>2290808</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彩票市场调控资金支出</w:t>
            </w:r>
          </w:p>
        </w:tc>
        <w:tc>
          <w:tcPr>
            <w:tcW w:w="1722"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7.73 </w:t>
            </w:r>
          </w:p>
        </w:tc>
        <w:tc>
          <w:tcPr>
            <w:tcW w:w="1624"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7.73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726"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6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3"/>
          <w:wAfter w:w="2086" w:type="dxa"/>
          <w:trHeight w:val="300"/>
        </w:trPr>
        <w:tc>
          <w:tcPr>
            <w:tcW w:w="15092" w:type="dxa"/>
            <w:gridSpan w:val="31"/>
            <w:tcBorders>
              <w:top w:val="single" w:sz="4" w:space="0" w:color="D4D4D4"/>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注：本表反映部门本年度各项支出情况。</w:t>
            </w:r>
          </w:p>
        </w:tc>
      </w:tr>
      <w:tr w:rsidR="00D81835" w:rsidRPr="00D81835" w:rsidTr="00D81835">
        <w:trPr>
          <w:gridAfter w:val="1"/>
          <w:wAfter w:w="1503" w:type="dxa"/>
          <w:trHeight w:val="384"/>
        </w:trPr>
        <w:tc>
          <w:tcPr>
            <w:tcW w:w="3403" w:type="dxa"/>
            <w:gridSpan w:val="7"/>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426" w:type="dxa"/>
            <w:gridSpan w:val="7"/>
            <w:tcBorders>
              <w:top w:val="nil"/>
              <w:left w:val="nil"/>
              <w:bottom w:val="nil"/>
              <w:right w:val="nil"/>
            </w:tcBorders>
            <w:shd w:val="clear" w:color="auto" w:fill="auto"/>
            <w:noWrap/>
            <w:vAlign w:val="center"/>
            <w:hideMark/>
          </w:tcPr>
          <w:p w:rsidR="00D81835" w:rsidRPr="00D81835" w:rsidRDefault="00D81835" w:rsidP="00D81835">
            <w:pPr>
              <w:widowControl/>
              <w:jc w:val="center"/>
              <w:rPr>
                <w:rFonts w:ascii="黑体" w:eastAsia="黑体" w:hAnsi="黑体" w:cs="宋体"/>
                <w:kern w:val="0"/>
                <w:sz w:val="30"/>
                <w:szCs w:val="30"/>
              </w:rPr>
            </w:pPr>
            <w:r w:rsidRPr="00D81835">
              <w:rPr>
                <w:rFonts w:ascii="黑体" w:eastAsia="黑体" w:hAnsi="黑体" w:cs="宋体" w:hint="eastAsia"/>
                <w:kern w:val="0"/>
                <w:sz w:val="30"/>
                <w:szCs w:val="30"/>
              </w:rPr>
              <w:t>财政拨款收入支出决算总表</w:t>
            </w:r>
          </w:p>
        </w:tc>
        <w:tc>
          <w:tcPr>
            <w:tcW w:w="5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1"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5"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1"/>
          <w:wAfter w:w="1503" w:type="dxa"/>
          <w:trHeight w:val="288"/>
        </w:trPr>
        <w:tc>
          <w:tcPr>
            <w:tcW w:w="3403" w:type="dxa"/>
            <w:gridSpan w:val="7"/>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426" w:type="dxa"/>
            <w:gridSpan w:val="7"/>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1"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5"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公开04表</w:t>
            </w:r>
          </w:p>
        </w:tc>
      </w:tr>
      <w:tr w:rsidR="00D81835" w:rsidRPr="00D81835" w:rsidTr="00D81835">
        <w:trPr>
          <w:gridAfter w:val="1"/>
          <w:wAfter w:w="1503" w:type="dxa"/>
          <w:trHeight w:val="288"/>
        </w:trPr>
        <w:tc>
          <w:tcPr>
            <w:tcW w:w="3403" w:type="dxa"/>
            <w:gridSpan w:val="7"/>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部门：益阳市赫山区三里桥学校</w:t>
            </w:r>
          </w:p>
        </w:tc>
        <w:tc>
          <w:tcPr>
            <w:tcW w:w="520"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426" w:type="dxa"/>
            <w:gridSpan w:val="7"/>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1"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5"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金额单位：万元</w:t>
            </w:r>
          </w:p>
        </w:tc>
      </w:tr>
      <w:tr w:rsidR="00D81835" w:rsidRPr="00D81835" w:rsidTr="00D81835">
        <w:trPr>
          <w:gridAfter w:val="1"/>
          <w:wAfter w:w="1503" w:type="dxa"/>
          <w:trHeight w:val="300"/>
        </w:trPr>
        <w:tc>
          <w:tcPr>
            <w:tcW w:w="5443" w:type="dxa"/>
            <w:gridSpan w:val="12"/>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收入</w:t>
            </w:r>
          </w:p>
        </w:tc>
        <w:tc>
          <w:tcPr>
            <w:tcW w:w="10232" w:type="dxa"/>
            <w:gridSpan w:val="21"/>
            <w:tcBorders>
              <w:top w:val="single" w:sz="4" w:space="0" w:color="D4D4D4"/>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支出</w:t>
            </w:r>
          </w:p>
        </w:tc>
      </w:tr>
      <w:tr w:rsidR="00D81835" w:rsidRPr="00D81835" w:rsidTr="00D81835">
        <w:trPr>
          <w:gridAfter w:val="1"/>
          <w:wAfter w:w="1503" w:type="dxa"/>
          <w:trHeight w:val="312"/>
        </w:trPr>
        <w:tc>
          <w:tcPr>
            <w:tcW w:w="3403" w:type="dxa"/>
            <w:gridSpan w:val="7"/>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w:t>
            </w:r>
          </w:p>
        </w:tc>
        <w:tc>
          <w:tcPr>
            <w:tcW w:w="5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行次</w:t>
            </w:r>
          </w:p>
        </w:tc>
        <w:tc>
          <w:tcPr>
            <w:tcW w:w="1520" w:type="dxa"/>
            <w:gridSpan w:val="4"/>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金额</w:t>
            </w:r>
          </w:p>
        </w:tc>
        <w:tc>
          <w:tcPr>
            <w:tcW w:w="3426" w:type="dxa"/>
            <w:gridSpan w:val="7"/>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w:t>
            </w:r>
          </w:p>
        </w:tc>
        <w:tc>
          <w:tcPr>
            <w:tcW w:w="520" w:type="dxa"/>
            <w:gridSpan w:val="2"/>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行次</w:t>
            </w:r>
          </w:p>
        </w:tc>
        <w:tc>
          <w:tcPr>
            <w:tcW w:w="1571" w:type="dxa"/>
            <w:gridSpan w:val="4"/>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合计</w:t>
            </w:r>
          </w:p>
        </w:tc>
        <w:tc>
          <w:tcPr>
            <w:tcW w:w="1575"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一般公共预算财政拨款</w:t>
            </w:r>
          </w:p>
        </w:tc>
        <w:tc>
          <w:tcPr>
            <w:tcW w:w="1520" w:type="dxa"/>
            <w:gridSpan w:val="2"/>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政府性基金预算财政拨款</w:t>
            </w:r>
          </w:p>
        </w:tc>
        <w:tc>
          <w:tcPr>
            <w:tcW w:w="1620"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国有资本经营预算财政拨款</w:t>
            </w:r>
          </w:p>
        </w:tc>
      </w:tr>
      <w:tr w:rsidR="00D81835" w:rsidRPr="00D81835" w:rsidTr="00D81835">
        <w:trPr>
          <w:gridAfter w:val="1"/>
          <w:wAfter w:w="1503" w:type="dxa"/>
          <w:trHeight w:val="600"/>
        </w:trPr>
        <w:tc>
          <w:tcPr>
            <w:tcW w:w="3403" w:type="dxa"/>
            <w:gridSpan w:val="7"/>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4"/>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426" w:type="dxa"/>
            <w:gridSpan w:val="7"/>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520" w:type="dxa"/>
            <w:gridSpan w:val="2"/>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1" w:type="dxa"/>
            <w:gridSpan w:val="4"/>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75" w:type="dxa"/>
            <w:gridSpan w:val="3"/>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520" w:type="dxa"/>
            <w:gridSpan w:val="2"/>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3"/>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栏次</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1" w:type="dxa"/>
            <w:gridSpan w:val="4"/>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w:t>
            </w:r>
          </w:p>
        </w:tc>
        <w:tc>
          <w:tcPr>
            <w:tcW w:w="1575"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w:t>
            </w:r>
          </w:p>
        </w:tc>
        <w:tc>
          <w:tcPr>
            <w:tcW w:w="1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w:t>
            </w:r>
          </w:p>
        </w:tc>
        <w:tc>
          <w:tcPr>
            <w:tcW w:w="1620"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一、一般公共预算财政拨款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867.11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一、一般公共服务支出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33</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二、政府性基金预算财政拨款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551.73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二、外交支出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34</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三、国有资本经营预算财政拨款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三、国防支出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35</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四、公共安全支出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36</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五、教育支出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37</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836.30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836.30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六、科学技术支出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38</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7</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七、文化旅游体育与传媒支出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39</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8</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八、社会保障和就业支出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40</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9</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九、卫生健康支出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41</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10</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十、节能环保支出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42</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11</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十一、城乡社区支出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43</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12</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十二、农林水支出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44</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13</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十三、交通运输支出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45</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14</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十四、资源勘探工业信息等支出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46</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15</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十五、商业服务业等支出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47</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16</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十六、金融支出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48</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17</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十七、援助其他地区支出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49</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18</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十八、自然资源海洋气象等支出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50</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19</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十九、住房保障支出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51</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20</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二十、粮油物资储备支出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52</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21</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二十一、国有资本经营预算支出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53</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22</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二十二、灾害防治及应急管理支出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54</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23</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二十三、其他支出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55</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551.73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551.73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0"/>
                <w:szCs w:val="20"/>
              </w:rPr>
            </w:pPr>
            <w:r w:rsidRPr="00D81835">
              <w:rPr>
                <w:rFonts w:ascii="宋体" w:eastAsia="宋体" w:hAnsi="宋体" w:cs="宋体" w:hint="eastAsia"/>
                <w:b/>
                <w:bCs/>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24</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二十四、债务还本支出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56</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25</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二十五、债务付息支出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57</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26</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二十六、抗疫特别国债安排的支出</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58</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本年收入合计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27</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1,418.84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本年支出合计</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59</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1,418.84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867.11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551.73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年初财政拨款结转和结余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28</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年末财政拨款结转和结余</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60</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0.00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0.00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0.00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一般公共预算财政拨款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29</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61</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政府性基金预算财政拨款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30</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62</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lastRenderedPageBreak/>
              <w:t xml:space="preserve">     国有资本经营预算财政拨款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31</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63</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3403" w:type="dxa"/>
            <w:gridSpan w:val="7"/>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32</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1,418.84 </w:t>
            </w:r>
          </w:p>
        </w:tc>
        <w:tc>
          <w:tcPr>
            <w:tcW w:w="3426" w:type="dxa"/>
            <w:gridSpan w:val="7"/>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总计</w:t>
            </w:r>
          </w:p>
        </w:tc>
        <w:tc>
          <w:tcPr>
            <w:tcW w:w="5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64</w:t>
            </w:r>
          </w:p>
        </w:tc>
        <w:tc>
          <w:tcPr>
            <w:tcW w:w="1571"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1,418.84 </w:t>
            </w:r>
          </w:p>
        </w:tc>
        <w:tc>
          <w:tcPr>
            <w:tcW w:w="1575"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867.11 </w:t>
            </w:r>
          </w:p>
        </w:tc>
        <w:tc>
          <w:tcPr>
            <w:tcW w:w="15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551.73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
          <w:wAfter w:w="1503" w:type="dxa"/>
          <w:trHeight w:val="300"/>
        </w:trPr>
        <w:tc>
          <w:tcPr>
            <w:tcW w:w="14055" w:type="dxa"/>
            <w:gridSpan w:val="30"/>
            <w:tcBorders>
              <w:top w:val="single" w:sz="4" w:space="0" w:color="D4D4D4"/>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注：本表反映部门本年度一般公共预算财政拨款、政府性基金预算财政拨款和国有资本经营预算财政拨款的总收支和年末结转结余情况。</w:t>
            </w:r>
          </w:p>
        </w:tc>
        <w:tc>
          <w:tcPr>
            <w:tcW w:w="1620"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0"/>
                <w:szCs w:val="20"/>
              </w:rPr>
            </w:pPr>
            <w:r w:rsidRPr="00D81835">
              <w:rPr>
                <w:rFonts w:ascii="宋体" w:eastAsia="宋体" w:hAnsi="宋体" w:cs="宋体" w:hint="eastAsia"/>
                <w:color w:val="000000"/>
                <w:kern w:val="0"/>
                <w:sz w:val="20"/>
                <w:szCs w:val="20"/>
              </w:rPr>
              <w:t xml:space="preserve">　</w:t>
            </w:r>
          </w:p>
        </w:tc>
      </w:tr>
      <w:tr w:rsidR="00D81835" w:rsidRPr="00D81835" w:rsidTr="00D81835">
        <w:trPr>
          <w:gridAfter w:val="10"/>
          <w:wAfter w:w="6343" w:type="dxa"/>
          <w:trHeight w:val="384"/>
        </w:trPr>
        <w:tc>
          <w:tcPr>
            <w:tcW w:w="382"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84"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29"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center"/>
              <w:rPr>
                <w:rFonts w:ascii="黑体" w:eastAsia="黑体" w:hAnsi="黑体" w:cs="宋体"/>
                <w:kern w:val="0"/>
                <w:sz w:val="30"/>
                <w:szCs w:val="30"/>
              </w:rPr>
            </w:pPr>
            <w:r w:rsidRPr="00D81835">
              <w:rPr>
                <w:rFonts w:ascii="黑体" w:eastAsia="黑体" w:hAnsi="黑体" w:cs="宋体" w:hint="eastAsia"/>
                <w:kern w:val="0"/>
                <w:sz w:val="30"/>
                <w:szCs w:val="30"/>
              </w:rPr>
              <w:t>一般公共预算财政拨款支出决算表</w:t>
            </w:r>
          </w:p>
        </w:tc>
        <w:tc>
          <w:tcPr>
            <w:tcW w:w="2126"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54"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10"/>
          <w:wAfter w:w="6343" w:type="dxa"/>
          <w:trHeight w:val="288"/>
        </w:trPr>
        <w:tc>
          <w:tcPr>
            <w:tcW w:w="382" w:type="dxa"/>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84"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29"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126"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54" w:type="dxa"/>
            <w:gridSpan w:val="6"/>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公开05表</w:t>
            </w:r>
          </w:p>
        </w:tc>
      </w:tr>
      <w:tr w:rsidR="00D81835" w:rsidRPr="00D81835" w:rsidTr="00D81835">
        <w:trPr>
          <w:gridAfter w:val="10"/>
          <w:wAfter w:w="6343" w:type="dxa"/>
          <w:trHeight w:val="288"/>
        </w:trPr>
        <w:tc>
          <w:tcPr>
            <w:tcW w:w="4635" w:type="dxa"/>
            <w:gridSpan w:val="10"/>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部门：益阳市赫山区三里桥学校</w:t>
            </w:r>
          </w:p>
        </w:tc>
        <w:tc>
          <w:tcPr>
            <w:tcW w:w="2126"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54" w:type="dxa"/>
            <w:gridSpan w:val="6"/>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20"/>
                <w:szCs w:val="20"/>
              </w:rPr>
            </w:pPr>
            <w:r w:rsidRPr="00D81835">
              <w:rPr>
                <w:rFonts w:ascii="宋体" w:eastAsia="宋体" w:hAnsi="宋体" w:cs="宋体" w:hint="eastAsia"/>
                <w:kern w:val="0"/>
                <w:sz w:val="20"/>
                <w:szCs w:val="20"/>
              </w:rPr>
              <w:t>金额单位：万元</w:t>
            </w:r>
          </w:p>
        </w:tc>
      </w:tr>
      <w:tr w:rsidR="00D81835" w:rsidRPr="00D81835" w:rsidTr="00D81835">
        <w:trPr>
          <w:gridAfter w:val="10"/>
          <w:wAfter w:w="6343" w:type="dxa"/>
          <w:trHeight w:val="300"/>
        </w:trPr>
        <w:tc>
          <w:tcPr>
            <w:tcW w:w="4635" w:type="dxa"/>
            <w:gridSpan w:val="10"/>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w:t>
            </w:r>
          </w:p>
        </w:tc>
        <w:tc>
          <w:tcPr>
            <w:tcW w:w="6200" w:type="dxa"/>
            <w:gridSpan w:val="14"/>
            <w:tcBorders>
              <w:top w:val="single" w:sz="4" w:space="0" w:color="D4D4D4"/>
              <w:left w:val="nil"/>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本年支出</w:t>
            </w:r>
          </w:p>
        </w:tc>
      </w:tr>
      <w:tr w:rsidR="00D81835" w:rsidRPr="00D81835" w:rsidTr="00D81835">
        <w:trPr>
          <w:gridAfter w:val="10"/>
          <w:wAfter w:w="6343" w:type="dxa"/>
          <w:trHeight w:val="312"/>
        </w:trPr>
        <w:tc>
          <w:tcPr>
            <w:tcW w:w="1095"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科目代码</w:t>
            </w:r>
          </w:p>
        </w:tc>
        <w:tc>
          <w:tcPr>
            <w:tcW w:w="3540" w:type="dxa"/>
            <w:gridSpan w:val="5"/>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科目名称</w:t>
            </w:r>
          </w:p>
        </w:tc>
        <w:tc>
          <w:tcPr>
            <w:tcW w:w="2126" w:type="dxa"/>
            <w:gridSpan w:val="6"/>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小计</w:t>
            </w:r>
          </w:p>
        </w:tc>
        <w:tc>
          <w:tcPr>
            <w:tcW w:w="2020" w:type="dxa"/>
            <w:gridSpan w:val="2"/>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基本支出</w:t>
            </w:r>
          </w:p>
        </w:tc>
        <w:tc>
          <w:tcPr>
            <w:tcW w:w="2054" w:type="dxa"/>
            <w:gridSpan w:val="6"/>
            <w:vMerge w:val="restart"/>
            <w:tcBorders>
              <w:top w:val="nil"/>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项目支出</w:t>
            </w:r>
          </w:p>
        </w:tc>
      </w:tr>
      <w:tr w:rsidR="00D81835" w:rsidRPr="00D81835" w:rsidTr="00D81835">
        <w:trPr>
          <w:gridAfter w:val="10"/>
          <w:wAfter w:w="6343" w:type="dxa"/>
          <w:trHeight w:val="312"/>
        </w:trPr>
        <w:tc>
          <w:tcPr>
            <w:tcW w:w="1095"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126" w:type="dxa"/>
            <w:gridSpan w:val="6"/>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gridSpan w:val="2"/>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54" w:type="dxa"/>
            <w:gridSpan w:val="6"/>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10"/>
          <w:wAfter w:w="6343" w:type="dxa"/>
          <w:trHeight w:val="312"/>
        </w:trPr>
        <w:tc>
          <w:tcPr>
            <w:tcW w:w="1095"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540" w:type="dxa"/>
            <w:gridSpan w:val="5"/>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126" w:type="dxa"/>
            <w:gridSpan w:val="6"/>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20" w:type="dxa"/>
            <w:gridSpan w:val="2"/>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054" w:type="dxa"/>
            <w:gridSpan w:val="6"/>
            <w:vMerge/>
            <w:tcBorders>
              <w:top w:val="nil"/>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gridAfter w:val="10"/>
          <w:wAfter w:w="6343" w:type="dxa"/>
          <w:trHeight w:val="300"/>
        </w:trPr>
        <w:tc>
          <w:tcPr>
            <w:tcW w:w="4635" w:type="dxa"/>
            <w:gridSpan w:val="10"/>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栏次</w:t>
            </w:r>
          </w:p>
        </w:tc>
        <w:tc>
          <w:tcPr>
            <w:tcW w:w="2126"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1</w:t>
            </w:r>
          </w:p>
        </w:tc>
        <w:tc>
          <w:tcPr>
            <w:tcW w:w="2020"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2</w:t>
            </w:r>
          </w:p>
        </w:tc>
        <w:tc>
          <w:tcPr>
            <w:tcW w:w="2054"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3</w:t>
            </w:r>
          </w:p>
        </w:tc>
      </w:tr>
      <w:tr w:rsidR="00D81835" w:rsidRPr="00D81835" w:rsidTr="00D81835">
        <w:trPr>
          <w:gridAfter w:val="10"/>
          <w:wAfter w:w="6343" w:type="dxa"/>
          <w:trHeight w:val="300"/>
        </w:trPr>
        <w:tc>
          <w:tcPr>
            <w:tcW w:w="4635" w:type="dxa"/>
            <w:gridSpan w:val="10"/>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合计</w:t>
            </w:r>
          </w:p>
        </w:tc>
        <w:tc>
          <w:tcPr>
            <w:tcW w:w="2126"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867.11 </w:t>
            </w:r>
          </w:p>
        </w:tc>
        <w:tc>
          <w:tcPr>
            <w:tcW w:w="20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852.93 </w:t>
            </w:r>
          </w:p>
        </w:tc>
        <w:tc>
          <w:tcPr>
            <w:tcW w:w="2054"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b/>
                <w:bCs/>
                <w:color w:val="000000"/>
                <w:kern w:val="0"/>
                <w:sz w:val="22"/>
              </w:rPr>
            </w:pPr>
            <w:r w:rsidRPr="00D81835">
              <w:rPr>
                <w:rFonts w:ascii="宋体" w:eastAsia="宋体" w:hAnsi="宋体" w:cs="宋体" w:hint="eastAsia"/>
                <w:b/>
                <w:bCs/>
                <w:color w:val="000000"/>
                <w:kern w:val="0"/>
                <w:sz w:val="22"/>
              </w:rPr>
              <w:t xml:space="preserve">14.19 </w:t>
            </w:r>
          </w:p>
        </w:tc>
      </w:tr>
      <w:tr w:rsidR="00D81835" w:rsidRPr="00D81835" w:rsidTr="00D81835">
        <w:trPr>
          <w:gridAfter w:val="10"/>
          <w:wAfter w:w="6343" w:type="dxa"/>
          <w:trHeight w:val="300"/>
        </w:trPr>
        <w:tc>
          <w:tcPr>
            <w:tcW w:w="1095" w:type="dxa"/>
            <w:gridSpan w:val="5"/>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2050202</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小学教育</w:t>
            </w:r>
          </w:p>
        </w:tc>
        <w:tc>
          <w:tcPr>
            <w:tcW w:w="2126"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221.59 </w:t>
            </w:r>
          </w:p>
        </w:tc>
        <w:tc>
          <w:tcPr>
            <w:tcW w:w="20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221.59 </w:t>
            </w:r>
          </w:p>
        </w:tc>
        <w:tc>
          <w:tcPr>
            <w:tcW w:w="2054"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0"/>
          <w:wAfter w:w="6343" w:type="dxa"/>
          <w:trHeight w:val="300"/>
        </w:trPr>
        <w:tc>
          <w:tcPr>
            <w:tcW w:w="1095" w:type="dxa"/>
            <w:gridSpan w:val="5"/>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2050299</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其他普通教育支出</w:t>
            </w:r>
          </w:p>
        </w:tc>
        <w:tc>
          <w:tcPr>
            <w:tcW w:w="2126"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600.53 </w:t>
            </w:r>
          </w:p>
        </w:tc>
        <w:tc>
          <w:tcPr>
            <w:tcW w:w="20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600.53 </w:t>
            </w:r>
          </w:p>
        </w:tc>
        <w:tc>
          <w:tcPr>
            <w:tcW w:w="2054"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0"/>
          <w:wAfter w:w="6343" w:type="dxa"/>
          <w:trHeight w:val="300"/>
        </w:trPr>
        <w:tc>
          <w:tcPr>
            <w:tcW w:w="1095" w:type="dxa"/>
            <w:gridSpan w:val="5"/>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2050999</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其他教育费附加安排的支出</w:t>
            </w:r>
          </w:p>
        </w:tc>
        <w:tc>
          <w:tcPr>
            <w:tcW w:w="2126"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14.19 </w:t>
            </w:r>
          </w:p>
        </w:tc>
        <w:tc>
          <w:tcPr>
            <w:tcW w:w="20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2054"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14.19 </w:t>
            </w:r>
          </w:p>
        </w:tc>
      </w:tr>
      <w:tr w:rsidR="00D81835" w:rsidRPr="00D81835" w:rsidTr="00D81835">
        <w:trPr>
          <w:gridAfter w:val="10"/>
          <w:wAfter w:w="6343" w:type="dxa"/>
          <w:trHeight w:val="300"/>
        </w:trPr>
        <w:tc>
          <w:tcPr>
            <w:tcW w:w="1095" w:type="dxa"/>
            <w:gridSpan w:val="5"/>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2101102</w:t>
            </w:r>
          </w:p>
        </w:tc>
        <w:tc>
          <w:tcPr>
            <w:tcW w:w="3540" w:type="dxa"/>
            <w:gridSpan w:val="5"/>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事业单位医疗</w:t>
            </w:r>
          </w:p>
        </w:tc>
        <w:tc>
          <w:tcPr>
            <w:tcW w:w="2126"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20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2054" w:type="dxa"/>
            <w:gridSpan w:val="6"/>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gridAfter w:val="10"/>
          <w:wAfter w:w="6343" w:type="dxa"/>
          <w:trHeight w:val="300"/>
        </w:trPr>
        <w:tc>
          <w:tcPr>
            <w:tcW w:w="10835" w:type="dxa"/>
            <w:gridSpan w:val="24"/>
            <w:tcBorders>
              <w:top w:val="single" w:sz="4" w:space="0" w:color="D4D4D4"/>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注：本表反映部门本年度一般公共预算财政拨款支出情况。</w:t>
            </w:r>
          </w:p>
        </w:tc>
      </w:tr>
      <w:tr w:rsidR="00D81835" w:rsidRPr="00D81835" w:rsidTr="00D81835">
        <w:trPr>
          <w:trHeight w:val="384"/>
        </w:trPr>
        <w:tc>
          <w:tcPr>
            <w:tcW w:w="766"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320"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50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center"/>
              <w:rPr>
                <w:rFonts w:ascii="黑体" w:eastAsia="黑体" w:hAnsi="黑体" w:cs="宋体"/>
                <w:kern w:val="0"/>
                <w:sz w:val="30"/>
                <w:szCs w:val="30"/>
              </w:rPr>
            </w:pPr>
            <w:r w:rsidRPr="00D81835">
              <w:rPr>
                <w:rFonts w:ascii="黑体" w:eastAsia="黑体" w:hAnsi="黑体" w:cs="宋体" w:hint="eastAsia"/>
                <w:kern w:val="0"/>
                <w:sz w:val="30"/>
                <w:szCs w:val="30"/>
              </w:rPr>
              <w:t>一般公共预算财政拨款基本支出决算明细表</w:t>
            </w:r>
          </w:p>
        </w:tc>
        <w:tc>
          <w:tcPr>
            <w:tcW w:w="1620"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4200"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trHeight w:val="288"/>
        </w:trPr>
        <w:tc>
          <w:tcPr>
            <w:tcW w:w="766"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320"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50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4200"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18"/>
                <w:szCs w:val="18"/>
              </w:rPr>
            </w:pPr>
            <w:r w:rsidRPr="00D81835">
              <w:rPr>
                <w:rFonts w:ascii="宋体" w:eastAsia="宋体" w:hAnsi="宋体" w:cs="宋体" w:hint="eastAsia"/>
                <w:kern w:val="0"/>
                <w:sz w:val="18"/>
                <w:szCs w:val="18"/>
              </w:rPr>
              <w:t>公开06表</w:t>
            </w:r>
          </w:p>
        </w:tc>
      </w:tr>
      <w:tr w:rsidR="00D81835" w:rsidRPr="00D81835" w:rsidTr="00D81835">
        <w:trPr>
          <w:trHeight w:val="288"/>
        </w:trPr>
        <w:tc>
          <w:tcPr>
            <w:tcW w:w="4086" w:type="dxa"/>
            <w:gridSpan w:val="9"/>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18"/>
                <w:szCs w:val="18"/>
              </w:rPr>
            </w:pPr>
            <w:r w:rsidRPr="00D81835">
              <w:rPr>
                <w:rFonts w:ascii="宋体" w:eastAsia="宋体" w:hAnsi="宋体" w:cs="宋体" w:hint="eastAsia"/>
                <w:kern w:val="0"/>
                <w:sz w:val="18"/>
                <w:szCs w:val="18"/>
              </w:rPr>
              <w:t>部门：益阳市赫山区三里桥学校</w:t>
            </w:r>
          </w:p>
        </w:tc>
        <w:tc>
          <w:tcPr>
            <w:tcW w:w="1620" w:type="dxa"/>
            <w:gridSpan w:val="4"/>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2"/>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500" w:type="dxa"/>
            <w:gridSpan w:val="5"/>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4200" w:type="dxa"/>
            <w:gridSpan w:val="6"/>
            <w:tcBorders>
              <w:top w:val="nil"/>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bottom"/>
            <w:hideMark/>
          </w:tcPr>
          <w:p w:rsidR="00D81835" w:rsidRPr="00D81835" w:rsidRDefault="00D81835" w:rsidP="00D81835">
            <w:pPr>
              <w:widowControl/>
              <w:jc w:val="left"/>
              <w:rPr>
                <w:rFonts w:ascii="宋体" w:eastAsia="宋体" w:hAnsi="宋体" w:cs="宋体"/>
                <w:kern w:val="0"/>
                <w:sz w:val="18"/>
                <w:szCs w:val="18"/>
              </w:rPr>
            </w:pPr>
            <w:r w:rsidRPr="00D81835">
              <w:rPr>
                <w:rFonts w:ascii="宋体" w:eastAsia="宋体" w:hAnsi="宋体" w:cs="宋体" w:hint="eastAsia"/>
                <w:kern w:val="0"/>
                <w:sz w:val="18"/>
                <w:szCs w:val="18"/>
              </w:rPr>
              <w:t>金额单位：万元</w:t>
            </w:r>
          </w:p>
        </w:tc>
      </w:tr>
      <w:tr w:rsidR="00D81835" w:rsidRPr="00D81835" w:rsidTr="00D81835">
        <w:trPr>
          <w:trHeight w:val="312"/>
        </w:trPr>
        <w:tc>
          <w:tcPr>
            <w:tcW w:w="766"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科目代码</w:t>
            </w:r>
          </w:p>
        </w:tc>
        <w:tc>
          <w:tcPr>
            <w:tcW w:w="3320" w:type="dxa"/>
            <w:gridSpan w:val="6"/>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科目名称</w:t>
            </w:r>
          </w:p>
        </w:tc>
        <w:tc>
          <w:tcPr>
            <w:tcW w:w="1620"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决算数</w:t>
            </w:r>
          </w:p>
        </w:tc>
        <w:tc>
          <w:tcPr>
            <w:tcW w:w="766"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科目代码</w:t>
            </w:r>
          </w:p>
        </w:tc>
        <w:tc>
          <w:tcPr>
            <w:tcW w:w="250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科目名称</w:t>
            </w:r>
          </w:p>
        </w:tc>
        <w:tc>
          <w:tcPr>
            <w:tcW w:w="16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决算数</w:t>
            </w:r>
          </w:p>
        </w:tc>
        <w:tc>
          <w:tcPr>
            <w:tcW w:w="766"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科目代码</w:t>
            </w:r>
          </w:p>
        </w:tc>
        <w:tc>
          <w:tcPr>
            <w:tcW w:w="4200" w:type="dxa"/>
            <w:gridSpan w:val="6"/>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科目名称</w:t>
            </w:r>
          </w:p>
        </w:tc>
        <w:tc>
          <w:tcPr>
            <w:tcW w:w="1620"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决算数</w:t>
            </w:r>
          </w:p>
        </w:tc>
      </w:tr>
      <w:tr w:rsidR="00D81835" w:rsidRPr="00D81835" w:rsidTr="00D81835">
        <w:trPr>
          <w:trHeight w:val="312"/>
        </w:trPr>
        <w:tc>
          <w:tcPr>
            <w:tcW w:w="766"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3320" w:type="dxa"/>
            <w:gridSpan w:val="6"/>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4"/>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2500" w:type="dxa"/>
            <w:gridSpan w:val="5"/>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766" w:type="dxa"/>
            <w:gridSpan w:val="3"/>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4200" w:type="dxa"/>
            <w:gridSpan w:val="6"/>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D81835" w:rsidRPr="00D81835" w:rsidRDefault="00D81835" w:rsidP="00D81835">
            <w:pPr>
              <w:widowControl/>
              <w:jc w:val="left"/>
              <w:rPr>
                <w:rFonts w:ascii="宋体" w:eastAsia="宋体" w:hAnsi="宋体" w:cs="宋体"/>
                <w:color w:val="000000"/>
                <w:kern w:val="0"/>
                <w:sz w:val="22"/>
              </w:rPr>
            </w:pP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工资福利支出</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608.75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商品和服务支出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202.75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307</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债务利息及费用支出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30101</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基本工资</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341.75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30201</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办公费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33.98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30701</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国内债务付息</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30102</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津贴补贴</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1.44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30202</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印刷费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7.35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30702</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国外债务付息</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30103</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奖金</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30204</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手续费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资本性支出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30106</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伙食补助费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30205</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水费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10.93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31001</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房屋建筑物购建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30107</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绩效工资</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115.99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30206</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电费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15.86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31002</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办公设备购置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30108</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机关事业单位基本养老保险缴费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66.81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30207</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邮电费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0.21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31003</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专用设备购置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30109</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职业年金缴费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30208</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取暖费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31005</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基础设施建设</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30110</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职工基本医疗保险缴费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30.81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30209</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物业管理费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15.81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31006</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大型修缮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30111</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公务员医疗补助缴费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30211</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差旅费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2.72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31007</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信息网络及软件购置更新</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30112</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其他社会保障缴费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1.43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30212</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因公出国（境）费用</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31008</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物资储备</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lastRenderedPageBreak/>
              <w:t>30113</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住房公积金</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50.54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30213</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维修（护）费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36.63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31009</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土地补偿</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30114</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医疗费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30214</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租赁费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31010</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安置补助</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30199</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其他工资福利支出</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30215</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会议费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1.30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31011</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地上附着物和青苗补偿</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对个人和家庭的补助</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41.42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30216</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培训费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22.11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31012</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拆迁补偿</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30301</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离休费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30217</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公务接待费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31013</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公务用车购置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30302</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退休费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30218</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专用材料费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31019</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其他交通工具购置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30303</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退职（役）费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30224</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被装购置费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31021</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文物和陈列品购置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30304</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抚恤金</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7.73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30225</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专用燃料费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31022</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无形资产购置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30305</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生活补助</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22.59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30226</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劳务费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31099</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其他资本性支出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30306</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救济费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30227</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委托业务费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399</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其他支出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30307</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医疗费补助</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30228</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工会经费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27.80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39907</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国家赔偿费用支出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30308</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助学金</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5.22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30229</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福利费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15.75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39908</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对民间非营利组织和群众性自治组织补贴</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30309</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奖励金</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30231</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公务用车运行维护费</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39909</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经常性赠与</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30310</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个人农业生产补贴</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30239</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其他交通费用</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39910</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资本性赠与</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30311</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代缴社会保险费</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30240</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税金及附加费用</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39999</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766" w:type="dxa"/>
            <w:gridSpan w:val="3"/>
            <w:tcBorders>
              <w:top w:val="nil"/>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30399</w:t>
            </w:r>
          </w:p>
        </w:tc>
        <w:tc>
          <w:tcPr>
            <w:tcW w:w="332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其他对个人和家庭的补助</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5.89 </w:t>
            </w:r>
          </w:p>
        </w:tc>
        <w:tc>
          <w:tcPr>
            <w:tcW w:w="766" w:type="dxa"/>
            <w:gridSpan w:val="2"/>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30299</w:t>
            </w:r>
          </w:p>
        </w:tc>
        <w:tc>
          <w:tcPr>
            <w:tcW w:w="2500" w:type="dxa"/>
            <w:gridSpan w:val="5"/>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其他商品和服务支出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12.31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4200" w:type="dxa"/>
            <w:gridSpan w:val="6"/>
            <w:tcBorders>
              <w:top w:val="nil"/>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　</w:t>
            </w:r>
          </w:p>
        </w:tc>
      </w:tr>
      <w:tr w:rsidR="00D81835" w:rsidRPr="00D81835" w:rsidTr="00D81835">
        <w:trPr>
          <w:trHeight w:val="300"/>
        </w:trPr>
        <w:tc>
          <w:tcPr>
            <w:tcW w:w="4086" w:type="dxa"/>
            <w:gridSpan w:val="9"/>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人员经费合计</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650.17 </w:t>
            </w:r>
          </w:p>
        </w:tc>
        <w:tc>
          <w:tcPr>
            <w:tcW w:w="9852" w:type="dxa"/>
            <w:gridSpan w:val="19"/>
            <w:tcBorders>
              <w:top w:val="single" w:sz="4" w:space="0" w:color="D4D4D4"/>
              <w:left w:val="nil"/>
              <w:bottom w:val="single" w:sz="4" w:space="0" w:color="D4D4D4"/>
              <w:right w:val="single" w:sz="4" w:space="0" w:color="D4D4D4"/>
            </w:tcBorders>
            <w:shd w:val="clear" w:color="000000" w:fill="F1F1F1"/>
            <w:noWrap/>
            <w:vAlign w:val="center"/>
            <w:hideMark/>
          </w:tcPr>
          <w:p w:rsidR="00D81835" w:rsidRPr="00D81835" w:rsidRDefault="00D81835" w:rsidP="00D81835">
            <w:pPr>
              <w:widowControl/>
              <w:jc w:val="center"/>
              <w:rPr>
                <w:rFonts w:ascii="宋体" w:eastAsia="宋体" w:hAnsi="宋体" w:cs="宋体"/>
                <w:color w:val="000000"/>
                <w:kern w:val="0"/>
                <w:sz w:val="22"/>
              </w:rPr>
            </w:pPr>
            <w:r w:rsidRPr="00D81835">
              <w:rPr>
                <w:rFonts w:ascii="宋体" w:eastAsia="宋体" w:hAnsi="宋体" w:cs="宋体" w:hint="eastAsia"/>
                <w:color w:val="000000"/>
                <w:kern w:val="0"/>
                <w:sz w:val="22"/>
              </w:rPr>
              <w:t>公用经费合计</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D81835" w:rsidRPr="00D81835" w:rsidRDefault="00D81835" w:rsidP="00D81835">
            <w:pPr>
              <w:widowControl/>
              <w:jc w:val="right"/>
              <w:rPr>
                <w:rFonts w:ascii="宋体" w:eastAsia="宋体" w:hAnsi="宋体" w:cs="宋体"/>
                <w:color w:val="000000"/>
                <w:kern w:val="0"/>
                <w:sz w:val="22"/>
              </w:rPr>
            </w:pPr>
            <w:r w:rsidRPr="00D81835">
              <w:rPr>
                <w:rFonts w:ascii="宋体" w:eastAsia="宋体" w:hAnsi="宋体" w:cs="宋体" w:hint="eastAsia"/>
                <w:color w:val="000000"/>
                <w:kern w:val="0"/>
                <w:sz w:val="22"/>
              </w:rPr>
              <w:t xml:space="preserve">202.75 </w:t>
            </w:r>
          </w:p>
        </w:tc>
      </w:tr>
      <w:tr w:rsidR="00D81835" w:rsidRPr="00D81835" w:rsidTr="00D81835">
        <w:trPr>
          <w:trHeight w:val="300"/>
        </w:trPr>
        <w:tc>
          <w:tcPr>
            <w:tcW w:w="17178" w:type="dxa"/>
            <w:gridSpan w:val="34"/>
            <w:tcBorders>
              <w:top w:val="single" w:sz="4" w:space="0" w:color="D4D4D4"/>
              <w:left w:val="nil"/>
              <w:bottom w:val="nil"/>
              <w:right w:val="nil"/>
            </w:tcBorders>
            <w:shd w:val="clear" w:color="auto" w:fill="auto"/>
            <w:noWrap/>
            <w:vAlign w:val="center"/>
            <w:hideMark/>
          </w:tcPr>
          <w:p w:rsidR="00D81835" w:rsidRPr="00D81835" w:rsidRDefault="00D81835" w:rsidP="00D81835">
            <w:pPr>
              <w:widowControl/>
              <w:jc w:val="left"/>
              <w:rPr>
                <w:rFonts w:ascii="宋体" w:eastAsia="宋体" w:hAnsi="宋体" w:cs="宋体"/>
                <w:color w:val="000000"/>
                <w:kern w:val="0"/>
                <w:sz w:val="22"/>
              </w:rPr>
            </w:pPr>
            <w:r w:rsidRPr="00D81835">
              <w:rPr>
                <w:rFonts w:ascii="宋体" w:eastAsia="宋体" w:hAnsi="宋体" w:cs="宋体" w:hint="eastAsia"/>
                <w:color w:val="000000"/>
                <w:kern w:val="0"/>
                <w:sz w:val="22"/>
              </w:rPr>
              <w:t>注：本表反映部门本年度一般公共预算财政拨款基本支出明细情况。</w:t>
            </w:r>
          </w:p>
        </w:tc>
      </w:tr>
    </w:tbl>
    <w:p w:rsidR="00D81835" w:rsidRDefault="00D81835" w:rsidP="00D81835">
      <w:pPr>
        <w:widowControl/>
        <w:spacing w:line="400" w:lineRule="exact"/>
        <w:jc w:val="center"/>
        <w:textAlignment w:val="center"/>
        <w:rPr>
          <w:rFonts w:ascii="Times New Roman" w:eastAsia="仿宋_GB2312" w:hAnsi="Times New Roman" w:cs="Times New Roman"/>
          <w:color w:val="000000"/>
          <w:kern w:val="0"/>
          <w:sz w:val="32"/>
          <w:szCs w:val="32"/>
        </w:rPr>
      </w:pPr>
    </w:p>
    <w:p w:rsidR="00D81835" w:rsidRDefault="00D81835" w:rsidP="00D81835">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政府性基金预算财政拨款收入支出决算表</w:t>
      </w:r>
    </w:p>
    <w:p w:rsidR="00D81835" w:rsidRDefault="00D81835" w:rsidP="00D8183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rsidR="00D81835" w:rsidRDefault="00D81835" w:rsidP="00D8183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4326" w:type="dxa"/>
        <w:jc w:val="center"/>
        <w:tblLayout w:type="fixed"/>
        <w:tblLook w:val="04A0"/>
      </w:tblPr>
      <w:tblGrid>
        <w:gridCol w:w="1497"/>
        <w:gridCol w:w="1277"/>
        <w:gridCol w:w="1918"/>
        <w:gridCol w:w="1943"/>
        <w:gridCol w:w="1919"/>
        <w:gridCol w:w="1935"/>
        <w:gridCol w:w="1918"/>
        <w:gridCol w:w="1919"/>
      </w:tblGrid>
      <w:tr w:rsidR="00D81835" w:rsidTr="00D81835">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21"/>
                <w:rFonts w:ascii="Times New Roman" w:eastAsia="仿宋_GB2312" w:hAnsi="Times New Roman" w:cs="Times New Roman" w:hint="default"/>
                <w:b/>
                <w:bCs/>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年末结转和结余</w:t>
            </w:r>
          </w:p>
        </w:tc>
      </w:tr>
      <w:tr w:rsidR="00D81835" w:rsidTr="00D81835">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rPr>
                <w:rFonts w:ascii="Times New Roman" w:eastAsia="仿宋_GB2312" w:hAnsi="Times New Roman" w:cs="Times New Roman"/>
                <w:color w:val="000000"/>
                <w:sz w:val="24"/>
                <w:szCs w:val="24"/>
              </w:rPr>
            </w:pPr>
          </w:p>
        </w:tc>
      </w:tr>
      <w:tr w:rsidR="00D81835" w:rsidTr="00D81835">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r>
      <w:tr w:rsidR="00D81835" w:rsidTr="00D81835">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r>
      <w:tr w:rsidR="00D81835" w:rsidTr="00D81835">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6</w:t>
            </w:r>
          </w:p>
        </w:tc>
      </w:tr>
      <w:tr w:rsidR="00D81835" w:rsidTr="00D81835">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r>
      <w:tr w:rsidR="00D81835" w:rsidTr="00D81835">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r w:rsidR="00D81835" w:rsidTr="00D81835">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r w:rsidR="00D81835" w:rsidTr="00D81835">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r w:rsidR="00D81835" w:rsidTr="00D81835">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r w:rsidR="00D81835" w:rsidTr="00D81835">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r w:rsidR="00D81835" w:rsidTr="00D81835">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bl>
    <w:p w:rsidR="00D81835" w:rsidRDefault="00D81835" w:rsidP="00D81835">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lastRenderedPageBreak/>
        <w:t>注：本表反映部门本年度政府性基金预算财政拨款收入、支出及结转和结余情况。</w:t>
      </w:r>
    </w:p>
    <w:p w:rsidR="00D81835" w:rsidRDefault="00D81835" w:rsidP="00D81835">
      <w:pPr>
        <w:widowControl/>
        <w:jc w:val="left"/>
        <w:textAlignment w:val="center"/>
        <w:rPr>
          <w:rFonts w:ascii="Times New Roman" w:eastAsia="仿宋_GB2312" w:hAnsi="Times New Roman" w:cs="Times New Roman"/>
          <w:color w:val="000000"/>
          <w:kern w:val="0"/>
          <w:sz w:val="24"/>
          <w:szCs w:val="24"/>
        </w:rPr>
      </w:pPr>
    </w:p>
    <w:p w:rsidR="00D81835" w:rsidRDefault="00D81835" w:rsidP="00D81835">
      <w:pPr>
        <w:widowControl/>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b/>
          <w:bCs/>
          <w:kern w:val="0"/>
          <w:sz w:val="24"/>
          <w:szCs w:val="24"/>
        </w:rPr>
        <w:t>说明：我单位没有政府性基金收入，也没有使用政府性基金安排的支出，故本表无数据。</w:t>
      </w:r>
    </w:p>
    <w:p w:rsidR="00D81835" w:rsidRDefault="00D81835" w:rsidP="00D81835">
      <w:pPr>
        <w:widowControl/>
        <w:jc w:val="center"/>
        <w:rPr>
          <w:rFonts w:ascii="Times New Roman" w:eastAsia="方正小标宋_GBK" w:hAnsi="Times New Roman" w:cs="Times New Roman"/>
          <w:color w:val="000000"/>
          <w:kern w:val="0"/>
          <w:sz w:val="36"/>
          <w:szCs w:val="36"/>
        </w:rPr>
      </w:pPr>
    </w:p>
    <w:p w:rsidR="00D81835" w:rsidRDefault="00D81835" w:rsidP="00D81835">
      <w:pPr>
        <w:widowControl/>
        <w:spacing w:line="400" w:lineRule="exact"/>
        <w:textAlignment w:val="center"/>
        <w:rPr>
          <w:rFonts w:ascii="Times New Roman" w:eastAsia="黑体" w:hAnsi="Times New Roman" w:cs="Times New Roman"/>
          <w:color w:val="000000"/>
          <w:kern w:val="0"/>
          <w:sz w:val="36"/>
          <w:szCs w:val="36"/>
        </w:rPr>
      </w:pPr>
    </w:p>
    <w:p w:rsidR="00D81835" w:rsidRDefault="00D81835" w:rsidP="00D81835">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国有资本经营预算财政拨款支出决算表</w:t>
      </w:r>
    </w:p>
    <w:p w:rsidR="00D81835" w:rsidRDefault="00D81835" w:rsidP="00D81835">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D81835" w:rsidRDefault="00D81835" w:rsidP="00D81835">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tblPr>
      <w:tblGrid>
        <w:gridCol w:w="1947"/>
        <w:gridCol w:w="1949"/>
        <w:gridCol w:w="1152"/>
        <w:gridCol w:w="1948"/>
        <w:gridCol w:w="1948"/>
      </w:tblGrid>
      <w:tr w:rsidR="00D81835" w:rsidTr="00D81835">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D81835" w:rsidTr="00D81835">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D81835" w:rsidTr="00D81835">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r>
      <w:tr w:rsidR="00D81835" w:rsidTr="00D81835">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r>
      <w:tr w:rsidR="00D81835" w:rsidTr="00D81835">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D81835" w:rsidTr="00D81835">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r>
      <w:tr w:rsidR="00D81835" w:rsidTr="00D8183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r w:rsidR="00D81835" w:rsidTr="00D8183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4"/>
                <w:szCs w:val="24"/>
              </w:rPr>
            </w:pPr>
          </w:p>
        </w:tc>
      </w:tr>
      <w:tr w:rsidR="00D81835" w:rsidTr="00D8183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r>
      <w:tr w:rsidR="00D81835" w:rsidTr="00D8183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r>
      <w:tr w:rsidR="00D81835" w:rsidTr="00D8183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r>
      <w:tr w:rsidR="00D81835" w:rsidTr="00D81835">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宋体" w:hAnsi="Times New Roman" w:cs="Times New Roman"/>
                <w:color w:val="000000"/>
                <w:sz w:val="24"/>
                <w:szCs w:val="24"/>
              </w:rPr>
            </w:pPr>
          </w:p>
        </w:tc>
      </w:tr>
    </w:tbl>
    <w:p w:rsidR="00D81835" w:rsidRDefault="00D81835" w:rsidP="00D81835">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rsidR="00D81835" w:rsidRDefault="00D81835" w:rsidP="00D81835">
      <w:pPr>
        <w:widowControl/>
        <w:jc w:val="left"/>
        <w:textAlignment w:val="center"/>
        <w:rPr>
          <w:rFonts w:ascii="Times New Roman" w:eastAsia="宋体" w:hAnsi="Times New Roman" w:cs="Times New Roman"/>
          <w:color w:val="000000"/>
          <w:kern w:val="0"/>
          <w:sz w:val="24"/>
          <w:szCs w:val="24"/>
        </w:rPr>
      </w:pPr>
    </w:p>
    <w:p w:rsidR="00D81835" w:rsidRDefault="00D81835" w:rsidP="00D81835">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rsidR="00D81835" w:rsidRDefault="00D81835" w:rsidP="00D81835">
      <w:pPr>
        <w:widowControl/>
        <w:jc w:val="center"/>
        <w:rPr>
          <w:rFonts w:ascii="Times New Roman" w:eastAsia="方正小标宋_GBK" w:hAnsi="Times New Roman" w:cs="Times New Roman"/>
          <w:color w:val="000000"/>
          <w:kern w:val="0"/>
          <w:sz w:val="36"/>
          <w:szCs w:val="36"/>
        </w:rPr>
      </w:pPr>
    </w:p>
    <w:p w:rsidR="00D81835" w:rsidRDefault="00D81835" w:rsidP="00D81835">
      <w:pPr>
        <w:pStyle w:val="a7"/>
        <w:spacing w:line="400" w:lineRule="exact"/>
        <w:rPr>
          <w:rFonts w:ascii="Times New Roman" w:eastAsia="华文中宋" w:hAnsi="Times New Roman" w:cs="Times New Roman"/>
          <w:color w:val="000000"/>
          <w:kern w:val="0"/>
          <w:sz w:val="32"/>
          <w:szCs w:val="32"/>
        </w:rPr>
      </w:pPr>
    </w:p>
    <w:p w:rsidR="00D81835" w:rsidRDefault="00D81835" w:rsidP="00D81835">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D81835" w:rsidRDefault="00D81835" w:rsidP="00D8183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D81835" w:rsidRDefault="00D81835" w:rsidP="00D8183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tblPr>
      <w:tblGrid>
        <w:gridCol w:w="561"/>
        <w:gridCol w:w="879"/>
        <w:gridCol w:w="657"/>
        <w:gridCol w:w="722"/>
        <w:gridCol w:w="872"/>
        <w:gridCol w:w="839"/>
        <w:gridCol w:w="636"/>
        <w:gridCol w:w="879"/>
        <w:gridCol w:w="709"/>
        <w:gridCol w:w="709"/>
        <w:gridCol w:w="830"/>
        <w:gridCol w:w="857"/>
      </w:tblGrid>
      <w:tr w:rsidR="00D81835" w:rsidTr="00D81835">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lastRenderedPageBreak/>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D81835" w:rsidTr="00D81835">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D81835" w:rsidTr="00D81835">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jc w:val="center"/>
              <w:rPr>
                <w:rFonts w:ascii="Times New Roman" w:eastAsia="仿宋_GB2312" w:hAnsi="Times New Roman" w:cs="Times New Roman"/>
                <w:color w:val="000000"/>
                <w:sz w:val="22"/>
              </w:rPr>
            </w:pPr>
          </w:p>
        </w:tc>
      </w:tr>
      <w:tr w:rsidR="00D81835" w:rsidTr="00D81835">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D81835" w:rsidTr="00D81835">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81835" w:rsidRDefault="00D81835" w:rsidP="00D81835">
            <w:pPr>
              <w:rPr>
                <w:rFonts w:ascii="Times New Roman" w:eastAsia="仿宋_GB2312" w:hAnsi="Times New Roman" w:cs="Times New Roman"/>
                <w:color w:val="000000"/>
                <w:sz w:val="22"/>
              </w:rPr>
            </w:pPr>
          </w:p>
        </w:tc>
      </w:tr>
    </w:tbl>
    <w:p w:rsidR="00D81835" w:rsidRDefault="00D81835" w:rsidP="00D81835">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D81835" w:rsidRDefault="00D81835" w:rsidP="00D81835">
      <w:pPr>
        <w:autoSpaceDE w:val="0"/>
        <w:autoSpaceDN w:val="0"/>
        <w:adjustRightInd w:val="0"/>
        <w:ind w:leftChars="150" w:left="315"/>
        <w:jc w:val="left"/>
        <w:rPr>
          <w:rFonts w:ascii="Times New Roman" w:eastAsia="宋体" w:hAnsi="Times New Roman" w:cs="Times New Roman"/>
          <w:kern w:val="0"/>
          <w:sz w:val="24"/>
          <w:szCs w:val="24"/>
        </w:rPr>
      </w:pPr>
    </w:p>
    <w:p w:rsidR="00D81835" w:rsidRDefault="00D81835" w:rsidP="00D81835">
      <w:pPr>
        <w:autoSpaceDE w:val="0"/>
        <w:autoSpaceDN w:val="0"/>
        <w:adjustRightInd w:val="0"/>
        <w:ind w:leftChars="150" w:left="315"/>
        <w:jc w:val="left"/>
        <w:rPr>
          <w:rFonts w:ascii="Times New Roman" w:eastAsia="宋体" w:hAnsi="Times New Roman" w:cs="Times New Roman"/>
          <w:kern w:val="0"/>
          <w:sz w:val="24"/>
          <w:szCs w:val="24"/>
        </w:rPr>
      </w:pPr>
    </w:p>
    <w:p w:rsidR="00D81835" w:rsidRPr="00D81835" w:rsidRDefault="00D81835" w:rsidP="00D81835">
      <w:pPr>
        <w:autoSpaceDE w:val="0"/>
        <w:autoSpaceDN w:val="0"/>
        <w:adjustRightInd w:val="0"/>
        <w:ind w:leftChars="150" w:left="315"/>
        <w:jc w:val="left"/>
        <w:rPr>
          <w:rFonts w:ascii="Times New Roman" w:eastAsia="宋体" w:hAnsi="Times New Roman" w:cs="Times New Roman"/>
          <w:kern w:val="0"/>
          <w:sz w:val="24"/>
          <w:szCs w:val="24"/>
        </w:rPr>
      </w:pPr>
      <w:r>
        <w:rPr>
          <w:rFonts w:ascii="Times New Roman" w:eastAsia="楷体_GB2312" w:hAnsi="Times New Roman" w:cs="Times New Roman"/>
          <w:b/>
          <w:bCs/>
          <w:kern w:val="0"/>
          <w:sz w:val="24"/>
          <w:szCs w:val="24"/>
        </w:rPr>
        <w:t>说明：我单位没有</w:t>
      </w:r>
      <w:r>
        <w:rPr>
          <w:rFonts w:ascii="Times New Roman" w:eastAsia="楷体_GB2312" w:hAnsi="Times New Roman" w:cs="Times New Roman"/>
          <w:b/>
          <w:bCs/>
          <w:kern w:val="0"/>
          <w:sz w:val="24"/>
          <w:szCs w:val="24"/>
        </w:rPr>
        <w:t>“</w:t>
      </w:r>
      <w:r>
        <w:rPr>
          <w:rFonts w:ascii="Times New Roman" w:eastAsia="楷体_GB2312" w:hAnsi="Times New Roman" w:cs="Times New Roman"/>
          <w:b/>
          <w:bCs/>
          <w:kern w:val="0"/>
          <w:sz w:val="24"/>
          <w:szCs w:val="24"/>
        </w:rPr>
        <w:t>三公</w:t>
      </w:r>
      <w:r>
        <w:rPr>
          <w:rFonts w:ascii="Times New Roman" w:eastAsia="楷体_GB2312" w:hAnsi="Times New Roman" w:cs="Times New Roman"/>
          <w:b/>
          <w:bCs/>
          <w:kern w:val="0"/>
          <w:sz w:val="24"/>
          <w:szCs w:val="24"/>
        </w:rPr>
        <w:t>”</w:t>
      </w:r>
      <w:r>
        <w:rPr>
          <w:rFonts w:ascii="Times New Roman" w:eastAsia="楷体_GB2312" w:hAnsi="Times New Roman" w:cs="Times New Roman"/>
          <w:b/>
          <w:bCs/>
          <w:kern w:val="0"/>
          <w:sz w:val="24"/>
          <w:szCs w:val="24"/>
        </w:rPr>
        <w:t>经费支出，故本表无数据。</w:t>
      </w:r>
    </w:p>
    <w:p w:rsidR="001F4D95" w:rsidRDefault="001F4D9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Default="00D81835">
      <w:pPr>
        <w:pStyle w:val="Default"/>
        <w:jc w:val="center"/>
        <w:rPr>
          <w:rFonts w:ascii="Times New Roman" w:eastAsia="方正小标宋_GBK" w:hAnsi="Times New Roman" w:cs="Times New Roman" w:hint="eastAsia"/>
          <w:sz w:val="18"/>
          <w:szCs w:val="18"/>
        </w:rPr>
      </w:pPr>
    </w:p>
    <w:p w:rsidR="00D81835" w:rsidRPr="00D81835" w:rsidRDefault="00D81835">
      <w:pPr>
        <w:pStyle w:val="Default"/>
        <w:jc w:val="center"/>
        <w:rPr>
          <w:rFonts w:ascii="Times New Roman" w:eastAsia="方正小标宋_GBK" w:hAnsi="Times New Roman" w:cs="Times New Roman"/>
          <w:sz w:val="18"/>
          <w:szCs w:val="18"/>
        </w:rPr>
      </w:pPr>
    </w:p>
    <w:p w:rsidR="001F4D95" w:rsidRDefault="00F90613">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第三部分</w:t>
      </w:r>
    </w:p>
    <w:p w:rsidR="001F4D95" w:rsidRDefault="00D81835">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2025</w:t>
      </w:r>
      <w:r w:rsidR="00F90613">
        <w:rPr>
          <w:rFonts w:ascii="Times New Roman" w:eastAsia="方正小标宋_GBK" w:hAnsi="Times New Roman" w:cs="Times New Roman"/>
          <w:sz w:val="52"/>
          <w:szCs w:val="52"/>
        </w:rPr>
        <w:t>年度部门决算情况说明</w:t>
      </w:r>
    </w:p>
    <w:p w:rsidR="001F4D95" w:rsidRDefault="00F90613">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年度收</w:t>
      </w:r>
      <w:r w:rsidR="00F90613">
        <w:rPr>
          <w:rFonts w:ascii="Times New Roman" w:eastAsia="仿宋_GB2312" w:hAnsi="Times New Roman" w:cs="Times New Roman" w:hint="eastAsia"/>
          <w:sz w:val="32"/>
          <w:szCs w:val="32"/>
        </w:rPr>
        <w:t>入</w:t>
      </w:r>
      <w:bookmarkStart w:id="0" w:name="OLE_LINK1"/>
      <w:bookmarkStart w:id="1" w:name="OLE_LINK2"/>
      <w:r w:rsidR="00F90613">
        <w:rPr>
          <w:rFonts w:ascii="Times New Roman" w:eastAsia="仿宋_GB2312" w:hAnsi="Times New Roman" w:cs="Times New Roman"/>
          <w:sz w:val="32"/>
          <w:szCs w:val="32"/>
        </w:rPr>
        <w:t>总计</w:t>
      </w:r>
      <w:r w:rsidRPr="00D81835">
        <w:rPr>
          <w:rFonts w:ascii="Times New Roman" w:eastAsia="仿宋_GB2312" w:hAnsi="Times New Roman" w:cs="Times New Roman"/>
          <w:sz w:val="32"/>
          <w:szCs w:val="32"/>
        </w:rPr>
        <w:t>1,817.85</w:t>
      </w:r>
      <w:r w:rsidR="00F90613">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1,702.94</w:t>
      </w:r>
      <w:r>
        <w:rPr>
          <w:rFonts w:ascii="Times New Roman" w:eastAsia="仿宋_GB2312" w:hAnsi="Times New Roman" w:cs="Times New Roman" w:hint="eastAsia"/>
          <w:sz w:val="32"/>
          <w:szCs w:val="32"/>
        </w:rPr>
        <w:t>）</w:t>
      </w:r>
      <w:r w:rsidR="00F90613">
        <w:rPr>
          <w:rFonts w:ascii="Times New Roman" w:eastAsia="仿宋_GB2312" w:hAnsi="Times New Roman" w:cs="Times New Roman"/>
          <w:sz w:val="32"/>
          <w:szCs w:val="32"/>
        </w:rPr>
        <w:t>相比，</w:t>
      </w:r>
      <w:r>
        <w:rPr>
          <w:rFonts w:ascii="Times New Roman" w:eastAsia="仿宋_GB2312" w:hAnsi="Times New Roman" w:cs="Times New Roman" w:hint="eastAsia"/>
          <w:sz w:val="32"/>
          <w:szCs w:val="32"/>
        </w:rPr>
        <w:t>增加</w:t>
      </w:r>
      <w:r>
        <w:rPr>
          <w:rFonts w:ascii="Times New Roman" w:eastAsia="仿宋_GB2312" w:hAnsi="Times New Roman" w:cs="Times New Roman" w:hint="eastAsia"/>
          <w:sz w:val="32"/>
          <w:szCs w:val="32"/>
        </w:rPr>
        <w:t>114.91</w:t>
      </w:r>
      <w:r w:rsidR="00F90613">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增加</w:t>
      </w:r>
      <w:r>
        <w:rPr>
          <w:rFonts w:ascii="Times New Roman" w:eastAsia="仿宋_GB2312" w:hAnsi="Times New Roman" w:cs="Times New Roman" w:hint="eastAsia"/>
          <w:sz w:val="32"/>
          <w:szCs w:val="32"/>
        </w:rPr>
        <w:t>6.75</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，主要是</w:t>
      </w:r>
      <w:r>
        <w:rPr>
          <w:rFonts w:ascii="Times New Roman" w:eastAsia="仿宋_GB2312" w:hAnsi="Times New Roman" w:cs="Times New Roman" w:hint="eastAsia"/>
          <w:sz w:val="32"/>
          <w:szCs w:val="32"/>
        </w:rPr>
        <w:t>主要是因为教职工工资增长，人员经费增加。</w:t>
      </w:r>
      <w:bookmarkEnd w:id="0"/>
      <w:bookmarkEnd w:id="1"/>
    </w:p>
    <w:p w:rsidR="00A806E6" w:rsidRDefault="00D81835" w:rsidP="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sidR="00F90613">
        <w:rPr>
          <w:rFonts w:ascii="Times New Roman" w:eastAsia="仿宋_GB2312" w:hAnsi="Times New Roman" w:cs="Times New Roman" w:hint="eastAsia"/>
          <w:sz w:val="32"/>
          <w:szCs w:val="32"/>
        </w:rPr>
        <w:t>年度支出</w:t>
      </w:r>
      <w:r w:rsidR="00A806E6">
        <w:rPr>
          <w:rFonts w:ascii="Times New Roman" w:eastAsia="仿宋_GB2312" w:hAnsi="Times New Roman" w:cs="Times New Roman" w:hint="eastAsia"/>
          <w:sz w:val="32"/>
          <w:szCs w:val="32"/>
        </w:rPr>
        <w:t>总计</w:t>
      </w:r>
      <w:r w:rsidRPr="00D81835">
        <w:rPr>
          <w:rFonts w:ascii="Times New Roman" w:eastAsia="仿宋_GB2312" w:hAnsi="Times New Roman" w:cs="Times New Roman"/>
          <w:sz w:val="32"/>
          <w:szCs w:val="32"/>
        </w:rPr>
        <w:t>1,817.85</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1,702.94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相比，</w:t>
      </w:r>
      <w:r>
        <w:rPr>
          <w:rFonts w:ascii="Times New Roman" w:eastAsia="仿宋_GB2312" w:hAnsi="Times New Roman" w:cs="Times New Roman" w:hint="eastAsia"/>
          <w:sz w:val="32"/>
          <w:szCs w:val="32"/>
        </w:rPr>
        <w:t>增加</w:t>
      </w:r>
      <w:r>
        <w:rPr>
          <w:rFonts w:ascii="Times New Roman" w:eastAsia="仿宋_GB2312" w:hAnsi="Times New Roman" w:cs="Times New Roman" w:hint="eastAsia"/>
          <w:sz w:val="32"/>
          <w:szCs w:val="32"/>
        </w:rPr>
        <w:t>114.91</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增加</w:t>
      </w:r>
      <w:r>
        <w:rPr>
          <w:rFonts w:ascii="Times New Roman" w:eastAsia="仿宋_GB2312" w:hAnsi="Times New Roman" w:cs="Times New Roman" w:hint="eastAsia"/>
          <w:sz w:val="32"/>
          <w:szCs w:val="32"/>
        </w:rPr>
        <w:t>6.75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w:t>
      </w:r>
      <w:r>
        <w:rPr>
          <w:rFonts w:ascii="Times New Roman" w:eastAsia="仿宋_GB2312" w:hAnsi="Times New Roman" w:cs="Times New Roman" w:hint="eastAsia"/>
          <w:sz w:val="32"/>
          <w:szCs w:val="32"/>
        </w:rPr>
        <w:t>主要是因为教职工工资增长，人员经费增加。</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年度收入合计</w:t>
      </w:r>
      <w:r w:rsidRPr="00D81835">
        <w:rPr>
          <w:rFonts w:ascii="Times New Roman" w:eastAsia="仿宋_GB2312" w:hAnsi="Times New Roman" w:cs="Times New Roman"/>
          <w:sz w:val="32"/>
          <w:szCs w:val="32"/>
        </w:rPr>
        <w:t>1,817.85</w:t>
      </w:r>
      <w:r w:rsidR="00F90613">
        <w:rPr>
          <w:rFonts w:ascii="Times New Roman" w:eastAsia="仿宋_GB2312" w:hAnsi="Times New Roman" w:cs="Times New Roman"/>
          <w:sz w:val="32"/>
          <w:szCs w:val="32"/>
        </w:rPr>
        <w:t>万元，其中：财政拨款收入</w:t>
      </w:r>
      <w:r w:rsidRPr="00D81835">
        <w:rPr>
          <w:rFonts w:ascii="Times New Roman" w:eastAsia="仿宋_GB2312" w:hAnsi="Times New Roman" w:cs="Times New Roman"/>
          <w:sz w:val="32"/>
          <w:szCs w:val="32"/>
        </w:rPr>
        <w:t>867.11</w:t>
      </w:r>
      <w:r w:rsidR="00F90613">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47.7</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w:t>
      </w:r>
      <w:r w:rsidR="00A806E6" w:rsidRPr="00A806E6">
        <w:rPr>
          <w:rFonts w:ascii="Times New Roman" w:eastAsia="仿宋_GB2312" w:hAnsi="Times New Roman" w:cs="Times New Roman" w:hint="eastAsia"/>
          <w:sz w:val="32"/>
          <w:szCs w:val="32"/>
        </w:rPr>
        <w:t>政府性基金预算财政拨款收入</w:t>
      </w:r>
      <w:r w:rsidRPr="00D81835">
        <w:rPr>
          <w:rFonts w:ascii="Times New Roman" w:eastAsia="仿宋_GB2312" w:hAnsi="Times New Roman" w:cs="Times New Roman"/>
          <w:sz w:val="32"/>
          <w:szCs w:val="32"/>
        </w:rPr>
        <w:t>551.73</w:t>
      </w:r>
      <w:r w:rsidR="00A806E6">
        <w:rPr>
          <w:rFonts w:ascii="Times New Roman" w:eastAsia="仿宋_GB2312" w:hAnsi="Times New Roman" w:cs="Times New Roman" w:hint="eastAsia"/>
          <w:sz w:val="32"/>
          <w:szCs w:val="32"/>
        </w:rPr>
        <w:t>万元，占</w:t>
      </w:r>
      <w:r w:rsidR="00923866">
        <w:rPr>
          <w:rFonts w:ascii="Times New Roman" w:eastAsia="仿宋_GB2312" w:hAnsi="Times New Roman" w:cs="Times New Roman" w:hint="eastAsia"/>
          <w:sz w:val="32"/>
          <w:szCs w:val="32"/>
        </w:rPr>
        <w:t>30.35</w:t>
      </w:r>
      <w:r w:rsidR="00A806E6">
        <w:rPr>
          <w:rFonts w:ascii="Times New Roman" w:eastAsia="仿宋_GB2312" w:hAnsi="Times New Roman" w:cs="Times New Roman"/>
          <w:sz w:val="32"/>
          <w:szCs w:val="32"/>
        </w:rPr>
        <w:t>%</w:t>
      </w:r>
      <w:r w:rsidR="00A806E6">
        <w:rPr>
          <w:rFonts w:ascii="Times New Roman" w:eastAsia="仿宋_GB2312" w:hAnsi="Times New Roman" w:cs="Times New Roman" w:hint="eastAsia"/>
          <w:sz w:val="32"/>
          <w:szCs w:val="32"/>
        </w:rPr>
        <w:t>；</w:t>
      </w:r>
      <w:r w:rsidR="00F90613">
        <w:rPr>
          <w:rFonts w:ascii="Times New Roman" w:eastAsia="仿宋_GB2312" w:hAnsi="Times New Roman" w:cs="Times New Roman"/>
          <w:sz w:val="32"/>
          <w:szCs w:val="32"/>
        </w:rPr>
        <w:t>上级补助收入</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万元，占</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；事业收入</w:t>
      </w:r>
      <w:r w:rsidR="00A806E6">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万元，占</w:t>
      </w:r>
      <w:r w:rsidR="00A806E6">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；经营收入</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万元，占</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；附属单位上缴收入</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万元，占</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；其他收入</w:t>
      </w:r>
      <w:r w:rsidRPr="00D81835">
        <w:rPr>
          <w:rFonts w:ascii="Times New Roman" w:eastAsia="仿宋_GB2312" w:hAnsi="Times New Roman" w:cs="Times New Roman"/>
          <w:sz w:val="32"/>
          <w:szCs w:val="32"/>
        </w:rPr>
        <w:t>399.01</w:t>
      </w:r>
      <w:r w:rsidR="00F90613">
        <w:rPr>
          <w:rFonts w:ascii="Times New Roman" w:eastAsia="仿宋_GB2312" w:hAnsi="Times New Roman" w:cs="Times New Roman"/>
          <w:sz w:val="32"/>
          <w:szCs w:val="32"/>
        </w:rPr>
        <w:t>万元，占</w:t>
      </w:r>
      <w:r w:rsidR="00923866">
        <w:rPr>
          <w:rFonts w:ascii="Times New Roman" w:eastAsia="仿宋_GB2312" w:hAnsi="Times New Roman" w:cs="Times New Roman" w:hint="eastAsia"/>
          <w:sz w:val="32"/>
          <w:szCs w:val="32"/>
        </w:rPr>
        <w:t>21.95</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年度支出合计</w:t>
      </w:r>
      <w:r w:rsidR="00923866" w:rsidRPr="00D81835">
        <w:rPr>
          <w:rFonts w:ascii="Times New Roman" w:eastAsia="仿宋_GB2312" w:hAnsi="Times New Roman" w:cs="Times New Roman"/>
          <w:sz w:val="32"/>
          <w:szCs w:val="32"/>
        </w:rPr>
        <w:t>1,817.85</w:t>
      </w:r>
      <w:r w:rsidR="00F90613">
        <w:rPr>
          <w:rFonts w:ascii="Times New Roman" w:eastAsia="仿宋_GB2312" w:hAnsi="Times New Roman" w:cs="Times New Roman"/>
          <w:sz w:val="32"/>
          <w:szCs w:val="32"/>
        </w:rPr>
        <w:t>万元，其中：基本支出</w:t>
      </w:r>
      <w:r w:rsidR="00923866" w:rsidRPr="00923866">
        <w:rPr>
          <w:rFonts w:ascii="Times New Roman" w:eastAsia="仿宋_GB2312" w:hAnsi="Times New Roman" w:cs="Times New Roman"/>
          <w:sz w:val="32"/>
          <w:szCs w:val="32"/>
        </w:rPr>
        <w:t>1,259.67</w:t>
      </w:r>
      <w:r w:rsidR="00F90613">
        <w:rPr>
          <w:rFonts w:ascii="Times New Roman" w:eastAsia="仿宋_GB2312" w:hAnsi="Times New Roman" w:cs="Times New Roman"/>
          <w:sz w:val="32"/>
          <w:szCs w:val="32"/>
        </w:rPr>
        <w:t>万元，占</w:t>
      </w:r>
      <w:r w:rsidR="00923866">
        <w:rPr>
          <w:rFonts w:ascii="Times New Roman" w:eastAsia="仿宋_GB2312" w:hAnsi="Times New Roman" w:cs="Times New Roman" w:hint="eastAsia"/>
          <w:sz w:val="32"/>
          <w:szCs w:val="32"/>
        </w:rPr>
        <w:t>69.29</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；项目支出</w:t>
      </w:r>
      <w:r w:rsidR="00923866" w:rsidRPr="00923866">
        <w:rPr>
          <w:rFonts w:ascii="Times New Roman" w:eastAsia="仿宋_GB2312" w:hAnsi="Times New Roman" w:cs="Times New Roman"/>
          <w:sz w:val="32"/>
          <w:szCs w:val="32"/>
        </w:rPr>
        <w:t>558.19</w:t>
      </w:r>
      <w:r w:rsidR="00F90613">
        <w:rPr>
          <w:rFonts w:ascii="Times New Roman" w:eastAsia="仿宋_GB2312" w:hAnsi="Times New Roman" w:cs="Times New Roman"/>
          <w:sz w:val="32"/>
          <w:szCs w:val="32"/>
        </w:rPr>
        <w:t>万元，占</w:t>
      </w:r>
      <w:r w:rsidR="00923866">
        <w:rPr>
          <w:rFonts w:ascii="Times New Roman" w:eastAsia="仿宋_GB2312" w:hAnsi="Times New Roman" w:cs="Times New Roman" w:hint="eastAsia"/>
          <w:sz w:val="32"/>
          <w:szCs w:val="32"/>
        </w:rPr>
        <w:t>30.71</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；上缴上级支出</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万元，占</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；经营支出</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万元，占</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；对附属单位补助支出</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万元，占</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923866" w:rsidRDefault="00D81835">
      <w:pPr>
        <w:pStyle w:val="Default"/>
        <w:overflowPunct w:val="0"/>
        <w:autoSpaceDE/>
        <w:autoSpaceDN/>
        <w:spacing w:line="600" w:lineRule="exact"/>
        <w:ind w:firstLineChars="200" w:firstLine="640"/>
        <w:jc w:val="both"/>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年度财政拨款收、支总计</w:t>
      </w:r>
      <w:r w:rsidR="00923866">
        <w:rPr>
          <w:rFonts w:ascii="Times New Roman" w:eastAsia="仿宋_GB2312" w:hAnsi="Times New Roman" w:cs="Times New Roman" w:hint="eastAsia"/>
          <w:sz w:val="32"/>
          <w:szCs w:val="32"/>
        </w:rPr>
        <w:t>1418.84</w:t>
      </w:r>
      <w:r w:rsidR="00F90613">
        <w:rPr>
          <w:rFonts w:ascii="Times New Roman" w:eastAsia="仿宋_GB2312" w:hAnsi="Times New Roman" w:cs="Times New Roman"/>
          <w:sz w:val="32"/>
          <w:szCs w:val="32"/>
        </w:rPr>
        <w:t>万元，与上年</w:t>
      </w:r>
      <w:r w:rsidR="00923866">
        <w:rPr>
          <w:rFonts w:ascii="Times New Roman" w:eastAsia="仿宋_GB2312" w:hAnsi="Times New Roman" w:cs="Times New Roman" w:hint="eastAsia"/>
          <w:sz w:val="32"/>
          <w:szCs w:val="32"/>
        </w:rPr>
        <w:t>（</w:t>
      </w:r>
      <w:r w:rsidR="00923866">
        <w:rPr>
          <w:rFonts w:ascii="Times New Roman" w:eastAsia="仿宋_GB2312" w:hAnsi="Times New Roman" w:cs="Times New Roman" w:hint="eastAsia"/>
          <w:sz w:val="32"/>
          <w:szCs w:val="32"/>
        </w:rPr>
        <w:t>1348.42</w:t>
      </w:r>
      <w:r w:rsidR="00923866">
        <w:rPr>
          <w:rFonts w:ascii="Times New Roman" w:eastAsia="仿宋_GB2312" w:hAnsi="Times New Roman" w:cs="Times New Roman" w:hint="eastAsia"/>
          <w:sz w:val="32"/>
          <w:szCs w:val="32"/>
        </w:rPr>
        <w:t>）</w:t>
      </w:r>
      <w:r w:rsidR="00F90613">
        <w:rPr>
          <w:rFonts w:ascii="Times New Roman" w:eastAsia="仿宋_GB2312" w:hAnsi="Times New Roman" w:cs="Times New Roman"/>
          <w:sz w:val="32"/>
          <w:szCs w:val="32"/>
        </w:rPr>
        <w:t>相比，</w:t>
      </w:r>
      <w:bookmarkStart w:id="2" w:name="OLE_LINK11"/>
      <w:bookmarkStart w:id="3" w:name="OLE_LINK12"/>
      <w:r w:rsidR="00923866">
        <w:rPr>
          <w:rFonts w:ascii="Times New Roman" w:eastAsia="仿宋_GB2312" w:hAnsi="Times New Roman" w:cs="Times New Roman" w:hint="eastAsia"/>
          <w:sz w:val="32"/>
          <w:szCs w:val="32"/>
        </w:rPr>
        <w:t>增加</w:t>
      </w:r>
      <w:r w:rsidR="00923866">
        <w:rPr>
          <w:rFonts w:ascii="Times New Roman" w:eastAsia="仿宋_GB2312" w:hAnsi="Times New Roman" w:cs="Times New Roman" w:hint="eastAsia"/>
          <w:sz w:val="32"/>
          <w:szCs w:val="32"/>
        </w:rPr>
        <w:t>70.42</w:t>
      </w:r>
      <w:r w:rsidR="00F90613">
        <w:rPr>
          <w:rFonts w:ascii="Times New Roman" w:eastAsia="仿宋_GB2312" w:hAnsi="Times New Roman" w:cs="Times New Roman"/>
          <w:sz w:val="32"/>
          <w:szCs w:val="32"/>
        </w:rPr>
        <w:t>万元</w:t>
      </w:r>
      <w:r w:rsidR="00F90613">
        <w:rPr>
          <w:rFonts w:ascii="Times New Roman" w:eastAsia="仿宋_GB2312" w:hAnsi="Times New Roman" w:cs="Times New Roman"/>
          <w:sz w:val="32"/>
          <w:szCs w:val="32"/>
        </w:rPr>
        <w:t>,</w:t>
      </w:r>
      <w:r w:rsidR="004A7FDD">
        <w:rPr>
          <w:rFonts w:ascii="Times New Roman" w:eastAsia="仿宋_GB2312" w:hAnsi="Times New Roman" w:cs="Times New Roman" w:hint="eastAsia"/>
          <w:sz w:val="32"/>
          <w:szCs w:val="32"/>
        </w:rPr>
        <w:t>减少</w:t>
      </w:r>
      <w:r w:rsidR="004A7FDD">
        <w:rPr>
          <w:rFonts w:ascii="Times New Roman" w:eastAsia="仿宋_GB2312" w:hAnsi="Times New Roman" w:cs="Times New Roman" w:hint="eastAsia"/>
          <w:sz w:val="32"/>
          <w:szCs w:val="32"/>
        </w:rPr>
        <w:t>17.86</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w:t>
      </w:r>
      <w:bookmarkEnd w:id="2"/>
      <w:bookmarkEnd w:id="3"/>
      <w:r w:rsidR="00923866">
        <w:rPr>
          <w:rFonts w:ascii="Times New Roman" w:eastAsia="仿宋_GB2312" w:hAnsi="Times New Roman" w:cs="Times New Roman"/>
          <w:sz w:val="32"/>
          <w:szCs w:val="32"/>
        </w:rPr>
        <w:t>主要是</w:t>
      </w:r>
      <w:r w:rsidR="00923866">
        <w:rPr>
          <w:rFonts w:ascii="Times New Roman" w:eastAsia="仿宋_GB2312" w:hAnsi="Times New Roman" w:cs="Times New Roman" w:hint="eastAsia"/>
          <w:sz w:val="32"/>
          <w:szCs w:val="32"/>
        </w:rPr>
        <w:t>主要是因为教职工工资增长，人员经费增加。</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1F4D95" w:rsidRDefault="00F90613" w:rsidP="00F9061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（一）一般公共预算财政拨款支出决算总体情况</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年度财政拨款支出</w:t>
      </w:r>
      <w:bookmarkStart w:id="4" w:name="OLE_LINK13"/>
      <w:bookmarkStart w:id="5" w:name="OLE_LINK14"/>
      <w:r w:rsidR="004A7FDD">
        <w:rPr>
          <w:rFonts w:ascii="Times New Roman" w:eastAsia="仿宋_GB2312" w:hAnsi="Times New Roman" w:cs="Times New Roman"/>
          <w:sz w:val="32"/>
          <w:szCs w:val="32"/>
        </w:rPr>
        <w:t>1348.42</w:t>
      </w:r>
      <w:bookmarkEnd w:id="4"/>
      <w:bookmarkEnd w:id="5"/>
      <w:r w:rsidR="00F90613">
        <w:rPr>
          <w:rFonts w:ascii="Times New Roman" w:eastAsia="仿宋_GB2312" w:hAnsi="Times New Roman" w:cs="Times New Roman"/>
          <w:sz w:val="32"/>
          <w:szCs w:val="32"/>
        </w:rPr>
        <w:t>万元，占本年支出合计的</w:t>
      </w:r>
      <w:r w:rsidR="004A7FDD">
        <w:rPr>
          <w:rFonts w:ascii="Times New Roman" w:eastAsia="仿宋_GB2312" w:hAnsi="Times New Roman" w:cs="Times New Roman" w:hint="eastAsia"/>
          <w:sz w:val="32"/>
          <w:szCs w:val="32"/>
        </w:rPr>
        <w:t>79.18</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，与上年相比，</w:t>
      </w:r>
      <w:r w:rsidR="004A7FDD">
        <w:rPr>
          <w:rFonts w:ascii="Times New Roman" w:eastAsia="仿宋_GB2312" w:hAnsi="Times New Roman" w:cs="Times New Roman" w:hint="eastAsia"/>
          <w:sz w:val="32"/>
          <w:szCs w:val="32"/>
        </w:rPr>
        <w:t>减少</w:t>
      </w:r>
      <w:r w:rsidR="004A7FDD">
        <w:rPr>
          <w:rFonts w:ascii="Times New Roman" w:eastAsia="仿宋_GB2312" w:hAnsi="Times New Roman" w:cs="Times New Roman"/>
          <w:sz w:val="32"/>
          <w:szCs w:val="32"/>
        </w:rPr>
        <w:t>293.28</w:t>
      </w:r>
      <w:r w:rsidR="004A7FDD">
        <w:rPr>
          <w:rFonts w:ascii="Times New Roman" w:eastAsia="仿宋_GB2312" w:hAnsi="Times New Roman" w:cs="Times New Roman" w:hint="eastAsia"/>
          <w:sz w:val="32"/>
          <w:szCs w:val="32"/>
        </w:rPr>
        <w:t>万元</w:t>
      </w:r>
      <w:r w:rsidR="004A7FDD">
        <w:rPr>
          <w:rFonts w:ascii="Times New Roman" w:eastAsia="仿宋_GB2312" w:hAnsi="Times New Roman" w:cs="Times New Roman"/>
          <w:sz w:val="32"/>
          <w:szCs w:val="32"/>
        </w:rPr>
        <w:t>,</w:t>
      </w:r>
      <w:r w:rsidR="004A7FDD">
        <w:rPr>
          <w:rFonts w:ascii="Times New Roman" w:eastAsia="仿宋_GB2312" w:hAnsi="Times New Roman" w:cs="Times New Roman" w:hint="eastAsia"/>
          <w:sz w:val="32"/>
          <w:szCs w:val="32"/>
        </w:rPr>
        <w:t>减少</w:t>
      </w:r>
      <w:r w:rsidR="004A7FDD">
        <w:rPr>
          <w:rFonts w:ascii="Times New Roman" w:eastAsia="仿宋_GB2312" w:hAnsi="Times New Roman" w:cs="Times New Roman"/>
          <w:sz w:val="32"/>
          <w:szCs w:val="32"/>
        </w:rPr>
        <w:t>17.86%</w:t>
      </w:r>
      <w:r w:rsidR="004A7FDD">
        <w:rPr>
          <w:rFonts w:ascii="Times New Roman" w:eastAsia="仿宋_GB2312" w:hAnsi="Times New Roman" w:cs="Times New Roman" w:hint="eastAsia"/>
          <w:sz w:val="32"/>
          <w:szCs w:val="32"/>
        </w:rPr>
        <w:t>，主要是因为教职工人员减少。</w:t>
      </w:r>
    </w:p>
    <w:p w:rsidR="001F4D95" w:rsidRDefault="00F90613" w:rsidP="00F9061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年度财政拨款支出</w:t>
      </w:r>
      <w:r w:rsidR="00923866" w:rsidRPr="00923866">
        <w:rPr>
          <w:rFonts w:ascii="Times New Roman" w:eastAsia="仿宋_GB2312" w:hAnsi="Times New Roman" w:cs="Times New Roman"/>
          <w:sz w:val="32"/>
          <w:szCs w:val="32"/>
        </w:rPr>
        <w:t>1,418.84</w:t>
      </w:r>
      <w:r w:rsidR="00F90613">
        <w:rPr>
          <w:rFonts w:ascii="Times New Roman" w:eastAsia="仿宋_GB2312" w:hAnsi="Times New Roman" w:cs="Times New Roman"/>
          <w:sz w:val="32"/>
          <w:szCs w:val="32"/>
        </w:rPr>
        <w:t>万元，主要用于以下方面：教育（类）支出</w:t>
      </w:r>
      <w:r w:rsidR="00923866" w:rsidRPr="00923866">
        <w:rPr>
          <w:rFonts w:ascii="Times New Roman" w:eastAsia="仿宋_GB2312" w:hAnsi="Times New Roman" w:cs="Times New Roman"/>
          <w:sz w:val="32"/>
          <w:szCs w:val="32"/>
        </w:rPr>
        <w:t>836.30</w:t>
      </w:r>
      <w:r w:rsidR="00F90613">
        <w:rPr>
          <w:rFonts w:ascii="Times New Roman" w:eastAsia="仿宋_GB2312" w:hAnsi="Times New Roman" w:cs="Times New Roman"/>
          <w:sz w:val="32"/>
          <w:szCs w:val="32"/>
        </w:rPr>
        <w:t>万元，占</w:t>
      </w:r>
      <w:r w:rsidR="00923866">
        <w:rPr>
          <w:rFonts w:ascii="Times New Roman" w:eastAsia="仿宋_GB2312" w:hAnsi="Times New Roman" w:cs="Times New Roman" w:hint="eastAsia"/>
          <w:sz w:val="32"/>
          <w:szCs w:val="32"/>
        </w:rPr>
        <w:t>58.94</w:t>
      </w:r>
      <w:r w:rsidR="00F90613">
        <w:rPr>
          <w:rFonts w:ascii="Times New Roman" w:eastAsia="仿宋_GB2312" w:hAnsi="Times New Roman" w:cs="Times New Roman"/>
          <w:sz w:val="32"/>
          <w:szCs w:val="32"/>
        </w:rPr>
        <w:t>%;</w:t>
      </w:r>
      <w:r w:rsidR="00923866" w:rsidRPr="00923866">
        <w:rPr>
          <w:rFonts w:ascii="Times New Roman" w:eastAsia="仿宋_GB2312" w:hAnsi="Times New Roman" w:cs="Times New Roman" w:hint="eastAsia"/>
          <w:sz w:val="32"/>
          <w:szCs w:val="32"/>
        </w:rPr>
        <w:t>卫生健康支出</w:t>
      </w:r>
      <w:r w:rsidR="00923866" w:rsidRPr="00923866">
        <w:rPr>
          <w:rFonts w:ascii="Times New Roman" w:eastAsia="仿宋_GB2312" w:hAnsi="Times New Roman" w:cs="Times New Roman"/>
          <w:sz w:val="32"/>
          <w:szCs w:val="32"/>
        </w:rPr>
        <w:t>30.81</w:t>
      </w:r>
      <w:r w:rsidR="00923866">
        <w:rPr>
          <w:rFonts w:ascii="Times New Roman" w:eastAsia="仿宋_GB2312" w:hAnsi="Times New Roman" w:cs="Times New Roman"/>
          <w:sz w:val="32"/>
          <w:szCs w:val="32"/>
        </w:rPr>
        <w:t>万元</w:t>
      </w:r>
      <w:r w:rsidR="00923866">
        <w:rPr>
          <w:rFonts w:ascii="Times New Roman" w:eastAsia="仿宋_GB2312" w:hAnsi="Times New Roman" w:cs="Times New Roman" w:hint="eastAsia"/>
          <w:sz w:val="32"/>
          <w:szCs w:val="32"/>
        </w:rPr>
        <w:t>，</w:t>
      </w:r>
      <w:r w:rsidR="00923866">
        <w:rPr>
          <w:rFonts w:ascii="Times New Roman" w:eastAsia="仿宋_GB2312" w:hAnsi="Times New Roman" w:cs="Times New Roman"/>
          <w:sz w:val="32"/>
          <w:szCs w:val="32"/>
        </w:rPr>
        <w:t>占</w:t>
      </w:r>
      <w:r w:rsidR="00923866">
        <w:rPr>
          <w:rFonts w:ascii="Times New Roman" w:eastAsia="仿宋_GB2312" w:hAnsi="Times New Roman" w:cs="Times New Roman" w:hint="eastAsia"/>
          <w:sz w:val="32"/>
          <w:szCs w:val="32"/>
        </w:rPr>
        <w:t>2.17</w:t>
      </w:r>
      <w:r w:rsidR="00923866">
        <w:rPr>
          <w:rFonts w:ascii="Times New Roman" w:eastAsia="仿宋_GB2312" w:hAnsi="Times New Roman" w:cs="Times New Roman"/>
          <w:sz w:val="32"/>
          <w:szCs w:val="32"/>
        </w:rPr>
        <w:t>%</w:t>
      </w:r>
      <w:r w:rsidR="00923866">
        <w:rPr>
          <w:rFonts w:ascii="Times New Roman" w:eastAsia="仿宋_GB2312" w:hAnsi="Times New Roman" w:cs="Times New Roman" w:hint="eastAsia"/>
          <w:sz w:val="32"/>
          <w:szCs w:val="32"/>
        </w:rPr>
        <w:t>；</w:t>
      </w:r>
      <w:r w:rsidR="00923866" w:rsidRPr="00923866">
        <w:rPr>
          <w:rFonts w:ascii="Times New Roman" w:eastAsia="仿宋_GB2312" w:hAnsi="Times New Roman" w:cs="Times New Roman" w:hint="eastAsia"/>
          <w:sz w:val="32"/>
          <w:szCs w:val="32"/>
        </w:rPr>
        <w:t>其他支出</w:t>
      </w:r>
      <w:r w:rsidR="00923866" w:rsidRPr="00923866">
        <w:rPr>
          <w:rFonts w:ascii="Times New Roman" w:eastAsia="仿宋_GB2312" w:hAnsi="Times New Roman" w:cs="Times New Roman"/>
          <w:sz w:val="32"/>
          <w:szCs w:val="32"/>
        </w:rPr>
        <w:t>551.73</w:t>
      </w:r>
      <w:r w:rsidR="00923866">
        <w:rPr>
          <w:rFonts w:ascii="Times New Roman" w:eastAsia="仿宋_GB2312" w:hAnsi="Times New Roman" w:cs="Times New Roman"/>
          <w:sz w:val="32"/>
          <w:szCs w:val="32"/>
        </w:rPr>
        <w:t>万元</w:t>
      </w:r>
      <w:r w:rsidR="00923866">
        <w:rPr>
          <w:rFonts w:ascii="Times New Roman" w:eastAsia="仿宋_GB2312" w:hAnsi="Times New Roman" w:cs="Times New Roman" w:hint="eastAsia"/>
          <w:sz w:val="32"/>
          <w:szCs w:val="32"/>
        </w:rPr>
        <w:t>，</w:t>
      </w:r>
      <w:r w:rsidR="00923866">
        <w:rPr>
          <w:rFonts w:ascii="Times New Roman" w:eastAsia="仿宋_GB2312" w:hAnsi="Times New Roman" w:cs="Times New Roman"/>
          <w:sz w:val="32"/>
          <w:szCs w:val="32"/>
        </w:rPr>
        <w:t>占</w:t>
      </w:r>
      <w:r w:rsidR="00923866">
        <w:rPr>
          <w:rFonts w:ascii="Times New Roman" w:eastAsia="仿宋_GB2312" w:hAnsi="Times New Roman" w:cs="Times New Roman" w:hint="eastAsia"/>
          <w:sz w:val="32"/>
          <w:szCs w:val="32"/>
        </w:rPr>
        <w:t>38.89</w:t>
      </w:r>
      <w:r w:rsidR="00923866">
        <w:rPr>
          <w:rFonts w:ascii="Times New Roman" w:eastAsia="仿宋_GB2312" w:hAnsi="Times New Roman" w:cs="Times New Roman"/>
          <w:sz w:val="32"/>
          <w:szCs w:val="32"/>
        </w:rPr>
        <w:t>%</w:t>
      </w:r>
      <w:r w:rsidR="00923866">
        <w:rPr>
          <w:rFonts w:ascii="Times New Roman" w:eastAsia="仿宋_GB2312" w:hAnsi="Times New Roman" w:cs="Times New Roman" w:hint="eastAsia"/>
          <w:sz w:val="32"/>
          <w:szCs w:val="32"/>
        </w:rPr>
        <w:t>。</w:t>
      </w:r>
      <w:r w:rsidR="00923866">
        <w:rPr>
          <w:rFonts w:ascii="Times New Roman" w:eastAsia="仿宋_GB2312" w:hAnsi="Times New Roman" w:cs="Times New Roman"/>
          <w:sz w:val="32"/>
          <w:szCs w:val="32"/>
        </w:rPr>
        <w:t xml:space="preserve"> </w:t>
      </w:r>
    </w:p>
    <w:p w:rsidR="001F4D95" w:rsidRDefault="00F90613" w:rsidP="00F9061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年度财政拨款支出年初预算数为</w:t>
      </w:r>
      <w:r w:rsidR="00923866" w:rsidRPr="00923866">
        <w:rPr>
          <w:rFonts w:ascii="Times New Roman" w:eastAsia="仿宋_GB2312" w:hAnsi="Times New Roman" w:cs="Times New Roman"/>
          <w:sz w:val="32"/>
          <w:szCs w:val="32"/>
        </w:rPr>
        <w:t>561</w:t>
      </w:r>
      <w:r w:rsidR="00923866">
        <w:rPr>
          <w:rFonts w:ascii="Times New Roman" w:eastAsia="仿宋_GB2312" w:hAnsi="Times New Roman" w:cs="Times New Roman" w:hint="eastAsia"/>
          <w:sz w:val="32"/>
          <w:szCs w:val="32"/>
        </w:rPr>
        <w:t>.</w:t>
      </w:r>
      <w:r w:rsidR="00923866">
        <w:rPr>
          <w:rFonts w:ascii="Times New Roman" w:eastAsia="仿宋_GB2312" w:hAnsi="Times New Roman" w:cs="Times New Roman"/>
          <w:sz w:val="32"/>
          <w:szCs w:val="32"/>
        </w:rPr>
        <w:t>3791</w:t>
      </w:r>
      <w:r w:rsidR="00F90613">
        <w:rPr>
          <w:rFonts w:ascii="Times New Roman" w:eastAsia="仿宋_GB2312" w:hAnsi="Times New Roman" w:cs="Times New Roman"/>
          <w:sz w:val="32"/>
          <w:szCs w:val="32"/>
        </w:rPr>
        <w:t>万元，支出决算数为</w:t>
      </w:r>
      <w:r w:rsidR="00923866" w:rsidRPr="00923866">
        <w:rPr>
          <w:rFonts w:ascii="Times New Roman" w:eastAsia="仿宋_GB2312" w:hAnsi="Times New Roman" w:cs="Times New Roman"/>
          <w:sz w:val="32"/>
          <w:szCs w:val="32"/>
        </w:rPr>
        <w:t>1,418.84</w:t>
      </w:r>
      <w:r w:rsidR="00F90613">
        <w:rPr>
          <w:rFonts w:ascii="Times New Roman" w:eastAsia="仿宋_GB2312" w:hAnsi="Times New Roman" w:cs="Times New Roman"/>
          <w:sz w:val="32"/>
          <w:szCs w:val="32"/>
        </w:rPr>
        <w:t>万元，完成年初预算的</w:t>
      </w:r>
      <w:r w:rsidR="00923866">
        <w:rPr>
          <w:rFonts w:ascii="Times New Roman" w:eastAsia="仿宋_GB2312" w:hAnsi="Times New Roman" w:cs="Times New Roman" w:hint="eastAsia"/>
          <w:sz w:val="32"/>
          <w:szCs w:val="32"/>
        </w:rPr>
        <w:t>252.74</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，其中：</w:t>
      </w:r>
    </w:p>
    <w:p w:rsidR="001F4D95" w:rsidRDefault="006E28E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F90613">
        <w:rPr>
          <w:rFonts w:ascii="Times New Roman" w:eastAsia="仿宋_GB2312" w:hAnsi="Times New Roman" w:cs="Times New Roman" w:hint="eastAsia"/>
          <w:sz w:val="32"/>
          <w:szCs w:val="32"/>
        </w:rPr>
        <w:t>.</w:t>
      </w:r>
      <w:r w:rsidR="00F90613">
        <w:rPr>
          <w:rFonts w:ascii="Times New Roman" w:eastAsia="仿宋_GB2312" w:hAnsi="Times New Roman" w:cs="Times New Roman" w:hint="eastAsia"/>
          <w:sz w:val="32"/>
          <w:szCs w:val="32"/>
        </w:rPr>
        <w:t>教育支出（类）普通教育（款）小学教育（项）</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7056F4" w:rsidRPr="007056F4">
        <w:rPr>
          <w:rFonts w:ascii="Times New Roman" w:eastAsia="仿宋_GB2312" w:hAnsi="Times New Roman" w:cs="Times New Roman"/>
          <w:sz w:val="32"/>
          <w:szCs w:val="32"/>
        </w:rPr>
        <w:t>19</w:t>
      </w:r>
      <w:r w:rsidR="007056F4">
        <w:rPr>
          <w:rFonts w:ascii="Times New Roman" w:eastAsia="仿宋_GB2312" w:hAnsi="Times New Roman" w:cs="Times New Roman" w:hint="eastAsia"/>
          <w:sz w:val="32"/>
          <w:szCs w:val="32"/>
        </w:rPr>
        <w:t>.</w:t>
      </w:r>
      <w:r w:rsidR="007056F4">
        <w:rPr>
          <w:rFonts w:ascii="Times New Roman" w:eastAsia="仿宋_GB2312" w:hAnsi="Times New Roman" w:cs="Times New Roman"/>
          <w:sz w:val="32"/>
          <w:szCs w:val="32"/>
        </w:rPr>
        <w:t>364</w:t>
      </w:r>
      <w:r>
        <w:rPr>
          <w:rFonts w:ascii="Times New Roman" w:eastAsia="仿宋_GB2312" w:hAnsi="Times New Roman" w:cs="Times New Roman" w:hint="eastAsia"/>
          <w:sz w:val="32"/>
          <w:szCs w:val="32"/>
        </w:rPr>
        <w:t>万元，支出决算</w:t>
      </w:r>
      <w:r w:rsidR="007056F4" w:rsidRPr="007056F4">
        <w:rPr>
          <w:rFonts w:ascii="Times New Roman" w:eastAsia="仿宋_GB2312" w:hAnsi="Times New Roman" w:cs="Times New Roman"/>
          <w:sz w:val="32"/>
          <w:szCs w:val="32"/>
        </w:rPr>
        <w:t>221.59</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1F4D95" w:rsidRDefault="006E28E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00F90613">
        <w:rPr>
          <w:rFonts w:ascii="Times New Roman" w:eastAsia="仿宋_GB2312" w:hAnsi="Times New Roman" w:cs="Times New Roman" w:hint="eastAsia"/>
          <w:sz w:val="32"/>
          <w:szCs w:val="32"/>
        </w:rPr>
        <w:t>.</w:t>
      </w:r>
      <w:r w:rsidR="00F90613">
        <w:rPr>
          <w:rFonts w:ascii="Times New Roman" w:eastAsia="仿宋_GB2312" w:hAnsi="Times New Roman" w:cs="Times New Roman" w:hint="eastAsia"/>
          <w:sz w:val="32"/>
          <w:szCs w:val="32"/>
        </w:rPr>
        <w:t>教育支出（类）其他教育支出（款）其他教育费附加安排的支出（项）</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7056F4" w:rsidRPr="007056F4">
        <w:rPr>
          <w:rFonts w:ascii="Times New Roman" w:eastAsia="仿宋_GB2312" w:hAnsi="Times New Roman" w:cs="Times New Roman"/>
          <w:sz w:val="32"/>
          <w:szCs w:val="32"/>
        </w:rPr>
        <w:t>14.19</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1F4D95" w:rsidRDefault="006E28E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00F90613">
        <w:rPr>
          <w:rFonts w:ascii="Times New Roman" w:eastAsia="仿宋_GB2312" w:hAnsi="Times New Roman" w:cs="Times New Roman" w:hint="eastAsia"/>
          <w:sz w:val="32"/>
          <w:szCs w:val="32"/>
        </w:rPr>
        <w:t>.</w:t>
      </w:r>
      <w:r w:rsidR="00F90613">
        <w:rPr>
          <w:rFonts w:ascii="Times New Roman" w:eastAsia="仿宋_GB2312" w:hAnsi="Times New Roman" w:cs="Times New Roman" w:hint="eastAsia"/>
          <w:sz w:val="32"/>
          <w:szCs w:val="32"/>
        </w:rPr>
        <w:t>教育支出（类）普通教育（款）其他普通教育支出（项）</w:t>
      </w:r>
    </w:p>
    <w:p w:rsidR="00957717" w:rsidRDefault="00F90613" w:rsidP="00957717">
      <w:pPr>
        <w:pStyle w:val="Default"/>
        <w:overflowPunct w:val="0"/>
        <w:autoSpaceDE/>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7056F4" w:rsidRPr="007056F4">
        <w:rPr>
          <w:rFonts w:ascii="Times New Roman" w:eastAsia="仿宋_GB2312" w:hAnsi="Times New Roman" w:cs="Times New Roman"/>
          <w:sz w:val="32"/>
          <w:szCs w:val="32"/>
        </w:rPr>
        <w:t>504</w:t>
      </w:r>
      <w:r w:rsidR="007056F4">
        <w:rPr>
          <w:rFonts w:ascii="Times New Roman" w:eastAsia="仿宋_GB2312" w:hAnsi="Times New Roman" w:cs="Times New Roman" w:hint="eastAsia"/>
          <w:sz w:val="32"/>
          <w:szCs w:val="32"/>
        </w:rPr>
        <w:t>.</w:t>
      </w:r>
      <w:r w:rsidR="007056F4">
        <w:rPr>
          <w:rFonts w:ascii="Times New Roman" w:eastAsia="仿宋_GB2312" w:hAnsi="Times New Roman" w:cs="Times New Roman"/>
          <w:sz w:val="32"/>
          <w:szCs w:val="32"/>
        </w:rPr>
        <w:t>2778</w:t>
      </w:r>
      <w:r>
        <w:rPr>
          <w:rFonts w:ascii="Times New Roman" w:eastAsia="仿宋_GB2312" w:hAnsi="Times New Roman" w:cs="Times New Roman" w:hint="eastAsia"/>
          <w:sz w:val="32"/>
          <w:szCs w:val="32"/>
        </w:rPr>
        <w:t>万元，支出决算数为</w:t>
      </w:r>
      <w:r w:rsidR="007056F4" w:rsidRPr="007056F4">
        <w:rPr>
          <w:rFonts w:ascii="Times New Roman" w:eastAsia="仿宋_GB2312" w:hAnsi="Times New Roman" w:cs="Times New Roman"/>
          <w:sz w:val="32"/>
          <w:szCs w:val="32"/>
        </w:rPr>
        <w:t>600.53</w:t>
      </w:r>
      <w:r>
        <w:rPr>
          <w:rFonts w:ascii="Times New Roman" w:eastAsia="仿宋_GB2312" w:hAnsi="Times New Roman" w:cs="Times New Roman" w:hint="eastAsia"/>
          <w:sz w:val="32"/>
          <w:szCs w:val="32"/>
        </w:rPr>
        <w:t>万元。</w:t>
      </w:r>
      <w:r w:rsidR="00957717">
        <w:rPr>
          <w:rFonts w:ascii="Times New Roman" w:eastAsia="仿宋_GB2312" w:hAnsi="Times New Roman" w:cs="Times New Roman" w:hint="eastAsia"/>
          <w:sz w:val="32"/>
          <w:szCs w:val="32"/>
        </w:rPr>
        <w:t>决算数大于预算数主要是因为教职工资增长，年中追加了人员经费。</w:t>
      </w:r>
    </w:p>
    <w:p w:rsidR="001F4D95" w:rsidRDefault="006E28E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4</w:t>
      </w:r>
      <w:r w:rsidR="00F90613">
        <w:rPr>
          <w:rFonts w:ascii="Times New Roman" w:eastAsia="仿宋_GB2312" w:hAnsi="Times New Roman" w:cs="Times New Roman" w:hint="eastAsia"/>
          <w:sz w:val="32"/>
          <w:szCs w:val="32"/>
        </w:rPr>
        <w:t>.</w:t>
      </w:r>
      <w:r w:rsidR="00575F70" w:rsidRPr="00575F70">
        <w:rPr>
          <w:rFonts w:ascii="Times New Roman" w:eastAsia="仿宋_GB2312" w:hAnsi="Times New Roman" w:cs="Times New Roman" w:hint="eastAsia"/>
          <w:sz w:val="32"/>
          <w:szCs w:val="32"/>
        </w:rPr>
        <w:t>教育支出</w:t>
      </w:r>
      <w:r w:rsidR="00F90613">
        <w:rPr>
          <w:rFonts w:ascii="Times New Roman" w:eastAsia="仿宋_GB2312" w:hAnsi="Times New Roman" w:cs="Times New Roman" w:hint="eastAsia"/>
          <w:sz w:val="32"/>
          <w:szCs w:val="32"/>
        </w:rPr>
        <w:t>（类）</w:t>
      </w:r>
      <w:r w:rsidR="00575F70" w:rsidRPr="00575F70">
        <w:rPr>
          <w:rFonts w:ascii="Times New Roman" w:eastAsia="仿宋_GB2312" w:hAnsi="Times New Roman" w:cs="Times New Roman" w:hint="eastAsia"/>
          <w:sz w:val="32"/>
          <w:szCs w:val="32"/>
        </w:rPr>
        <w:t>其他教育支出</w:t>
      </w:r>
      <w:r w:rsidR="00F90613">
        <w:rPr>
          <w:rFonts w:ascii="Times New Roman" w:eastAsia="仿宋_GB2312" w:hAnsi="Times New Roman" w:cs="Times New Roman" w:hint="eastAsia"/>
          <w:sz w:val="32"/>
          <w:szCs w:val="32"/>
        </w:rPr>
        <w:t>（款）</w:t>
      </w:r>
      <w:r w:rsidR="00575F70" w:rsidRPr="00575F70">
        <w:rPr>
          <w:rFonts w:ascii="Times New Roman" w:eastAsia="仿宋_GB2312" w:hAnsi="Times New Roman" w:cs="Times New Roman" w:hint="eastAsia"/>
          <w:sz w:val="32"/>
          <w:szCs w:val="32"/>
        </w:rPr>
        <w:t>其他教育支出</w:t>
      </w:r>
      <w:r w:rsidR="00F90613">
        <w:rPr>
          <w:rFonts w:ascii="Times New Roman" w:eastAsia="仿宋_GB2312" w:hAnsi="Times New Roman" w:cs="Times New Roman" w:hint="eastAsia"/>
          <w:sz w:val="32"/>
          <w:szCs w:val="32"/>
        </w:rPr>
        <w:t>（项）</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sidR="00575F70" w:rsidRPr="00575F70">
        <w:rPr>
          <w:rFonts w:ascii="Times New Roman" w:eastAsia="仿宋_GB2312" w:hAnsi="Times New Roman" w:cs="Times New Roman"/>
          <w:sz w:val="32"/>
          <w:szCs w:val="32"/>
        </w:rPr>
        <w:t>29.70</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1F4D95" w:rsidRDefault="006E28E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sidR="00F90613">
        <w:rPr>
          <w:rFonts w:ascii="Times New Roman" w:eastAsia="仿宋_GB2312" w:hAnsi="Times New Roman" w:cs="Times New Roman" w:hint="eastAsia"/>
          <w:sz w:val="32"/>
          <w:szCs w:val="32"/>
        </w:rPr>
        <w:t>.</w:t>
      </w:r>
      <w:r w:rsidR="00F90613">
        <w:rPr>
          <w:rFonts w:ascii="Times New Roman" w:eastAsia="仿宋_GB2312" w:hAnsi="Times New Roman" w:cs="Times New Roman" w:hint="eastAsia"/>
          <w:sz w:val="32"/>
          <w:szCs w:val="32"/>
        </w:rPr>
        <w:t>社会保障和就业支出（类）行政事业单位离退休（款）</w:t>
      </w:r>
      <w:r w:rsidR="007056F4" w:rsidRPr="007056F4">
        <w:rPr>
          <w:rFonts w:ascii="Times New Roman" w:eastAsia="仿宋_GB2312" w:hAnsi="Times New Roman" w:cs="Times New Roman" w:hint="eastAsia"/>
          <w:sz w:val="32"/>
          <w:szCs w:val="32"/>
        </w:rPr>
        <w:t>事业单位医疗</w:t>
      </w:r>
      <w:r w:rsidR="00F90613">
        <w:rPr>
          <w:rFonts w:ascii="Times New Roman" w:eastAsia="仿宋_GB2312" w:hAnsi="Times New Roman" w:cs="Times New Roman" w:hint="eastAsia"/>
          <w:sz w:val="32"/>
          <w:szCs w:val="32"/>
        </w:rPr>
        <w:t>（项）</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sidR="007056F4" w:rsidRPr="007056F4">
        <w:rPr>
          <w:rFonts w:ascii="Times New Roman" w:eastAsia="仿宋_GB2312" w:hAnsi="Times New Roman" w:cs="Times New Roman"/>
          <w:sz w:val="32"/>
          <w:szCs w:val="32"/>
        </w:rPr>
        <w:t>30.81</w:t>
      </w:r>
      <w:r>
        <w:rPr>
          <w:rFonts w:ascii="Times New Roman" w:eastAsia="仿宋_GB2312" w:hAnsi="Times New Roman" w:cs="Times New Roman" w:hint="eastAsia"/>
          <w:sz w:val="32"/>
          <w:szCs w:val="32"/>
        </w:rPr>
        <w:t>万元。</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决算数大于预算数的主要原因是预算时全部纳入教育支出（类）普通教育（款）其他普通教育支出（项），决算时进行了分类。</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年度一般公共预算财政拨款基本支出</w:t>
      </w:r>
      <w:r w:rsidR="007056F4" w:rsidRPr="007056F4">
        <w:rPr>
          <w:rFonts w:ascii="Times New Roman" w:eastAsia="仿宋_GB2312" w:hAnsi="Times New Roman" w:cs="Times New Roman"/>
          <w:sz w:val="32"/>
          <w:szCs w:val="32"/>
        </w:rPr>
        <w:t>867.11</w:t>
      </w:r>
      <w:r w:rsidR="00F90613">
        <w:rPr>
          <w:rFonts w:ascii="Times New Roman" w:eastAsia="仿宋_GB2312" w:hAnsi="Times New Roman" w:cs="Times New Roman"/>
          <w:sz w:val="32"/>
          <w:szCs w:val="32"/>
        </w:rPr>
        <w:t>万元，其中：</w:t>
      </w:r>
    </w:p>
    <w:p w:rsidR="001F4D95" w:rsidRDefault="00F90613" w:rsidP="005A766B">
      <w:pPr>
        <w:pStyle w:val="Default"/>
        <w:overflowPunct w:val="0"/>
        <w:autoSpaceDE/>
        <w:autoSpaceDN/>
        <w:spacing w:line="600" w:lineRule="exact"/>
        <w:ind w:firstLineChars="200" w:firstLine="643"/>
        <w:jc w:val="both"/>
        <w:rPr>
          <w:rFonts w:ascii="Times New Roman" w:eastAsia="楷体_GB2312" w:hAnsi="Times New Roman" w:cs="Times New Roman"/>
          <w:b/>
          <w:bCs/>
          <w:i/>
          <w:color w:val="auto"/>
          <w:sz w:val="32"/>
          <w:szCs w:val="32"/>
        </w:rPr>
      </w:pPr>
      <w:r>
        <w:rPr>
          <w:rFonts w:ascii="Times New Roman" w:eastAsia="仿宋_GB2312" w:hAnsi="Times New Roman" w:cs="Times New Roman"/>
          <w:b/>
          <w:bCs/>
          <w:sz w:val="32"/>
          <w:szCs w:val="32"/>
        </w:rPr>
        <w:t>人员经费</w:t>
      </w:r>
      <w:r w:rsidR="007056F4" w:rsidRPr="007056F4">
        <w:rPr>
          <w:rFonts w:ascii="Times New Roman" w:eastAsia="仿宋_GB2312" w:hAnsi="Times New Roman" w:cs="Times New Roman"/>
          <w:sz w:val="32"/>
          <w:szCs w:val="32"/>
        </w:rPr>
        <w:t>650.17</w:t>
      </w:r>
      <w:r>
        <w:rPr>
          <w:rFonts w:ascii="Times New Roman" w:eastAsia="仿宋_GB2312" w:hAnsi="Times New Roman" w:cs="Times New Roman"/>
          <w:sz w:val="32"/>
          <w:szCs w:val="32"/>
        </w:rPr>
        <w:t>万元，占基本支出的</w:t>
      </w:r>
      <w:r w:rsidR="007056F4">
        <w:rPr>
          <w:rFonts w:ascii="Times New Roman" w:eastAsia="仿宋_GB2312" w:hAnsi="Times New Roman" w:cs="Times New Roman" w:hint="eastAsia"/>
          <w:sz w:val="32"/>
          <w:szCs w:val="32"/>
        </w:rPr>
        <w:t>74.98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生活补助、其他对个人和家庭补助等</w:t>
      </w:r>
      <w:r>
        <w:rPr>
          <w:rFonts w:ascii="Times New Roman" w:eastAsia="仿宋_GB2312" w:hAnsi="Times New Roman" w:cs="Times New Roman"/>
          <w:sz w:val="32"/>
          <w:szCs w:val="32"/>
        </w:rPr>
        <w:t>。</w:t>
      </w:r>
    </w:p>
    <w:p w:rsidR="001F4D95" w:rsidRDefault="00F90613" w:rsidP="005A766B">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9B6A6A">
        <w:rPr>
          <w:rFonts w:ascii="Times New Roman" w:eastAsia="仿宋_GB2312" w:hAnsi="Times New Roman" w:cs="Times New Roman" w:hint="eastAsia"/>
          <w:sz w:val="32"/>
          <w:szCs w:val="32"/>
        </w:rPr>
        <w:t>216.94</w:t>
      </w:r>
      <w:r>
        <w:rPr>
          <w:rFonts w:ascii="Times New Roman" w:eastAsia="仿宋_GB2312" w:hAnsi="Times New Roman" w:cs="Times New Roman"/>
          <w:sz w:val="32"/>
          <w:szCs w:val="32"/>
        </w:rPr>
        <w:t>万元，占基本支出的</w:t>
      </w:r>
      <w:r w:rsidR="007056F4">
        <w:rPr>
          <w:rFonts w:ascii="Times New Roman" w:eastAsia="仿宋_GB2312" w:hAnsi="Times New Roman" w:cs="Times New Roman" w:hint="eastAsia"/>
          <w:sz w:val="32"/>
          <w:szCs w:val="32"/>
        </w:rPr>
        <w:t>25.02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水费、电费、维修维护费、会议费、培训费、工会经费、其他商品和服务支出</w:t>
      </w:r>
      <w:r>
        <w:rPr>
          <w:rFonts w:ascii="Times New Roman" w:eastAsia="仿宋_GB2312" w:hAnsi="Times New Roman" w:cs="Times New Roman"/>
          <w:sz w:val="32"/>
          <w:szCs w:val="32"/>
        </w:rPr>
        <w:t>。</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1F4D95" w:rsidRDefault="00F90613" w:rsidP="00F9061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三公</w:t>
      </w:r>
      <w:r w:rsidR="00F90613">
        <w:rPr>
          <w:rFonts w:ascii="Times New Roman" w:eastAsia="仿宋_GB2312" w:hAnsi="Times New Roman" w:cs="Times New Roman"/>
          <w:sz w:val="32"/>
          <w:szCs w:val="32"/>
        </w:rPr>
        <w:t>”</w:t>
      </w:r>
      <w:r w:rsidR="00F90613">
        <w:rPr>
          <w:rFonts w:ascii="Times New Roman" w:eastAsia="仿宋_GB2312" w:hAnsi="Times New Roman" w:cs="Times New Roman"/>
          <w:sz w:val="32"/>
          <w:szCs w:val="32"/>
        </w:rPr>
        <w:t>经费财政拨款支出预算为</w:t>
      </w:r>
      <w:r w:rsidR="00F90613">
        <w:rPr>
          <w:rFonts w:ascii="Times New Roman" w:eastAsia="仿宋_GB2312" w:hAnsi="Times New Roman" w:cs="Times New Roman" w:hint="eastAsia"/>
          <w:sz w:val="32"/>
          <w:szCs w:val="32"/>
        </w:rPr>
        <w:t>0.00</w:t>
      </w:r>
      <w:r w:rsidR="00F90613">
        <w:rPr>
          <w:rFonts w:ascii="Times New Roman" w:eastAsia="仿宋_GB2312" w:hAnsi="Times New Roman" w:cs="Times New Roman"/>
          <w:sz w:val="32"/>
          <w:szCs w:val="32"/>
        </w:rPr>
        <w:t>万元，支出</w:t>
      </w:r>
      <w:r w:rsidR="00F90613">
        <w:rPr>
          <w:rFonts w:ascii="Times New Roman" w:eastAsia="仿宋_GB2312" w:hAnsi="Times New Roman" w:cs="Times New Roman"/>
          <w:sz w:val="32"/>
          <w:szCs w:val="32"/>
        </w:rPr>
        <w:lastRenderedPageBreak/>
        <w:t>决算为</w:t>
      </w:r>
      <w:r w:rsidR="00F90613">
        <w:rPr>
          <w:rFonts w:ascii="Times New Roman" w:eastAsia="仿宋_GB2312" w:hAnsi="Times New Roman" w:cs="Times New Roman" w:hint="eastAsia"/>
          <w:sz w:val="32"/>
          <w:szCs w:val="32"/>
        </w:rPr>
        <w:t>000</w:t>
      </w:r>
      <w:r w:rsidR="00F90613">
        <w:rPr>
          <w:rFonts w:ascii="Times New Roman" w:eastAsia="仿宋_GB2312" w:hAnsi="Times New Roman" w:cs="Times New Roman"/>
          <w:sz w:val="32"/>
          <w:szCs w:val="32"/>
        </w:rPr>
        <w:t>万元；与上年相比</w:t>
      </w:r>
      <w:r w:rsidR="00F90613">
        <w:rPr>
          <w:rFonts w:ascii="Times New Roman" w:eastAsia="仿宋_GB2312" w:hAnsi="Times New Roman" w:cs="Times New Roman" w:hint="eastAsia"/>
          <w:sz w:val="32"/>
          <w:szCs w:val="32"/>
        </w:rPr>
        <w:t>持平</w:t>
      </w:r>
      <w:r w:rsidR="00F90613">
        <w:rPr>
          <w:rFonts w:ascii="Times New Roman" w:eastAsia="仿宋_GB2312" w:hAnsi="Times New Roman" w:cs="Times New Roman"/>
          <w:sz w:val="32"/>
          <w:szCs w:val="32"/>
        </w:rPr>
        <w:t>。</w:t>
      </w:r>
    </w:p>
    <w:p w:rsidR="001F4D95" w:rsidRDefault="00F90613" w:rsidP="00F9061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r>
        <w:rPr>
          <w:rFonts w:ascii="Times New Roman" w:eastAsia="仿宋_GB2312" w:hAnsi="Times New Roman" w:cs="Times New Roman"/>
          <w:sz w:val="32"/>
          <w:szCs w:val="32"/>
        </w:rPr>
        <w:t>。其中：</w:t>
      </w:r>
    </w:p>
    <w:p w:rsidR="001F4D95" w:rsidRDefault="00F90613">
      <w:pPr>
        <w:pStyle w:val="Default"/>
        <w:overflowPunct w:val="0"/>
        <w:autoSpaceDE/>
        <w:autoSpaceDN/>
        <w:spacing w:line="600" w:lineRule="exact"/>
        <w:ind w:leftChars="304" w:left="638"/>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万公务用车运行维护费支出预算为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p>
    <w:p w:rsidR="001F4D95" w:rsidRDefault="00F90613">
      <w:pPr>
        <w:pStyle w:val="Default"/>
        <w:overflowPunct w:val="0"/>
        <w:autoSpaceDE/>
        <w:autoSpaceDN/>
        <w:spacing w:line="600" w:lineRule="exact"/>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w:t>
      </w:r>
    </w:p>
    <w:p w:rsidR="001F4D95" w:rsidRDefault="00F90613">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无增减。</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年度政府性基金预算财政拨款收入</w:t>
      </w:r>
      <w:r w:rsidR="005A766B">
        <w:rPr>
          <w:rFonts w:ascii="Times New Roman" w:eastAsia="仿宋_GB2312" w:hAnsi="Times New Roman" w:cs="Times New Roman" w:hint="eastAsia"/>
          <w:sz w:val="32"/>
          <w:szCs w:val="32"/>
        </w:rPr>
        <w:t>100</w:t>
      </w:r>
      <w:r w:rsidR="00F90613">
        <w:rPr>
          <w:rFonts w:ascii="Times New Roman" w:eastAsia="仿宋_GB2312" w:hAnsi="Times New Roman" w:cs="Times New Roman"/>
          <w:sz w:val="32"/>
          <w:szCs w:val="32"/>
        </w:rPr>
        <w:t>万元；年初结转和结余</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万元；支出</w:t>
      </w:r>
      <w:r w:rsidR="005A766B">
        <w:rPr>
          <w:rFonts w:ascii="Times New Roman" w:eastAsia="仿宋_GB2312" w:hAnsi="Times New Roman" w:cs="Times New Roman" w:hint="eastAsia"/>
          <w:sz w:val="32"/>
          <w:szCs w:val="32"/>
        </w:rPr>
        <w:t>100</w:t>
      </w:r>
      <w:r w:rsidR="00F90613">
        <w:rPr>
          <w:rFonts w:ascii="Times New Roman" w:eastAsia="仿宋_GB2312" w:hAnsi="Times New Roman" w:cs="Times New Roman"/>
          <w:sz w:val="32"/>
          <w:szCs w:val="32"/>
        </w:rPr>
        <w:t>万元，其中基本支出</w:t>
      </w:r>
      <w:r w:rsidR="005A766B">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万元，项目支出</w:t>
      </w:r>
      <w:r w:rsidR="005A766B">
        <w:rPr>
          <w:rFonts w:ascii="Times New Roman" w:eastAsia="仿宋_GB2312" w:hAnsi="Times New Roman" w:cs="Times New Roman" w:hint="eastAsia"/>
          <w:sz w:val="32"/>
          <w:szCs w:val="32"/>
        </w:rPr>
        <w:t>100</w:t>
      </w:r>
      <w:r w:rsidR="00F90613">
        <w:rPr>
          <w:rFonts w:ascii="Times New Roman" w:eastAsia="仿宋_GB2312" w:hAnsi="Times New Roman" w:cs="Times New Roman"/>
          <w:sz w:val="32"/>
          <w:szCs w:val="32"/>
        </w:rPr>
        <w:t>万元；年末结转和结余</w:t>
      </w:r>
      <w:r w:rsidR="00F90613">
        <w:rPr>
          <w:rFonts w:ascii="Times New Roman" w:eastAsia="仿宋_GB2312" w:hAnsi="Times New Roman" w:cs="Times New Roman" w:hint="eastAsia"/>
          <w:sz w:val="32"/>
          <w:szCs w:val="32"/>
        </w:rPr>
        <w:t>0</w:t>
      </w:r>
      <w:r w:rsidR="00F90613">
        <w:rPr>
          <w:rFonts w:ascii="Times New Roman" w:eastAsia="仿宋_GB2312" w:hAnsi="Times New Roman" w:cs="Times New Roman"/>
          <w:sz w:val="32"/>
          <w:szCs w:val="32"/>
        </w:rPr>
        <w:t>万元。具体情况如下：</w:t>
      </w:r>
    </w:p>
    <w:p w:rsidR="001F4D95" w:rsidRDefault="00F90613">
      <w:pPr>
        <w:pStyle w:val="-1"/>
        <w:ind w:firstLine="640"/>
        <w:rPr>
          <w:rFonts w:ascii="仿宋_GB2312" w:eastAsia="仿宋_GB2312" w:hAnsi="仿宋"/>
          <w:sz w:val="32"/>
          <w:szCs w:val="32"/>
        </w:rPr>
      </w:pPr>
      <w:r>
        <w:rPr>
          <w:rFonts w:ascii="仿宋_GB2312" w:eastAsia="仿宋_GB2312" w:hAnsi="仿宋" w:hint="eastAsia"/>
          <w:sz w:val="32"/>
          <w:szCs w:val="32"/>
        </w:rPr>
        <w:t>1.其他支出（类）彩票公益金安排的支出（款）用于社会福利的彩票公益金支出（项）</w:t>
      </w:r>
    </w:p>
    <w:p w:rsidR="001F4D95" w:rsidRDefault="00F90613" w:rsidP="00F90613">
      <w:pPr>
        <w:pStyle w:val="-1"/>
        <w:ind w:firstLine="640"/>
        <w:rPr>
          <w:rFonts w:eastAsia="仿宋_GB2312"/>
        </w:rPr>
      </w:pPr>
      <w:r>
        <w:rPr>
          <w:rFonts w:ascii="仿宋_GB2312" w:eastAsia="仿宋_GB2312" w:hAnsi="仿宋" w:hint="eastAsia"/>
          <w:sz w:val="32"/>
          <w:szCs w:val="32"/>
        </w:rPr>
        <w:t>年初预算为</w:t>
      </w:r>
      <w:r w:rsidR="005A766B">
        <w:rPr>
          <w:rFonts w:ascii="仿宋_GB2312" w:eastAsia="仿宋_GB2312" w:hAnsi="仿宋" w:hint="eastAsia"/>
          <w:sz w:val="32"/>
          <w:szCs w:val="32"/>
        </w:rPr>
        <w:t>10</w:t>
      </w:r>
      <w:r>
        <w:rPr>
          <w:rFonts w:ascii="仿宋_GB2312" w:eastAsia="仿宋_GB2312" w:hAnsi="仿宋" w:hint="eastAsia"/>
          <w:sz w:val="32"/>
          <w:szCs w:val="32"/>
        </w:rPr>
        <w:t>0万元，支出决算为</w:t>
      </w:r>
      <w:r w:rsidR="005A766B">
        <w:rPr>
          <w:rFonts w:ascii="仿宋_GB2312" w:eastAsia="仿宋_GB2312" w:hAnsi="仿宋" w:hint="eastAsia"/>
          <w:sz w:val="32"/>
          <w:szCs w:val="32"/>
        </w:rPr>
        <w:t>100</w:t>
      </w:r>
      <w:r>
        <w:rPr>
          <w:rFonts w:ascii="仿宋_GB2312" w:eastAsia="仿宋_GB2312" w:hAnsi="仿宋" w:hint="eastAsia"/>
          <w:sz w:val="32"/>
          <w:szCs w:val="32"/>
        </w:rPr>
        <w:t>万元。决算数大于预算数的主要原因是</w:t>
      </w:r>
      <w:r w:rsidR="005A766B">
        <w:rPr>
          <w:rFonts w:ascii="仿宋_GB2312" w:eastAsia="仿宋_GB2312" w:hAnsi="仿宋" w:hint="eastAsia"/>
          <w:sz w:val="32"/>
          <w:szCs w:val="32"/>
        </w:rPr>
        <w:t>新建教学楼</w:t>
      </w:r>
      <w:r>
        <w:rPr>
          <w:rFonts w:ascii="仿宋_GB2312" w:eastAsia="仿宋_GB2312" w:hAnsi="仿宋" w:hint="eastAsia"/>
          <w:sz w:val="32"/>
          <w:szCs w:val="32"/>
        </w:rPr>
        <w:t>的费用。</w:t>
      </w:r>
    </w:p>
    <w:p w:rsidR="001F4D95" w:rsidRDefault="00F90613">
      <w:pPr>
        <w:pStyle w:val="-1"/>
        <w:ind w:firstLine="640"/>
        <w:rPr>
          <w:rFonts w:ascii="仿宋_GB2312" w:eastAsia="仿宋_GB2312" w:hAnsi="仿宋"/>
          <w:sz w:val="32"/>
          <w:szCs w:val="32"/>
        </w:rPr>
      </w:pPr>
      <w:r>
        <w:rPr>
          <w:rFonts w:ascii="仿宋_GB2312" w:eastAsia="仿宋_GB2312" w:hAnsi="仿宋" w:hint="eastAsia"/>
          <w:sz w:val="32"/>
          <w:szCs w:val="32"/>
        </w:rPr>
        <w:t>2.其他支出（类）彩票公益金安排的支出（款）用于体育事业的彩票公益金支出（项）</w:t>
      </w:r>
    </w:p>
    <w:p w:rsidR="001F4D95" w:rsidRDefault="00F90613" w:rsidP="00F90613">
      <w:pPr>
        <w:pStyle w:val="-1"/>
        <w:ind w:firstLine="640"/>
        <w:rPr>
          <w:rFonts w:eastAsia="仿宋_GB2312"/>
          <w:sz w:val="32"/>
          <w:szCs w:val="32"/>
        </w:rPr>
      </w:pPr>
      <w:r>
        <w:rPr>
          <w:rFonts w:ascii="仿宋_GB2312" w:eastAsia="仿宋_GB2312" w:hAnsi="仿宋" w:hint="eastAsia"/>
          <w:sz w:val="32"/>
          <w:szCs w:val="32"/>
        </w:rPr>
        <w:t>年初预算为0万元，支出决算为</w:t>
      </w:r>
      <w:r w:rsidR="005A766B">
        <w:rPr>
          <w:rFonts w:ascii="仿宋_GB2312" w:eastAsia="仿宋_GB2312" w:hAnsi="仿宋" w:hint="eastAsia"/>
          <w:sz w:val="32"/>
          <w:szCs w:val="32"/>
        </w:rPr>
        <w:t>0</w:t>
      </w:r>
      <w:r>
        <w:rPr>
          <w:rFonts w:ascii="仿宋_GB2312" w:eastAsia="仿宋_GB2312" w:hAnsi="仿宋" w:hint="eastAsia"/>
          <w:sz w:val="32"/>
          <w:szCs w:val="32"/>
        </w:rPr>
        <w:t>万元。决算数大于预算数的主要原因是年中追加用于学校维修的费用。</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九、关于机关运行经费支出说明</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sidR="00D81835">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w:t>
      </w:r>
      <w:r>
        <w:rPr>
          <w:rFonts w:ascii="Times New Roman" w:eastAsia="仿宋_GB2312" w:hAnsi="Times New Roman" w:cs="Times New Roman" w:hint="eastAsia"/>
          <w:sz w:val="32"/>
          <w:szCs w:val="32"/>
        </w:rPr>
        <w:t>无</w:t>
      </w:r>
      <w:r>
        <w:rPr>
          <w:rFonts w:ascii="Times New Roman" w:eastAsia="仿宋_GB2312" w:hAnsi="Times New Roman" w:cs="Times New Roman"/>
          <w:sz w:val="32"/>
          <w:szCs w:val="32"/>
        </w:rPr>
        <w:t>机关运行经费支出。</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1F4D95" w:rsidRDefault="00D8183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年本部门开支会议费</w:t>
      </w:r>
      <w:r w:rsidR="009B6A6A">
        <w:rPr>
          <w:rFonts w:ascii="Times New Roman" w:eastAsia="仿宋_GB2312" w:hAnsi="Times New Roman" w:cs="Times New Roman" w:hint="eastAsia"/>
          <w:sz w:val="32"/>
          <w:szCs w:val="32"/>
        </w:rPr>
        <w:t>1.3</w:t>
      </w:r>
      <w:r w:rsidR="00F90613">
        <w:rPr>
          <w:rFonts w:ascii="Times New Roman" w:eastAsia="仿宋_GB2312" w:hAnsi="Times New Roman" w:cs="Times New Roman"/>
          <w:sz w:val="32"/>
          <w:szCs w:val="32"/>
        </w:rPr>
        <w:t>万元，用于召开</w:t>
      </w:r>
      <w:r w:rsidR="00F90613">
        <w:rPr>
          <w:rFonts w:ascii="Times New Roman" w:eastAsia="仿宋_GB2312" w:hAnsi="Times New Roman" w:cs="Times New Roman" w:hint="eastAsia"/>
          <w:sz w:val="32"/>
          <w:szCs w:val="32"/>
        </w:rPr>
        <w:t>安全工作、教师会、开学工作会、财务工作等</w:t>
      </w:r>
      <w:r w:rsidR="00F90613">
        <w:rPr>
          <w:rFonts w:ascii="Times New Roman" w:eastAsia="仿宋_GB2312" w:hAnsi="Times New Roman" w:cs="Times New Roman"/>
          <w:sz w:val="32"/>
          <w:szCs w:val="32"/>
        </w:rPr>
        <w:t>会议，人数</w:t>
      </w:r>
      <w:r w:rsidR="005A766B">
        <w:rPr>
          <w:rFonts w:ascii="Times New Roman" w:eastAsia="仿宋_GB2312" w:hAnsi="Times New Roman" w:cs="Times New Roman" w:hint="eastAsia"/>
          <w:sz w:val="32"/>
          <w:szCs w:val="32"/>
        </w:rPr>
        <w:t>125</w:t>
      </w:r>
      <w:r w:rsidR="00F90613">
        <w:rPr>
          <w:rFonts w:ascii="Times New Roman" w:eastAsia="仿宋_GB2312" w:hAnsi="Times New Roman" w:cs="Times New Roman"/>
          <w:sz w:val="32"/>
          <w:szCs w:val="32"/>
        </w:rPr>
        <w:t>人，内容为</w:t>
      </w:r>
      <w:r w:rsidR="00F90613">
        <w:rPr>
          <w:rFonts w:ascii="Times New Roman" w:eastAsia="仿宋_GB2312" w:hAnsi="Times New Roman" w:cs="Times New Roman" w:hint="eastAsia"/>
          <w:sz w:val="32"/>
          <w:szCs w:val="32"/>
        </w:rPr>
        <w:t>校园安全、师德师风教育、固定资产管理、财务管理等</w:t>
      </w:r>
      <w:r w:rsidR="00F90613">
        <w:rPr>
          <w:rFonts w:ascii="Times New Roman" w:eastAsia="仿宋_GB2312" w:hAnsi="Times New Roman" w:cs="Times New Roman"/>
          <w:sz w:val="32"/>
          <w:szCs w:val="32"/>
        </w:rPr>
        <w:t>；开支培训费</w:t>
      </w:r>
      <w:r w:rsidR="009B6A6A">
        <w:rPr>
          <w:rFonts w:ascii="Times New Roman" w:eastAsia="仿宋_GB2312" w:hAnsi="Times New Roman" w:cs="Times New Roman" w:hint="eastAsia"/>
          <w:sz w:val="32"/>
          <w:szCs w:val="32"/>
        </w:rPr>
        <w:t>22.11</w:t>
      </w:r>
      <w:r w:rsidR="00F90613">
        <w:rPr>
          <w:rFonts w:ascii="Times New Roman" w:eastAsia="仿宋_GB2312" w:hAnsi="Times New Roman" w:cs="Times New Roman"/>
          <w:sz w:val="32"/>
          <w:szCs w:val="32"/>
        </w:rPr>
        <w:t>万元，用于开展</w:t>
      </w:r>
      <w:r w:rsidR="00F90613">
        <w:rPr>
          <w:rFonts w:ascii="Times New Roman" w:eastAsia="仿宋_GB2312" w:hAnsi="Times New Roman" w:cs="Times New Roman" w:hint="eastAsia"/>
          <w:sz w:val="32"/>
          <w:szCs w:val="32"/>
        </w:rPr>
        <w:t>青年教师、食堂账务处理、教师政治业务等</w:t>
      </w:r>
      <w:r w:rsidR="00F90613">
        <w:rPr>
          <w:rFonts w:ascii="Times New Roman" w:eastAsia="仿宋_GB2312" w:hAnsi="Times New Roman" w:cs="Times New Roman"/>
          <w:sz w:val="32"/>
          <w:szCs w:val="32"/>
        </w:rPr>
        <w:t>培训，人数</w:t>
      </w:r>
      <w:r w:rsidR="005A766B">
        <w:rPr>
          <w:rFonts w:ascii="Times New Roman" w:eastAsia="仿宋_GB2312" w:hAnsi="Times New Roman" w:cs="Times New Roman" w:hint="eastAsia"/>
          <w:sz w:val="32"/>
          <w:szCs w:val="32"/>
        </w:rPr>
        <w:t>125</w:t>
      </w:r>
      <w:r w:rsidR="00F90613">
        <w:rPr>
          <w:rFonts w:ascii="Times New Roman" w:eastAsia="仿宋_GB2312" w:hAnsi="Times New Roman" w:cs="Times New Roman"/>
          <w:sz w:val="32"/>
          <w:szCs w:val="32"/>
        </w:rPr>
        <w:t>人，内容为</w:t>
      </w:r>
      <w:r w:rsidR="00F90613">
        <w:rPr>
          <w:rFonts w:ascii="Times New Roman" w:eastAsia="仿宋_GB2312" w:hAnsi="Times New Roman" w:cs="Times New Roman" w:hint="eastAsia"/>
          <w:sz w:val="32"/>
          <w:szCs w:val="32"/>
        </w:rPr>
        <w:t>青年教师比武、教师师德师风和教学能力提升、食堂财务人员业务培训等</w:t>
      </w:r>
      <w:r w:rsidR="00F90613">
        <w:rPr>
          <w:rFonts w:ascii="Times New Roman" w:eastAsia="仿宋_GB2312" w:hAnsi="Times New Roman" w:cs="Times New Roman"/>
          <w:sz w:val="32"/>
          <w:szCs w:val="32"/>
        </w:rPr>
        <w:t>。</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5A766B" w:rsidRDefault="00F9061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sidR="00D81835">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年度政府采购支出总额</w:t>
      </w:r>
      <w:r w:rsidR="005A766B">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5A766B">
        <w:rPr>
          <w:rFonts w:ascii="Times New Roman" w:eastAsia="仿宋_GB2312" w:hAnsi="Times New Roman" w:cs="Times New Roman" w:hint="eastAsia"/>
          <w:sz w:val="32"/>
          <w:szCs w:val="32"/>
        </w:rPr>
        <w:t>.</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1F4D95" w:rsidRDefault="00F90613">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sidR="00D81835">
        <w:rPr>
          <w:rFonts w:ascii="Times New Roman" w:eastAsia="仿宋_GB2312" w:hAnsi="Times New Roman" w:cs="Times New Roman"/>
          <w:color w:val="auto"/>
          <w:sz w:val="32"/>
          <w:szCs w:val="32"/>
        </w:rPr>
        <w:t>2025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1F4D95" w:rsidRDefault="00F90613">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sidR="00D81835">
        <w:rPr>
          <w:rFonts w:ascii="Times New Roman" w:eastAsia="仿宋_GB2312" w:hAnsi="Times New Roman" w:cs="Times New Roman"/>
          <w:color w:val="auto"/>
          <w:sz w:val="32"/>
          <w:szCs w:val="32"/>
        </w:rPr>
        <w:t>2025</w:t>
      </w:r>
      <w:r>
        <w:rPr>
          <w:rFonts w:ascii="Times New Roman" w:hAnsi="Times New Roman" w:cs="Times New Roman"/>
          <w:bCs/>
          <w:color w:val="auto"/>
          <w:sz w:val="32"/>
          <w:szCs w:val="32"/>
        </w:rPr>
        <w:t>年度预算绩效情况的说明</w:t>
      </w:r>
    </w:p>
    <w:p w:rsidR="001F4D95" w:rsidRDefault="00F90613">
      <w:pPr>
        <w:overflowPunct w:val="0"/>
        <w:spacing w:line="600" w:lineRule="exact"/>
        <w:ind w:leftChars="304" w:left="638"/>
        <w:rPr>
          <w:rFonts w:ascii="Times New Roman" w:eastAsia="仿宋_GB2312" w:hAnsi="Times New Roman" w:cs="Times New Roman"/>
          <w:b/>
          <w:bCs/>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p>
    <w:p w:rsidR="001F4D95" w:rsidRDefault="00F90613">
      <w:pPr>
        <w:overflowPunct w:val="0"/>
        <w:spacing w:line="600" w:lineRule="exact"/>
        <w:ind w:firstLineChars="200" w:firstLine="640"/>
        <w:rPr>
          <w:rFonts w:ascii="Times New Roman" w:eastAsia="楷体" w:hAnsi="Times New Roman" w:cs="Times New Roman"/>
          <w:b/>
          <w:bCs/>
          <w:sz w:val="32"/>
          <w:szCs w:val="32"/>
        </w:rPr>
      </w:pPr>
      <w:r>
        <w:rPr>
          <w:rFonts w:ascii="Times New Roman" w:eastAsia="仿宋_GB2312" w:hAnsi="Times New Roman" w:cs="Times New Roman"/>
          <w:kern w:val="0"/>
          <w:sz w:val="32"/>
          <w:szCs w:val="32"/>
        </w:rPr>
        <w:t>组织对</w:t>
      </w:r>
      <w:r w:rsidR="00D81835">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年度本部门（单位）整体支出开展绩效自评，共涉及资金</w:t>
      </w:r>
      <w:r w:rsidR="009B6A6A">
        <w:rPr>
          <w:rFonts w:ascii="Times New Roman" w:eastAsia="仿宋_GB2312" w:hAnsi="Times New Roman" w:cs="Times New Roman" w:hint="eastAsia"/>
          <w:kern w:val="0"/>
          <w:sz w:val="32"/>
          <w:szCs w:val="32"/>
        </w:rPr>
        <w:t>1418.84</w:t>
      </w:r>
      <w:r>
        <w:rPr>
          <w:rFonts w:ascii="Times New Roman" w:eastAsia="仿宋_GB2312" w:hAnsi="Times New Roman" w:cs="Times New Roman"/>
          <w:kern w:val="0"/>
          <w:sz w:val="32"/>
          <w:szCs w:val="32"/>
        </w:rPr>
        <w:t>万元。其中，一般公共预算项目</w:t>
      </w:r>
      <w:r w:rsidR="009B6A6A">
        <w:rPr>
          <w:rFonts w:ascii="Times New Roman" w:eastAsia="仿宋_GB2312" w:hAnsi="Times New Roman" w:cs="Times New Roman" w:hint="eastAsia"/>
          <w:kern w:val="0"/>
          <w:sz w:val="32"/>
          <w:szCs w:val="32"/>
        </w:rPr>
        <w:t>867.11</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sidR="009B6A6A">
        <w:rPr>
          <w:rFonts w:ascii="Times New Roman" w:eastAsia="仿宋_GB2312" w:hAnsi="Times New Roman" w:cs="Times New Roman" w:hint="eastAsia"/>
          <w:kern w:val="0"/>
          <w:sz w:val="32"/>
          <w:szCs w:val="32"/>
        </w:rPr>
        <w:t>551.73</w:t>
      </w:r>
      <w:r>
        <w:rPr>
          <w:rFonts w:ascii="Times New Roman" w:eastAsia="仿宋_GB2312" w:hAnsi="Times New Roman" w:cs="Times New Roman"/>
          <w:kern w:val="0"/>
          <w:sz w:val="32"/>
          <w:szCs w:val="32"/>
        </w:rPr>
        <w:t>万元，占政府性基金预算支出总额的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；国有资本</w:t>
      </w:r>
      <w:r>
        <w:rPr>
          <w:rFonts w:ascii="Times New Roman" w:eastAsia="仿宋_GB2312" w:hAnsi="Times New Roman" w:cs="Times New Roman"/>
          <w:kern w:val="0"/>
          <w:sz w:val="32"/>
          <w:szCs w:val="32"/>
        </w:rPr>
        <w:lastRenderedPageBreak/>
        <w:t>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组织对所属单位</w:t>
      </w:r>
      <w:r w:rsidR="00D81835">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公用经费使用</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“设备采购”</w:t>
      </w:r>
      <w:r>
        <w:rPr>
          <w:rFonts w:ascii="Times New Roman" w:eastAsia="仿宋_GB2312" w:hAnsi="Times New Roman" w:cs="Times New Roman"/>
          <w:kern w:val="0"/>
          <w:sz w:val="32"/>
          <w:szCs w:val="32"/>
        </w:rPr>
        <w:t>等项目开展了部门评价，涉及一般公共预算支出</w:t>
      </w:r>
      <w:r w:rsidR="009B6A6A">
        <w:rPr>
          <w:rFonts w:ascii="Times New Roman" w:eastAsia="仿宋_GB2312" w:hAnsi="Times New Roman" w:cs="Times New Roman" w:hint="eastAsia"/>
          <w:sz w:val="32"/>
          <w:szCs w:val="32"/>
        </w:rPr>
        <w:t>867.11</w:t>
      </w:r>
      <w:r>
        <w:rPr>
          <w:rFonts w:ascii="Times New Roman" w:eastAsia="仿宋_GB2312" w:hAnsi="Times New Roman" w:cs="Times New Roman"/>
          <w:kern w:val="0"/>
          <w:sz w:val="32"/>
          <w:szCs w:val="32"/>
        </w:rPr>
        <w:t>万元，政府性基金预算支出</w:t>
      </w:r>
      <w:r w:rsidR="009B6A6A">
        <w:rPr>
          <w:rFonts w:ascii="Times New Roman" w:eastAsia="仿宋_GB2312" w:hAnsi="Times New Roman" w:cs="Times New Roman" w:hint="eastAsia"/>
          <w:sz w:val="32"/>
          <w:szCs w:val="32"/>
        </w:rPr>
        <w:t>551.73</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三是事前绩效评估开展情况。</w:t>
      </w:r>
      <w:r>
        <w:rPr>
          <w:rFonts w:ascii="Times New Roman" w:eastAsia="仿宋_GB2312" w:hAnsi="Times New Roman" w:cs="Times New Roman"/>
          <w:kern w:val="0"/>
          <w:sz w:val="32"/>
          <w:szCs w:val="32"/>
        </w:rPr>
        <w:t>组织对</w:t>
      </w:r>
      <w:r w:rsidR="00D81835">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w:t>
      </w:r>
      <w:r w:rsidR="00555A0D">
        <w:rPr>
          <w:rFonts w:ascii="Times New Roman" w:eastAsia="仿宋_GB2312" w:hAnsi="Times New Roman" w:cs="Times New Roman" w:hint="eastAsia"/>
          <w:sz w:val="32"/>
          <w:szCs w:val="32"/>
        </w:rPr>
        <w:t>1</w:t>
      </w:r>
      <w:r>
        <w:rPr>
          <w:rFonts w:ascii="Times New Roman" w:eastAsia="仿宋_GB2312" w:hAnsi="Times New Roman" w:cs="Times New Roman"/>
          <w:kern w:val="0"/>
          <w:sz w:val="32"/>
          <w:szCs w:val="32"/>
        </w:rPr>
        <w:t>个重大项目开展事前绩效评估，共涉及资金</w:t>
      </w:r>
      <w:r w:rsidR="00555A0D">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万元。</w:t>
      </w:r>
    </w:p>
    <w:p w:rsidR="001F4D95" w:rsidRDefault="00F90613" w:rsidP="00F90613">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sidR="00D81835">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9B6A6A">
        <w:rPr>
          <w:rFonts w:ascii="Times New Roman" w:eastAsia="仿宋_GB2312" w:hAnsi="Times New Roman" w:cs="Times New Roman" w:hint="eastAsia"/>
          <w:sz w:val="32"/>
          <w:szCs w:val="32"/>
        </w:rPr>
        <w:t>886.55</w:t>
      </w:r>
      <w:r>
        <w:rPr>
          <w:rFonts w:ascii="Times New Roman" w:eastAsia="仿宋_GB2312" w:hAnsi="Times New Roman" w:cs="Times New Roman"/>
          <w:sz w:val="32"/>
          <w:szCs w:val="32"/>
        </w:rPr>
        <w:t>万元，执行数</w:t>
      </w:r>
      <w:r w:rsidR="009B6A6A">
        <w:rPr>
          <w:rFonts w:ascii="Times New Roman" w:eastAsia="仿宋_GB2312" w:hAnsi="Times New Roman" w:cs="Times New Roman" w:hint="eastAsia"/>
          <w:sz w:val="32"/>
          <w:szCs w:val="32"/>
        </w:rPr>
        <w:t>1418.84</w:t>
      </w:r>
      <w:r>
        <w:rPr>
          <w:rFonts w:ascii="Times New Roman" w:eastAsia="仿宋_GB2312" w:hAnsi="Times New Roman" w:cs="Times New Roman"/>
          <w:sz w:val="32"/>
          <w:szCs w:val="32"/>
        </w:rPr>
        <w:t>万元，完成预算的</w:t>
      </w:r>
      <w:r w:rsidR="009B6A6A">
        <w:rPr>
          <w:rFonts w:ascii="Times New Roman" w:eastAsia="仿宋_GB2312" w:hAnsi="Times New Roman" w:cs="Times New Roman" w:hint="eastAsia"/>
          <w:sz w:val="32"/>
          <w:szCs w:val="32"/>
        </w:rPr>
        <w:t>160</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97</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。绩效目标完成情况：一是</w:t>
      </w:r>
      <w:r>
        <w:rPr>
          <w:rFonts w:ascii="Times New Roman" w:eastAsia="仿宋_GB2312" w:hAnsi="Times New Roman" w:cs="Times New Roman" w:hint="eastAsia"/>
          <w:sz w:val="32"/>
          <w:szCs w:val="32"/>
        </w:rPr>
        <w:t>满足了教职工工资等人员经费</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使用好了学生公用经费，教育教学工作取得好的成绩</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固定资产管理不规范</w:t>
      </w:r>
      <w:r>
        <w:rPr>
          <w:rFonts w:ascii="Times New Roman" w:eastAsia="仿宋_GB2312" w:hAnsi="Times New Roman" w:cs="Times New Roman"/>
          <w:sz w:val="32"/>
          <w:szCs w:val="32"/>
        </w:rPr>
        <w:t>。下一步改进措施：一是</w:t>
      </w:r>
      <w:r>
        <w:rPr>
          <w:rFonts w:ascii="Times New Roman" w:eastAsia="仿宋_GB2312" w:hAnsi="Times New Roman" w:cs="Times New Roman" w:hint="eastAsia"/>
          <w:sz w:val="32"/>
          <w:szCs w:val="32"/>
        </w:rPr>
        <w:t>摸清底数，及时处置资产</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加强固定资产管理人员责任</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二是部门评价结果。</w:t>
      </w:r>
      <w:r>
        <w:rPr>
          <w:rFonts w:ascii="Times New Roman" w:eastAsia="仿宋_GB2312" w:hAnsi="Times New Roman" w:cs="Times New Roman" w:hint="eastAsia"/>
          <w:sz w:val="32"/>
          <w:szCs w:val="32"/>
        </w:rPr>
        <w:t>其他教育费附加安排的支出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sidR="009B6A6A">
        <w:rPr>
          <w:rFonts w:ascii="Times New Roman" w:eastAsia="仿宋_GB2312" w:hAnsi="Times New Roman" w:cs="Times New Roman" w:hint="eastAsia"/>
          <w:sz w:val="32"/>
          <w:szCs w:val="32"/>
        </w:rPr>
        <w:t>14.19</w:t>
      </w:r>
      <w:r>
        <w:rPr>
          <w:rFonts w:ascii="Times New Roman" w:eastAsia="仿宋_GB2312" w:hAnsi="Times New Roman" w:cs="Times New Roman"/>
          <w:sz w:val="32"/>
          <w:szCs w:val="32"/>
        </w:rPr>
        <w:t>万元</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Pr>
          <w:rFonts w:ascii="Times New Roman" w:eastAsia="仿宋_GB2312" w:hAnsi="Times New Roman" w:cs="Times New Roman" w:hint="eastAsia"/>
          <w:sz w:val="32"/>
          <w:szCs w:val="32"/>
        </w:rPr>
        <w:t>98</w:t>
      </w:r>
      <w:r>
        <w:rPr>
          <w:rFonts w:ascii="Times New Roman" w:eastAsia="仿宋_GB2312" w:hAnsi="Times New Roman" w:cs="Times New Roman"/>
          <w:sz w:val="32"/>
          <w:szCs w:val="32"/>
        </w:rPr>
        <w:t>分，评价等级为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学校设施条件未达到预期</w:t>
      </w:r>
      <w:r>
        <w:rPr>
          <w:rFonts w:ascii="Times New Roman" w:eastAsia="仿宋_GB2312" w:hAnsi="Times New Roman" w:cs="Times New Roman"/>
          <w:sz w:val="32"/>
          <w:szCs w:val="32"/>
        </w:rPr>
        <w:t>。下一步改进措施：</w:t>
      </w:r>
      <w:r>
        <w:rPr>
          <w:rFonts w:ascii="Times New Roman" w:eastAsia="仿宋_GB2312" w:hAnsi="Times New Roman" w:cs="Times New Roman" w:hint="eastAsia"/>
          <w:sz w:val="32"/>
          <w:szCs w:val="32"/>
        </w:rPr>
        <w:t>争取资金，进一步优化学校硬件设施</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p>
    <w:p w:rsidR="001F4D95" w:rsidRDefault="00F90613" w:rsidP="00F90613">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年预算安排需以“精准化、绩效化、法治化”为核心；进一步加强绩效评价，让经费投入取得的效益最大化。</w:t>
      </w: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F90613">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第四部分名词解释</w:t>
      </w:r>
    </w:p>
    <w:p w:rsidR="001F4D95" w:rsidRDefault="001F4D95">
      <w:pPr>
        <w:widowControl/>
        <w:jc w:val="left"/>
        <w:rPr>
          <w:rFonts w:ascii="Times New Roman" w:hAnsi="Times New Roman" w:cs="Times New Roman"/>
          <w:color w:val="000000"/>
          <w:kern w:val="0"/>
          <w:sz w:val="32"/>
          <w:szCs w:val="3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bookmarkStart w:id="6" w:name="_GoBack"/>
      <w:bookmarkEnd w:id="6"/>
    </w:p>
    <w:p w:rsidR="001F4D95" w:rsidRDefault="001F4D95">
      <w:pPr>
        <w:pStyle w:val="Default"/>
        <w:jc w:val="both"/>
        <w:rPr>
          <w:rFonts w:ascii="Times New Roman" w:hAnsi="Times New Roman" w:cs="Times New Roman"/>
          <w:sz w:val="72"/>
          <w:szCs w:val="72"/>
        </w:rPr>
      </w:pP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一、财政拨款收入：指本级财政当年拨付的资金。</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二、政府性基金预算财政拨款收入：指本级财政当年拨付的政府性基金预算资金。</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三、事业收入：指事业单位开展专业业务活动及辅助活动所取得的收入。</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四、其他收入：指除上述“财政拨款收入”、“上级补助</w:t>
      </w:r>
      <w:r>
        <w:rPr>
          <w:rFonts w:ascii="仿宋" w:eastAsia="仿宋" w:hAnsi="仿宋" w:cs="仿宋" w:hint="eastAsia"/>
          <w:sz w:val="32"/>
          <w:szCs w:val="32"/>
        </w:rPr>
        <w:lastRenderedPageBreak/>
        <w:t>收入”、“事业收入”、“经营收入”、“附属单位上缴收入”等以外的收入。</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五、上年结转和结余：指以前年度尚未完成、结转到本年按有关规定继续使用的资金。</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六、教育支出（类）：是指用于政府教育事务支出，包括保障机构正常运转、完成日常和特定的工作任务或事业发展目标的支出。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七、基本支出：指保障机构正常运转、完成支日常工作任务而发生的人员支出和公用支出。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八、项目支出：指在基本支出之外为完成特定行政任务和事业发展目标所发生的支出。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w:t>
      </w:r>
      <w:r>
        <w:rPr>
          <w:rFonts w:ascii="仿宋" w:eastAsia="仿宋" w:hAnsi="仿宋" w:cs="仿宋" w:hint="eastAsia"/>
          <w:sz w:val="32"/>
          <w:szCs w:val="32"/>
        </w:rPr>
        <w:lastRenderedPageBreak/>
        <w:t>称，是一种对公共采购管理的制度。</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十三、教育支出（类）普通教育（款）小学教育（项）：指小学学校用于保障机构正常运行、开展日常工作的基本支出。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十五、教育支出（类）其他教育支出（款）其他教育支出（项）：指为用于学校正常运转、开展日常工作的其他支出。</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十六、科学技术支出（类）其他科学技术支出（款）其他科学技术支出（项）：用于科技方面的支出，包括科技奖励支出、补助给转制为企业的科研机构等支出，包括中央对此项目的转移支付。</w:t>
      </w:r>
    </w:p>
    <w:p w:rsidR="001F4D95" w:rsidRDefault="00F90613">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十七、住房保障支出（类）保障性安居工程支出（款）其他保障性安居工程支出（项）：指反映其他用于保障性住房方面的支出。</w:t>
      </w: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1F4D95">
      <w:pPr>
        <w:pStyle w:val="Default"/>
        <w:jc w:val="both"/>
        <w:rPr>
          <w:rFonts w:ascii="Times New Roman" w:hAnsi="Times New Roman" w:cs="Times New Roman"/>
          <w:sz w:val="72"/>
          <w:szCs w:val="72"/>
        </w:rPr>
      </w:pPr>
    </w:p>
    <w:p w:rsidR="001F4D95" w:rsidRDefault="00F90613">
      <w:pPr>
        <w:pStyle w:val="Default"/>
        <w:spacing w:line="360" w:lineRule="auto"/>
        <w:jc w:val="center"/>
        <w:rPr>
          <w:rFonts w:ascii="Times New Roman" w:hAnsi="Times New Roman" w:cs="Times New Roman"/>
          <w:sz w:val="72"/>
          <w:szCs w:val="72"/>
        </w:rPr>
      </w:pPr>
      <w:r>
        <w:rPr>
          <w:rFonts w:ascii="Times New Roman" w:eastAsia="方正小标宋_GBK" w:hAnsi="Times New Roman" w:cs="Times New Roman"/>
          <w:sz w:val="52"/>
          <w:szCs w:val="52"/>
        </w:rPr>
        <w:lastRenderedPageBreak/>
        <w:t>第五部分附件</w:t>
      </w:r>
    </w:p>
    <w:p w:rsidR="001F4D95" w:rsidRDefault="00D81835">
      <w:pPr>
        <w:pStyle w:val="Default"/>
        <w:spacing w:line="60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90613">
        <w:rPr>
          <w:rFonts w:ascii="Times New Roman" w:eastAsia="仿宋_GB2312" w:hAnsi="Times New Roman" w:cs="Times New Roman"/>
          <w:sz w:val="32"/>
          <w:szCs w:val="32"/>
        </w:rPr>
        <w:t>年度部门整体支出绩效自评报告。</w:t>
      </w:r>
    </w:p>
    <w:p w:rsidR="001F4D95" w:rsidRDefault="001F4D95">
      <w:pPr>
        <w:pStyle w:val="Default"/>
        <w:spacing w:line="600" w:lineRule="exact"/>
        <w:ind w:firstLineChars="200" w:firstLine="640"/>
        <w:rPr>
          <w:rFonts w:ascii="Times New Roman" w:eastAsia="仿宋_GB2312" w:hAnsi="Times New Roman" w:cs="Times New Roman"/>
          <w:sz w:val="32"/>
          <w:szCs w:val="32"/>
        </w:rPr>
      </w:pPr>
    </w:p>
    <w:p w:rsidR="001F4D95" w:rsidRDefault="001F4D95">
      <w:pPr>
        <w:pStyle w:val="Default"/>
        <w:spacing w:line="600" w:lineRule="exact"/>
        <w:ind w:firstLineChars="200" w:firstLine="640"/>
        <w:rPr>
          <w:rFonts w:ascii="Times New Roman" w:eastAsia="仿宋_GB2312" w:hAnsi="Times New Roman" w:cs="Times New Roman"/>
          <w:sz w:val="32"/>
          <w:szCs w:val="32"/>
        </w:rPr>
      </w:pPr>
    </w:p>
    <w:p w:rsidR="001F4D95" w:rsidRDefault="001F4D95">
      <w:pPr>
        <w:pStyle w:val="Default"/>
        <w:spacing w:line="600" w:lineRule="exact"/>
        <w:ind w:firstLineChars="200" w:firstLine="640"/>
        <w:rPr>
          <w:rFonts w:ascii="Times New Roman" w:eastAsia="仿宋_GB2312" w:hAnsi="Times New Roman" w:cs="Times New Roman"/>
          <w:sz w:val="32"/>
          <w:szCs w:val="32"/>
        </w:rPr>
      </w:pPr>
    </w:p>
    <w:p w:rsidR="001F4D95" w:rsidRDefault="00D81835" w:rsidP="00F90613">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2025</w:t>
      </w:r>
      <w:r w:rsidR="00F90613">
        <w:rPr>
          <w:rFonts w:ascii="宋体" w:eastAsia="宋体" w:hAnsi="宋体" w:cs="宋体" w:hint="eastAsia"/>
          <w:b/>
          <w:bCs/>
          <w:sz w:val="44"/>
          <w:szCs w:val="44"/>
        </w:rPr>
        <w:t>年度益阳市三里桥学校</w:t>
      </w:r>
    </w:p>
    <w:p w:rsidR="001F4D95" w:rsidRDefault="00F90613" w:rsidP="00F90613">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整体支出绩效自评报告</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根据《湖南省财政厅关于印发《湖南省预算绩效目标管理办法》的通知》湘财绩〔2020〕6号等有关文件精神，本着独立、客观、公正、科学的原则，按照公认的绩效评价方法，我校积极组织，对</w:t>
      </w:r>
      <w:r w:rsidR="00D81835">
        <w:rPr>
          <w:rFonts w:ascii="仿宋" w:eastAsia="仿宋" w:hAnsi="仿宋" w:cs="仿宋" w:hint="eastAsia"/>
          <w:sz w:val="32"/>
          <w:szCs w:val="32"/>
        </w:rPr>
        <w:t>2025</w:t>
      </w:r>
      <w:r>
        <w:rPr>
          <w:rFonts w:ascii="仿宋" w:eastAsia="仿宋" w:hAnsi="仿宋" w:cs="仿宋" w:hint="eastAsia"/>
          <w:sz w:val="32"/>
          <w:szCs w:val="32"/>
        </w:rPr>
        <w:t>年度本单位整体支出进行了绩效自评，现将具体绩效评价情况报告如下：</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一、基本情况</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（一）单位整体支出概况</w:t>
      </w:r>
    </w:p>
    <w:p w:rsidR="001F4D95" w:rsidRDefault="00F90613">
      <w:pPr>
        <w:pStyle w:val="Default"/>
        <w:spacing w:line="60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益阳市三里桥学校是隶属于益阳市赫山区教育局的基础教育义务教育学校，是全额补助事业单位。</w:t>
      </w:r>
      <w:r w:rsidR="00D81835">
        <w:rPr>
          <w:rFonts w:ascii="仿宋" w:eastAsia="仿宋" w:hAnsi="仿宋" w:cs="仿宋" w:hint="eastAsia"/>
          <w:sz w:val="32"/>
          <w:szCs w:val="32"/>
        </w:rPr>
        <w:t>2025</w:t>
      </w:r>
      <w:r>
        <w:rPr>
          <w:rFonts w:ascii="仿宋" w:eastAsia="仿宋" w:hAnsi="仿宋" w:cs="仿宋" w:hint="eastAsia"/>
          <w:sz w:val="32"/>
          <w:szCs w:val="32"/>
        </w:rPr>
        <w:t>年度益阳市三里桥学校一般公共预算财政拨款支出总计</w:t>
      </w:r>
      <w:r w:rsidR="002131EE">
        <w:rPr>
          <w:rFonts w:ascii="仿宋" w:eastAsia="仿宋" w:hAnsi="仿宋" w:cs="仿宋" w:hint="eastAsia"/>
          <w:sz w:val="32"/>
          <w:szCs w:val="32"/>
        </w:rPr>
        <w:t>867.11</w:t>
      </w:r>
      <w:r>
        <w:rPr>
          <w:rFonts w:ascii="仿宋" w:eastAsia="仿宋" w:hAnsi="仿宋" w:cs="仿宋" w:hint="eastAsia"/>
          <w:sz w:val="32"/>
          <w:szCs w:val="32"/>
        </w:rPr>
        <w:t>万元，其中：（1）基本支出</w:t>
      </w:r>
      <w:r w:rsidR="002131EE">
        <w:rPr>
          <w:rFonts w:ascii="仿宋" w:eastAsia="仿宋" w:hAnsi="仿宋" w:cs="仿宋" w:hint="eastAsia"/>
          <w:sz w:val="32"/>
          <w:szCs w:val="32"/>
        </w:rPr>
        <w:t>852.93</w:t>
      </w:r>
      <w:r>
        <w:rPr>
          <w:rFonts w:ascii="仿宋" w:eastAsia="仿宋" w:hAnsi="仿宋" w:cs="仿宋" w:hint="eastAsia"/>
          <w:sz w:val="32"/>
          <w:szCs w:val="32"/>
        </w:rPr>
        <w:t>万元〔注：①工资福利支出</w:t>
      </w:r>
      <w:r w:rsidR="009B6A6A" w:rsidRPr="009B6A6A">
        <w:rPr>
          <w:rFonts w:ascii="仿宋" w:eastAsia="仿宋" w:hAnsi="仿宋" w:cs="仿宋"/>
          <w:sz w:val="32"/>
          <w:szCs w:val="32"/>
        </w:rPr>
        <w:t>608.75</w:t>
      </w:r>
      <w:r>
        <w:rPr>
          <w:rFonts w:ascii="仿宋" w:eastAsia="仿宋" w:hAnsi="仿宋" w:cs="仿宋" w:hint="eastAsia"/>
          <w:sz w:val="32"/>
          <w:szCs w:val="32"/>
        </w:rPr>
        <w:t>万元、②商品和服务支出</w:t>
      </w:r>
      <w:r w:rsidR="009B6A6A" w:rsidRPr="009B6A6A">
        <w:rPr>
          <w:rFonts w:ascii="仿宋" w:eastAsia="仿宋" w:hAnsi="仿宋" w:cs="仿宋"/>
          <w:sz w:val="32"/>
          <w:szCs w:val="32"/>
        </w:rPr>
        <w:t>202.75</w:t>
      </w:r>
      <w:r>
        <w:rPr>
          <w:rFonts w:ascii="仿宋" w:eastAsia="仿宋" w:hAnsi="仿宋" w:cs="仿宋" w:hint="eastAsia"/>
          <w:sz w:val="32"/>
          <w:szCs w:val="32"/>
        </w:rPr>
        <w:t>万元、③对个人和家庭的补助支出</w:t>
      </w:r>
      <w:r w:rsidR="009B6A6A" w:rsidRPr="009B6A6A">
        <w:rPr>
          <w:rFonts w:ascii="仿宋" w:eastAsia="仿宋" w:hAnsi="仿宋" w:cs="仿宋"/>
          <w:sz w:val="32"/>
          <w:szCs w:val="32"/>
        </w:rPr>
        <w:t>41.42</w:t>
      </w:r>
      <w:r>
        <w:rPr>
          <w:rFonts w:ascii="仿宋" w:eastAsia="仿宋" w:hAnsi="仿宋" w:cs="仿宋" w:hint="eastAsia"/>
          <w:sz w:val="32"/>
          <w:szCs w:val="32"/>
        </w:rPr>
        <w:t>万元，④资本性支出</w:t>
      </w:r>
      <w:r w:rsidR="002131EE">
        <w:rPr>
          <w:rFonts w:ascii="仿宋" w:eastAsia="仿宋" w:hAnsi="仿宋" w:cs="仿宋" w:hint="eastAsia"/>
          <w:sz w:val="32"/>
          <w:szCs w:val="32"/>
        </w:rPr>
        <w:t>0</w:t>
      </w:r>
      <w:r>
        <w:rPr>
          <w:rFonts w:ascii="仿宋" w:eastAsia="仿宋" w:hAnsi="仿宋" w:cs="仿宋" w:hint="eastAsia"/>
          <w:sz w:val="32"/>
          <w:szCs w:val="32"/>
        </w:rPr>
        <w:t>万元〕。</w:t>
      </w:r>
    </w:p>
    <w:p w:rsidR="002131EE" w:rsidRDefault="002131EE" w:rsidP="002131EE">
      <w:pPr>
        <w:pStyle w:val="Default"/>
        <w:spacing w:line="600" w:lineRule="exact"/>
        <w:ind w:leftChars="304" w:left="638"/>
        <w:rPr>
          <w:rFonts w:ascii="仿宋" w:eastAsia="仿宋" w:hAnsi="仿宋" w:cs="仿宋"/>
          <w:sz w:val="32"/>
          <w:szCs w:val="32"/>
        </w:rPr>
      </w:pPr>
      <w:r w:rsidRPr="002131EE">
        <w:rPr>
          <w:rFonts w:ascii="仿宋" w:eastAsia="仿宋" w:hAnsi="仿宋" w:cs="仿宋" w:hint="eastAsia"/>
          <w:sz w:val="32"/>
          <w:szCs w:val="32"/>
        </w:rPr>
        <w:t>政府性基金预算财政拨款支出</w:t>
      </w:r>
      <w:r>
        <w:rPr>
          <w:rFonts w:ascii="仿宋" w:eastAsia="仿宋" w:hAnsi="仿宋" w:cs="仿宋" w:hint="eastAsia"/>
          <w:sz w:val="32"/>
          <w:szCs w:val="32"/>
        </w:rPr>
        <w:t>支出总计</w:t>
      </w:r>
      <w:r w:rsidRPr="002131EE">
        <w:rPr>
          <w:rFonts w:ascii="仿宋" w:eastAsia="仿宋" w:hAnsi="仿宋" w:cs="仿宋"/>
          <w:sz w:val="32"/>
          <w:szCs w:val="32"/>
        </w:rPr>
        <w:t>551.73</w:t>
      </w:r>
      <w:r>
        <w:rPr>
          <w:rFonts w:ascii="仿宋" w:eastAsia="仿宋" w:hAnsi="仿宋" w:cs="仿宋" w:hint="eastAsia"/>
          <w:sz w:val="32"/>
          <w:szCs w:val="32"/>
        </w:rPr>
        <w:t>万元，其中：（1）基本支出</w:t>
      </w:r>
      <w:r w:rsidRPr="002131EE">
        <w:rPr>
          <w:rFonts w:ascii="仿宋" w:eastAsia="仿宋" w:hAnsi="仿宋" w:cs="仿宋"/>
          <w:sz w:val="32"/>
          <w:szCs w:val="32"/>
        </w:rPr>
        <w:t>7.73</w:t>
      </w:r>
      <w:r>
        <w:rPr>
          <w:rFonts w:ascii="仿宋" w:eastAsia="仿宋" w:hAnsi="仿宋" w:cs="仿宋" w:hint="eastAsia"/>
          <w:sz w:val="32"/>
          <w:szCs w:val="32"/>
        </w:rPr>
        <w:t>万元。</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（2）项目支出</w:t>
      </w:r>
      <w:r w:rsidR="002131EE" w:rsidRPr="002131EE">
        <w:rPr>
          <w:rFonts w:ascii="仿宋" w:eastAsia="仿宋" w:hAnsi="仿宋" w:cs="仿宋"/>
          <w:sz w:val="32"/>
          <w:szCs w:val="32"/>
        </w:rPr>
        <w:t>544</w:t>
      </w:r>
      <w:r>
        <w:rPr>
          <w:rFonts w:ascii="仿宋" w:eastAsia="仿宋" w:hAnsi="仿宋" w:cs="仿宋" w:hint="eastAsia"/>
          <w:sz w:val="32"/>
          <w:szCs w:val="32"/>
        </w:rPr>
        <w:t>万元。</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（二）部门整体支出绩效目标</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预决算公开：根据区财政局的统一部署及相关要求，我校已进行了预（决）算公开。</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存量资金管理：我校已实行国库集中支付管理。</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资产管理：建立了固定资产台帐，指定专人管理，及时登记，科学使用，实现了“一物一卡一条码”。固定资产的折旧、购入、调出、处置、报废、报损严格执行国家有关规定的审批程序办理。</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“三公”经费控制：</w:t>
      </w:r>
      <w:r w:rsidR="00D81835">
        <w:rPr>
          <w:rFonts w:ascii="仿宋" w:eastAsia="仿宋" w:hAnsi="仿宋" w:cs="仿宋" w:hint="eastAsia"/>
          <w:sz w:val="32"/>
          <w:szCs w:val="32"/>
        </w:rPr>
        <w:t>2025</w:t>
      </w:r>
      <w:r>
        <w:rPr>
          <w:rFonts w:ascii="仿宋" w:eastAsia="仿宋" w:hAnsi="仿宋" w:cs="仿宋" w:hint="eastAsia"/>
          <w:sz w:val="32"/>
          <w:szCs w:val="32"/>
        </w:rPr>
        <w:t>年，我校无“三公经费”支出。</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内部控制制度建设：</w:t>
      </w:r>
      <w:r w:rsidR="00D81835">
        <w:rPr>
          <w:rFonts w:ascii="仿宋" w:eastAsia="仿宋" w:hAnsi="仿宋" w:cs="仿宋" w:hint="eastAsia"/>
          <w:sz w:val="32"/>
          <w:szCs w:val="32"/>
        </w:rPr>
        <w:t>2025</w:t>
      </w:r>
      <w:r>
        <w:rPr>
          <w:rFonts w:ascii="仿宋" w:eastAsia="仿宋" w:hAnsi="仿宋" w:cs="仿宋" w:hint="eastAsia"/>
          <w:sz w:val="32"/>
          <w:szCs w:val="32"/>
        </w:rPr>
        <w:t>年，我校制定了《三里桥学校内部控制制度》、《学校财务管理制度》、《三里桥学校物资采购制度》、《内部审计制度》等一系列内部控制制度，相关制度合法合规、完整，并得到有效执行。</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（三）部门整体支出实施情况分析</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二、绩效评价工作情况</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（一）绩效评价目的</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本次绩效评价的目的是为了全面分析和综合评价我单位本级财政预算资金的使用管理情况，为切实提高财政资金使用效益，强化预算支出的责任和效率提供参考依据。</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（二）绩效评价工作过程</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1.前期准备。按照绩效自评工作要求，成立了以党总支书记为组长的绩效评价工作小组，于7月31日前完成现场评价工作。</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2.核实数据。对</w:t>
      </w:r>
      <w:r w:rsidR="00D81835">
        <w:rPr>
          <w:rFonts w:ascii="仿宋" w:eastAsia="仿宋" w:hAnsi="仿宋" w:cs="仿宋" w:hint="eastAsia"/>
          <w:sz w:val="32"/>
          <w:szCs w:val="32"/>
        </w:rPr>
        <w:t>2025</w:t>
      </w:r>
      <w:r>
        <w:rPr>
          <w:rFonts w:ascii="仿宋" w:eastAsia="仿宋" w:hAnsi="仿宋" w:cs="仿宋" w:hint="eastAsia"/>
          <w:sz w:val="32"/>
          <w:szCs w:val="32"/>
        </w:rPr>
        <w:t>年度部门整体支出数据的准确性、真实性进行核实，将</w:t>
      </w:r>
      <w:r w:rsidR="00D81835">
        <w:rPr>
          <w:rFonts w:ascii="仿宋" w:eastAsia="仿宋" w:hAnsi="仿宋" w:cs="仿宋" w:hint="eastAsia"/>
          <w:sz w:val="32"/>
          <w:szCs w:val="32"/>
        </w:rPr>
        <w:t>2025</w:t>
      </w:r>
      <w:r>
        <w:rPr>
          <w:rFonts w:ascii="仿宋" w:eastAsia="仿宋" w:hAnsi="仿宋" w:cs="仿宋" w:hint="eastAsia"/>
          <w:sz w:val="32"/>
          <w:szCs w:val="32"/>
        </w:rPr>
        <w:t>年度和</w:t>
      </w:r>
      <w:r w:rsidR="002131EE">
        <w:rPr>
          <w:rFonts w:ascii="仿宋" w:eastAsia="仿宋" w:hAnsi="仿宋" w:cs="仿宋" w:hint="eastAsia"/>
          <w:sz w:val="32"/>
          <w:szCs w:val="32"/>
        </w:rPr>
        <w:t>2024</w:t>
      </w:r>
      <w:r>
        <w:rPr>
          <w:rFonts w:ascii="仿宋" w:eastAsia="仿宋" w:hAnsi="仿宋" w:cs="仿宋" w:hint="eastAsia"/>
          <w:sz w:val="32"/>
          <w:szCs w:val="32"/>
        </w:rPr>
        <w:t>年度部门整体支出情况进行比较分析。</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3.查阅资料。查阅</w:t>
      </w:r>
      <w:r w:rsidR="00D81835">
        <w:rPr>
          <w:rFonts w:ascii="仿宋" w:eastAsia="仿宋" w:hAnsi="仿宋" w:cs="仿宋" w:hint="eastAsia"/>
          <w:sz w:val="32"/>
          <w:szCs w:val="32"/>
        </w:rPr>
        <w:t>2025</w:t>
      </w:r>
      <w:r>
        <w:rPr>
          <w:rFonts w:ascii="仿宋" w:eastAsia="仿宋" w:hAnsi="仿宋" w:cs="仿宋" w:hint="eastAsia"/>
          <w:sz w:val="32"/>
          <w:szCs w:val="32"/>
        </w:rPr>
        <w:t>年度预算安排、非税收入、预算追加、资金管理、经费支出、资产管理等相关文件资料和财务凭证。</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4.实地查看。现场查看实物资产等。</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5.发放调查问卷。对部门履行职责情况的公众满意度进行调查。</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6.归纳汇总。对提供的材料及自评报告，结合现场评价情况进行综合分析、归纳汇总。</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7.评价组对各项评价指标进行分析讨论。</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8.形成绩效评价报告。</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三、主要绩效及评价结论</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（一）合理规划、整合资金，不断改善办学条件：</w:t>
      </w:r>
      <w:r w:rsidR="00D81835">
        <w:rPr>
          <w:rFonts w:ascii="仿宋" w:eastAsia="仿宋" w:hAnsi="仿宋" w:cs="仿宋" w:hint="eastAsia"/>
          <w:sz w:val="32"/>
          <w:szCs w:val="32"/>
        </w:rPr>
        <w:t>2025</w:t>
      </w:r>
      <w:r>
        <w:rPr>
          <w:rFonts w:ascii="仿宋" w:eastAsia="仿宋" w:hAnsi="仿宋" w:cs="仿宋" w:hint="eastAsia"/>
          <w:sz w:val="32"/>
          <w:szCs w:val="32"/>
        </w:rPr>
        <w:t>年以来总计投入155.71万元，主要用于学校维修改造和教学设备</w:t>
      </w:r>
      <w:r>
        <w:rPr>
          <w:rFonts w:ascii="仿宋" w:eastAsia="仿宋" w:hAnsi="仿宋" w:cs="仿宋" w:hint="eastAsia"/>
          <w:sz w:val="32"/>
          <w:szCs w:val="32"/>
        </w:rPr>
        <w:lastRenderedPageBreak/>
        <w:t>的添置等。</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（二）评价结论：</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1.单位预算编制科学，民主理财、公开理财氛围浓厚，重大财务事项经由集体研究决策，财务制度健全。</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3.预算管理方面。我校制定了切实有效的内部管理制度和经费支出控制方案，有较强的内控风险管理意识、各项经费支出得到了有效控制。</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四、存在的问题</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（一）因部分工作是年中或年末根据区局相关要求开展，未纳入年初预算，另外还有部分不可预见经费的追加，无法纳入预算，导致预算执行存在偏差。</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（二）固定资产管理有待进一步规范。学校校固定资产管理有专人负责，但台账更新不及时，有些房屋建筑物尚未办理房屋产权证。</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五、有关建议</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（一）科学合理编制预算，严格执行预算,避免年中大幅追加以及超预算。同时严格预算执行，提高资金使用效率。进一步完善、明确和细化各项费用支出管理制度，严格控制招待费和各项费用支出。</w:t>
      </w:r>
    </w:p>
    <w:p w:rsidR="001F4D95" w:rsidRDefault="00F90613">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（二）加强固定资产的管理，配置专管部门和专管人员，对固定资产进行一次全面清查盘点，建立固定资产卡片，切实做到账卡相符、账物相符。</w:t>
      </w:r>
    </w:p>
    <w:p w:rsidR="001F4D95" w:rsidRDefault="001F4D95">
      <w:pPr>
        <w:pStyle w:val="Default"/>
        <w:spacing w:line="600" w:lineRule="exact"/>
        <w:ind w:firstLineChars="200" w:firstLine="640"/>
        <w:rPr>
          <w:rFonts w:ascii="Times New Roman" w:eastAsia="仿宋_GB2312" w:hAnsi="Times New Roman" w:cs="Times New Roman"/>
          <w:sz w:val="32"/>
          <w:szCs w:val="32"/>
        </w:rPr>
      </w:pPr>
    </w:p>
    <w:p w:rsidR="001F4D95" w:rsidRDefault="001F4D95">
      <w:pPr>
        <w:pStyle w:val="Default"/>
        <w:jc w:val="center"/>
        <w:rPr>
          <w:rFonts w:ascii="Times New Roman" w:hAnsi="Times New Roman" w:cs="Times New Roman"/>
          <w:sz w:val="72"/>
          <w:szCs w:val="72"/>
        </w:rPr>
      </w:pPr>
    </w:p>
    <w:p w:rsidR="001F4D95" w:rsidRDefault="001F4D95">
      <w:pPr>
        <w:pStyle w:val="Default"/>
        <w:jc w:val="center"/>
        <w:rPr>
          <w:rFonts w:ascii="Times New Roman" w:hAnsi="Times New Roman" w:cs="Times New Roman"/>
          <w:sz w:val="72"/>
          <w:szCs w:val="72"/>
        </w:rPr>
      </w:pPr>
    </w:p>
    <w:p w:rsidR="001F4D95" w:rsidRDefault="001F4D95">
      <w:pPr>
        <w:jc w:val="left"/>
        <w:rPr>
          <w:rFonts w:ascii="Times New Roman" w:hAnsi="Times New Roman" w:cs="Times New Roman"/>
          <w:color w:val="000000"/>
          <w:kern w:val="0"/>
          <w:sz w:val="32"/>
          <w:szCs w:val="32"/>
        </w:rPr>
      </w:pPr>
    </w:p>
    <w:sectPr w:rsidR="001F4D95" w:rsidSect="001F4D95">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BE2" w:rsidRDefault="004C1BE2" w:rsidP="001F4D95">
      <w:r>
        <w:separator/>
      </w:r>
    </w:p>
  </w:endnote>
  <w:endnote w:type="continuationSeparator" w:id="1">
    <w:p w:rsidR="004C1BE2" w:rsidRDefault="004C1BE2" w:rsidP="001F4D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35" w:rsidRDefault="00D8183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35" w:rsidRDefault="00D81835">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35" w:rsidRDefault="00D81835">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filled="f" stroked="f" strokeweight=".5pt">
          <v:textbox style="mso-fit-shape-to-text:t" inset="0,0,0,0">
            <w:txbxContent>
              <w:p w:rsidR="00D81835" w:rsidRDefault="00D81835">
                <w:pPr>
                  <w:pStyle w:val="a5"/>
                </w:pPr>
                <w:fldSimple w:instr=" PAGE  \* MERGEFORMAT ">
                  <w:r w:rsidR="008312B8">
                    <w:rPr>
                      <w:noProof/>
                    </w:rPr>
                    <w:t>22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BE2" w:rsidRDefault="004C1BE2" w:rsidP="001F4D95">
      <w:r>
        <w:separator/>
      </w:r>
    </w:p>
  </w:footnote>
  <w:footnote w:type="continuationSeparator" w:id="1">
    <w:p w:rsidR="004C1BE2" w:rsidRDefault="004C1BE2" w:rsidP="001F4D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ACAF5FB"/>
    <w:multiLevelType w:val="singleLevel"/>
    <w:tmpl w:val="8ACAF5FB"/>
    <w:lvl w:ilvl="0">
      <w:start w:val="2"/>
      <w:numFmt w:val="chineseCounting"/>
      <w:suff w:val="nothing"/>
      <w:lvlText w:val="（%1）"/>
      <w:lvlJc w:val="left"/>
      <w:rPr>
        <w:rFonts w:hint="eastAsia"/>
      </w:rPr>
    </w:lvl>
  </w:abstractNum>
  <w:abstractNum w:abstractNumId="1">
    <w:nsid w:val="99C18CF9"/>
    <w:multiLevelType w:val="singleLevel"/>
    <w:tmpl w:val="99C18CF9"/>
    <w:lvl w:ilvl="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noPunctuationKerning/>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2UwMWU2NzdiNjM0OWY5NjhlMTUyYjMxYWQ1OTA2ZWIifQ=="/>
  </w:docVars>
  <w:rsids>
    <w:rsidRoot w:val="004506F9"/>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1F4D95"/>
    <w:rsid w:val="00202C82"/>
    <w:rsid w:val="002131EE"/>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049FC"/>
    <w:rsid w:val="00416E61"/>
    <w:rsid w:val="0042790C"/>
    <w:rsid w:val="004506F9"/>
    <w:rsid w:val="00462315"/>
    <w:rsid w:val="004717A2"/>
    <w:rsid w:val="00473DF3"/>
    <w:rsid w:val="00487911"/>
    <w:rsid w:val="00490F48"/>
    <w:rsid w:val="00491741"/>
    <w:rsid w:val="004A7FDD"/>
    <w:rsid w:val="004B0CEE"/>
    <w:rsid w:val="004C1BE2"/>
    <w:rsid w:val="004C2A0A"/>
    <w:rsid w:val="004F5EFB"/>
    <w:rsid w:val="00500E5F"/>
    <w:rsid w:val="005122EF"/>
    <w:rsid w:val="0051441A"/>
    <w:rsid w:val="00517C33"/>
    <w:rsid w:val="00517D5F"/>
    <w:rsid w:val="00523644"/>
    <w:rsid w:val="0054069E"/>
    <w:rsid w:val="00544866"/>
    <w:rsid w:val="00552A3D"/>
    <w:rsid w:val="00555A0D"/>
    <w:rsid w:val="00574CC8"/>
    <w:rsid w:val="00575F70"/>
    <w:rsid w:val="005767CC"/>
    <w:rsid w:val="00590D9F"/>
    <w:rsid w:val="00595D26"/>
    <w:rsid w:val="005A74E6"/>
    <w:rsid w:val="005A766B"/>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28E7"/>
    <w:rsid w:val="006E5284"/>
    <w:rsid w:val="006F3EB5"/>
    <w:rsid w:val="006F56C8"/>
    <w:rsid w:val="00702E34"/>
    <w:rsid w:val="00704395"/>
    <w:rsid w:val="007056F4"/>
    <w:rsid w:val="00710FE7"/>
    <w:rsid w:val="00717621"/>
    <w:rsid w:val="00720FF1"/>
    <w:rsid w:val="00727A53"/>
    <w:rsid w:val="007340BE"/>
    <w:rsid w:val="007502DE"/>
    <w:rsid w:val="007767D6"/>
    <w:rsid w:val="00787B42"/>
    <w:rsid w:val="007C4539"/>
    <w:rsid w:val="007F3657"/>
    <w:rsid w:val="00810F0C"/>
    <w:rsid w:val="00811AA2"/>
    <w:rsid w:val="00812ED5"/>
    <w:rsid w:val="008277D9"/>
    <w:rsid w:val="008312B8"/>
    <w:rsid w:val="0084478C"/>
    <w:rsid w:val="0086638C"/>
    <w:rsid w:val="008764FA"/>
    <w:rsid w:val="008A1079"/>
    <w:rsid w:val="008A3E8D"/>
    <w:rsid w:val="008A5055"/>
    <w:rsid w:val="008D17F4"/>
    <w:rsid w:val="009237C4"/>
    <w:rsid w:val="00923866"/>
    <w:rsid w:val="00944C48"/>
    <w:rsid w:val="00950252"/>
    <w:rsid w:val="00957717"/>
    <w:rsid w:val="00957DC4"/>
    <w:rsid w:val="00967F5D"/>
    <w:rsid w:val="009A0F95"/>
    <w:rsid w:val="009B3ADF"/>
    <w:rsid w:val="009B6A6A"/>
    <w:rsid w:val="009C31C5"/>
    <w:rsid w:val="009C3B52"/>
    <w:rsid w:val="009E6817"/>
    <w:rsid w:val="009E6E9A"/>
    <w:rsid w:val="00A01D2B"/>
    <w:rsid w:val="00A1392A"/>
    <w:rsid w:val="00A42218"/>
    <w:rsid w:val="00A70249"/>
    <w:rsid w:val="00A70B02"/>
    <w:rsid w:val="00A71D9F"/>
    <w:rsid w:val="00A806E6"/>
    <w:rsid w:val="00A92E9F"/>
    <w:rsid w:val="00AB18FF"/>
    <w:rsid w:val="00B26269"/>
    <w:rsid w:val="00B33BEA"/>
    <w:rsid w:val="00B57C9F"/>
    <w:rsid w:val="00B63572"/>
    <w:rsid w:val="00B845B3"/>
    <w:rsid w:val="00B85D8B"/>
    <w:rsid w:val="00BB4A40"/>
    <w:rsid w:val="00BC09C5"/>
    <w:rsid w:val="00BD6022"/>
    <w:rsid w:val="00BD6C3E"/>
    <w:rsid w:val="00BE3674"/>
    <w:rsid w:val="00C10681"/>
    <w:rsid w:val="00C10822"/>
    <w:rsid w:val="00C15C89"/>
    <w:rsid w:val="00C27C0D"/>
    <w:rsid w:val="00C3049A"/>
    <w:rsid w:val="00C31B1E"/>
    <w:rsid w:val="00C32F2E"/>
    <w:rsid w:val="00C7038B"/>
    <w:rsid w:val="00C73888"/>
    <w:rsid w:val="00C77645"/>
    <w:rsid w:val="00CE04C3"/>
    <w:rsid w:val="00CE34BE"/>
    <w:rsid w:val="00CE76A0"/>
    <w:rsid w:val="00D148C6"/>
    <w:rsid w:val="00D17A8A"/>
    <w:rsid w:val="00D415BA"/>
    <w:rsid w:val="00D63780"/>
    <w:rsid w:val="00D644EE"/>
    <w:rsid w:val="00D81835"/>
    <w:rsid w:val="00DD06FF"/>
    <w:rsid w:val="00DD5FE9"/>
    <w:rsid w:val="00E00C7A"/>
    <w:rsid w:val="00E37D6C"/>
    <w:rsid w:val="00E55B68"/>
    <w:rsid w:val="00E561AE"/>
    <w:rsid w:val="00E67BE6"/>
    <w:rsid w:val="00E8683C"/>
    <w:rsid w:val="00EA2B72"/>
    <w:rsid w:val="00F74360"/>
    <w:rsid w:val="00F90613"/>
    <w:rsid w:val="00FB462F"/>
    <w:rsid w:val="00FE16FA"/>
    <w:rsid w:val="00FE328A"/>
    <w:rsid w:val="00FE6269"/>
    <w:rsid w:val="00FF5CD6"/>
    <w:rsid w:val="088C1F29"/>
    <w:rsid w:val="09410A35"/>
    <w:rsid w:val="0E9E6834"/>
    <w:rsid w:val="0FAC4C5F"/>
    <w:rsid w:val="11967974"/>
    <w:rsid w:val="12015736"/>
    <w:rsid w:val="12046FD4"/>
    <w:rsid w:val="14D902A4"/>
    <w:rsid w:val="1610061C"/>
    <w:rsid w:val="16BA5EB3"/>
    <w:rsid w:val="17AA4179"/>
    <w:rsid w:val="1B5E7755"/>
    <w:rsid w:val="1BAA4748"/>
    <w:rsid w:val="1C3A1BFF"/>
    <w:rsid w:val="1CE11DDF"/>
    <w:rsid w:val="1D97DEFF"/>
    <w:rsid w:val="1DFF72E5"/>
    <w:rsid w:val="1E6037E4"/>
    <w:rsid w:val="1EF526EC"/>
    <w:rsid w:val="1EFC6F07"/>
    <w:rsid w:val="1F615A66"/>
    <w:rsid w:val="20340A84"/>
    <w:rsid w:val="21694BF3"/>
    <w:rsid w:val="21FE134A"/>
    <w:rsid w:val="225C2514"/>
    <w:rsid w:val="276205CD"/>
    <w:rsid w:val="29982084"/>
    <w:rsid w:val="29D11A3A"/>
    <w:rsid w:val="2BB37649"/>
    <w:rsid w:val="2BD870AF"/>
    <w:rsid w:val="2D1759B5"/>
    <w:rsid w:val="2D44155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400B13AA"/>
    <w:rsid w:val="402F74FD"/>
    <w:rsid w:val="43284021"/>
    <w:rsid w:val="44CD30D2"/>
    <w:rsid w:val="491FF225"/>
    <w:rsid w:val="4936052D"/>
    <w:rsid w:val="49690EEF"/>
    <w:rsid w:val="49C34AA3"/>
    <w:rsid w:val="4AF40C8C"/>
    <w:rsid w:val="4FFD214C"/>
    <w:rsid w:val="52E8557B"/>
    <w:rsid w:val="54020436"/>
    <w:rsid w:val="55570917"/>
    <w:rsid w:val="570F30D6"/>
    <w:rsid w:val="5777D4F5"/>
    <w:rsid w:val="57C40364"/>
    <w:rsid w:val="58190916"/>
    <w:rsid w:val="59DD8326"/>
    <w:rsid w:val="5DEF592A"/>
    <w:rsid w:val="5FC6BB1E"/>
    <w:rsid w:val="5FF720F1"/>
    <w:rsid w:val="613C540F"/>
    <w:rsid w:val="629B6165"/>
    <w:rsid w:val="65A215B9"/>
    <w:rsid w:val="66061B48"/>
    <w:rsid w:val="67086DE3"/>
    <w:rsid w:val="67FF5C0B"/>
    <w:rsid w:val="6897117D"/>
    <w:rsid w:val="690802CD"/>
    <w:rsid w:val="6A7A2B04"/>
    <w:rsid w:val="6AC975E8"/>
    <w:rsid w:val="6DAC56CB"/>
    <w:rsid w:val="6DE50BDD"/>
    <w:rsid w:val="6E647D53"/>
    <w:rsid w:val="6EFC0924"/>
    <w:rsid w:val="6EFC1D3A"/>
    <w:rsid w:val="6F231A39"/>
    <w:rsid w:val="6FB74722"/>
    <w:rsid w:val="6FEF8B7E"/>
    <w:rsid w:val="704E0CBB"/>
    <w:rsid w:val="7164006A"/>
    <w:rsid w:val="71A6591B"/>
    <w:rsid w:val="722C2B09"/>
    <w:rsid w:val="722D2858"/>
    <w:rsid w:val="72B868C0"/>
    <w:rsid w:val="73274305"/>
    <w:rsid w:val="737D59BA"/>
    <w:rsid w:val="774D3A7A"/>
    <w:rsid w:val="77C37683"/>
    <w:rsid w:val="793F73F3"/>
    <w:rsid w:val="79D19834"/>
    <w:rsid w:val="79FF515B"/>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1F4D95"/>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NewNewNewNewNewNewNewNewNewNewNewNewNewNewNewNewNewNewNewNewNewNewNewNewNewNewNewNewNewNewNewNewNewNewNewNewNewNewNewNewNewNewNewNewNewNewNewNewNewNewNewNewNewNewNewNewNewNewNewNewNewNewNe"/>
    <w:next w:val="a"/>
    <w:autoRedefine/>
    <w:qFormat/>
    <w:rsid w:val="001F4D95"/>
    <w:pPr>
      <w:ind w:firstLineChars="200" w:firstLine="200"/>
    </w:p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
    <w:autoRedefine/>
    <w:qFormat/>
    <w:rsid w:val="001F4D95"/>
    <w:pPr>
      <w:widowControl w:val="0"/>
      <w:jc w:val="both"/>
    </w:pPr>
    <w:rPr>
      <w:kern w:val="2"/>
      <w:sz w:val="21"/>
    </w:rPr>
  </w:style>
  <w:style w:type="paragraph" w:styleId="a3">
    <w:name w:val="Body Text Indent"/>
    <w:basedOn w:val="a"/>
    <w:next w:val="2"/>
    <w:autoRedefine/>
    <w:uiPriority w:val="99"/>
    <w:unhideWhenUsed/>
    <w:qFormat/>
    <w:rsid w:val="001F4D95"/>
    <w:pPr>
      <w:widowControl/>
      <w:spacing w:after="120"/>
      <w:ind w:leftChars="200" w:left="420"/>
      <w:jc w:val="left"/>
    </w:pPr>
    <w:rPr>
      <w:rFonts w:ascii="宋体" w:eastAsia="宋体" w:hAnsi="宋体" w:cs="宋体"/>
      <w:kern w:val="0"/>
      <w:sz w:val="24"/>
    </w:rPr>
  </w:style>
  <w:style w:type="paragraph" w:styleId="2">
    <w:name w:val="Body Text First Indent 2"/>
    <w:basedOn w:val="a3"/>
    <w:next w:val="a"/>
    <w:autoRedefine/>
    <w:uiPriority w:val="99"/>
    <w:unhideWhenUsed/>
    <w:qFormat/>
    <w:rsid w:val="001F4D95"/>
    <w:pPr>
      <w:ind w:firstLineChars="200" w:firstLine="420"/>
    </w:pPr>
  </w:style>
  <w:style w:type="paragraph" w:styleId="a4">
    <w:name w:val="Balloon Text"/>
    <w:basedOn w:val="a"/>
    <w:link w:val="Char"/>
    <w:autoRedefine/>
    <w:uiPriority w:val="99"/>
    <w:semiHidden/>
    <w:unhideWhenUsed/>
    <w:qFormat/>
    <w:rsid w:val="001F4D95"/>
    <w:rPr>
      <w:sz w:val="18"/>
      <w:szCs w:val="18"/>
    </w:rPr>
  </w:style>
  <w:style w:type="character" w:customStyle="1" w:styleId="Char">
    <w:name w:val="批注框文本 Char"/>
    <w:basedOn w:val="a0"/>
    <w:link w:val="a4"/>
    <w:autoRedefine/>
    <w:uiPriority w:val="99"/>
    <w:semiHidden/>
    <w:qFormat/>
    <w:rsid w:val="001F4D95"/>
    <w:rPr>
      <w:sz w:val="18"/>
      <w:szCs w:val="18"/>
    </w:rPr>
  </w:style>
  <w:style w:type="paragraph" w:styleId="a5">
    <w:name w:val="footer"/>
    <w:basedOn w:val="a"/>
    <w:link w:val="Char0"/>
    <w:autoRedefine/>
    <w:uiPriority w:val="99"/>
    <w:unhideWhenUsed/>
    <w:qFormat/>
    <w:rsid w:val="001F4D95"/>
    <w:pPr>
      <w:tabs>
        <w:tab w:val="center" w:pos="4153"/>
        <w:tab w:val="right" w:pos="8306"/>
      </w:tabs>
      <w:snapToGrid w:val="0"/>
      <w:jc w:val="left"/>
    </w:pPr>
    <w:rPr>
      <w:sz w:val="18"/>
      <w:szCs w:val="18"/>
    </w:rPr>
  </w:style>
  <w:style w:type="character" w:customStyle="1" w:styleId="Char0">
    <w:name w:val="页脚 Char"/>
    <w:basedOn w:val="a0"/>
    <w:link w:val="a5"/>
    <w:autoRedefine/>
    <w:uiPriority w:val="99"/>
    <w:qFormat/>
    <w:rsid w:val="001F4D95"/>
    <w:rPr>
      <w:sz w:val="18"/>
      <w:szCs w:val="18"/>
    </w:rPr>
  </w:style>
  <w:style w:type="paragraph" w:styleId="a6">
    <w:name w:val="header"/>
    <w:basedOn w:val="a"/>
    <w:link w:val="Char1"/>
    <w:autoRedefine/>
    <w:uiPriority w:val="99"/>
    <w:unhideWhenUsed/>
    <w:qFormat/>
    <w:rsid w:val="001F4D95"/>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autoRedefine/>
    <w:uiPriority w:val="99"/>
    <w:qFormat/>
    <w:rsid w:val="001F4D95"/>
    <w:rPr>
      <w:sz w:val="18"/>
      <w:szCs w:val="18"/>
    </w:rPr>
  </w:style>
  <w:style w:type="paragraph" w:styleId="a7">
    <w:name w:val="footnote text"/>
    <w:basedOn w:val="a"/>
    <w:next w:val="2"/>
    <w:autoRedefine/>
    <w:semiHidden/>
    <w:qFormat/>
    <w:rsid w:val="001F4D95"/>
    <w:pPr>
      <w:snapToGrid w:val="0"/>
      <w:jc w:val="left"/>
    </w:pPr>
    <w:rPr>
      <w:sz w:val="18"/>
      <w:szCs w:val="18"/>
    </w:rPr>
  </w:style>
  <w:style w:type="paragraph" w:customStyle="1" w:styleId="Default">
    <w:name w:val="Default"/>
    <w:qFormat/>
    <w:rsid w:val="001F4D95"/>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autoRedefine/>
    <w:uiPriority w:val="34"/>
    <w:qFormat/>
    <w:rsid w:val="001F4D95"/>
    <w:pPr>
      <w:ind w:firstLineChars="200" w:firstLine="420"/>
    </w:pPr>
  </w:style>
  <w:style w:type="character" w:customStyle="1" w:styleId="font01">
    <w:name w:val="font01"/>
    <w:basedOn w:val="a0"/>
    <w:autoRedefine/>
    <w:qFormat/>
    <w:rsid w:val="001F4D95"/>
    <w:rPr>
      <w:rFonts w:ascii="宋体" w:eastAsia="宋体" w:hAnsi="宋体" w:cs="宋体" w:hint="eastAsia"/>
      <w:color w:val="000000"/>
      <w:sz w:val="22"/>
      <w:szCs w:val="22"/>
      <w:u w:val="none"/>
    </w:rPr>
  </w:style>
  <w:style w:type="character" w:customStyle="1" w:styleId="font21">
    <w:name w:val="font21"/>
    <w:basedOn w:val="a0"/>
    <w:autoRedefine/>
    <w:qFormat/>
    <w:rsid w:val="001F4D95"/>
    <w:rPr>
      <w:rFonts w:ascii="宋体" w:eastAsia="宋体" w:hAnsi="宋体" w:cs="宋体" w:hint="eastAsia"/>
      <w:color w:val="000000"/>
      <w:sz w:val="24"/>
      <w:szCs w:val="24"/>
      <w:u w:val="none"/>
    </w:rPr>
  </w:style>
  <w:style w:type="character" w:customStyle="1" w:styleId="font11">
    <w:name w:val="font11"/>
    <w:basedOn w:val="a0"/>
    <w:autoRedefine/>
    <w:qFormat/>
    <w:rsid w:val="001F4D95"/>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w:divs>
    <w:div w:id="743925">
      <w:bodyDiv w:val="1"/>
      <w:marLeft w:val="0"/>
      <w:marRight w:val="0"/>
      <w:marTop w:val="0"/>
      <w:marBottom w:val="0"/>
      <w:divBdr>
        <w:top w:val="none" w:sz="0" w:space="0" w:color="auto"/>
        <w:left w:val="none" w:sz="0" w:space="0" w:color="auto"/>
        <w:bottom w:val="none" w:sz="0" w:space="0" w:color="auto"/>
        <w:right w:val="none" w:sz="0" w:space="0" w:color="auto"/>
      </w:divBdr>
    </w:div>
    <w:div w:id="7681256">
      <w:bodyDiv w:val="1"/>
      <w:marLeft w:val="0"/>
      <w:marRight w:val="0"/>
      <w:marTop w:val="0"/>
      <w:marBottom w:val="0"/>
      <w:divBdr>
        <w:top w:val="none" w:sz="0" w:space="0" w:color="auto"/>
        <w:left w:val="none" w:sz="0" w:space="0" w:color="auto"/>
        <w:bottom w:val="none" w:sz="0" w:space="0" w:color="auto"/>
        <w:right w:val="none" w:sz="0" w:space="0" w:color="auto"/>
      </w:divBdr>
    </w:div>
    <w:div w:id="39483392">
      <w:bodyDiv w:val="1"/>
      <w:marLeft w:val="0"/>
      <w:marRight w:val="0"/>
      <w:marTop w:val="0"/>
      <w:marBottom w:val="0"/>
      <w:divBdr>
        <w:top w:val="none" w:sz="0" w:space="0" w:color="auto"/>
        <w:left w:val="none" w:sz="0" w:space="0" w:color="auto"/>
        <w:bottom w:val="none" w:sz="0" w:space="0" w:color="auto"/>
        <w:right w:val="none" w:sz="0" w:space="0" w:color="auto"/>
      </w:divBdr>
    </w:div>
    <w:div w:id="61487568">
      <w:bodyDiv w:val="1"/>
      <w:marLeft w:val="0"/>
      <w:marRight w:val="0"/>
      <w:marTop w:val="0"/>
      <w:marBottom w:val="0"/>
      <w:divBdr>
        <w:top w:val="none" w:sz="0" w:space="0" w:color="auto"/>
        <w:left w:val="none" w:sz="0" w:space="0" w:color="auto"/>
        <w:bottom w:val="none" w:sz="0" w:space="0" w:color="auto"/>
        <w:right w:val="none" w:sz="0" w:space="0" w:color="auto"/>
      </w:divBdr>
    </w:div>
    <w:div w:id="145978376">
      <w:bodyDiv w:val="1"/>
      <w:marLeft w:val="0"/>
      <w:marRight w:val="0"/>
      <w:marTop w:val="0"/>
      <w:marBottom w:val="0"/>
      <w:divBdr>
        <w:top w:val="none" w:sz="0" w:space="0" w:color="auto"/>
        <w:left w:val="none" w:sz="0" w:space="0" w:color="auto"/>
        <w:bottom w:val="none" w:sz="0" w:space="0" w:color="auto"/>
        <w:right w:val="none" w:sz="0" w:space="0" w:color="auto"/>
      </w:divBdr>
    </w:div>
    <w:div w:id="161361087">
      <w:bodyDiv w:val="1"/>
      <w:marLeft w:val="0"/>
      <w:marRight w:val="0"/>
      <w:marTop w:val="0"/>
      <w:marBottom w:val="0"/>
      <w:divBdr>
        <w:top w:val="none" w:sz="0" w:space="0" w:color="auto"/>
        <w:left w:val="none" w:sz="0" w:space="0" w:color="auto"/>
        <w:bottom w:val="none" w:sz="0" w:space="0" w:color="auto"/>
        <w:right w:val="none" w:sz="0" w:space="0" w:color="auto"/>
      </w:divBdr>
    </w:div>
    <w:div w:id="174423666">
      <w:bodyDiv w:val="1"/>
      <w:marLeft w:val="0"/>
      <w:marRight w:val="0"/>
      <w:marTop w:val="0"/>
      <w:marBottom w:val="0"/>
      <w:divBdr>
        <w:top w:val="none" w:sz="0" w:space="0" w:color="auto"/>
        <w:left w:val="none" w:sz="0" w:space="0" w:color="auto"/>
        <w:bottom w:val="none" w:sz="0" w:space="0" w:color="auto"/>
        <w:right w:val="none" w:sz="0" w:space="0" w:color="auto"/>
      </w:divBdr>
    </w:div>
    <w:div w:id="178736362">
      <w:bodyDiv w:val="1"/>
      <w:marLeft w:val="0"/>
      <w:marRight w:val="0"/>
      <w:marTop w:val="0"/>
      <w:marBottom w:val="0"/>
      <w:divBdr>
        <w:top w:val="none" w:sz="0" w:space="0" w:color="auto"/>
        <w:left w:val="none" w:sz="0" w:space="0" w:color="auto"/>
        <w:bottom w:val="none" w:sz="0" w:space="0" w:color="auto"/>
        <w:right w:val="none" w:sz="0" w:space="0" w:color="auto"/>
      </w:divBdr>
    </w:div>
    <w:div w:id="220749741">
      <w:bodyDiv w:val="1"/>
      <w:marLeft w:val="0"/>
      <w:marRight w:val="0"/>
      <w:marTop w:val="0"/>
      <w:marBottom w:val="0"/>
      <w:divBdr>
        <w:top w:val="none" w:sz="0" w:space="0" w:color="auto"/>
        <w:left w:val="none" w:sz="0" w:space="0" w:color="auto"/>
        <w:bottom w:val="none" w:sz="0" w:space="0" w:color="auto"/>
        <w:right w:val="none" w:sz="0" w:space="0" w:color="auto"/>
      </w:divBdr>
    </w:div>
    <w:div w:id="283464916">
      <w:bodyDiv w:val="1"/>
      <w:marLeft w:val="0"/>
      <w:marRight w:val="0"/>
      <w:marTop w:val="0"/>
      <w:marBottom w:val="0"/>
      <w:divBdr>
        <w:top w:val="none" w:sz="0" w:space="0" w:color="auto"/>
        <w:left w:val="none" w:sz="0" w:space="0" w:color="auto"/>
        <w:bottom w:val="none" w:sz="0" w:space="0" w:color="auto"/>
        <w:right w:val="none" w:sz="0" w:space="0" w:color="auto"/>
      </w:divBdr>
    </w:div>
    <w:div w:id="328485593">
      <w:bodyDiv w:val="1"/>
      <w:marLeft w:val="0"/>
      <w:marRight w:val="0"/>
      <w:marTop w:val="0"/>
      <w:marBottom w:val="0"/>
      <w:divBdr>
        <w:top w:val="none" w:sz="0" w:space="0" w:color="auto"/>
        <w:left w:val="none" w:sz="0" w:space="0" w:color="auto"/>
        <w:bottom w:val="none" w:sz="0" w:space="0" w:color="auto"/>
        <w:right w:val="none" w:sz="0" w:space="0" w:color="auto"/>
      </w:divBdr>
    </w:div>
    <w:div w:id="418453350">
      <w:bodyDiv w:val="1"/>
      <w:marLeft w:val="0"/>
      <w:marRight w:val="0"/>
      <w:marTop w:val="0"/>
      <w:marBottom w:val="0"/>
      <w:divBdr>
        <w:top w:val="none" w:sz="0" w:space="0" w:color="auto"/>
        <w:left w:val="none" w:sz="0" w:space="0" w:color="auto"/>
        <w:bottom w:val="none" w:sz="0" w:space="0" w:color="auto"/>
        <w:right w:val="none" w:sz="0" w:space="0" w:color="auto"/>
      </w:divBdr>
    </w:div>
    <w:div w:id="426082262">
      <w:bodyDiv w:val="1"/>
      <w:marLeft w:val="0"/>
      <w:marRight w:val="0"/>
      <w:marTop w:val="0"/>
      <w:marBottom w:val="0"/>
      <w:divBdr>
        <w:top w:val="none" w:sz="0" w:space="0" w:color="auto"/>
        <w:left w:val="none" w:sz="0" w:space="0" w:color="auto"/>
        <w:bottom w:val="none" w:sz="0" w:space="0" w:color="auto"/>
        <w:right w:val="none" w:sz="0" w:space="0" w:color="auto"/>
      </w:divBdr>
    </w:div>
    <w:div w:id="454107998">
      <w:bodyDiv w:val="1"/>
      <w:marLeft w:val="0"/>
      <w:marRight w:val="0"/>
      <w:marTop w:val="0"/>
      <w:marBottom w:val="0"/>
      <w:divBdr>
        <w:top w:val="none" w:sz="0" w:space="0" w:color="auto"/>
        <w:left w:val="none" w:sz="0" w:space="0" w:color="auto"/>
        <w:bottom w:val="none" w:sz="0" w:space="0" w:color="auto"/>
        <w:right w:val="none" w:sz="0" w:space="0" w:color="auto"/>
      </w:divBdr>
    </w:div>
    <w:div w:id="460538948">
      <w:bodyDiv w:val="1"/>
      <w:marLeft w:val="0"/>
      <w:marRight w:val="0"/>
      <w:marTop w:val="0"/>
      <w:marBottom w:val="0"/>
      <w:divBdr>
        <w:top w:val="none" w:sz="0" w:space="0" w:color="auto"/>
        <w:left w:val="none" w:sz="0" w:space="0" w:color="auto"/>
        <w:bottom w:val="none" w:sz="0" w:space="0" w:color="auto"/>
        <w:right w:val="none" w:sz="0" w:space="0" w:color="auto"/>
      </w:divBdr>
    </w:div>
    <w:div w:id="527522208">
      <w:bodyDiv w:val="1"/>
      <w:marLeft w:val="0"/>
      <w:marRight w:val="0"/>
      <w:marTop w:val="0"/>
      <w:marBottom w:val="0"/>
      <w:divBdr>
        <w:top w:val="none" w:sz="0" w:space="0" w:color="auto"/>
        <w:left w:val="none" w:sz="0" w:space="0" w:color="auto"/>
        <w:bottom w:val="none" w:sz="0" w:space="0" w:color="auto"/>
        <w:right w:val="none" w:sz="0" w:space="0" w:color="auto"/>
      </w:divBdr>
    </w:div>
    <w:div w:id="545720562">
      <w:bodyDiv w:val="1"/>
      <w:marLeft w:val="0"/>
      <w:marRight w:val="0"/>
      <w:marTop w:val="0"/>
      <w:marBottom w:val="0"/>
      <w:divBdr>
        <w:top w:val="none" w:sz="0" w:space="0" w:color="auto"/>
        <w:left w:val="none" w:sz="0" w:space="0" w:color="auto"/>
        <w:bottom w:val="none" w:sz="0" w:space="0" w:color="auto"/>
        <w:right w:val="none" w:sz="0" w:space="0" w:color="auto"/>
      </w:divBdr>
    </w:div>
    <w:div w:id="614363943">
      <w:bodyDiv w:val="1"/>
      <w:marLeft w:val="0"/>
      <w:marRight w:val="0"/>
      <w:marTop w:val="0"/>
      <w:marBottom w:val="0"/>
      <w:divBdr>
        <w:top w:val="none" w:sz="0" w:space="0" w:color="auto"/>
        <w:left w:val="none" w:sz="0" w:space="0" w:color="auto"/>
        <w:bottom w:val="none" w:sz="0" w:space="0" w:color="auto"/>
        <w:right w:val="none" w:sz="0" w:space="0" w:color="auto"/>
      </w:divBdr>
    </w:div>
    <w:div w:id="653993376">
      <w:bodyDiv w:val="1"/>
      <w:marLeft w:val="0"/>
      <w:marRight w:val="0"/>
      <w:marTop w:val="0"/>
      <w:marBottom w:val="0"/>
      <w:divBdr>
        <w:top w:val="none" w:sz="0" w:space="0" w:color="auto"/>
        <w:left w:val="none" w:sz="0" w:space="0" w:color="auto"/>
        <w:bottom w:val="none" w:sz="0" w:space="0" w:color="auto"/>
        <w:right w:val="none" w:sz="0" w:space="0" w:color="auto"/>
      </w:divBdr>
    </w:div>
    <w:div w:id="694770017">
      <w:bodyDiv w:val="1"/>
      <w:marLeft w:val="0"/>
      <w:marRight w:val="0"/>
      <w:marTop w:val="0"/>
      <w:marBottom w:val="0"/>
      <w:divBdr>
        <w:top w:val="none" w:sz="0" w:space="0" w:color="auto"/>
        <w:left w:val="none" w:sz="0" w:space="0" w:color="auto"/>
        <w:bottom w:val="none" w:sz="0" w:space="0" w:color="auto"/>
        <w:right w:val="none" w:sz="0" w:space="0" w:color="auto"/>
      </w:divBdr>
    </w:div>
    <w:div w:id="727339238">
      <w:bodyDiv w:val="1"/>
      <w:marLeft w:val="0"/>
      <w:marRight w:val="0"/>
      <w:marTop w:val="0"/>
      <w:marBottom w:val="0"/>
      <w:divBdr>
        <w:top w:val="none" w:sz="0" w:space="0" w:color="auto"/>
        <w:left w:val="none" w:sz="0" w:space="0" w:color="auto"/>
        <w:bottom w:val="none" w:sz="0" w:space="0" w:color="auto"/>
        <w:right w:val="none" w:sz="0" w:space="0" w:color="auto"/>
      </w:divBdr>
    </w:div>
    <w:div w:id="784428012">
      <w:bodyDiv w:val="1"/>
      <w:marLeft w:val="0"/>
      <w:marRight w:val="0"/>
      <w:marTop w:val="0"/>
      <w:marBottom w:val="0"/>
      <w:divBdr>
        <w:top w:val="none" w:sz="0" w:space="0" w:color="auto"/>
        <w:left w:val="none" w:sz="0" w:space="0" w:color="auto"/>
        <w:bottom w:val="none" w:sz="0" w:space="0" w:color="auto"/>
        <w:right w:val="none" w:sz="0" w:space="0" w:color="auto"/>
      </w:divBdr>
    </w:div>
    <w:div w:id="799304577">
      <w:bodyDiv w:val="1"/>
      <w:marLeft w:val="0"/>
      <w:marRight w:val="0"/>
      <w:marTop w:val="0"/>
      <w:marBottom w:val="0"/>
      <w:divBdr>
        <w:top w:val="none" w:sz="0" w:space="0" w:color="auto"/>
        <w:left w:val="none" w:sz="0" w:space="0" w:color="auto"/>
        <w:bottom w:val="none" w:sz="0" w:space="0" w:color="auto"/>
        <w:right w:val="none" w:sz="0" w:space="0" w:color="auto"/>
      </w:divBdr>
    </w:div>
    <w:div w:id="809438589">
      <w:bodyDiv w:val="1"/>
      <w:marLeft w:val="0"/>
      <w:marRight w:val="0"/>
      <w:marTop w:val="0"/>
      <w:marBottom w:val="0"/>
      <w:divBdr>
        <w:top w:val="none" w:sz="0" w:space="0" w:color="auto"/>
        <w:left w:val="none" w:sz="0" w:space="0" w:color="auto"/>
        <w:bottom w:val="none" w:sz="0" w:space="0" w:color="auto"/>
        <w:right w:val="none" w:sz="0" w:space="0" w:color="auto"/>
      </w:divBdr>
    </w:div>
    <w:div w:id="857739480">
      <w:bodyDiv w:val="1"/>
      <w:marLeft w:val="0"/>
      <w:marRight w:val="0"/>
      <w:marTop w:val="0"/>
      <w:marBottom w:val="0"/>
      <w:divBdr>
        <w:top w:val="none" w:sz="0" w:space="0" w:color="auto"/>
        <w:left w:val="none" w:sz="0" w:space="0" w:color="auto"/>
        <w:bottom w:val="none" w:sz="0" w:space="0" w:color="auto"/>
        <w:right w:val="none" w:sz="0" w:space="0" w:color="auto"/>
      </w:divBdr>
    </w:div>
    <w:div w:id="909198660">
      <w:bodyDiv w:val="1"/>
      <w:marLeft w:val="0"/>
      <w:marRight w:val="0"/>
      <w:marTop w:val="0"/>
      <w:marBottom w:val="0"/>
      <w:divBdr>
        <w:top w:val="none" w:sz="0" w:space="0" w:color="auto"/>
        <w:left w:val="none" w:sz="0" w:space="0" w:color="auto"/>
        <w:bottom w:val="none" w:sz="0" w:space="0" w:color="auto"/>
        <w:right w:val="none" w:sz="0" w:space="0" w:color="auto"/>
      </w:divBdr>
    </w:div>
    <w:div w:id="942029411">
      <w:bodyDiv w:val="1"/>
      <w:marLeft w:val="0"/>
      <w:marRight w:val="0"/>
      <w:marTop w:val="0"/>
      <w:marBottom w:val="0"/>
      <w:divBdr>
        <w:top w:val="none" w:sz="0" w:space="0" w:color="auto"/>
        <w:left w:val="none" w:sz="0" w:space="0" w:color="auto"/>
        <w:bottom w:val="none" w:sz="0" w:space="0" w:color="auto"/>
        <w:right w:val="none" w:sz="0" w:space="0" w:color="auto"/>
      </w:divBdr>
    </w:div>
    <w:div w:id="964117627">
      <w:bodyDiv w:val="1"/>
      <w:marLeft w:val="0"/>
      <w:marRight w:val="0"/>
      <w:marTop w:val="0"/>
      <w:marBottom w:val="0"/>
      <w:divBdr>
        <w:top w:val="none" w:sz="0" w:space="0" w:color="auto"/>
        <w:left w:val="none" w:sz="0" w:space="0" w:color="auto"/>
        <w:bottom w:val="none" w:sz="0" w:space="0" w:color="auto"/>
        <w:right w:val="none" w:sz="0" w:space="0" w:color="auto"/>
      </w:divBdr>
    </w:div>
    <w:div w:id="977106399">
      <w:bodyDiv w:val="1"/>
      <w:marLeft w:val="0"/>
      <w:marRight w:val="0"/>
      <w:marTop w:val="0"/>
      <w:marBottom w:val="0"/>
      <w:divBdr>
        <w:top w:val="none" w:sz="0" w:space="0" w:color="auto"/>
        <w:left w:val="none" w:sz="0" w:space="0" w:color="auto"/>
        <w:bottom w:val="none" w:sz="0" w:space="0" w:color="auto"/>
        <w:right w:val="none" w:sz="0" w:space="0" w:color="auto"/>
      </w:divBdr>
    </w:div>
    <w:div w:id="996148684">
      <w:bodyDiv w:val="1"/>
      <w:marLeft w:val="0"/>
      <w:marRight w:val="0"/>
      <w:marTop w:val="0"/>
      <w:marBottom w:val="0"/>
      <w:divBdr>
        <w:top w:val="none" w:sz="0" w:space="0" w:color="auto"/>
        <w:left w:val="none" w:sz="0" w:space="0" w:color="auto"/>
        <w:bottom w:val="none" w:sz="0" w:space="0" w:color="auto"/>
        <w:right w:val="none" w:sz="0" w:space="0" w:color="auto"/>
      </w:divBdr>
    </w:div>
    <w:div w:id="1096823404">
      <w:bodyDiv w:val="1"/>
      <w:marLeft w:val="0"/>
      <w:marRight w:val="0"/>
      <w:marTop w:val="0"/>
      <w:marBottom w:val="0"/>
      <w:divBdr>
        <w:top w:val="none" w:sz="0" w:space="0" w:color="auto"/>
        <w:left w:val="none" w:sz="0" w:space="0" w:color="auto"/>
        <w:bottom w:val="none" w:sz="0" w:space="0" w:color="auto"/>
        <w:right w:val="none" w:sz="0" w:space="0" w:color="auto"/>
      </w:divBdr>
    </w:div>
    <w:div w:id="1141265890">
      <w:bodyDiv w:val="1"/>
      <w:marLeft w:val="0"/>
      <w:marRight w:val="0"/>
      <w:marTop w:val="0"/>
      <w:marBottom w:val="0"/>
      <w:divBdr>
        <w:top w:val="none" w:sz="0" w:space="0" w:color="auto"/>
        <w:left w:val="none" w:sz="0" w:space="0" w:color="auto"/>
        <w:bottom w:val="none" w:sz="0" w:space="0" w:color="auto"/>
        <w:right w:val="none" w:sz="0" w:space="0" w:color="auto"/>
      </w:divBdr>
    </w:div>
    <w:div w:id="1160199930">
      <w:bodyDiv w:val="1"/>
      <w:marLeft w:val="0"/>
      <w:marRight w:val="0"/>
      <w:marTop w:val="0"/>
      <w:marBottom w:val="0"/>
      <w:divBdr>
        <w:top w:val="none" w:sz="0" w:space="0" w:color="auto"/>
        <w:left w:val="none" w:sz="0" w:space="0" w:color="auto"/>
        <w:bottom w:val="none" w:sz="0" w:space="0" w:color="auto"/>
        <w:right w:val="none" w:sz="0" w:space="0" w:color="auto"/>
      </w:divBdr>
    </w:div>
    <w:div w:id="1163205281">
      <w:bodyDiv w:val="1"/>
      <w:marLeft w:val="0"/>
      <w:marRight w:val="0"/>
      <w:marTop w:val="0"/>
      <w:marBottom w:val="0"/>
      <w:divBdr>
        <w:top w:val="none" w:sz="0" w:space="0" w:color="auto"/>
        <w:left w:val="none" w:sz="0" w:space="0" w:color="auto"/>
        <w:bottom w:val="none" w:sz="0" w:space="0" w:color="auto"/>
        <w:right w:val="none" w:sz="0" w:space="0" w:color="auto"/>
      </w:divBdr>
    </w:div>
    <w:div w:id="1168447418">
      <w:bodyDiv w:val="1"/>
      <w:marLeft w:val="0"/>
      <w:marRight w:val="0"/>
      <w:marTop w:val="0"/>
      <w:marBottom w:val="0"/>
      <w:divBdr>
        <w:top w:val="none" w:sz="0" w:space="0" w:color="auto"/>
        <w:left w:val="none" w:sz="0" w:space="0" w:color="auto"/>
        <w:bottom w:val="none" w:sz="0" w:space="0" w:color="auto"/>
        <w:right w:val="none" w:sz="0" w:space="0" w:color="auto"/>
      </w:divBdr>
    </w:div>
    <w:div w:id="1206524064">
      <w:bodyDiv w:val="1"/>
      <w:marLeft w:val="0"/>
      <w:marRight w:val="0"/>
      <w:marTop w:val="0"/>
      <w:marBottom w:val="0"/>
      <w:divBdr>
        <w:top w:val="none" w:sz="0" w:space="0" w:color="auto"/>
        <w:left w:val="none" w:sz="0" w:space="0" w:color="auto"/>
        <w:bottom w:val="none" w:sz="0" w:space="0" w:color="auto"/>
        <w:right w:val="none" w:sz="0" w:space="0" w:color="auto"/>
      </w:divBdr>
    </w:div>
    <w:div w:id="1276256190">
      <w:bodyDiv w:val="1"/>
      <w:marLeft w:val="0"/>
      <w:marRight w:val="0"/>
      <w:marTop w:val="0"/>
      <w:marBottom w:val="0"/>
      <w:divBdr>
        <w:top w:val="none" w:sz="0" w:space="0" w:color="auto"/>
        <w:left w:val="none" w:sz="0" w:space="0" w:color="auto"/>
        <w:bottom w:val="none" w:sz="0" w:space="0" w:color="auto"/>
        <w:right w:val="none" w:sz="0" w:space="0" w:color="auto"/>
      </w:divBdr>
    </w:div>
    <w:div w:id="1361589631">
      <w:bodyDiv w:val="1"/>
      <w:marLeft w:val="0"/>
      <w:marRight w:val="0"/>
      <w:marTop w:val="0"/>
      <w:marBottom w:val="0"/>
      <w:divBdr>
        <w:top w:val="none" w:sz="0" w:space="0" w:color="auto"/>
        <w:left w:val="none" w:sz="0" w:space="0" w:color="auto"/>
        <w:bottom w:val="none" w:sz="0" w:space="0" w:color="auto"/>
        <w:right w:val="none" w:sz="0" w:space="0" w:color="auto"/>
      </w:divBdr>
    </w:div>
    <w:div w:id="1449426756">
      <w:bodyDiv w:val="1"/>
      <w:marLeft w:val="0"/>
      <w:marRight w:val="0"/>
      <w:marTop w:val="0"/>
      <w:marBottom w:val="0"/>
      <w:divBdr>
        <w:top w:val="none" w:sz="0" w:space="0" w:color="auto"/>
        <w:left w:val="none" w:sz="0" w:space="0" w:color="auto"/>
        <w:bottom w:val="none" w:sz="0" w:space="0" w:color="auto"/>
        <w:right w:val="none" w:sz="0" w:space="0" w:color="auto"/>
      </w:divBdr>
    </w:div>
    <w:div w:id="1555114421">
      <w:bodyDiv w:val="1"/>
      <w:marLeft w:val="0"/>
      <w:marRight w:val="0"/>
      <w:marTop w:val="0"/>
      <w:marBottom w:val="0"/>
      <w:divBdr>
        <w:top w:val="none" w:sz="0" w:space="0" w:color="auto"/>
        <w:left w:val="none" w:sz="0" w:space="0" w:color="auto"/>
        <w:bottom w:val="none" w:sz="0" w:space="0" w:color="auto"/>
        <w:right w:val="none" w:sz="0" w:space="0" w:color="auto"/>
      </w:divBdr>
    </w:div>
    <w:div w:id="1687830949">
      <w:bodyDiv w:val="1"/>
      <w:marLeft w:val="0"/>
      <w:marRight w:val="0"/>
      <w:marTop w:val="0"/>
      <w:marBottom w:val="0"/>
      <w:divBdr>
        <w:top w:val="none" w:sz="0" w:space="0" w:color="auto"/>
        <w:left w:val="none" w:sz="0" w:space="0" w:color="auto"/>
        <w:bottom w:val="none" w:sz="0" w:space="0" w:color="auto"/>
        <w:right w:val="none" w:sz="0" w:space="0" w:color="auto"/>
      </w:divBdr>
    </w:div>
    <w:div w:id="1694527293">
      <w:bodyDiv w:val="1"/>
      <w:marLeft w:val="0"/>
      <w:marRight w:val="0"/>
      <w:marTop w:val="0"/>
      <w:marBottom w:val="0"/>
      <w:divBdr>
        <w:top w:val="none" w:sz="0" w:space="0" w:color="auto"/>
        <w:left w:val="none" w:sz="0" w:space="0" w:color="auto"/>
        <w:bottom w:val="none" w:sz="0" w:space="0" w:color="auto"/>
        <w:right w:val="none" w:sz="0" w:space="0" w:color="auto"/>
      </w:divBdr>
    </w:div>
    <w:div w:id="1709521865">
      <w:bodyDiv w:val="1"/>
      <w:marLeft w:val="0"/>
      <w:marRight w:val="0"/>
      <w:marTop w:val="0"/>
      <w:marBottom w:val="0"/>
      <w:divBdr>
        <w:top w:val="none" w:sz="0" w:space="0" w:color="auto"/>
        <w:left w:val="none" w:sz="0" w:space="0" w:color="auto"/>
        <w:bottom w:val="none" w:sz="0" w:space="0" w:color="auto"/>
        <w:right w:val="none" w:sz="0" w:space="0" w:color="auto"/>
      </w:divBdr>
    </w:div>
    <w:div w:id="1709715599">
      <w:bodyDiv w:val="1"/>
      <w:marLeft w:val="0"/>
      <w:marRight w:val="0"/>
      <w:marTop w:val="0"/>
      <w:marBottom w:val="0"/>
      <w:divBdr>
        <w:top w:val="none" w:sz="0" w:space="0" w:color="auto"/>
        <w:left w:val="none" w:sz="0" w:space="0" w:color="auto"/>
        <w:bottom w:val="none" w:sz="0" w:space="0" w:color="auto"/>
        <w:right w:val="none" w:sz="0" w:space="0" w:color="auto"/>
      </w:divBdr>
    </w:div>
    <w:div w:id="1728256163">
      <w:bodyDiv w:val="1"/>
      <w:marLeft w:val="0"/>
      <w:marRight w:val="0"/>
      <w:marTop w:val="0"/>
      <w:marBottom w:val="0"/>
      <w:divBdr>
        <w:top w:val="none" w:sz="0" w:space="0" w:color="auto"/>
        <w:left w:val="none" w:sz="0" w:space="0" w:color="auto"/>
        <w:bottom w:val="none" w:sz="0" w:space="0" w:color="auto"/>
        <w:right w:val="none" w:sz="0" w:space="0" w:color="auto"/>
      </w:divBdr>
    </w:div>
    <w:div w:id="1811555641">
      <w:bodyDiv w:val="1"/>
      <w:marLeft w:val="0"/>
      <w:marRight w:val="0"/>
      <w:marTop w:val="0"/>
      <w:marBottom w:val="0"/>
      <w:divBdr>
        <w:top w:val="none" w:sz="0" w:space="0" w:color="auto"/>
        <w:left w:val="none" w:sz="0" w:space="0" w:color="auto"/>
        <w:bottom w:val="none" w:sz="0" w:space="0" w:color="auto"/>
        <w:right w:val="none" w:sz="0" w:space="0" w:color="auto"/>
      </w:divBdr>
    </w:div>
    <w:div w:id="1886138238">
      <w:bodyDiv w:val="1"/>
      <w:marLeft w:val="0"/>
      <w:marRight w:val="0"/>
      <w:marTop w:val="0"/>
      <w:marBottom w:val="0"/>
      <w:divBdr>
        <w:top w:val="none" w:sz="0" w:space="0" w:color="auto"/>
        <w:left w:val="none" w:sz="0" w:space="0" w:color="auto"/>
        <w:bottom w:val="none" w:sz="0" w:space="0" w:color="auto"/>
        <w:right w:val="none" w:sz="0" w:space="0" w:color="auto"/>
      </w:divBdr>
    </w:div>
    <w:div w:id="1932883440">
      <w:bodyDiv w:val="1"/>
      <w:marLeft w:val="0"/>
      <w:marRight w:val="0"/>
      <w:marTop w:val="0"/>
      <w:marBottom w:val="0"/>
      <w:divBdr>
        <w:top w:val="none" w:sz="0" w:space="0" w:color="auto"/>
        <w:left w:val="none" w:sz="0" w:space="0" w:color="auto"/>
        <w:bottom w:val="none" w:sz="0" w:space="0" w:color="auto"/>
        <w:right w:val="none" w:sz="0" w:space="0" w:color="auto"/>
      </w:divBdr>
    </w:div>
    <w:div w:id="1993757525">
      <w:bodyDiv w:val="1"/>
      <w:marLeft w:val="0"/>
      <w:marRight w:val="0"/>
      <w:marTop w:val="0"/>
      <w:marBottom w:val="0"/>
      <w:divBdr>
        <w:top w:val="none" w:sz="0" w:space="0" w:color="auto"/>
        <w:left w:val="none" w:sz="0" w:space="0" w:color="auto"/>
        <w:bottom w:val="none" w:sz="0" w:space="0" w:color="auto"/>
        <w:right w:val="none" w:sz="0" w:space="0" w:color="auto"/>
      </w:divBdr>
    </w:div>
    <w:div w:id="2008900173">
      <w:bodyDiv w:val="1"/>
      <w:marLeft w:val="0"/>
      <w:marRight w:val="0"/>
      <w:marTop w:val="0"/>
      <w:marBottom w:val="0"/>
      <w:divBdr>
        <w:top w:val="none" w:sz="0" w:space="0" w:color="auto"/>
        <w:left w:val="none" w:sz="0" w:space="0" w:color="auto"/>
        <w:bottom w:val="none" w:sz="0" w:space="0" w:color="auto"/>
        <w:right w:val="none" w:sz="0" w:space="0" w:color="auto"/>
      </w:divBdr>
    </w:div>
    <w:div w:id="2018577139">
      <w:bodyDiv w:val="1"/>
      <w:marLeft w:val="0"/>
      <w:marRight w:val="0"/>
      <w:marTop w:val="0"/>
      <w:marBottom w:val="0"/>
      <w:divBdr>
        <w:top w:val="none" w:sz="0" w:space="0" w:color="auto"/>
        <w:left w:val="none" w:sz="0" w:space="0" w:color="auto"/>
        <w:bottom w:val="none" w:sz="0" w:space="0" w:color="auto"/>
        <w:right w:val="none" w:sz="0" w:space="0" w:color="auto"/>
      </w:divBdr>
    </w:div>
    <w:div w:id="2090954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29</Pages>
  <Words>2069</Words>
  <Characters>11795</Characters>
  <Application>Microsoft Office Word</Application>
  <DocSecurity>0</DocSecurity>
  <Lines>98</Lines>
  <Paragraphs>27</Paragraphs>
  <ScaleCrop>false</ScaleCrop>
  <Company>Microsoft</Company>
  <LinksUpToDate>false</LinksUpToDate>
  <CharactersWithSpaces>13837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微软用户</cp:lastModifiedBy>
  <cp:revision>3</cp:revision>
  <cp:lastPrinted>2024-08-08T18:20:00Z</cp:lastPrinted>
  <dcterms:created xsi:type="dcterms:W3CDTF">2026-08-26T06:37:00Z</dcterms:created>
  <dcterms:modified xsi:type="dcterms:W3CDTF">2026-08-26T06:40:00Z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340D07DADEFE44F68CB998464433AD73_13</vt:lpwstr>
  </property>
</Properties>
</file>