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4099"/>
        <w:jc w:val="both"/>
        <w:rPr>
          <w:rFonts w:hAnsi="黑体" w:hint="eastAsia"/>
          <w:sz w:val="36"/>
          <w:szCs w:val="36"/>
        </w:rPr>
      </w:pPr>
      <w:r>
        <w:rPr>
          <w:rFonts w:hAnsi="黑体" w:hint="eastAsia"/>
          <w:sz w:val="36"/>
          <w:szCs w:val="36"/>
        </w:rPr>
        <w:t>附件2</w:t>
      </w:r>
    </w:p>
    <w:p>
      <w:pPr>
        <w:pStyle w:val="style4099"/>
        <w:jc w:val="center"/>
        <w:rPr>
          <w:rFonts w:ascii="Times New Roman" w:cs="Times New Roman" w:hAnsi="Times New Roman"/>
          <w:sz w:val="56"/>
          <w:szCs w:val="56"/>
        </w:rPr>
      </w:pPr>
    </w:p>
    <w:p>
      <w:pPr>
        <w:pStyle w:val="style4099"/>
        <w:jc w:val="center"/>
        <w:rPr>
          <w:rFonts w:ascii="Times New Roman" w:cs="Times New Roman" w:hAnsi="Times New Roman"/>
          <w:sz w:val="84"/>
          <w:szCs w:val="84"/>
        </w:rPr>
      </w:pPr>
    </w:p>
    <w:p>
      <w:pPr>
        <w:pStyle w:val="style4099"/>
        <w:jc w:val="center"/>
        <w:rPr>
          <w:rFonts w:ascii="Times New Roman" w:cs="Times New Roman" w:hAnsi="Times New Roman"/>
          <w:sz w:val="84"/>
          <w:szCs w:val="84"/>
        </w:rPr>
      </w:pPr>
    </w:p>
    <w:p>
      <w:pPr>
        <w:pStyle w:val="style4099"/>
        <w:jc w:val="center"/>
        <w:rPr>
          <w:rFonts w:ascii="Times New Roman" w:cs="Times New Roman" w:eastAsia="方正小标宋简体" w:hAnsi="Times New Roman"/>
          <w:sz w:val="72"/>
          <w:szCs w:val="72"/>
        </w:rPr>
      </w:pPr>
      <w:r>
        <w:rPr>
          <w:rFonts w:ascii="Times New Roman" w:cs="Times New Roman" w:eastAsia="方正小标宋简体" w:hAnsi="Times New Roman"/>
          <w:sz w:val="72"/>
          <w:szCs w:val="72"/>
        </w:rPr>
        <w:t>202</w:t>
      </w:r>
      <w:r>
        <w:rPr>
          <w:rFonts w:ascii="Times New Roman" w:cs="Times New Roman" w:eastAsia="方正小标宋简体" w:hAnsi="Times New Roman" w:hint="eastAsia"/>
          <w:sz w:val="72"/>
          <w:szCs w:val="72"/>
        </w:rPr>
        <w:t>5</w:t>
      </w:r>
      <w:r>
        <w:rPr>
          <w:rFonts w:ascii="Times New Roman" w:cs="Times New Roman" w:eastAsia="方正小标宋简体" w:hAnsi="Times New Roman"/>
          <w:sz w:val="72"/>
          <w:szCs w:val="72"/>
        </w:rPr>
        <w:t>年度</w:t>
      </w:r>
    </w:p>
    <w:p>
      <w:pPr>
        <w:pStyle w:val="style4099"/>
        <w:jc w:val="center"/>
        <w:rPr>
          <w:rFonts w:ascii="Times New Roman" w:cs="Times New Roman" w:eastAsia="方正小标宋简体" w:hAnsi="Times New Roman"/>
          <w:sz w:val="72"/>
          <w:szCs w:val="72"/>
        </w:rPr>
      </w:pPr>
      <w:r>
        <w:rPr>
          <w:rFonts w:ascii="Times New Roman" w:cs="Times New Roman" w:eastAsia="方正小标宋简体" w:hAnsi="Times New Roman" w:hint="eastAsia"/>
          <w:sz w:val="72"/>
          <w:szCs w:val="72"/>
        </w:rPr>
        <w:t>益阳市第十五中学</w:t>
      </w:r>
    </w:p>
    <w:p>
      <w:pPr>
        <w:pStyle w:val="style4099"/>
        <w:jc w:val="center"/>
        <w:rPr>
          <w:rFonts w:ascii="Times New Roman" w:cs="Times New Roman" w:eastAsia="方正小标宋简体" w:hAnsi="Times New Roman"/>
          <w:sz w:val="72"/>
          <w:szCs w:val="72"/>
        </w:rPr>
      </w:pPr>
      <w:r>
        <w:rPr>
          <w:rFonts w:ascii="Times New Roman" w:cs="Times New Roman" w:eastAsia="方正小标宋简体" w:hAnsi="Times New Roman" w:hint="eastAsia"/>
          <w:sz w:val="72"/>
          <w:szCs w:val="72"/>
        </w:rPr>
        <w:t>部门决算</w:t>
      </w:r>
    </w:p>
    <w:p>
      <w:pPr>
        <w:pStyle w:val="style4099"/>
        <w:jc w:val="center"/>
        <w:rPr>
          <w:rFonts w:ascii="Times New Roman" w:cs="Times New Roman" w:eastAsia="方正小标宋_GBK" w:hAnsi="Times New Roman"/>
          <w:sz w:val="56"/>
          <w:szCs w:val="56"/>
        </w:rPr>
      </w:pPr>
    </w:p>
    <w:p>
      <w:pPr>
        <w:pStyle w:val="style4099"/>
        <w:jc w:val="center"/>
        <w:rPr>
          <w:rFonts w:ascii="Times New Roman" w:cs="Times New Roman" w:hAnsi="Times New Roman"/>
          <w:sz w:val="56"/>
          <w:szCs w:val="56"/>
        </w:rPr>
      </w:pPr>
    </w:p>
    <w:p>
      <w:pPr>
        <w:pStyle w:val="style4099"/>
        <w:rPr>
          <w:rFonts w:ascii="Times New Roman" w:cs="Times New Roman" w:hAnsi="Times New Roman"/>
          <w:sz w:val="56"/>
          <w:szCs w:val="56"/>
        </w:rPr>
      </w:pPr>
    </w:p>
    <w:p>
      <w:pPr>
        <w:pStyle w:val="style4099"/>
        <w:jc w:val="center"/>
        <w:rPr>
          <w:rFonts w:ascii="Times New Roman" w:cs="Times New Roman" w:hAnsi="Times New Roman"/>
          <w:sz w:val="32"/>
          <w:szCs w:val="32"/>
        </w:rPr>
      </w:pPr>
    </w:p>
    <w:p>
      <w:pPr>
        <w:pStyle w:val="style4099"/>
        <w:spacing w:lineRule="exact" w:line="600"/>
        <w:jc w:val="center"/>
        <w:rPr>
          <w:rFonts w:ascii="Times New Roman" w:cs="Times New Roman" w:hAnsi="Times New Roman"/>
          <w:bCs/>
          <w:sz w:val="36"/>
          <w:szCs w:val="28"/>
        </w:rPr>
      </w:pPr>
    </w:p>
    <w:p>
      <w:pPr>
        <w:pStyle w:val="style4099"/>
        <w:spacing w:lineRule="exact" w:line="600"/>
        <w:jc w:val="center"/>
        <w:rPr>
          <w:rFonts w:ascii="Times New Roman" w:cs="Times New Roman" w:hAnsi="Times New Roman"/>
          <w:bCs/>
          <w:sz w:val="36"/>
          <w:szCs w:val="28"/>
        </w:rPr>
      </w:pPr>
    </w:p>
    <w:p>
      <w:pPr>
        <w:pStyle w:val="style4099"/>
        <w:spacing w:lineRule="exact" w:line="600"/>
        <w:jc w:val="center"/>
        <w:rPr>
          <w:rFonts w:ascii="Times New Roman" w:cs="Times New Roman" w:hAnsi="Times New Roman"/>
          <w:bCs/>
          <w:sz w:val="36"/>
          <w:szCs w:val="28"/>
        </w:rPr>
      </w:pPr>
    </w:p>
    <w:p>
      <w:pPr>
        <w:pStyle w:val="style4099"/>
        <w:spacing w:lineRule="exact" w:line="600"/>
        <w:jc w:val="center"/>
        <w:rPr>
          <w:rFonts w:ascii="Times New Roman" w:cs="Times New Roman" w:hAnsi="Times New Roman"/>
          <w:bCs/>
          <w:sz w:val="36"/>
          <w:szCs w:val="28"/>
        </w:rPr>
      </w:pPr>
    </w:p>
    <w:p>
      <w:pPr>
        <w:pStyle w:val="style4099"/>
        <w:spacing w:lineRule="exact" w:line="600"/>
        <w:jc w:val="center"/>
        <w:rPr>
          <w:rFonts w:ascii="Times New Roman" w:cs="Times New Roman" w:hAnsi="Times New Roman"/>
          <w:bCs/>
          <w:sz w:val="36"/>
          <w:szCs w:val="28"/>
        </w:rPr>
      </w:pPr>
      <w:r>
        <w:rPr>
          <w:rFonts w:ascii="Times New Roman" w:cs="Times New Roman" w:hAnsi="Times New Roman"/>
          <w:bCs/>
          <w:sz w:val="36"/>
          <w:szCs w:val="28"/>
        </w:rPr>
        <w:t>目</w:t>
      </w:r>
      <w:r>
        <w:rPr>
          <w:rFonts w:ascii="Times New Roman" w:cs="Times New Roman" w:hAnsi="Times New Roman"/>
          <w:bCs/>
          <w:sz w:val="36"/>
          <w:szCs w:val="28"/>
        </w:rPr>
        <w:t xml:space="preserve">  </w:t>
      </w:r>
      <w:r>
        <w:rPr>
          <w:rFonts w:ascii="Times New Roman" w:cs="Times New Roman" w:hAnsi="Times New Roman"/>
          <w:bCs/>
          <w:sz w:val="36"/>
          <w:szCs w:val="28"/>
        </w:rPr>
        <w:t>录</w:t>
      </w:r>
    </w:p>
    <w:p>
      <w:pPr>
        <w:pStyle w:val="style4099"/>
        <w:spacing w:lineRule="exact" w:line="600"/>
        <w:jc w:val="center"/>
        <w:rPr>
          <w:rFonts w:ascii="Times New Roman" w:cs="Times New Roman" w:hAnsi="Times New Roman"/>
          <w:b/>
          <w:sz w:val="36"/>
          <w:szCs w:val="28"/>
        </w:rPr>
      </w:pPr>
    </w:p>
    <w:p>
      <w:pPr>
        <w:pStyle w:val="style4099"/>
        <w:spacing w:after="156" w:afterLines="50" w:lineRule="exact" w:line="600"/>
        <w:rPr>
          <w:rFonts w:ascii="Times New Roman" w:cs="Times New Roman" w:hAnsi="Times New Roman"/>
          <w:bCs/>
          <w:sz w:val="32"/>
          <w:szCs w:val="32"/>
        </w:rPr>
      </w:pPr>
      <w:r>
        <w:rPr>
          <w:rFonts w:ascii="Times New Roman" w:cs="Times New Roman" w:hAnsi="Times New Roman"/>
          <w:bCs/>
          <w:sz w:val="32"/>
          <w:szCs w:val="32"/>
        </w:rPr>
        <w:t>第一部分</w:t>
      </w:r>
      <w:r>
        <w:rPr>
          <w:rFonts w:ascii="Times New Roman" w:cs="Times New Roman" w:hAnsi="Times New Roman"/>
          <w:bCs/>
          <w:sz w:val="32"/>
          <w:szCs w:val="32"/>
        </w:rPr>
        <w:t xml:space="preserve"> </w:t>
      </w:r>
      <w:r>
        <w:rPr>
          <w:rFonts w:ascii="Times New Roman" w:cs="Times New Roman" w:hAnsi="Times New Roman" w:hint="eastAsia"/>
          <w:bCs/>
          <w:sz w:val="32"/>
          <w:szCs w:val="32"/>
        </w:rPr>
        <w:t>益阳市</w:t>
      </w:r>
      <w:r>
        <w:rPr>
          <w:rFonts w:ascii="Times New Roman" w:cs="Times New Roman" w:hAnsi="Times New Roman" w:hint="eastAsia"/>
          <w:bCs/>
          <w:sz w:val="32"/>
          <w:szCs w:val="32"/>
        </w:rPr>
        <w:t>第十五中学</w:t>
      </w:r>
      <w:r>
        <w:rPr>
          <w:rFonts w:ascii="Times New Roman" w:cs="Times New Roman" w:hAnsi="Times New Roman"/>
          <w:bCs/>
          <w:sz w:val="32"/>
          <w:szCs w:val="32"/>
        </w:rPr>
        <w:t>概况</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一、部门职责</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二、机构设置及决算单位构成</w:t>
      </w:r>
    </w:p>
    <w:p>
      <w:pPr>
        <w:pStyle w:val="style4099"/>
        <w:spacing w:before="156" w:beforeLines="50" w:after="156" w:afterLines="50" w:lineRule="exact" w:line="600"/>
        <w:rPr>
          <w:rFonts w:ascii="Times New Roman" w:cs="Times New Roman" w:hAnsi="Times New Roman"/>
          <w:bCs/>
          <w:sz w:val="32"/>
          <w:szCs w:val="32"/>
        </w:rPr>
      </w:pPr>
      <w:r>
        <w:rPr>
          <w:rFonts w:ascii="Times New Roman" w:cs="Times New Roman" w:hAnsi="Times New Roman"/>
          <w:bCs/>
          <w:sz w:val="32"/>
          <w:szCs w:val="32"/>
        </w:rPr>
        <w:t>第二部分</w:t>
      </w:r>
      <w:r>
        <w:rPr>
          <w:rFonts w:ascii="Times New Roman" w:cs="Times New Roman" w:hAnsi="Times New Roman"/>
          <w:bCs/>
          <w:sz w:val="32"/>
          <w:szCs w:val="32"/>
        </w:rPr>
        <w:t xml:space="preserve"> </w:t>
      </w:r>
      <w:r>
        <w:rPr>
          <w:rFonts w:ascii="Times New Roman" w:cs="Times New Roman" w:hAnsi="Times New Roman"/>
          <w:bCs/>
          <w:sz w:val="32"/>
          <w:szCs w:val="32"/>
        </w:rPr>
        <w:t>部门决算表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一、收入支出决算总表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二、收入决算表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三、支出决算表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四、财政拨款收入支出决算总表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五、一般公共预算财政拨款支出决算表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六、一般公共预算财政拨款基本支出决算明细表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七、政府性基金预算财政拨款收入支出决算表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八、国有资本经营预算财政拨款支出决算表</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九、财政拨款</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三公</w:t>
      </w:r>
      <w:r>
        <w:rPr>
          <w:rFonts w:ascii="Times New Roman" w:cs="Times New Roman" w:eastAsia="仿宋_GB2312" w:hAnsi="Times New Roman"/>
          <w:sz w:val="32"/>
          <w:szCs w:val="32"/>
        </w:rPr>
        <w:t>”</w:t>
      </w:r>
      <w:r>
        <w:rPr>
          <w:rFonts w:ascii="Times New Roman" w:cs="Times New Roman" w:eastAsia="仿宋_GB2312" w:hAnsi="Times New Roman"/>
          <w:sz w:val="32"/>
          <w:szCs w:val="32"/>
        </w:rPr>
        <w:t>经费支出决算表</w:t>
      </w:r>
    </w:p>
    <w:p>
      <w:pPr>
        <w:pStyle w:val="style4099"/>
        <w:spacing w:before="156" w:beforeLines="50" w:after="156" w:afterLines="50" w:lineRule="exact" w:line="600"/>
        <w:rPr>
          <w:rFonts w:ascii="Times New Roman" w:cs="Times New Roman" w:hAnsi="Times New Roman"/>
          <w:bCs/>
          <w:sz w:val="32"/>
          <w:szCs w:val="32"/>
        </w:rPr>
      </w:pPr>
      <w:r>
        <w:rPr>
          <w:rFonts w:ascii="Times New Roman" w:cs="Times New Roman" w:hAnsi="Times New Roman"/>
          <w:bCs/>
          <w:sz w:val="32"/>
          <w:szCs w:val="32"/>
        </w:rPr>
        <w:t>第三部分</w:t>
      </w:r>
      <w:r>
        <w:rPr>
          <w:rFonts w:ascii="Times New Roman" w:cs="Times New Roman" w:hAnsi="Times New Roman"/>
          <w:bCs/>
          <w:sz w:val="32"/>
          <w:szCs w:val="32"/>
        </w:rPr>
        <w:t xml:space="preserve"> </w:t>
      </w:r>
      <w:r>
        <w:rPr>
          <w:rFonts w:ascii="Times New Roman" w:cs="Times New Roman" w:hAnsi="Times New Roman"/>
          <w:bCs/>
          <w:sz w:val="32"/>
          <w:szCs w:val="32"/>
        </w:rPr>
        <w:t>部门决算情况说明</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一、收入支出决算总体情况说明</w:t>
      </w:r>
    </w:p>
    <w:p>
      <w:pPr>
        <w:pStyle w:val="style0"/>
        <w:spacing w:lineRule="exact" w:line="600"/>
        <w:jc w:val="left"/>
        <w:rPr>
          <w:rFonts w:ascii="Times New Roman" w:cs="Times New Roman" w:eastAsia="仿宋_GB2312" w:hAnsi="Times New Roman"/>
          <w:sz w:val="32"/>
          <w:szCs w:val="32"/>
        </w:rPr>
      </w:pPr>
      <w:r>
        <w:rPr>
          <w:rFonts w:ascii="Times New Roman" w:cs="Times New Roman" w:eastAsia="仿宋_GB2312" w:hAnsi="Times New Roman"/>
          <w:sz w:val="32"/>
          <w:szCs w:val="32"/>
        </w:rPr>
        <w:t>二、收入决算情况说明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三、支出决算情况说明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四、财政拨款收入支出决算总体情况说明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五、一般公共预算财政拨款支出决算情况说明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sectPr>
          <w:pgSz w:w="11906" w:h="16838" w:orient="portrait"/>
          <w:pgMar w:top="1417" w:right="1588" w:bottom="1417" w:left="1588" w:header="851" w:footer="992" w:gutter="0"/>
          <w:pgNumType w:start="1"/>
          <w:cols w:space="425"/>
          <w:docGrid w:type="lines" w:linePitch="312"/>
        </w:sectPr>
      </w:pP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六、一般公共预算财政拨款基本支出决算情况说明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七、财政拨款</w:t>
      </w:r>
      <w:r>
        <w:rPr>
          <w:rFonts w:ascii="Times New Roman" w:cs="Times New Roman" w:eastAsia="仿宋_GB2312" w:hAnsi="Times New Roman"/>
          <w:color w:val="000000"/>
          <w:kern w:val="0"/>
          <w:sz w:val="32"/>
          <w:szCs w:val="32"/>
        </w:rPr>
        <w:t>“</w:t>
      </w:r>
      <w:r>
        <w:rPr>
          <w:rFonts w:ascii="Times New Roman" w:cs="Times New Roman" w:eastAsia="仿宋_GB2312" w:hAnsi="Times New Roman"/>
          <w:color w:val="000000"/>
          <w:kern w:val="0"/>
          <w:sz w:val="32"/>
          <w:szCs w:val="32"/>
        </w:rPr>
        <w:t>三公</w:t>
      </w:r>
      <w:r>
        <w:rPr>
          <w:rFonts w:ascii="Times New Roman" w:cs="Times New Roman" w:eastAsia="仿宋_GB2312" w:hAnsi="Times New Roman"/>
          <w:color w:val="000000"/>
          <w:kern w:val="0"/>
          <w:sz w:val="32"/>
          <w:szCs w:val="32"/>
        </w:rPr>
        <w:t>”</w:t>
      </w:r>
      <w:r>
        <w:rPr>
          <w:rFonts w:ascii="Times New Roman" w:cs="Times New Roman" w:eastAsia="仿宋_GB2312" w:hAnsi="Times New Roman"/>
          <w:color w:val="000000"/>
          <w:kern w:val="0"/>
          <w:sz w:val="32"/>
          <w:szCs w:val="32"/>
        </w:rPr>
        <w:t>经费支出决算情况说明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八、政府性基金预算收入支出决算情况</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九、关于机关运行经费支出说明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十、一般性支出情况说明</w:t>
      </w:r>
    </w:p>
    <w:p>
      <w:pPr>
        <w:pStyle w:val="style0"/>
        <w:autoSpaceDE w:val="false"/>
        <w:autoSpaceDN w:val="false"/>
        <w:adjustRightInd w:val="false"/>
        <w:spacing w:lineRule="exact" w:line="600"/>
        <w:jc w:val="left"/>
        <w:rPr>
          <w:rFonts w:ascii="Times New Roman" w:cs="Times New Roman" w:eastAsia="仿宋_GB2312" w:hAnsi="Times New Roman"/>
          <w:color w:val="000000"/>
          <w:kern w:val="0"/>
          <w:sz w:val="32"/>
          <w:szCs w:val="32"/>
        </w:rPr>
      </w:pPr>
      <w:r>
        <w:rPr>
          <w:rFonts w:ascii="Times New Roman" w:cs="Times New Roman" w:eastAsia="仿宋_GB2312" w:hAnsi="Times New Roman"/>
          <w:color w:val="000000"/>
          <w:kern w:val="0"/>
          <w:sz w:val="32"/>
          <w:szCs w:val="32"/>
        </w:rPr>
        <w:t>十一、关于政府采购支出说明</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十二、关于国有资产占用情况说明</w:t>
      </w:r>
    </w:p>
    <w:p>
      <w:pPr>
        <w:pStyle w:val="style4099"/>
        <w:spacing w:lineRule="exact" w:line="600"/>
        <w:rPr>
          <w:rFonts w:ascii="Times New Roman" w:cs="Times New Roman" w:eastAsia="仿宋_GB2312" w:hAnsi="Times New Roman"/>
          <w:sz w:val="32"/>
          <w:szCs w:val="32"/>
        </w:rPr>
      </w:pPr>
      <w:r>
        <w:rPr>
          <w:rFonts w:ascii="Times New Roman" w:cs="Times New Roman" w:eastAsia="仿宋_GB2312" w:hAnsi="Times New Roman"/>
          <w:sz w:val="32"/>
          <w:szCs w:val="32"/>
        </w:rPr>
        <w:t>十三、关于</w:t>
      </w: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年度预算绩效管理情况的说明</w:t>
      </w:r>
    </w:p>
    <w:p>
      <w:pPr>
        <w:pStyle w:val="style4099"/>
        <w:spacing w:before="156" w:beforeLines="50" w:after="156" w:afterLines="50" w:lineRule="exact" w:line="600"/>
        <w:rPr>
          <w:rFonts w:ascii="Times New Roman" w:cs="Times New Roman" w:hAnsi="Times New Roman"/>
          <w:bCs/>
          <w:sz w:val="32"/>
          <w:szCs w:val="32"/>
        </w:rPr>
      </w:pPr>
      <w:r>
        <w:rPr>
          <w:rFonts w:ascii="Times New Roman" w:cs="Times New Roman" w:hAnsi="Times New Roman"/>
          <w:bCs/>
          <w:sz w:val="32"/>
          <w:szCs w:val="32"/>
        </w:rPr>
        <w:t>第四部分</w:t>
      </w:r>
      <w:r>
        <w:rPr>
          <w:rFonts w:ascii="Times New Roman" w:cs="Times New Roman" w:hAnsi="Times New Roman"/>
          <w:bCs/>
          <w:sz w:val="32"/>
          <w:szCs w:val="32"/>
        </w:rPr>
        <w:t xml:space="preserve"> </w:t>
      </w:r>
      <w:r>
        <w:rPr>
          <w:rFonts w:ascii="Times New Roman" w:cs="Times New Roman" w:hAnsi="Times New Roman"/>
          <w:bCs/>
          <w:sz w:val="32"/>
          <w:szCs w:val="32"/>
        </w:rPr>
        <w:t>名词解释</w:t>
      </w:r>
    </w:p>
    <w:p>
      <w:pPr>
        <w:pStyle w:val="style4099"/>
        <w:spacing w:before="156" w:beforeLines="50" w:after="156" w:afterLines="50" w:lineRule="exact" w:line="600"/>
        <w:rPr>
          <w:rFonts w:ascii="Times New Roman" w:cs="Times New Roman" w:hAnsi="Times New Roman"/>
          <w:bCs/>
          <w:sz w:val="32"/>
          <w:szCs w:val="32"/>
        </w:rPr>
      </w:pPr>
      <w:r>
        <w:rPr>
          <w:rFonts w:ascii="Times New Roman" w:cs="Times New Roman" w:hAnsi="Times New Roman"/>
          <w:bCs/>
          <w:sz w:val="32"/>
          <w:szCs w:val="32"/>
        </w:rPr>
        <w:t>第五部分</w:t>
      </w:r>
      <w:r>
        <w:rPr>
          <w:rFonts w:ascii="Times New Roman" w:cs="Times New Roman" w:hAnsi="Times New Roman"/>
          <w:bCs/>
          <w:sz w:val="32"/>
          <w:szCs w:val="32"/>
        </w:rPr>
        <w:t xml:space="preserve"> </w:t>
      </w:r>
      <w:r>
        <w:rPr>
          <w:rFonts w:ascii="Times New Roman" w:cs="Times New Roman" w:hAnsi="Times New Roman"/>
          <w:bCs/>
          <w:sz w:val="32"/>
          <w:szCs w:val="32"/>
        </w:rPr>
        <w:t>附件</w:t>
      </w:r>
    </w:p>
    <w:p>
      <w:pPr>
        <w:pStyle w:val="style4099"/>
        <w:spacing w:lineRule="exact" w:line="600"/>
        <w:rPr>
          <w:rFonts w:ascii="Times New Roman" w:cs="Times New Roman" w:hAnsi="Times New Roman"/>
          <w:bCs/>
          <w:sz w:val="28"/>
          <w:szCs w:val="28"/>
        </w:rPr>
      </w:pPr>
    </w:p>
    <w:p>
      <w:pPr>
        <w:pStyle w:val="style0"/>
        <w:jc w:val="center"/>
        <w:rPr>
          <w:rFonts w:ascii="Times New Roman" w:cs="Times New Roman" w:hAnsi="Times New Roman"/>
          <w:sz w:val="72"/>
          <w:szCs w:val="72"/>
        </w:rPr>
      </w:pPr>
    </w:p>
    <w:p>
      <w:pPr>
        <w:pStyle w:val="style0"/>
        <w:jc w:val="center"/>
        <w:rPr>
          <w:rFonts w:ascii="Times New Roman" w:cs="Times New Roman" w:hAnsi="Times New Roman"/>
          <w:sz w:val="72"/>
          <w:szCs w:val="72"/>
        </w:rPr>
      </w:pPr>
    </w:p>
    <w:p>
      <w:pPr>
        <w:pStyle w:val="style0"/>
        <w:jc w:val="center"/>
        <w:rPr>
          <w:rFonts w:ascii="Times New Roman" w:cs="Times New Roman" w:hAnsi="Times New Roman"/>
          <w:sz w:val="72"/>
          <w:szCs w:val="72"/>
        </w:rPr>
      </w:pPr>
    </w:p>
    <w:p>
      <w:pPr>
        <w:pStyle w:val="style29"/>
        <w:rPr>
          <w:rFonts w:ascii="Times New Roman" w:cs="Times New Roman" w:hAnsi="Times New Roman"/>
        </w:rPr>
        <w:sectPr>
          <w:footerReference w:type="default" r:id="rId2"/>
          <w:pgSz w:w="11906" w:h="16838" w:orient="portrait"/>
          <w:pgMar w:top="1417" w:right="1588" w:bottom="1417" w:left="1588" w:header="851" w:footer="992" w:gutter="0"/>
          <w:pgNumType w:start="1"/>
          <w:cols w:space="425"/>
          <w:docGrid w:type="lines" w:linePitch="312"/>
        </w:sectPr>
      </w:pPr>
    </w:p>
    <w:p>
      <w:pPr>
        <w:pStyle w:val="style0"/>
        <w:rPr>
          <w:rFonts w:ascii="Times New Roman" w:cs="Times New Roman" w:eastAsia="方正小标宋_GBK" w:hAnsi="Times New Roman"/>
          <w:sz w:val="72"/>
          <w:szCs w:val="72"/>
        </w:rPr>
      </w:pPr>
    </w:p>
    <w:p>
      <w:pPr>
        <w:pStyle w:val="style4099"/>
        <w:spacing w:lineRule="auto" w:line="360"/>
        <w:jc w:val="center"/>
        <w:rPr>
          <w:rFonts w:ascii="Times New Roman" w:cs="Times New Roman" w:eastAsia="方正小标宋_GBK" w:hAnsi="Times New Roman"/>
          <w:sz w:val="52"/>
          <w:szCs w:val="52"/>
        </w:rPr>
      </w:pPr>
      <w:r>
        <w:rPr>
          <w:rFonts w:ascii="Times New Roman" w:cs="Times New Roman" w:eastAsia="方正小标宋_GBK" w:hAnsi="Times New Roman"/>
          <w:sz w:val="52"/>
          <w:szCs w:val="52"/>
        </w:rPr>
        <w:t>第一部分</w:t>
      </w:r>
    </w:p>
    <w:p>
      <w:pPr>
        <w:pStyle w:val="style4099"/>
        <w:spacing w:lineRule="auto" w:line="360"/>
        <w:jc w:val="center"/>
        <w:rPr>
          <w:rFonts w:ascii="Times New Roman" w:cs="Times New Roman" w:eastAsia="方正小标宋_GBK" w:hAnsi="Times New Roman"/>
          <w:sz w:val="52"/>
          <w:szCs w:val="52"/>
        </w:rPr>
      </w:pPr>
      <w:r>
        <w:rPr>
          <w:rFonts w:ascii="Times New Roman" w:cs="Times New Roman" w:eastAsia="方正小标宋_GBK" w:hAnsi="Times New Roman" w:hint="eastAsia"/>
          <w:sz w:val="52"/>
          <w:szCs w:val="52"/>
        </w:rPr>
        <w:t>益阳市第十五中学</w:t>
      </w:r>
      <w:r>
        <w:rPr>
          <w:rFonts w:ascii="Times New Roman" w:cs="Times New Roman" w:eastAsia="方正小标宋_GBK" w:hAnsi="Times New Roman"/>
          <w:sz w:val="52"/>
          <w:szCs w:val="52"/>
        </w:rPr>
        <w:t>概况</w:t>
      </w:r>
    </w:p>
    <w:p>
      <w:pPr>
        <w:pStyle w:val="style78"/>
        <w:ind w:left="0" w:leftChars="0" w:firstLine="0" w:firstLineChars="0"/>
        <w:rPr>
          <w:rFonts w:ascii="Times New Roman" w:cs="Times New Roman" w:hAnsi="Times New Roman"/>
        </w:rPr>
      </w:pPr>
    </w:p>
    <w:p>
      <w:pPr>
        <w:pStyle w:val="style179"/>
        <w:spacing w:lineRule="exact" w:line="600"/>
        <w:ind w:firstLine="0" w:firstLineChars="0"/>
        <w:jc w:val="left"/>
        <w:rPr>
          <w:rFonts w:ascii="Times New Roman" w:cs="Times New Roman" w:eastAsia="黑体" w:hAnsi="Times New Roman"/>
          <w:sz w:val="32"/>
          <w:szCs w:val="32"/>
        </w:rPr>
      </w:pPr>
      <w:r>
        <w:rPr>
          <w:rFonts w:ascii="Times New Roman" w:cs="Times New Roman" w:eastAsia="黑体" w:hAnsi="Times New Roman" w:hint="eastAsia"/>
          <w:sz w:val="32"/>
          <w:szCs w:val="32"/>
        </w:rPr>
        <w:t>一、</w:t>
      </w:r>
      <w:r>
        <w:rPr>
          <w:rFonts w:ascii="Times New Roman" w:cs="Times New Roman" w:eastAsia="黑体" w:hAnsi="Times New Roman"/>
          <w:sz w:val="32"/>
          <w:szCs w:val="32"/>
        </w:rPr>
        <w:t>部门职责</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sz w:val="32"/>
          <w:szCs w:val="32"/>
        </w:rPr>
        <w:t>（一）</w:t>
      </w:r>
      <w:r>
        <w:rPr>
          <w:rFonts w:ascii="Times New Roman" w:cs="Times New Roman" w:eastAsia="仿宋_GB2312" w:hAnsi="Times New Roman" w:hint="eastAsia"/>
          <w:sz w:val="32"/>
          <w:szCs w:val="32"/>
        </w:rPr>
        <w:t>负责贯彻党的教育方针</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坚持社会主义办学方向</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对学生进行德育、智育、体育、美育和劳动教育等方面的教育。</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二</w:t>
      </w:r>
      <w:r>
        <w:rPr>
          <w:rFonts w:ascii="Times New Roman" w:cs="Times New Roman" w:eastAsia="仿宋_GB2312" w:hAnsi="Times New Roman" w:hint="eastAsia"/>
          <w:sz w:val="32"/>
          <w:szCs w:val="32"/>
        </w:rPr>
        <w:t>）负责制定学校教育发展规划</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并抓好组织实施和落实工作。</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三</w:t>
      </w:r>
      <w:r>
        <w:rPr>
          <w:rFonts w:ascii="Times New Roman" w:cs="Times New Roman" w:eastAsia="仿宋_GB2312" w:hAnsi="Times New Roman" w:hint="eastAsia"/>
          <w:sz w:val="32"/>
          <w:szCs w:val="32"/>
        </w:rPr>
        <w:t>）负责按照教育主管部门发布的指导性教学计划、教学大纲</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组织实施教育教学活动。</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四</w:t>
      </w:r>
      <w:r>
        <w:rPr>
          <w:rFonts w:ascii="Times New Roman" w:cs="Times New Roman" w:eastAsia="仿宋_GB2312" w:hAnsi="Times New Roman" w:hint="eastAsia"/>
          <w:sz w:val="32"/>
          <w:szCs w:val="32"/>
        </w:rPr>
        <w:t>）负责依据国家主管部门有关教学计划、课程设置等方面的规定</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决定和实施本校的教学计划</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组织教学评比、集体备课</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对学生进行统一考核等。</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五</w:t>
      </w:r>
      <w:r>
        <w:rPr>
          <w:rFonts w:ascii="Times New Roman" w:cs="Times New Roman" w:eastAsia="仿宋_GB2312" w:hAnsi="Times New Roman" w:hint="eastAsia"/>
          <w:sz w:val="32"/>
          <w:szCs w:val="32"/>
        </w:rPr>
        <w:t>）负责学籍管理。</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六</w:t>
      </w:r>
      <w:r>
        <w:rPr>
          <w:rFonts w:ascii="Times New Roman" w:cs="Times New Roman" w:eastAsia="仿宋_GB2312" w:hAnsi="Times New Roman" w:hint="eastAsia"/>
          <w:sz w:val="32"/>
          <w:szCs w:val="32"/>
        </w:rPr>
        <w:t>）负责聘任、培训、考核教师</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依法奖励或处分有关教师和职工。</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七</w:t>
      </w:r>
      <w:r>
        <w:rPr>
          <w:rFonts w:ascii="Times New Roman" w:cs="Times New Roman" w:eastAsia="仿宋_GB2312" w:hAnsi="Times New Roman" w:hint="eastAsia"/>
          <w:sz w:val="32"/>
          <w:szCs w:val="32"/>
        </w:rPr>
        <w:t>）负责科学管理、合理使用学校的设施和经费。</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八</w:t>
      </w:r>
      <w:r>
        <w:rPr>
          <w:rFonts w:ascii="Times New Roman" w:cs="Times New Roman" w:eastAsia="仿宋_GB2312" w:hAnsi="Times New Roman" w:hint="eastAsia"/>
          <w:sz w:val="32"/>
          <w:szCs w:val="32"/>
        </w:rPr>
        <w:t>）负责维护学校、师生的合法权益</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有权拒绝任何组织和个人对教育教学活动进行非法干涉。</w:t>
      </w:r>
    </w:p>
    <w:p>
      <w:pPr>
        <w:pStyle w:val="style0"/>
        <w:spacing w:lineRule="exact" w:line="600"/>
        <w:ind w:firstLine="800" w:firstLineChars="250"/>
        <w:jc w:val="left"/>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九</w:t>
      </w:r>
      <w:r>
        <w:rPr>
          <w:rFonts w:ascii="Times New Roman" w:cs="Times New Roman" w:eastAsia="仿宋_GB2312" w:hAnsi="Times New Roman" w:hint="eastAsia"/>
          <w:sz w:val="32"/>
          <w:szCs w:val="32"/>
        </w:rPr>
        <w:t>）依法接受各级教育行政部门的检查指导和人民群众</w:t>
      </w:r>
      <w:r>
        <w:rPr>
          <w:rFonts w:ascii="Times New Roman" w:cs="Times New Roman" w:eastAsia="仿宋_GB2312" w:hAnsi="Times New Roman" w:hint="eastAsia"/>
          <w:sz w:val="32"/>
          <w:szCs w:val="32"/>
        </w:rPr>
        <w:t>的监督。</w:t>
      </w:r>
    </w:p>
    <w:p>
      <w:pPr>
        <w:pStyle w:val="style0"/>
        <w:widowControl/>
        <w:spacing w:lineRule="exact" w:line="600"/>
        <w:rPr>
          <w:rFonts w:ascii="Times New Roman" w:cs="Times New Roman" w:eastAsia="黑体" w:hAnsi="Times New Roman"/>
          <w:bCs/>
          <w:kern w:val="0"/>
          <w:sz w:val="32"/>
          <w:szCs w:val="32"/>
        </w:rPr>
      </w:pPr>
      <w:r>
        <w:rPr>
          <w:rFonts w:ascii="Times New Roman" w:cs="Times New Roman" w:eastAsia="黑体" w:hAnsi="Times New Roman"/>
          <w:bCs/>
          <w:kern w:val="0"/>
          <w:sz w:val="32"/>
          <w:szCs w:val="32"/>
        </w:rPr>
        <w:t>二、机构设置及决算单位构成</w:t>
      </w:r>
    </w:p>
    <w:p>
      <w:pPr>
        <w:pStyle w:val="style0"/>
        <w:ind w:firstLine="640" w:firstLineChars="200"/>
        <w:jc w:val="left"/>
        <w:rPr>
          <w:rFonts w:ascii="Times New Roman" w:cs="Times New Roman" w:eastAsia="仿宋_GB2312" w:hAnsi="Times New Roman"/>
          <w:bCs/>
          <w:kern w:val="0"/>
          <w:sz w:val="32"/>
          <w:szCs w:val="32"/>
        </w:rPr>
      </w:pPr>
      <w:r>
        <w:rPr>
          <w:rFonts w:ascii="Times New Roman" w:cs="Times New Roman" w:eastAsia="仿宋_GB2312" w:hAnsi="Times New Roman" w:hint="eastAsia"/>
          <w:bCs/>
          <w:kern w:val="0"/>
          <w:sz w:val="32"/>
          <w:szCs w:val="32"/>
        </w:rPr>
        <w:t>（一）内设机构设置。</w:t>
      </w:r>
    </w:p>
    <w:p>
      <w:pPr>
        <w:pStyle w:val="style0"/>
        <w:ind w:firstLine="640" w:firstLineChars="200"/>
        <w:jc w:val="left"/>
        <w:rPr>
          <w:rFonts w:ascii="Times New Roman" w:cs="Times New Roman" w:eastAsia="仿宋_GB2312" w:hAnsi="Times New Roman"/>
          <w:bCs/>
          <w:kern w:val="0"/>
          <w:sz w:val="32"/>
          <w:szCs w:val="32"/>
        </w:rPr>
      </w:pPr>
      <w:r>
        <w:rPr>
          <w:rFonts w:ascii="Times New Roman" w:cs="Times New Roman" w:eastAsia="仿宋_GB2312" w:hAnsi="Times New Roman" w:hint="eastAsia"/>
          <w:bCs/>
          <w:kern w:val="0"/>
          <w:sz w:val="32"/>
          <w:szCs w:val="32"/>
        </w:rPr>
        <w:t>益阳市第十五中学</w:t>
      </w:r>
      <w:r>
        <w:rPr>
          <w:rFonts w:ascii="Times New Roman" w:cs="Times New Roman" w:eastAsia="仿宋_GB2312" w:hAnsi="Times New Roman" w:hint="eastAsia"/>
          <w:bCs/>
          <w:kern w:val="0"/>
          <w:sz w:val="32"/>
          <w:szCs w:val="32"/>
        </w:rPr>
        <w:t>内设机构：政教处、总务处、</w:t>
      </w:r>
      <w:r>
        <w:rPr>
          <w:rFonts w:ascii="Times New Roman" w:cs="Times New Roman" w:eastAsia="仿宋_GB2312" w:hAnsi="Times New Roman" w:hint="eastAsia"/>
          <w:bCs/>
          <w:kern w:val="0"/>
          <w:sz w:val="32"/>
          <w:szCs w:val="32"/>
        </w:rPr>
        <w:t>教务处</w:t>
      </w:r>
      <w:r>
        <w:rPr>
          <w:rFonts w:ascii="Times New Roman" w:cs="Times New Roman" w:eastAsia="仿宋_GB2312" w:hAnsi="Times New Roman" w:hint="eastAsia"/>
          <w:bCs/>
          <w:kern w:val="0"/>
          <w:sz w:val="32"/>
          <w:szCs w:val="32"/>
        </w:rPr>
        <w:t>、德育处、</w:t>
      </w:r>
      <w:r>
        <w:rPr>
          <w:rFonts w:ascii="Times New Roman" w:cs="Times New Roman" w:eastAsia="仿宋_GB2312" w:hAnsi="Times New Roman" w:hint="eastAsia"/>
          <w:bCs/>
          <w:kern w:val="0"/>
          <w:sz w:val="32"/>
          <w:szCs w:val="32"/>
        </w:rPr>
        <w:t>党建办</w:t>
      </w:r>
      <w:r>
        <w:rPr>
          <w:rFonts w:ascii="Times New Roman" w:cs="Times New Roman" w:eastAsia="仿宋_GB2312" w:hAnsi="Times New Roman" w:hint="eastAsia"/>
          <w:bCs/>
          <w:kern w:val="0"/>
          <w:sz w:val="32"/>
          <w:szCs w:val="32"/>
        </w:rPr>
        <w:t>等。</w:t>
      </w:r>
    </w:p>
    <w:p>
      <w:pPr>
        <w:pStyle w:val="style0"/>
        <w:ind w:firstLine="640" w:firstLineChars="200"/>
        <w:jc w:val="left"/>
        <w:rPr>
          <w:rFonts w:ascii="Times New Roman" w:cs="Times New Roman" w:eastAsia="仿宋_GB2312" w:hAnsi="Times New Roman"/>
          <w:bCs/>
          <w:kern w:val="0"/>
          <w:sz w:val="32"/>
          <w:szCs w:val="32"/>
        </w:rPr>
      </w:pPr>
      <w:r>
        <w:rPr>
          <w:rFonts w:ascii="Times New Roman" w:cs="Times New Roman" w:eastAsia="仿宋_GB2312" w:hAnsi="Times New Roman" w:hint="eastAsia"/>
          <w:bCs/>
          <w:kern w:val="0"/>
          <w:sz w:val="32"/>
          <w:szCs w:val="32"/>
        </w:rPr>
        <w:t>（二）决算单位构成。</w:t>
      </w:r>
    </w:p>
    <w:p>
      <w:pPr>
        <w:pStyle w:val="style0"/>
        <w:ind w:firstLine="640" w:firstLineChars="200"/>
        <w:rPr>
          <w:rFonts w:ascii="Times New Roman" w:cs="Times New Roman" w:eastAsia="仿宋_GB2312" w:hAnsi="Times New Roman"/>
          <w:bCs/>
          <w:kern w:val="0"/>
          <w:sz w:val="32"/>
          <w:szCs w:val="32"/>
        </w:rPr>
      </w:pPr>
      <w:r>
        <w:rPr>
          <w:rFonts w:ascii="Times New Roman" w:cs="Times New Roman" w:eastAsia="仿宋_GB2312" w:hAnsi="Times New Roman"/>
          <w:bCs/>
          <w:kern w:val="0"/>
          <w:sz w:val="32"/>
          <w:szCs w:val="32"/>
        </w:rPr>
        <w:t>益阳市</w:t>
      </w:r>
      <w:r>
        <w:rPr>
          <w:rFonts w:ascii="Times New Roman" w:cs="Times New Roman" w:eastAsia="仿宋_GB2312" w:hAnsi="Times New Roman"/>
          <w:bCs/>
          <w:kern w:val="0"/>
          <w:sz w:val="32"/>
          <w:szCs w:val="32"/>
        </w:rPr>
        <w:t>赫</w:t>
      </w:r>
      <w:r>
        <w:rPr>
          <w:rFonts w:ascii="Times New Roman" w:cs="Times New Roman" w:eastAsia="仿宋_GB2312" w:hAnsi="Times New Roman"/>
          <w:bCs/>
          <w:kern w:val="0"/>
          <w:sz w:val="32"/>
          <w:szCs w:val="32"/>
        </w:rPr>
        <w:t>山区第十五中学</w:t>
      </w:r>
    </w:p>
    <w:p>
      <w:pPr>
        <w:pStyle w:val="style0"/>
        <w:jc w:val="center"/>
        <w:rPr>
          <w:rFonts w:ascii="Times New Roman" w:cs="Times New Roman" w:eastAsia="黑体" w:hAnsi="Times New Roman"/>
          <w:sz w:val="28"/>
          <w:szCs w:val="28"/>
        </w:rPr>
      </w:pPr>
    </w:p>
    <w:p>
      <w:pPr>
        <w:pStyle w:val="style0"/>
        <w:jc w:val="center"/>
        <w:rPr>
          <w:rFonts w:ascii="Times New Roman" w:cs="Times New Roman" w:eastAsia="黑体" w:hAnsi="Times New Roman"/>
          <w:sz w:val="28"/>
          <w:szCs w:val="28"/>
        </w:rPr>
      </w:pPr>
    </w:p>
    <w:p>
      <w:pPr>
        <w:pStyle w:val="style0"/>
        <w:jc w:val="center"/>
        <w:rPr>
          <w:rFonts w:ascii="Times New Roman" w:cs="Times New Roman" w:eastAsia="黑体" w:hAnsi="Times New Roman"/>
          <w:sz w:val="28"/>
          <w:szCs w:val="28"/>
        </w:rPr>
      </w:pPr>
    </w:p>
    <w:p>
      <w:pPr>
        <w:pStyle w:val="style0"/>
        <w:jc w:val="center"/>
        <w:rPr>
          <w:rFonts w:ascii="Times New Roman" w:cs="Times New Roman" w:eastAsia="黑体" w:hAnsi="Times New Roman"/>
          <w:sz w:val="28"/>
          <w:szCs w:val="28"/>
        </w:rPr>
      </w:pPr>
    </w:p>
    <w:p>
      <w:pPr>
        <w:pStyle w:val="style0"/>
        <w:jc w:val="center"/>
        <w:rPr>
          <w:rFonts w:ascii="Times New Roman" w:cs="Times New Roman" w:eastAsia="黑体" w:hAnsi="Times New Roman"/>
          <w:sz w:val="28"/>
          <w:szCs w:val="28"/>
        </w:rPr>
      </w:pPr>
    </w:p>
    <w:p>
      <w:pPr>
        <w:pStyle w:val="style29"/>
        <w:rPr>
          <w:rFonts w:ascii="Times New Roman" w:cs="Times New Roman" w:hAnsi="Times New Roman"/>
        </w:rPr>
        <w:sectPr>
          <w:footerReference w:type="default" r:id="rId3"/>
          <w:pgSz w:w="11906" w:h="16838" w:orient="portrait"/>
          <w:pgMar w:top="1417" w:right="1588" w:bottom="1417" w:left="1588" w:header="851" w:footer="992" w:gutter="0"/>
          <w:pgNumType w:start="1"/>
          <w:cols w:space="425"/>
          <w:docGrid w:type="lines" w:linePitch="312"/>
        </w:sectPr>
      </w:pPr>
    </w:p>
    <w:p>
      <w:pPr>
        <w:pStyle w:val="style4099"/>
        <w:jc w:val="center"/>
        <w:rPr>
          <w:rFonts w:ascii="Times New Roman" w:cs="Times New Roman" w:eastAsia="方正小标宋_GBK" w:hAnsi="Times New Roman"/>
          <w:sz w:val="52"/>
          <w:szCs w:val="52"/>
        </w:rPr>
      </w:pPr>
      <w:r>
        <w:rPr>
          <w:rFonts w:ascii="Times New Roman" w:cs="Times New Roman" w:eastAsia="方正小标宋_GBK" w:hAnsi="Times New Roman"/>
          <w:sz w:val="52"/>
          <w:szCs w:val="52"/>
        </w:rPr>
        <w:t>第二部分</w:t>
      </w:r>
      <w:r>
        <w:rPr>
          <w:rFonts w:ascii="Times New Roman" w:cs="Times New Roman" w:eastAsia="方正小标宋_GBK" w:hAnsi="Times New Roman"/>
          <w:sz w:val="52"/>
          <w:szCs w:val="52"/>
        </w:rPr>
        <w:t xml:space="preserve">    </w:t>
      </w:r>
      <w:r>
        <w:rPr>
          <w:rFonts w:ascii="Times New Roman" w:cs="Times New Roman" w:eastAsia="方正小标宋_GBK" w:hAnsi="Times New Roman"/>
          <w:sz w:val="52"/>
          <w:szCs w:val="52"/>
        </w:rPr>
        <w:t>部门决算表</w:t>
      </w:r>
    </w:p>
    <w:p>
      <w:pPr>
        <w:pStyle w:val="style0"/>
        <w:widowControl/>
        <w:spacing w:after="156" w:afterLines="50"/>
        <w:jc w:val="center"/>
        <w:textAlignment w:val="center"/>
        <w:rPr>
          <w:rFonts w:ascii="Times New Roman" w:cs="Times New Roman" w:eastAsia="黑体" w:hAnsi="Times New Roman"/>
          <w:color w:val="000000"/>
          <w:sz w:val="36"/>
          <w:szCs w:val="36"/>
        </w:rPr>
      </w:pPr>
      <w:r>
        <w:rPr>
          <w:rFonts w:ascii="Times New Roman" w:cs="Times New Roman" w:eastAsia="黑体" w:hAnsi="Times New Roman"/>
          <w:color w:val="000000"/>
          <w:kern w:val="0"/>
          <w:sz w:val="36"/>
          <w:szCs w:val="36"/>
        </w:rPr>
        <w:t>收入支出决算总表</w:t>
      </w:r>
    </w:p>
    <w:p>
      <w:pPr>
        <w:pStyle w:val="style0"/>
        <w:widowControl/>
        <w:spacing w:after="156" w:afterLines="50"/>
        <w:jc w:val="center"/>
        <w:textAlignment w:val="center"/>
        <w:rPr>
          <w:rFonts w:ascii="Times New Roman" w:cs="Times New Roman" w:eastAsia="黑体" w:hAnsi="Times New Roman" w:hint="eastAsia"/>
          <w:color w:val="000000"/>
          <w:kern w:val="0"/>
          <w:sz w:val="36"/>
          <w:szCs w:val="36"/>
        </w:rPr>
      </w:pPr>
      <w:r>
        <w:rPr>
          <w:rFonts w:ascii="Times New Roman" w:cs="Times New Roman" w:eastAsia="黑体" w:hAnsi="Times New Roman"/>
          <w:color w:val="000000"/>
          <w:kern w:val="0"/>
          <w:sz w:val="36"/>
          <w:szCs w:val="36"/>
        </w:rPr>
        <w:t>收入决算表</w:t>
      </w:r>
    </w:p>
    <w:p>
      <w:pPr>
        <w:pStyle w:val="style0"/>
        <w:tabs>
          <w:tab w:val="left" w:leader="none" w:pos="315"/>
          <w:tab w:val="left" w:leader="none" w:pos="630"/>
          <w:tab w:val="left" w:leader="none" w:pos="2100"/>
          <w:tab w:val="left" w:leader="none" w:pos="3895"/>
          <w:tab w:val="left" w:leader="none" w:pos="5690"/>
          <w:tab w:val="left" w:leader="none" w:pos="7485"/>
          <w:tab w:val="left" w:leader="none" w:pos="9280"/>
          <w:tab w:val="left" w:leader="none" w:pos="11075"/>
          <w:tab w:val="left" w:leader="none" w:pos="12870"/>
        </w:tabs>
        <w:jc w:val="right"/>
        <w:rPr>
          <w:rFonts w:ascii="Times New Roman" w:cs="Times New Roman" w:eastAsia="仿宋_GB2312" w:hAnsi="Times New Roman"/>
          <w:sz w:val="24"/>
          <w:szCs w:val="24"/>
        </w:rPr>
      </w:pP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p>
    <w:tbl>
      <w:tblPr>
        <w:tblW w:w="5000" w:type="pct"/>
        <w:tblLook w:val="04A0" w:firstRow="1" w:lastRow="0" w:firstColumn="1" w:lastColumn="0" w:noHBand="0" w:noVBand="1"/>
      </w:tblPr>
      <w:tblGrid>
        <w:gridCol w:w="2416"/>
        <w:gridCol w:w="222"/>
        <w:gridCol w:w="222"/>
        <w:gridCol w:w="2856"/>
        <w:gridCol w:w="1103"/>
        <w:gridCol w:w="1103"/>
        <w:gridCol w:w="903"/>
        <w:gridCol w:w="1123"/>
        <w:gridCol w:w="1123"/>
        <w:gridCol w:w="1311"/>
        <w:gridCol w:w="1616"/>
        <w:gridCol w:w="222"/>
      </w:tblGrid>
      <w:tr>
        <w:trPr>
          <w:gridAfter w:val="1"/>
          <w:wAfter w:w="78" w:type="pct"/>
          <w:trHeight w:val="288" w:hRule="atLeast"/>
        </w:trPr>
        <w:tc>
          <w:tcPr>
            <w:tcW w:w="85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7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7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0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1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6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568"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公开02表</w:t>
            </w:r>
          </w:p>
        </w:tc>
      </w:tr>
      <w:tr>
        <w:tblPrEx/>
        <w:trPr>
          <w:gridAfter w:val="1"/>
          <w:wAfter w:w="78" w:type="pct"/>
          <w:trHeight w:val="288" w:hRule="atLeast"/>
        </w:trPr>
        <w:tc>
          <w:tcPr>
            <w:tcW w:w="850"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r>
              <w:rPr>
                <w:rFonts w:ascii="宋体" w:cs="宋体" w:eastAsia="宋体" w:hAnsi="宋体" w:hint="eastAsia"/>
                <w:color w:val="000000"/>
                <w:kern w:val="0"/>
                <w:sz w:val="20"/>
                <w:szCs w:val="20"/>
              </w:rPr>
              <w:t>部门：益阳市第十五中学</w:t>
            </w:r>
          </w:p>
        </w:tc>
        <w:tc>
          <w:tcPr>
            <w:tcW w:w="78"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0"/>
                <w:szCs w:val="20"/>
              </w:rPr>
            </w:pPr>
          </w:p>
        </w:tc>
        <w:tc>
          <w:tcPr>
            <w:tcW w:w="7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0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1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6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568"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金额单位：万元</w:t>
            </w:r>
          </w:p>
        </w:tc>
      </w:tr>
      <w:tr>
        <w:tblPrEx/>
        <w:trPr>
          <w:gridAfter w:val="1"/>
          <w:wAfter w:w="78" w:type="pct"/>
          <w:trHeight w:val="300" w:hRule="atLeast"/>
        </w:trPr>
        <w:tc>
          <w:tcPr>
            <w:tcW w:w="2010"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w:t>
            </w:r>
          </w:p>
        </w:tc>
        <w:tc>
          <w:tcPr>
            <w:tcW w:w="38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本年收入合计</w:t>
            </w:r>
          </w:p>
        </w:tc>
        <w:tc>
          <w:tcPr>
            <w:tcW w:w="38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财政拨款收入</w:t>
            </w:r>
          </w:p>
        </w:tc>
        <w:tc>
          <w:tcPr>
            <w:tcW w:w="31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上级补助收入</w:t>
            </w:r>
          </w:p>
        </w:tc>
        <w:tc>
          <w:tcPr>
            <w:tcW w:w="395"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事业收入</w:t>
            </w:r>
          </w:p>
        </w:tc>
        <w:tc>
          <w:tcPr>
            <w:tcW w:w="395"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经营收入</w:t>
            </w:r>
          </w:p>
        </w:tc>
        <w:tc>
          <w:tcPr>
            <w:tcW w:w="461"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附属单位上缴收入</w:t>
            </w:r>
          </w:p>
        </w:tc>
        <w:tc>
          <w:tcPr>
            <w:tcW w:w="56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其他收入</w:t>
            </w:r>
          </w:p>
        </w:tc>
      </w:tr>
      <w:tr>
        <w:tblPrEx/>
        <w:trPr>
          <w:gridAfter w:val="1"/>
          <w:wAfter w:w="78" w:type="pct"/>
          <w:trHeight w:val="312" w:hRule="atLeast"/>
        </w:trPr>
        <w:tc>
          <w:tcPr>
            <w:tcW w:w="1006" w:type="pct"/>
            <w:gridSpan w:val="3"/>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科目代码</w:t>
            </w:r>
          </w:p>
        </w:tc>
        <w:tc>
          <w:tcPr>
            <w:tcW w:w="1004" w:type="pct"/>
            <w:vMerge w:val="restar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科目名称</w:t>
            </w: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1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95"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95"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6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56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r>
      <w:tr>
        <w:tblPrEx/>
        <w:trPr>
          <w:trHeight w:val="300" w:hRule="atLeast"/>
        </w:trPr>
        <w:tc>
          <w:tcPr>
            <w:tcW w:w="1006"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0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1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95"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95"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6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56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78" w:type="pct"/>
            <w:tcBorders>
              <w:top w:val="nil"/>
              <w:left w:val="nil"/>
              <w:bottom w:val="nil"/>
              <w:right w:val="nil"/>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r>
      <w:tr>
        <w:tblPrEx/>
        <w:trPr>
          <w:trHeight w:val="300" w:hRule="atLeast"/>
        </w:trPr>
        <w:tc>
          <w:tcPr>
            <w:tcW w:w="1006"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0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1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95"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95"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6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56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7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2010"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栏次</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w:t>
            </w:r>
          </w:p>
        </w:tc>
        <w:tc>
          <w:tcPr>
            <w:tcW w:w="31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395"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w:t>
            </w:r>
          </w:p>
        </w:tc>
        <w:tc>
          <w:tcPr>
            <w:tcW w:w="395"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w:t>
            </w:r>
          </w:p>
        </w:tc>
        <w:tc>
          <w:tcPr>
            <w:tcW w:w="461"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6</w:t>
            </w:r>
          </w:p>
        </w:tc>
        <w:tc>
          <w:tcPr>
            <w:tcW w:w="56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7</w:t>
            </w: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2010"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r>
              <w:rPr>
                <w:rFonts w:ascii="宋体" w:cs="宋体" w:eastAsia="宋体" w:hAnsi="宋体" w:hint="eastAsia"/>
                <w:b/>
                <w:bCs/>
                <w:color w:val="000000"/>
                <w:kern w:val="0"/>
                <w:sz w:val="22"/>
              </w:rPr>
              <w:t xml:space="preserve">2,556.96 </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r>
              <w:rPr>
                <w:rFonts w:ascii="宋体" w:cs="宋体" w:eastAsia="宋体" w:hAnsi="宋体" w:hint="eastAsia"/>
                <w:b/>
                <w:bCs/>
                <w:color w:val="000000"/>
                <w:kern w:val="0"/>
                <w:sz w:val="22"/>
              </w:rPr>
              <w:t xml:space="preserve">2,196.70 </w:t>
            </w:r>
          </w:p>
        </w:tc>
        <w:tc>
          <w:tcPr>
            <w:tcW w:w="31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b/>
                <w:bCs/>
                <w:color w:val="000000"/>
                <w:kern w:val="0"/>
                <w:sz w:val="22"/>
              </w:rPr>
            </w:pPr>
            <w:r>
              <w:rPr>
                <w:rFonts w:ascii="宋体" w:cs="宋体" w:eastAsia="宋体" w:hAnsi="宋体" w:hint="eastAsia"/>
                <w:b/>
                <w:bCs/>
                <w:color w:val="000000"/>
                <w:kern w:val="0"/>
                <w:sz w:val="22"/>
              </w:rPr>
              <w:t xml:space="preserve">355.80 </w:t>
            </w: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p>
        </w:tc>
        <w:tc>
          <w:tcPr>
            <w:tcW w:w="46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6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b/>
                <w:bCs/>
                <w:color w:val="000000"/>
                <w:kern w:val="0"/>
                <w:sz w:val="22"/>
              </w:rPr>
            </w:pPr>
            <w:r>
              <w:rPr>
                <w:rFonts w:ascii="宋体" w:cs="宋体" w:eastAsia="宋体" w:hAnsi="宋体" w:hint="eastAsia"/>
                <w:b/>
                <w:bCs/>
                <w:color w:val="000000"/>
                <w:kern w:val="0"/>
                <w:sz w:val="22"/>
              </w:rPr>
              <w:t xml:space="preserve">4.46 </w:t>
            </w: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06"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2050204</w:t>
            </w:r>
          </w:p>
        </w:tc>
        <w:tc>
          <w:tcPr>
            <w:tcW w:w="100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高中教育</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708.87 </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708.87 </w:t>
            </w:r>
          </w:p>
        </w:tc>
        <w:tc>
          <w:tcPr>
            <w:tcW w:w="31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6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6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06"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2050299</w:t>
            </w:r>
          </w:p>
        </w:tc>
        <w:tc>
          <w:tcPr>
            <w:tcW w:w="100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其他普通教育支出</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1,744.58 </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1,384.31 </w:t>
            </w:r>
          </w:p>
        </w:tc>
        <w:tc>
          <w:tcPr>
            <w:tcW w:w="31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color w:val="000000"/>
                <w:kern w:val="0"/>
                <w:sz w:val="22"/>
              </w:rPr>
            </w:pPr>
            <w:r>
              <w:rPr>
                <w:rFonts w:ascii="宋体" w:cs="宋体" w:eastAsia="宋体" w:hAnsi="宋体" w:hint="eastAsia"/>
                <w:color w:val="000000"/>
                <w:kern w:val="0"/>
                <w:sz w:val="22"/>
              </w:rPr>
              <w:t xml:space="preserve">355.80 </w:t>
            </w: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6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6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color w:val="000000"/>
                <w:kern w:val="0"/>
                <w:sz w:val="22"/>
              </w:rPr>
            </w:pPr>
            <w:r>
              <w:rPr>
                <w:rFonts w:ascii="宋体" w:cs="宋体" w:eastAsia="宋体" w:hAnsi="宋体" w:hint="eastAsia"/>
                <w:color w:val="000000"/>
                <w:kern w:val="0"/>
                <w:sz w:val="22"/>
              </w:rPr>
              <w:t xml:space="preserve">4.46 </w:t>
            </w: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06"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2050999</w:t>
            </w:r>
          </w:p>
        </w:tc>
        <w:tc>
          <w:tcPr>
            <w:tcW w:w="100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其他教育费附加安排的支出</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9.31 </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9.31 </w:t>
            </w:r>
          </w:p>
        </w:tc>
        <w:tc>
          <w:tcPr>
            <w:tcW w:w="31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6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6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06"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2080116</w:t>
            </w:r>
          </w:p>
        </w:tc>
        <w:tc>
          <w:tcPr>
            <w:tcW w:w="100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引进人才费用</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1.80 </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1.80 </w:t>
            </w:r>
          </w:p>
        </w:tc>
        <w:tc>
          <w:tcPr>
            <w:tcW w:w="31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6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6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06"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2101102</w:t>
            </w:r>
          </w:p>
        </w:tc>
        <w:tc>
          <w:tcPr>
            <w:tcW w:w="100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事业单位医疗</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92.40 </w:t>
            </w: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92.40 </w:t>
            </w:r>
          </w:p>
        </w:tc>
        <w:tc>
          <w:tcPr>
            <w:tcW w:w="31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95"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6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6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4922" w:type="pct"/>
            <w:gridSpan w:val="11"/>
            <w:tcBorders>
              <w:top w:val="single" w:sz="4" w:space="0" w:color="d4d4d4"/>
              <w:left w:val="nil"/>
              <w:bottom w:val="nil"/>
              <w:right w:val="nil"/>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注：本表反映部门本年度取得的各项收入情况。</w:t>
            </w: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288" w:hRule="atLeast"/>
        </w:trPr>
        <w:tc>
          <w:tcPr>
            <w:tcW w:w="850"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2"/>
              </w:rPr>
            </w:pPr>
          </w:p>
        </w:tc>
        <w:tc>
          <w:tcPr>
            <w:tcW w:w="7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7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0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1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6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56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78" w:type="pct"/>
            <w:tcBorders/>
            <w:vAlign w:val="center"/>
            <w:hideMark/>
          </w:tcPr>
          <w:p>
            <w:pPr>
              <w:pStyle w:val="style0"/>
              <w:widowControl/>
              <w:jc w:val="left"/>
              <w:rPr>
                <w:rFonts w:ascii="Times New Roman" w:cs="Times New Roman" w:eastAsia="Times New Roman" w:hAnsi="Times New Roman"/>
                <w:kern w:val="0"/>
                <w:sz w:val="20"/>
                <w:szCs w:val="20"/>
              </w:rPr>
            </w:pPr>
          </w:p>
        </w:tc>
      </w:tr>
    </w:tbl>
    <w:p>
      <w:pPr>
        <w:pStyle w:val="style0"/>
        <w:tabs>
          <w:tab w:val="left" w:leader="none" w:pos="315"/>
          <w:tab w:val="left" w:leader="none" w:pos="630"/>
          <w:tab w:val="left" w:leader="none" w:pos="2100"/>
          <w:tab w:val="left" w:leader="none" w:pos="3895"/>
          <w:tab w:val="left" w:leader="none" w:pos="5690"/>
          <w:tab w:val="left" w:leader="none" w:pos="7485"/>
          <w:tab w:val="left" w:leader="none" w:pos="9280"/>
          <w:tab w:val="left" w:leader="none" w:pos="11075"/>
          <w:tab w:val="left" w:leader="none" w:pos="12870"/>
        </w:tabs>
        <w:jc w:val="right"/>
        <w:rPr>
          <w:rFonts w:ascii="Times New Roman" w:cs="Times New Roman" w:eastAsia="仿宋_GB2312" w:hAnsi="Times New Roman"/>
          <w:color w:val="000000"/>
          <w:sz w:val="20"/>
          <w:szCs w:val="20"/>
        </w:rPr>
      </w:pP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r>
        <w:rPr>
          <w:rFonts w:ascii="Times New Roman" w:cs="Times New Roman" w:eastAsia="仿宋_GB2312" w:hAnsi="Times New Roman"/>
        </w:rPr>
        <w:t>　</w:t>
      </w:r>
      <w:r>
        <w:rPr>
          <w:rFonts w:ascii="Times New Roman" w:cs="Times New Roman" w:eastAsia="仿宋_GB2312" w:hAnsi="Times New Roman"/>
          <w:sz w:val="24"/>
          <w:szCs w:val="24"/>
        </w:rPr>
        <w:tab/>
      </w:r>
    </w:p>
    <w:p>
      <w:pPr>
        <w:pStyle w:val="style0"/>
        <w:widowControl/>
        <w:spacing w:after="156" w:afterLines="50"/>
        <w:jc w:val="center"/>
        <w:textAlignment w:val="center"/>
        <w:rPr>
          <w:rFonts w:ascii="Times New Roman" w:cs="Times New Roman" w:eastAsia="黑体" w:hAnsi="Times New Roman"/>
          <w:color w:val="000000"/>
          <w:kern w:val="0"/>
          <w:sz w:val="36"/>
          <w:szCs w:val="36"/>
        </w:rPr>
      </w:pPr>
      <w:r>
        <w:rPr>
          <w:rFonts w:ascii="Times New Roman" w:cs="Times New Roman" w:eastAsia="黑体" w:hAnsi="Times New Roman"/>
          <w:color w:val="000000"/>
          <w:kern w:val="0"/>
          <w:sz w:val="36"/>
          <w:szCs w:val="36"/>
        </w:rPr>
        <w:t>支出决算表</w:t>
      </w:r>
    </w:p>
    <w:tbl>
      <w:tblPr>
        <w:tblW w:w="5000" w:type="pct"/>
        <w:tblLook w:val="04A0" w:firstRow="1" w:lastRow="0" w:firstColumn="1" w:lastColumn="0" w:noHBand="0" w:noVBand="1"/>
      </w:tblPr>
      <w:tblGrid>
        <w:gridCol w:w="1864"/>
        <w:gridCol w:w="249"/>
        <w:gridCol w:w="249"/>
        <w:gridCol w:w="3000"/>
        <w:gridCol w:w="1374"/>
        <w:gridCol w:w="1374"/>
        <w:gridCol w:w="1374"/>
        <w:gridCol w:w="1374"/>
        <w:gridCol w:w="1374"/>
        <w:gridCol w:w="1740"/>
        <w:gridCol w:w="216"/>
      </w:tblGrid>
      <w:tr>
        <w:trPr>
          <w:gridAfter w:val="1"/>
          <w:wAfter w:w="66" w:type="pct"/>
          <w:trHeight w:val="288" w:hRule="atLeast"/>
        </w:trPr>
        <w:tc>
          <w:tcPr>
            <w:tcW w:w="666"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57"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13"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公开03表</w:t>
            </w:r>
          </w:p>
        </w:tc>
      </w:tr>
      <w:tr>
        <w:tblPrEx/>
        <w:trPr>
          <w:gridAfter w:val="1"/>
          <w:wAfter w:w="66" w:type="pct"/>
          <w:trHeight w:val="288" w:hRule="atLeast"/>
        </w:trPr>
        <w:tc>
          <w:tcPr>
            <w:tcW w:w="666"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r>
              <w:rPr>
                <w:rFonts w:ascii="宋体" w:cs="宋体" w:eastAsia="宋体" w:hAnsi="宋体" w:hint="eastAsia"/>
                <w:color w:val="000000"/>
                <w:kern w:val="0"/>
                <w:sz w:val="20"/>
                <w:szCs w:val="20"/>
              </w:rPr>
              <w:t>部门：益阳市第十五中学</w:t>
            </w:r>
          </w:p>
        </w:tc>
        <w:tc>
          <w:tcPr>
            <w:tcW w:w="89"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0"/>
                <w:szCs w:val="20"/>
              </w:rPr>
            </w:pPr>
          </w:p>
        </w:tc>
        <w:tc>
          <w:tcPr>
            <w:tcW w:w="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57"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13"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金额单位：万元</w:t>
            </w:r>
          </w:p>
        </w:tc>
      </w:tr>
      <w:tr>
        <w:tblPrEx/>
        <w:trPr>
          <w:gridAfter w:val="1"/>
          <w:wAfter w:w="66" w:type="pct"/>
          <w:trHeight w:val="300" w:hRule="atLeast"/>
        </w:trPr>
        <w:tc>
          <w:tcPr>
            <w:tcW w:w="1901"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w:t>
            </w:r>
          </w:p>
        </w:tc>
        <w:tc>
          <w:tcPr>
            <w:tcW w:w="48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本年支出合计</w:t>
            </w:r>
          </w:p>
        </w:tc>
        <w:tc>
          <w:tcPr>
            <w:tcW w:w="48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基本支出</w:t>
            </w:r>
          </w:p>
        </w:tc>
        <w:tc>
          <w:tcPr>
            <w:tcW w:w="48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项目支出</w:t>
            </w:r>
          </w:p>
        </w:tc>
        <w:tc>
          <w:tcPr>
            <w:tcW w:w="48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上缴上级支出</w:t>
            </w:r>
          </w:p>
        </w:tc>
        <w:tc>
          <w:tcPr>
            <w:tcW w:w="48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经营支出</w:t>
            </w:r>
          </w:p>
        </w:tc>
        <w:tc>
          <w:tcPr>
            <w:tcW w:w="61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对附属单位补助支出</w:t>
            </w:r>
          </w:p>
        </w:tc>
      </w:tr>
      <w:tr>
        <w:tblPrEx/>
        <w:trPr>
          <w:gridAfter w:val="1"/>
          <w:wAfter w:w="66" w:type="pct"/>
          <w:trHeight w:val="312" w:hRule="atLeast"/>
        </w:trPr>
        <w:tc>
          <w:tcPr>
            <w:tcW w:w="844" w:type="pct"/>
            <w:gridSpan w:val="3"/>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科目代码</w:t>
            </w:r>
          </w:p>
        </w:tc>
        <w:tc>
          <w:tcPr>
            <w:tcW w:w="1057" w:type="pct"/>
            <w:vMerge w:val="restar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科目名称</w:t>
            </w: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1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r>
      <w:tr>
        <w:tblPrEx/>
        <w:trPr>
          <w:trHeight w:val="300" w:hRule="atLeast"/>
        </w:trPr>
        <w:tc>
          <w:tcPr>
            <w:tcW w:w="844"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57"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1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6" w:type="pct"/>
            <w:tcBorders>
              <w:top w:val="nil"/>
              <w:left w:val="nil"/>
              <w:bottom w:val="nil"/>
              <w:right w:val="nil"/>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r>
      <w:tr>
        <w:tblPrEx/>
        <w:trPr>
          <w:trHeight w:val="300" w:hRule="atLeast"/>
        </w:trPr>
        <w:tc>
          <w:tcPr>
            <w:tcW w:w="844"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57"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1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6"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901"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栏次</w:t>
            </w:r>
          </w:p>
        </w:tc>
        <w:tc>
          <w:tcPr>
            <w:tcW w:w="484"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w:t>
            </w:r>
          </w:p>
        </w:tc>
        <w:tc>
          <w:tcPr>
            <w:tcW w:w="484"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w:t>
            </w:r>
          </w:p>
        </w:tc>
        <w:tc>
          <w:tcPr>
            <w:tcW w:w="484"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484"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w:t>
            </w:r>
          </w:p>
        </w:tc>
        <w:tc>
          <w:tcPr>
            <w:tcW w:w="484"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w:t>
            </w:r>
          </w:p>
        </w:tc>
        <w:tc>
          <w:tcPr>
            <w:tcW w:w="613"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6</w:t>
            </w: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901"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r>
              <w:rPr>
                <w:rFonts w:ascii="宋体" w:cs="宋体" w:eastAsia="宋体" w:hAnsi="宋体" w:hint="eastAsia"/>
                <w:b/>
                <w:bCs/>
                <w:color w:val="000000"/>
                <w:kern w:val="0"/>
                <w:sz w:val="22"/>
              </w:rPr>
              <w:t xml:space="preserve">2,556.96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r>
              <w:rPr>
                <w:rFonts w:ascii="宋体" w:cs="宋体" w:eastAsia="宋体" w:hAnsi="宋体" w:hint="eastAsia"/>
                <w:b/>
                <w:bCs/>
                <w:color w:val="000000"/>
                <w:kern w:val="0"/>
                <w:sz w:val="22"/>
              </w:rPr>
              <w:t xml:space="preserve">2,106.96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r>
              <w:rPr>
                <w:rFonts w:ascii="宋体" w:cs="宋体" w:eastAsia="宋体" w:hAnsi="宋体" w:hint="eastAsia"/>
                <w:b/>
                <w:bCs/>
                <w:color w:val="000000"/>
                <w:kern w:val="0"/>
                <w:sz w:val="22"/>
              </w:rPr>
              <w:t xml:space="preserve">450.00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1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844"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2050204</w:t>
            </w:r>
          </w:p>
        </w:tc>
        <w:tc>
          <w:tcPr>
            <w:tcW w:w="1057"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高中教育</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708.87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708.87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1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844"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2050299</w:t>
            </w:r>
          </w:p>
        </w:tc>
        <w:tc>
          <w:tcPr>
            <w:tcW w:w="1057"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其他普通教育支出</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1,744.58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1,303.89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440.69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1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844"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2050999</w:t>
            </w:r>
          </w:p>
        </w:tc>
        <w:tc>
          <w:tcPr>
            <w:tcW w:w="1057"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其他教育费附加安排的支出</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9.31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color w:val="000000"/>
                <w:kern w:val="0"/>
                <w:sz w:val="22"/>
              </w:rPr>
            </w:pPr>
            <w:r>
              <w:rPr>
                <w:rFonts w:ascii="宋体" w:cs="宋体" w:eastAsia="宋体" w:hAnsi="宋体" w:hint="eastAsia"/>
                <w:color w:val="000000"/>
                <w:kern w:val="0"/>
                <w:sz w:val="22"/>
              </w:rPr>
              <w:t xml:space="preserve">9.31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1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844"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2080116</w:t>
            </w:r>
          </w:p>
        </w:tc>
        <w:tc>
          <w:tcPr>
            <w:tcW w:w="1057"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引进人才费用</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1.80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1.80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1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844"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2101102</w:t>
            </w:r>
          </w:p>
        </w:tc>
        <w:tc>
          <w:tcPr>
            <w:tcW w:w="1057"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事业单位医疗</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92.40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92.40 </w:t>
            </w: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1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4934" w:type="pct"/>
            <w:gridSpan w:val="10"/>
            <w:tcBorders>
              <w:top w:val="single" w:sz="4" w:space="0" w:color="d4d4d4"/>
              <w:left w:val="nil"/>
              <w:bottom w:val="nil"/>
              <w:right w:val="nil"/>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注：本表反映部门本年度各项支出情况。</w:t>
            </w:r>
          </w:p>
        </w:tc>
        <w:tc>
          <w:tcPr>
            <w:tcW w:w="66" w:type="pct"/>
            <w:tcBorders/>
            <w:vAlign w:val="center"/>
            <w:hideMark/>
          </w:tcPr>
          <w:p>
            <w:pPr>
              <w:pStyle w:val="style0"/>
              <w:widowControl/>
              <w:jc w:val="left"/>
              <w:rPr>
                <w:rFonts w:ascii="Times New Roman" w:cs="Times New Roman" w:eastAsia="Times New Roman" w:hAnsi="Times New Roman"/>
                <w:kern w:val="0"/>
                <w:sz w:val="20"/>
                <w:szCs w:val="20"/>
              </w:rPr>
            </w:pPr>
          </w:p>
        </w:tc>
      </w:tr>
    </w:tbl>
    <w:p>
      <w:pPr>
        <w:pStyle w:val="style29"/>
        <w:rPr>
          <w:rFonts w:hint="eastAsia"/>
        </w:rPr>
      </w:pPr>
    </w:p>
    <w:p>
      <w:pPr>
        <w:pStyle w:val="style0"/>
        <w:widowControl/>
        <w:tabs>
          <w:tab w:val="left" w:leader="none" w:pos="1236"/>
          <w:tab w:val="left" w:leader="none" w:pos="1499"/>
          <w:tab w:val="left" w:leader="none" w:pos="2980"/>
          <w:tab w:val="left" w:leader="none" w:pos="4932"/>
          <w:tab w:val="left" w:leader="none" w:pos="6923"/>
          <w:tab w:val="left" w:leader="none" w:pos="8914"/>
          <w:tab w:val="left" w:leader="none" w:pos="10905"/>
          <w:tab w:val="left" w:leader="none" w:pos="12896"/>
        </w:tabs>
        <w:jc w:val="right"/>
        <w:rPr>
          <w:rFonts w:ascii="Times New Roman" w:cs="Times New Roman" w:eastAsia="仿宋_GB2312" w:hAnsi="Times New Roman"/>
          <w:color w:val="000000"/>
          <w:kern w:val="0"/>
          <w:sz w:val="20"/>
          <w:szCs w:val="20"/>
        </w:rPr>
      </w:pP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r>
        <w:rPr>
          <w:rFonts w:ascii="Times New Roman" w:cs="Times New Roman" w:eastAsia="仿宋_GB2312" w:hAnsi="Times New Roman"/>
          <w:kern w:val="0"/>
          <w:sz w:val="24"/>
          <w:szCs w:val="24"/>
        </w:rPr>
        <w:t>　</w:t>
      </w:r>
      <w:r>
        <w:rPr>
          <w:rFonts w:ascii="Times New Roman" w:cs="Times New Roman" w:eastAsia="仿宋_GB2312" w:hAnsi="Times New Roman"/>
          <w:kern w:val="0"/>
          <w:sz w:val="24"/>
          <w:szCs w:val="24"/>
        </w:rPr>
        <w:tab/>
      </w:r>
    </w:p>
    <w:bookmarkStart w:id="0" w:name="RANGE!A1:I22"/>
    <w:bookmarkStart w:id="1" w:name="RANGE!A1:F16"/>
    <w:bookmarkEnd w:id="0"/>
    <w:p>
      <w:pPr>
        <w:pStyle w:val="style0"/>
        <w:widowControl/>
        <w:tabs>
          <w:tab w:val="left" w:leader="none" w:pos="3595"/>
          <w:tab w:val="left" w:leader="none" w:pos="4031"/>
          <w:tab w:val="left" w:leader="none" w:pos="5605"/>
          <w:tab w:val="left" w:leader="none" w:pos="9152"/>
          <w:tab w:val="left" w:leader="none" w:pos="9587"/>
          <w:tab w:val="left" w:leader="none" w:pos="11160"/>
          <w:tab w:val="left" w:leader="none" w:pos="12554"/>
          <w:tab w:val="left" w:leader="none" w:pos="13948"/>
        </w:tabs>
        <w:jc w:val="right"/>
        <w:rPr>
          <w:rFonts w:ascii="Times New Roman" w:cs="Times New Roman" w:eastAsia="宋体" w:hAnsi="Times New Roman"/>
          <w:kern w:val="0"/>
          <w:sz w:val="24"/>
          <w:szCs w:val="24"/>
        </w:rPr>
      </w:pPr>
      <w:r>
        <w:rPr>
          <w:rFonts w:ascii="Times New Roman" w:cs="Times New Roman" w:eastAsia="宋体" w:hAnsi="Times New Roman"/>
          <w:kern w:val="0"/>
          <w:sz w:val="24"/>
          <w:szCs w:val="24"/>
        </w:rPr>
        <w:tab/>
      </w:r>
    </w:p>
    <w:p>
      <w:pPr>
        <w:pStyle w:val="style0"/>
        <w:widowControl/>
        <w:spacing w:lineRule="exact" w:line="400"/>
        <w:jc w:val="center"/>
        <w:textAlignment w:val="center"/>
        <w:rPr>
          <w:rFonts w:ascii="Times New Roman" w:cs="Times New Roman" w:eastAsia="黑体" w:hAnsi="Times New Roman"/>
          <w:color w:val="000000"/>
          <w:kern w:val="0"/>
          <w:sz w:val="32"/>
          <w:szCs w:val="32"/>
        </w:rPr>
      </w:pPr>
    </w:p>
    <w:p>
      <w:pPr>
        <w:pStyle w:val="style0"/>
        <w:widowControl/>
        <w:spacing w:after="156" w:afterLines="50"/>
        <w:jc w:val="center"/>
        <w:textAlignment w:val="center"/>
        <w:rPr>
          <w:rFonts w:ascii="Times New Roman" w:cs="Times New Roman" w:eastAsia="黑体" w:hAnsi="Times New Roman"/>
          <w:color w:val="000000"/>
          <w:kern w:val="0"/>
          <w:sz w:val="36"/>
          <w:szCs w:val="36"/>
        </w:rPr>
      </w:pPr>
      <w:r>
        <w:rPr>
          <w:rFonts w:ascii="Times New Roman" w:cs="Times New Roman" w:eastAsia="黑体" w:hAnsi="Times New Roman"/>
          <w:color w:val="000000"/>
          <w:kern w:val="0"/>
          <w:sz w:val="36"/>
          <w:szCs w:val="36"/>
        </w:rPr>
        <w:t>财政拨款收入支出决算总表</w:t>
      </w:r>
    </w:p>
    <w:tbl>
      <w:tblPr>
        <w:tblW w:w="5000" w:type="pct"/>
        <w:tblLook w:val="04A0" w:firstRow="1" w:lastRow="0" w:firstColumn="1" w:lastColumn="0" w:noHBand="0" w:noVBand="1"/>
      </w:tblPr>
      <w:tblGrid>
        <w:gridCol w:w="2957"/>
        <w:gridCol w:w="472"/>
        <w:gridCol w:w="1389"/>
        <w:gridCol w:w="3058"/>
        <w:gridCol w:w="472"/>
        <w:gridCol w:w="1389"/>
        <w:gridCol w:w="1389"/>
        <w:gridCol w:w="1389"/>
        <w:gridCol w:w="1489"/>
        <w:gridCol w:w="216"/>
      </w:tblGrid>
      <w:tr>
        <w:trPr>
          <w:gridAfter w:val="1"/>
          <w:wAfter w:w="72" w:type="pct"/>
          <w:trHeight w:val="288" w:hRule="atLeast"/>
        </w:trPr>
        <w:tc>
          <w:tcPr>
            <w:tcW w:w="104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66"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77"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66"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524"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公开04表</w:t>
            </w:r>
          </w:p>
        </w:tc>
      </w:tr>
      <w:tr>
        <w:tblPrEx/>
        <w:trPr>
          <w:gridAfter w:val="1"/>
          <w:wAfter w:w="72" w:type="pct"/>
          <w:trHeight w:val="288" w:hRule="atLeast"/>
        </w:trPr>
        <w:tc>
          <w:tcPr>
            <w:tcW w:w="1041"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r>
              <w:rPr>
                <w:rFonts w:ascii="宋体" w:cs="宋体" w:eastAsia="宋体" w:hAnsi="宋体" w:hint="eastAsia"/>
                <w:color w:val="000000"/>
                <w:kern w:val="0"/>
                <w:sz w:val="20"/>
                <w:szCs w:val="20"/>
              </w:rPr>
              <w:t>部门：益阳市第十五中学</w:t>
            </w:r>
          </w:p>
        </w:tc>
        <w:tc>
          <w:tcPr>
            <w:tcW w:w="166"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77"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66"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9"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524"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金额单位：万元</w:t>
            </w:r>
          </w:p>
        </w:tc>
      </w:tr>
      <w:tr>
        <w:tblPrEx/>
        <w:trPr>
          <w:gridAfter w:val="1"/>
          <w:wAfter w:w="72" w:type="pct"/>
          <w:trHeight w:val="300" w:hRule="atLeast"/>
        </w:trPr>
        <w:tc>
          <w:tcPr>
            <w:tcW w:w="1696" w:type="pct"/>
            <w:gridSpan w:val="3"/>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收入</w:t>
            </w:r>
          </w:p>
        </w:tc>
        <w:tc>
          <w:tcPr>
            <w:tcW w:w="3233" w:type="pct"/>
            <w:gridSpan w:val="6"/>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支出</w:t>
            </w:r>
          </w:p>
        </w:tc>
      </w:tr>
      <w:tr>
        <w:tblPrEx/>
        <w:trPr>
          <w:gridAfter w:val="1"/>
          <w:wAfter w:w="72" w:type="pct"/>
          <w:trHeight w:val="312" w:hRule="atLeast"/>
        </w:trPr>
        <w:tc>
          <w:tcPr>
            <w:tcW w:w="1041"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w:t>
            </w:r>
          </w:p>
        </w:tc>
        <w:tc>
          <w:tcPr>
            <w:tcW w:w="166"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行次</w:t>
            </w:r>
          </w:p>
        </w:tc>
        <w:tc>
          <w:tcPr>
            <w:tcW w:w="489"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金额</w:t>
            </w:r>
          </w:p>
        </w:tc>
        <w:tc>
          <w:tcPr>
            <w:tcW w:w="1077"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w:t>
            </w:r>
          </w:p>
        </w:tc>
        <w:tc>
          <w:tcPr>
            <w:tcW w:w="166"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行次</w:t>
            </w:r>
          </w:p>
        </w:tc>
        <w:tc>
          <w:tcPr>
            <w:tcW w:w="489" w:type="pct"/>
            <w:vMerge w:val="restar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489"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一般公共预算财政拨款</w:t>
            </w:r>
          </w:p>
        </w:tc>
        <w:tc>
          <w:tcPr>
            <w:tcW w:w="489"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政府性基金预算财政拨款</w:t>
            </w:r>
          </w:p>
        </w:tc>
        <w:tc>
          <w:tcPr>
            <w:tcW w:w="52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国有资本经营预算财政拨款</w:t>
            </w:r>
          </w:p>
        </w:tc>
      </w:tr>
      <w:tr>
        <w:tblPrEx/>
        <w:trPr>
          <w:trHeight w:val="600" w:hRule="atLeast"/>
        </w:trPr>
        <w:tc>
          <w:tcPr>
            <w:tcW w:w="104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66"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9"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77"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66"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9"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9"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9"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52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72" w:type="pct"/>
            <w:tcBorders>
              <w:top w:val="nil"/>
              <w:left w:val="nil"/>
              <w:bottom w:val="nil"/>
              <w:right w:val="nil"/>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栏次</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w:t>
            </w: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栏次</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w:t>
            </w:r>
          </w:p>
        </w:tc>
        <w:tc>
          <w:tcPr>
            <w:tcW w:w="489"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489"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w:t>
            </w:r>
          </w:p>
        </w:tc>
        <w:tc>
          <w:tcPr>
            <w:tcW w:w="5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w:t>
            </w: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一、一般公共预算财政拨款</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hint="eastAsia"/>
                <w:color w:val="000000"/>
                <w:kern w:val="0"/>
                <w:sz w:val="22"/>
              </w:rPr>
            </w:pPr>
            <w:r>
              <w:rPr>
                <w:rFonts w:ascii="宋体" w:cs="宋体" w:eastAsia="宋体" w:hAnsi="宋体" w:hint="eastAsia"/>
                <w:color w:val="000000"/>
                <w:kern w:val="0"/>
                <w:sz w:val="22"/>
              </w:rPr>
              <w:t>一、一般公共服务支出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二、政府性基金预算财政拨款</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二、外交支出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三、国有资本经营预算财政拨</w:t>
            </w:r>
            <w:r>
              <w:rPr>
                <w:rFonts w:ascii="宋体" w:cs="宋体" w:eastAsia="宋体" w:hAnsi="宋体" w:hint="eastAsia"/>
                <w:color w:val="000000"/>
                <w:kern w:val="0"/>
                <w:sz w:val="22"/>
              </w:rPr>
              <w:t>款</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三、国防支出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35</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四、公共安全支出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36</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5</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五、教育支出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37</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2,102.50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2,102.50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6</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六、科学技术支出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38</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7</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七、文化旅游体育与传媒支出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39</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8</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八、社会保障和就业支出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40</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1.80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1.80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9</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九、卫生健康支出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92.40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92.40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10</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十、节能环保支出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十一、城乡社区支出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十二、农林水支出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十三、交通运输支出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45</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十四、资源勘探工业信息等支出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46</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15</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十五、商业服务业等支出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47</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16</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十六、金融支出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48</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17</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十七、援助其他地区支出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49</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18</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十八、自然资源海洋气象等支出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50</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19</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十九、住房保障支出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20</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二十、粮油物资储备支出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二十一、国有资本经营预算支出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二十二、灾害防治及应急管理支出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二十三、其他支出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55</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二十四、债务还本支出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56</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25</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二十五、债务付息支出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57</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26</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二十六、抗</w:t>
            </w:r>
            <w:r>
              <w:rPr>
                <w:rFonts w:ascii="宋体" w:cs="宋体" w:eastAsia="宋体" w:hAnsi="宋体" w:hint="eastAsia"/>
                <w:color w:val="000000"/>
                <w:kern w:val="0"/>
                <w:sz w:val="22"/>
              </w:rPr>
              <w:t>疫</w:t>
            </w:r>
            <w:r>
              <w:rPr>
                <w:rFonts w:ascii="宋体" w:cs="宋体" w:eastAsia="宋体" w:hAnsi="宋体" w:hint="eastAsia"/>
                <w:color w:val="000000"/>
                <w:kern w:val="0"/>
                <w:sz w:val="22"/>
              </w:rPr>
              <w:t>特别国债安排的支出</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58</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b/>
                <w:bCs/>
                <w:color w:val="000000"/>
                <w:kern w:val="0"/>
                <w:sz w:val="22"/>
              </w:rPr>
            </w:pPr>
            <w:r>
              <w:rPr>
                <w:rFonts w:ascii="宋体" w:cs="宋体" w:eastAsia="宋体" w:hAnsi="宋体" w:hint="eastAsia"/>
                <w:b/>
                <w:bCs/>
                <w:color w:val="000000"/>
                <w:kern w:val="0"/>
                <w:sz w:val="22"/>
              </w:rPr>
              <w:t>本年收入合计</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27</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b/>
                <w:bCs/>
                <w:color w:val="000000"/>
                <w:kern w:val="0"/>
                <w:sz w:val="22"/>
              </w:rPr>
            </w:pPr>
            <w:r>
              <w:rPr>
                <w:rFonts w:ascii="宋体" w:cs="宋体" w:eastAsia="宋体" w:hAnsi="宋体" w:hint="eastAsia"/>
                <w:b/>
                <w:bCs/>
                <w:color w:val="000000"/>
                <w:kern w:val="0"/>
                <w:sz w:val="22"/>
              </w:rPr>
              <w:t>本年支出合计</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59</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 xml:space="preserve">  年初财政拨款结转和结余</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28</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 xml:space="preserve">   年末财政拨款结转和结余</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60</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0.00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0.00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 xml:space="preserve">     一般公共预算财政拨款</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29</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61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 xml:space="preserve">     政府性基金预算财政拨款</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30</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62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 xml:space="preserve">     国有资本经营预算财政拨款</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31</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right"/>
              <w:rPr>
                <w:rFonts w:ascii="Times New Roman" w:cs="Times New Roman" w:eastAsia="Times New Roman" w:hAnsi="Times New Roman"/>
                <w:kern w:val="0"/>
                <w:sz w:val="20"/>
                <w:szCs w:val="20"/>
              </w:rPr>
            </w:pP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63</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04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b/>
                <w:bCs/>
                <w:color w:val="000000"/>
                <w:kern w:val="0"/>
                <w:sz w:val="22"/>
              </w:rPr>
            </w:pPr>
            <w:r>
              <w:rPr>
                <w:rFonts w:ascii="宋体" w:cs="宋体" w:eastAsia="宋体" w:hAnsi="宋体" w:hint="eastAsia"/>
                <w:b/>
                <w:bCs/>
                <w:color w:val="000000"/>
                <w:kern w:val="0"/>
                <w:sz w:val="22"/>
              </w:rPr>
              <w:t>总计</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32</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1077"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b/>
                <w:bCs/>
                <w:color w:val="000000"/>
                <w:kern w:val="0"/>
                <w:sz w:val="22"/>
              </w:rPr>
            </w:pPr>
            <w:r>
              <w:rPr>
                <w:rFonts w:ascii="宋体" w:cs="宋体" w:eastAsia="宋体" w:hAnsi="宋体" w:hint="eastAsia"/>
                <w:b/>
                <w:bCs/>
                <w:color w:val="000000"/>
                <w:kern w:val="0"/>
                <w:sz w:val="22"/>
              </w:rPr>
              <w:t>总计</w:t>
            </w:r>
          </w:p>
        </w:tc>
        <w:tc>
          <w:tcPr>
            <w:tcW w:w="166"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64</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r>
              <w:rPr>
                <w:rFonts w:ascii="宋体" w:cs="宋体" w:eastAsia="宋体" w:hAnsi="宋体" w:hint="eastAsia"/>
                <w:color w:val="000000"/>
                <w:kern w:val="0"/>
                <w:sz w:val="22"/>
              </w:rPr>
              <w:t xml:space="preserve">2,196.70 </w:t>
            </w:r>
          </w:p>
        </w:tc>
        <w:tc>
          <w:tcPr>
            <w:tcW w:w="489"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color w:val="000000"/>
                <w:kern w:val="0"/>
                <w:sz w:val="22"/>
              </w:rPr>
            </w:pPr>
          </w:p>
        </w:tc>
        <w:tc>
          <w:tcPr>
            <w:tcW w:w="524"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4405" w:type="pct"/>
            <w:gridSpan w:val="8"/>
            <w:tcBorders>
              <w:top w:val="single" w:sz="4" w:space="0" w:color="d4d4d4"/>
              <w:left w:val="nil"/>
              <w:bottom w:val="nil"/>
              <w:right w:val="nil"/>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注：本表反映部门本年度一般公共预算财政拨款、政府性基金预算财政拨款和国有资本经营预算财政拨款的总收支和年末结转结余情况。</w:t>
            </w:r>
          </w:p>
        </w:tc>
        <w:tc>
          <w:tcPr>
            <w:tcW w:w="524" w:type="pct"/>
            <w:tcBorders>
              <w:top w:val="single" w:sz="4" w:space="0" w:color="d4d4d4"/>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2"/>
              </w:rPr>
            </w:pPr>
          </w:p>
        </w:tc>
        <w:tc>
          <w:tcPr>
            <w:tcW w:w="72" w:type="pct"/>
            <w:tcBorders/>
            <w:vAlign w:val="center"/>
            <w:hideMark/>
          </w:tcPr>
          <w:p>
            <w:pPr>
              <w:pStyle w:val="style0"/>
              <w:widowControl/>
              <w:jc w:val="left"/>
              <w:rPr>
                <w:rFonts w:ascii="Times New Roman" w:cs="Times New Roman" w:eastAsia="Times New Roman" w:hAnsi="Times New Roman"/>
                <w:kern w:val="0"/>
                <w:sz w:val="20"/>
                <w:szCs w:val="20"/>
              </w:rPr>
            </w:pPr>
          </w:p>
        </w:tc>
      </w:tr>
      <w:bookmarkEnd w:id="1"/>
    </w:tbl>
    <w:p>
      <w:pPr>
        <w:pStyle w:val="style0"/>
        <w:widowControl/>
        <w:jc w:val="left"/>
        <w:rPr>
          <w:rFonts w:ascii="Times New Roman" w:cs="Times New Roman" w:eastAsia="仿宋_GB2312" w:hAnsi="Times New Roman"/>
          <w:bCs/>
          <w:kern w:val="0"/>
          <w:szCs w:val="21"/>
        </w:rPr>
      </w:pPr>
    </w:p>
    <w:bookmarkStart w:id="2" w:name="RANGE!A1:I34"/>
    <w:p>
      <w:pPr>
        <w:pStyle w:val="style0"/>
        <w:widowControl/>
        <w:spacing w:after="120"/>
        <w:jc w:val="center"/>
        <w:textAlignment w:val="center"/>
        <w:rPr>
          <w:rFonts w:ascii="Times New Roman" w:cs="Times New Roman" w:eastAsia="黑体" w:hAnsi="Times New Roman"/>
          <w:color w:val="000000"/>
          <w:kern w:val="0"/>
          <w:sz w:val="36"/>
          <w:szCs w:val="36"/>
        </w:rPr>
      </w:pPr>
      <w:r>
        <w:rPr>
          <w:rFonts w:ascii="Times New Roman" w:cs="Times New Roman" w:eastAsia="黑体" w:hAnsi="Times New Roman"/>
          <w:color w:val="000000"/>
          <w:kern w:val="0"/>
          <w:sz w:val="36"/>
          <w:szCs w:val="36"/>
        </w:rPr>
        <w:t>一般公共预算财政拨款基本支出决算明细表</w:t>
      </w:r>
      <w:bookmarkEnd w:id="2"/>
    </w:p>
    <w:tbl>
      <w:tblPr>
        <w:tblW w:w="5000" w:type="pct"/>
        <w:tblLook w:val="04A0" w:firstRow="1" w:lastRow="0" w:firstColumn="1" w:lastColumn="0" w:noHBand="0" w:noVBand="1"/>
      </w:tblPr>
      <w:tblGrid>
        <w:gridCol w:w="18"/>
        <w:gridCol w:w="1606"/>
        <w:gridCol w:w="355"/>
        <w:gridCol w:w="239"/>
        <w:gridCol w:w="237"/>
        <w:gridCol w:w="1763"/>
        <w:gridCol w:w="1056"/>
        <w:gridCol w:w="193"/>
        <w:gridCol w:w="638"/>
        <w:gridCol w:w="821"/>
        <w:gridCol w:w="957"/>
        <w:gridCol w:w="723"/>
        <w:gridCol w:w="165"/>
        <w:gridCol w:w="832"/>
        <w:gridCol w:w="630"/>
        <w:gridCol w:w="2400"/>
        <w:gridCol w:w="1131"/>
        <w:gridCol w:w="220"/>
      </w:tblGrid>
      <w:tr>
        <w:trPr>
          <w:gridBefore w:val="1"/>
          <w:gridAfter w:val="1"/>
          <w:wBefore w:w="20" w:type="pct"/>
          <w:wAfter w:w="78" w:type="pct"/>
          <w:trHeight w:val="288" w:hRule="atLeast"/>
        </w:trPr>
        <w:tc>
          <w:tcPr>
            <w:tcW w:w="60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006" w:type="pct"/>
            <w:gridSpan w:val="4"/>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83" w:type="pct"/>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43"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678"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58"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24" w:type="pct"/>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1202"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410" w:type="pct"/>
            <w:tcBorders>
              <w:top w:val="nil"/>
              <w:left w:val="nil"/>
              <w:bottom w:val="nil"/>
              <w:right w:val="nil"/>
            </w:tcBorders>
            <w:shd w:val="clear" w:color="auto" w:fill="auto"/>
            <w:noWrap/>
            <w:vAlign w:val="bottom"/>
            <w:hideMark/>
          </w:tcPr>
          <w:p>
            <w:pPr>
              <w:pStyle w:val="style0"/>
              <w:rPr>
                <w:rFonts w:ascii="宋体" w:cs="宋体" w:eastAsia="宋体" w:hAnsi="宋体"/>
                <w:color w:val="000000"/>
                <w:sz w:val="18"/>
                <w:szCs w:val="18"/>
              </w:rPr>
            </w:pPr>
            <w:r>
              <w:rPr>
                <w:rFonts w:hint="eastAsia"/>
                <w:color w:val="000000"/>
                <w:sz w:val="18"/>
                <w:szCs w:val="18"/>
              </w:rPr>
              <w:t>公开</w:t>
            </w:r>
            <w:r>
              <w:rPr>
                <w:rFonts w:hint="eastAsia"/>
                <w:color w:val="000000"/>
                <w:sz w:val="18"/>
                <w:szCs w:val="18"/>
              </w:rPr>
              <w:t>06</w:t>
            </w:r>
            <w:r>
              <w:rPr>
                <w:rFonts w:hint="eastAsia"/>
                <w:color w:val="000000"/>
                <w:sz w:val="18"/>
                <w:szCs w:val="18"/>
              </w:rPr>
              <w:t>表</w:t>
            </w:r>
          </w:p>
        </w:tc>
      </w:tr>
      <w:tr>
        <w:tblPrEx/>
        <w:trPr>
          <w:gridBefore w:val="1"/>
          <w:gridAfter w:val="1"/>
          <w:wBefore w:w="20" w:type="pct"/>
          <w:wAfter w:w="78" w:type="pct"/>
          <w:trHeight w:val="288" w:hRule="atLeast"/>
        </w:trPr>
        <w:tc>
          <w:tcPr>
            <w:tcW w:w="601" w:type="pct"/>
            <w:tcBorders>
              <w:top w:val="nil"/>
              <w:left w:val="nil"/>
              <w:bottom w:val="nil"/>
              <w:right w:val="nil"/>
            </w:tcBorders>
            <w:shd w:val="clear" w:color="auto" w:fill="auto"/>
            <w:noWrap/>
            <w:vAlign w:val="bottom"/>
            <w:hideMark/>
          </w:tcPr>
          <w:p>
            <w:pPr>
              <w:pStyle w:val="style0"/>
              <w:rPr>
                <w:rFonts w:hint="eastAsia"/>
                <w:color w:val="000000"/>
                <w:sz w:val="18"/>
                <w:szCs w:val="18"/>
              </w:rPr>
            </w:pPr>
            <w:r>
              <w:rPr>
                <w:rFonts w:hint="eastAsia"/>
                <w:color w:val="000000"/>
                <w:sz w:val="18"/>
                <w:szCs w:val="18"/>
              </w:rPr>
              <w:t>部门：益阳市第十五中学</w:t>
            </w:r>
          </w:p>
        </w:tc>
        <w:tc>
          <w:tcPr>
            <w:tcW w:w="1006" w:type="pct"/>
            <w:gridSpan w:val="4"/>
            <w:tcBorders>
              <w:top w:val="nil"/>
              <w:left w:val="nil"/>
              <w:bottom w:val="nil"/>
              <w:right w:val="nil"/>
            </w:tcBorders>
            <w:shd w:val="clear" w:color="auto" w:fill="auto"/>
            <w:noWrap/>
            <w:vAlign w:val="center"/>
            <w:hideMark/>
          </w:tcPr>
          <w:p>
            <w:pPr>
              <w:pStyle w:val="style0"/>
              <w:rPr>
                <w:rFonts w:hint="eastAsia"/>
                <w:color w:val="000000"/>
                <w:sz w:val="18"/>
                <w:szCs w:val="18"/>
              </w:rPr>
            </w:pPr>
          </w:p>
        </w:tc>
        <w:tc>
          <w:tcPr>
            <w:tcW w:w="283" w:type="pct"/>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43"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678"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58"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224" w:type="pct"/>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1202" w:type="pct"/>
            <w:gridSpan w:val="2"/>
            <w:tcBorders>
              <w:top w:val="nil"/>
              <w:left w:val="nil"/>
              <w:bottom w:val="nil"/>
              <w:right w:val="nil"/>
            </w:tcBorders>
            <w:shd w:val="clear" w:color="auto" w:fill="auto"/>
            <w:noWrap/>
            <w:vAlign w:val="center"/>
            <w:hideMark/>
          </w:tcPr>
          <w:p>
            <w:pPr>
              <w:pStyle w:val="style0"/>
              <w:rPr>
                <w:rFonts w:ascii="Times New Roman" w:cs="Times New Roman" w:eastAsia="Times New Roman" w:hAnsi="Times New Roman"/>
                <w:sz w:val="20"/>
                <w:szCs w:val="20"/>
              </w:rPr>
            </w:pPr>
          </w:p>
        </w:tc>
        <w:tc>
          <w:tcPr>
            <w:tcW w:w="410" w:type="pct"/>
            <w:tcBorders>
              <w:top w:val="nil"/>
              <w:left w:val="nil"/>
              <w:bottom w:val="nil"/>
              <w:right w:val="nil"/>
            </w:tcBorders>
            <w:shd w:val="clear" w:color="auto" w:fill="auto"/>
            <w:noWrap/>
            <w:vAlign w:val="bottom"/>
            <w:hideMark/>
          </w:tcPr>
          <w:p>
            <w:pPr>
              <w:pStyle w:val="style0"/>
              <w:rPr>
                <w:rFonts w:ascii="宋体" w:cs="宋体" w:eastAsia="宋体" w:hAnsi="宋体"/>
                <w:color w:val="000000"/>
                <w:sz w:val="18"/>
                <w:szCs w:val="18"/>
              </w:rPr>
            </w:pPr>
            <w:r>
              <w:rPr>
                <w:rFonts w:hint="eastAsia"/>
                <w:color w:val="000000"/>
                <w:sz w:val="18"/>
                <w:szCs w:val="18"/>
              </w:rPr>
              <w:t>金额单位：万元</w:t>
            </w:r>
          </w:p>
        </w:tc>
      </w:tr>
      <w:tr>
        <w:tblPrEx/>
        <w:trPr>
          <w:gridBefore w:val="1"/>
          <w:gridAfter w:val="1"/>
          <w:wBefore w:w="20" w:type="pct"/>
          <w:wAfter w:w="78" w:type="pct"/>
          <w:trHeight w:val="312" w:hRule="atLeast"/>
        </w:trPr>
        <w:tc>
          <w:tcPr>
            <w:tcW w:w="601"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科目代码</w:t>
            </w:r>
          </w:p>
        </w:tc>
        <w:tc>
          <w:tcPr>
            <w:tcW w:w="1006" w:type="pct"/>
            <w:gridSpan w:val="4"/>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科目名称</w:t>
            </w:r>
          </w:p>
        </w:tc>
        <w:tc>
          <w:tcPr>
            <w:tcW w:w="2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决算数</w:t>
            </w:r>
          </w:p>
        </w:tc>
        <w:tc>
          <w:tcPr>
            <w:tcW w:w="243" w:type="pct"/>
            <w:gridSpan w:val="2"/>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科目代码</w:t>
            </w:r>
          </w:p>
        </w:tc>
        <w:tc>
          <w:tcPr>
            <w:tcW w:w="678" w:type="pct"/>
            <w:gridSpan w:val="2"/>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科目名称</w:t>
            </w:r>
          </w:p>
        </w:tc>
        <w:tc>
          <w:tcPr>
            <w:tcW w:w="258" w:type="pct"/>
            <w:gridSpan w:val="2"/>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决算数</w:t>
            </w:r>
          </w:p>
        </w:tc>
        <w:tc>
          <w:tcPr>
            <w:tcW w:w="224"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科目代码</w:t>
            </w:r>
          </w:p>
        </w:tc>
        <w:tc>
          <w:tcPr>
            <w:tcW w:w="1202" w:type="pct"/>
            <w:gridSpan w:val="2"/>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科目名称</w:t>
            </w:r>
          </w:p>
        </w:tc>
        <w:tc>
          <w:tcPr>
            <w:tcW w:w="410"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jc w:val="center"/>
              <w:rPr>
                <w:rFonts w:hint="eastAsia"/>
                <w:color w:val="000000"/>
                <w:sz w:val="22"/>
              </w:rPr>
            </w:pPr>
            <w:r>
              <w:rPr>
                <w:rFonts w:hint="eastAsia"/>
                <w:color w:val="000000"/>
                <w:sz w:val="22"/>
              </w:rPr>
              <w:t>决算数</w:t>
            </w:r>
          </w:p>
        </w:tc>
      </w:tr>
      <w:tr>
        <w:tblPrEx/>
        <w:trPr>
          <w:gridBefore w:val="1"/>
          <w:wBefore w:w="20" w:type="pct"/>
          <w:trHeight w:val="300" w:hRule="atLeast"/>
        </w:trPr>
        <w:tc>
          <w:tcPr>
            <w:tcW w:w="60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1006" w:type="pct"/>
            <w:gridSpan w:val="4"/>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2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243" w:type="pct"/>
            <w:gridSpan w:val="2"/>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678" w:type="pct"/>
            <w:gridSpan w:val="2"/>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258" w:type="pct"/>
            <w:gridSpan w:val="2"/>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224"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1202" w:type="pct"/>
            <w:gridSpan w:val="2"/>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41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rPr>
                <w:rFonts w:ascii="宋体" w:cs="宋体" w:eastAsia="宋体" w:hAnsi="宋体"/>
                <w:color w:val="000000"/>
                <w:sz w:val="22"/>
              </w:rPr>
            </w:pPr>
          </w:p>
        </w:tc>
        <w:tc>
          <w:tcPr>
            <w:tcW w:w="78" w:type="pct"/>
            <w:tcBorders>
              <w:top w:val="nil"/>
              <w:left w:val="nil"/>
              <w:bottom w:val="nil"/>
              <w:right w:val="nil"/>
            </w:tcBorders>
            <w:shd w:val="clear" w:color="auto" w:fill="auto"/>
            <w:noWrap/>
            <w:vAlign w:val="center"/>
            <w:hideMark/>
          </w:tcPr>
          <w:p>
            <w:pPr>
              <w:pStyle w:val="style0"/>
              <w:jc w:val="center"/>
              <w:rPr>
                <w:rFonts w:hint="eastAsia"/>
                <w:color w:val="000000"/>
                <w:sz w:val="22"/>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ascii="宋体" w:cs="宋体" w:eastAsia="宋体" w:hAnsi="宋体"/>
                <w:color w:val="000000"/>
                <w:sz w:val="22"/>
              </w:rPr>
            </w:pPr>
            <w:r>
              <w:rPr>
                <w:rFonts w:hint="eastAsia"/>
                <w:color w:val="000000"/>
                <w:sz w:val="22"/>
              </w:rPr>
              <w:t>301</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工资福利支出</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1,512.49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商品和服务支出</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204.18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307</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债务利息及费用支出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30101</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基本工资</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747.49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30201</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办公费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5.00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30701</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国内债务付息</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30102</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津贴补贴</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50.04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30202</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印刷费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3.00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30702</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国外债务付息</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30103</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奖金</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40.00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30204</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手续费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资本性支出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0.42 </w:t>
            </w: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30106</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伙食补助费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3020</w:t>
            </w:r>
            <w:r>
              <w:rPr>
                <w:rFonts w:hint="eastAsia"/>
                <w:color w:val="000000"/>
                <w:sz w:val="22"/>
              </w:rPr>
              <w:t>5</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水费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3.00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310</w:t>
            </w:r>
            <w:r>
              <w:rPr>
                <w:rFonts w:hint="eastAsia"/>
                <w:color w:val="000000"/>
                <w:sz w:val="22"/>
              </w:rPr>
              <w:t>01</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房屋建筑物购建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30107</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绩效工资</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278.15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30206</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电费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54.69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31002</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办公设备购置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0.42 </w:t>
            </w: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30108</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机关事业单位基本养老保险缴费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168.48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30207</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邮电费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31003</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专用设备购置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30109</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职业年金缴费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30208</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取暖费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31005</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基础设施建设</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30110</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职工基本医疗保险缴费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92.40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30209</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物业管理费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11.40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31006</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大型修缮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30111</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公务员医疗补助缴费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30211</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差旅费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31007</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信息网络及软件购置更新</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30112</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其他社会保障缴费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30212</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因公出国（境）费用</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31008</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物资储备</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30113</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住房公积金</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135.92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30213</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维修（护）费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55.07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31009</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土地补偿</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30114</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医疗费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30214</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租赁费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31010</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安置补助</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30199</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其他工资福利支出</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30215</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会议费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31011</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地上附着物和青苗补偿</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对个人和家庭的补助</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29.61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30216</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培训费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23.47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31012</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拆迁补偿</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30301</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离休费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30217</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公务接待费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31013</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公务用车购置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30302</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退休费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30218</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专用材料费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31019</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其他交通工具购置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30303</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退职（役）费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30224</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被装购置费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31021</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文物和陈列品购置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30304</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抚恤金</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14.11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30225</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专用燃料费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31022</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无形资产购置</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30305</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生活补助</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15.50 </w:t>
            </w: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3022</w:t>
            </w:r>
            <w:r>
              <w:rPr>
                <w:rFonts w:hint="eastAsia"/>
                <w:color w:val="000000"/>
                <w:sz w:val="22"/>
              </w:rPr>
              <w:t>6</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劳务费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5.00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310</w:t>
            </w:r>
            <w:r>
              <w:rPr>
                <w:rFonts w:hint="eastAsia"/>
                <w:color w:val="000000"/>
                <w:sz w:val="22"/>
              </w:rPr>
              <w:t>99</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其他资本性支出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30306</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救济费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30227</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委托业务费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399</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其他支出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30307</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医疗费补助</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30228</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工会经费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40.00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hint="eastAsia"/>
                <w:color w:val="000000"/>
                <w:sz w:val="22"/>
              </w:rPr>
            </w:pPr>
            <w:r>
              <w:rPr>
                <w:rFonts w:hint="eastAsia"/>
                <w:color w:val="000000"/>
                <w:sz w:val="22"/>
              </w:rPr>
              <w:t>39907</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国家赔偿费用支出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30308</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助学金</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30229</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福利费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39908</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对民间非营利组织和群众性自治组织补贴</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30309</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奖励金</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30231</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公务用车运行维护费</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39909</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经常性赠与</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30310</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个人农业生产补贴</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30239</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其他交通费用</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39910</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资本性赠与</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30311</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代缴社会保险费</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30240</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税金及附加费用</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39999</w:t>
            </w: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其他支出</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601"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30399</w:t>
            </w:r>
          </w:p>
        </w:tc>
        <w:tc>
          <w:tcPr>
            <w:tcW w:w="1006"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其他对个人和家庭的补助</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hint="eastAsia"/>
                <w:color w:val="000000"/>
                <w:sz w:val="22"/>
              </w:rPr>
            </w:pPr>
          </w:p>
        </w:tc>
        <w:tc>
          <w:tcPr>
            <w:tcW w:w="243"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left"/>
              <w:rPr>
                <w:rFonts w:ascii="宋体" w:cs="宋体" w:eastAsia="宋体" w:hAnsi="宋体"/>
                <w:color w:val="000000"/>
                <w:sz w:val="22"/>
              </w:rPr>
            </w:pPr>
            <w:r>
              <w:rPr>
                <w:rFonts w:hint="eastAsia"/>
                <w:color w:val="000000"/>
                <w:sz w:val="22"/>
              </w:rPr>
              <w:t>30299</w:t>
            </w:r>
          </w:p>
        </w:tc>
        <w:tc>
          <w:tcPr>
            <w:tcW w:w="678"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hint="eastAsia"/>
                <w:color w:val="000000"/>
                <w:sz w:val="22"/>
              </w:rPr>
            </w:pPr>
            <w:r>
              <w:rPr>
                <w:rFonts w:hint="eastAsia"/>
                <w:color w:val="000000"/>
                <w:sz w:val="22"/>
              </w:rPr>
              <w:t xml:space="preserve">  </w:t>
            </w:r>
            <w:r>
              <w:rPr>
                <w:rFonts w:hint="eastAsia"/>
                <w:color w:val="000000"/>
                <w:sz w:val="22"/>
              </w:rPr>
              <w:t>其他商品和服务支出</w:t>
            </w:r>
          </w:p>
        </w:tc>
        <w:tc>
          <w:tcPr>
            <w:tcW w:w="258" w:type="pct"/>
            <w:gridSpan w:val="2"/>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3.55 </w:t>
            </w:r>
          </w:p>
        </w:tc>
        <w:tc>
          <w:tcPr>
            <w:tcW w:w="224"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right"/>
              <w:rPr>
                <w:rFonts w:hint="eastAsia"/>
                <w:color w:val="000000"/>
                <w:sz w:val="22"/>
              </w:rPr>
            </w:pPr>
          </w:p>
        </w:tc>
        <w:tc>
          <w:tcPr>
            <w:tcW w:w="1202" w:type="pct"/>
            <w:gridSpan w:val="2"/>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rPr>
                <w:rFonts w:ascii="Times New Roman" w:cs="Times New Roman" w:eastAsia="Times New Roman" w:hAnsi="Times New Roman"/>
                <w:sz w:val="20"/>
                <w:szCs w:val="20"/>
              </w:rPr>
            </w:pP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rPr>
                <w:rFonts w:ascii="Times New Roman" w:cs="Times New Roman" w:eastAsia="Times New Roman" w:hAnsi="Times New Roman"/>
                <w:sz w:val="20"/>
                <w:szCs w:val="20"/>
              </w:rPr>
            </w:pP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1607" w:type="pct"/>
            <w:gridSpan w:val="5"/>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center"/>
              <w:rPr>
                <w:rFonts w:ascii="宋体" w:cs="宋体" w:eastAsia="宋体" w:hAnsi="宋体"/>
                <w:color w:val="000000"/>
                <w:sz w:val="22"/>
              </w:rPr>
            </w:pPr>
            <w:r>
              <w:rPr>
                <w:rFonts w:hint="eastAsia"/>
                <w:color w:val="000000"/>
                <w:sz w:val="22"/>
              </w:rPr>
              <w:t>人员经费合计</w:t>
            </w:r>
          </w:p>
        </w:tc>
        <w:tc>
          <w:tcPr>
            <w:tcW w:w="2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1,542.10 </w:t>
            </w:r>
          </w:p>
        </w:tc>
        <w:tc>
          <w:tcPr>
            <w:tcW w:w="2603" w:type="pct"/>
            <w:gridSpan w:val="9"/>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jc w:val="center"/>
              <w:rPr>
                <w:rFonts w:hint="eastAsia"/>
                <w:color w:val="000000"/>
                <w:sz w:val="22"/>
              </w:rPr>
            </w:pPr>
            <w:r>
              <w:rPr>
                <w:rFonts w:hint="eastAsia"/>
                <w:color w:val="000000"/>
                <w:sz w:val="22"/>
              </w:rPr>
              <w:t>公用经费合计</w:t>
            </w:r>
          </w:p>
        </w:tc>
        <w:tc>
          <w:tcPr>
            <w:tcW w:w="41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jc w:val="right"/>
              <w:rPr>
                <w:rFonts w:hint="eastAsia"/>
                <w:color w:val="000000"/>
                <w:sz w:val="22"/>
              </w:rPr>
            </w:pPr>
            <w:r>
              <w:rPr>
                <w:rFonts w:hint="eastAsia"/>
                <w:color w:val="000000"/>
                <w:sz w:val="22"/>
              </w:rPr>
              <w:t xml:space="preserve">204.60 </w:t>
            </w: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Before w:val="1"/>
          <w:wBefore w:w="20" w:type="pct"/>
          <w:trHeight w:val="300" w:hRule="atLeast"/>
        </w:trPr>
        <w:tc>
          <w:tcPr>
            <w:tcW w:w="4902" w:type="pct"/>
            <w:gridSpan w:val="16"/>
            <w:tcBorders>
              <w:top w:val="single" w:sz="4" w:space="0" w:color="d4d4d4"/>
              <w:left w:val="nil"/>
              <w:bottom w:val="nil"/>
              <w:right w:val="nil"/>
            </w:tcBorders>
            <w:shd w:val="clear" w:color="auto" w:fill="auto"/>
            <w:noWrap/>
            <w:vAlign w:val="center"/>
            <w:hideMark/>
          </w:tcPr>
          <w:p>
            <w:pPr>
              <w:pStyle w:val="style0"/>
              <w:jc w:val="left"/>
              <w:rPr>
                <w:rFonts w:hint="eastAsia"/>
                <w:color w:val="000000"/>
                <w:sz w:val="22"/>
              </w:rPr>
            </w:pPr>
            <w:r>
              <w:rPr>
                <w:rFonts w:hint="eastAsia"/>
                <w:color w:val="000000"/>
                <w:sz w:val="22"/>
              </w:rPr>
              <w:t>注：本表反映部门本年度一般公共预算财政拨款基本支出明细情况。</w:t>
            </w:r>
          </w:p>
        </w:tc>
        <w:tc>
          <w:tcPr>
            <w:tcW w:w="78" w:type="pct"/>
            <w:tcBorders/>
            <w:vAlign w:val="center"/>
            <w:hideMark/>
          </w:tcPr>
          <w:p>
            <w:pPr>
              <w:pStyle w:val="style0"/>
              <w:rPr>
                <w:rFonts w:ascii="Times New Roman" w:cs="Times New Roman" w:eastAsia="Times New Roman" w:hAnsi="Times New Roman"/>
                <w:sz w:val="20"/>
                <w:szCs w:val="20"/>
              </w:rPr>
            </w:pPr>
          </w:p>
        </w:tc>
      </w:tr>
      <w:tr>
        <w:tblPrEx/>
        <w:trPr>
          <w:gridAfter w:val="3"/>
          <w:wAfter w:w="1265" w:type="pct"/>
          <w:trHeight w:val="288" w:hRule="atLeast"/>
        </w:trPr>
        <w:tc>
          <w:tcPr>
            <w:tcW w:w="748" w:type="pct"/>
            <w:gridSpan w:val="3"/>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1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12"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981" w:type="pct"/>
            <w:gridSpan w:val="3"/>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52" w:type="pct"/>
            <w:gridSpan w:val="2"/>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43" w:type="pct"/>
            <w:gridSpan w:val="2"/>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7" w:type="pct"/>
            <w:gridSpan w:val="3"/>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p>
        </w:tc>
      </w:tr>
    </w:tbl>
    <w:p>
      <w:pPr>
        <w:pStyle w:val="style0"/>
        <w:widowControl/>
        <w:wordWrap w:val="false"/>
        <w:spacing w:lineRule="exact" w:line="240"/>
        <w:jc w:val="right"/>
        <w:rPr>
          <w:rFonts w:ascii="Times New Roman" w:cs="Times New Roman" w:eastAsia="仿宋_GB2312" w:hAnsi="Times New Roman"/>
          <w:color w:val="000000"/>
          <w:kern w:val="0"/>
          <w:szCs w:val="24"/>
        </w:rPr>
      </w:pPr>
    </w:p>
    <w:p>
      <w:pPr>
        <w:pStyle w:val="style0"/>
        <w:widowControl/>
        <w:spacing w:lineRule="exact" w:line="400"/>
        <w:jc w:val="center"/>
        <w:textAlignment w:val="center"/>
        <w:rPr>
          <w:rFonts w:ascii="Times New Roman" w:cs="Times New Roman" w:eastAsia="仿宋_GB2312" w:hAnsi="Times New Roman"/>
          <w:color w:val="000000"/>
          <w:kern w:val="0"/>
          <w:sz w:val="32"/>
          <w:szCs w:val="32"/>
        </w:rPr>
      </w:pPr>
    </w:p>
    <w:p>
      <w:pPr>
        <w:pStyle w:val="style0"/>
        <w:widowControl/>
        <w:spacing w:after="156" w:afterLines="50"/>
        <w:jc w:val="center"/>
        <w:textAlignment w:val="center"/>
        <w:rPr>
          <w:rFonts w:ascii="Times New Roman" w:cs="Times New Roman" w:eastAsia="黑体" w:hAnsi="Times New Roman"/>
          <w:color w:val="000000"/>
          <w:kern w:val="0"/>
          <w:sz w:val="36"/>
          <w:szCs w:val="36"/>
        </w:rPr>
      </w:pPr>
      <w:r>
        <w:rPr>
          <w:rFonts w:ascii="Times New Roman" w:cs="Times New Roman" w:eastAsia="黑体" w:hAnsi="Times New Roman"/>
          <w:color w:val="000000"/>
          <w:kern w:val="0"/>
          <w:sz w:val="36"/>
          <w:szCs w:val="36"/>
        </w:rPr>
        <w:t>政府性基金预算财政拨款收入支出决算表</w:t>
      </w:r>
    </w:p>
    <w:p>
      <w:pPr>
        <w:pStyle w:val="style0"/>
        <w:widowControl/>
        <w:tabs>
          <w:tab w:val="left" w:leader="none" w:pos="920"/>
          <w:tab w:val="left" w:leader="none" w:pos="1157"/>
          <w:tab w:val="left" w:leader="none" w:pos="2434"/>
          <w:tab w:val="left" w:leader="none" w:pos="4352"/>
          <w:tab w:val="left" w:leader="none" w:pos="6295"/>
          <w:tab w:val="left" w:leader="none" w:pos="8214"/>
          <w:tab w:val="left" w:leader="none" w:pos="10149"/>
          <w:tab w:val="left" w:leader="none" w:pos="12067"/>
        </w:tabs>
        <w:jc w:val="right"/>
        <w:textAlignment w:val="center"/>
        <w:rPr>
          <w:rFonts w:ascii="Times New Roman" w:cs="Times New Roman" w:eastAsia="仿宋_GB2312" w:hAnsi="Times New Roman" w:hint="eastAsia"/>
          <w:color w:val="000000"/>
          <w:sz w:val="20"/>
          <w:szCs w:val="20"/>
        </w:rPr>
      </w:pPr>
      <w:r>
        <w:rPr>
          <w:rFonts w:ascii="Times New Roman" w:cs="Times New Roman" w:eastAsia="仿宋_GB2312" w:hAnsi="Times New Roman"/>
          <w:color w:val="000000"/>
          <w:sz w:val="20"/>
          <w:szCs w:val="20"/>
        </w:rPr>
        <w:tab/>
      </w:r>
      <w:r>
        <w:rPr>
          <w:rFonts w:ascii="Times New Roman" w:cs="Times New Roman" w:eastAsia="仿宋_GB2312" w:hAnsi="Times New Roman"/>
          <w:color w:val="000000"/>
          <w:sz w:val="20"/>
          <w:szCs w:val="20"/>
        </w:rPr>
        <w:tab/>
      </w:r>
      <w:r>
        <w:rPr>
          <w:rFonts w:ascii="Times New Roman" w:cs="Times New Roman" w:eastAsia="仿宋_GB2312" w:hAnsi="Times New Roman"/>
          <w:color w:val="000000"/>
          <w:sz w:val="20"/>
          <w:szCs w:val="20"/>
        </w:rPr>
        <w:tab/>
      </w:r>
      <w:r>
        <w:rPr>
          <w:rFonts w:ascii="Times New Roman" w:cs="Times New Roman" w:eastAsia="仿宋_GB2312" w:hAnsi="Times New Roman"/>
          <w:color w:val="000000"/>
          <w:sz w:val="20"/>
          <w:szCs w:val="20"/>
        </w:rPr>
        <w:tab/>
      </w:r>
      <w:r>
        <w:rPr>
          <w:rFonts w:ascii="Times New Roman" w:cs="Times New Roman" w:eastAsia="仿宋_GB2312" w:hAnsi="Times New Roman"/>
          <w:color w:val="000000"/>
          <w:sz w:val="20"/>
          <w:szCs w:val="20"/>
        </w:rPr>
        <w:tab/>
      </w:r>
      <w:r>
        <w:rPr>
          <w:rFonts w:ascii="Times New Roman" w:cs="Times New Roman" w:eastAsia="仿宋_GB2312" w:hAnsi="Times New Roman"/>
          <w:color w:val="000000"/>
          <w:sz w:val="20"/>
          <w:szCs w:val="20"/>
        </w:rPr>
        <w:tab/>
      </w:r>
    </w:p>
    <w:tbl>
      <w:tblPr>
        <w:tblW w:w="5000" w:type="pct"/>
        <w:tblLook w:val="04A0" w:firstRow="1" w:lastRow="0" w:firstColumn="1" w:lastColumn="0" w:noHBand="0" w:noVBand="1"/>
      </w:tblPr>
      <w:tblGrid>
        <w:gridCol w:w="1993"/>
        <w:gridCol w:w="265"/>
        <w:gridCol w:w="265"/>
        <w:gridCol w:w="3209"/>
        <w:gridCol w:w="1372"/>
        <w:gridCol w:w="1372"/>
        <w:gridCol w:w="1372"/>
        <w:gridCol w:w="1372"/>
        <w:gridCol w:w="1372"/>
        <w:gridCol w:w="1372"/>
        <w:gridCol w:w="216"/>
      </w:tblGrid>
      <w:tr>
        <w:trPr>
          <w:gridAfter w:val="1"/>
          <w:wAfter w:w="71" w:type="pct"/>
          <w:trHeight w:val="288" w:hRule="atLeast"/>
        </w:trPr>
        <w:tc>
          <w:tcPr>
            <w:tcW w:w="712"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13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公开07表</w:t>
            </w:r>
          </w:p>
        </w:tc>
      </w:tr>
      <w:tr>
        <w:tblPrEx/>
        <w:trPr>
          <w:gridAfter w:val="1"/>
          <w:wAfter w:w="71" w:type="pct"/>
          <w:trHeight w:val="288" w:hRule="atLeast"/>
        </w:trPr>
        <w:tc>
          <w:tcPr>
            <w:tcW w:w="712"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r>
              <w:rPr>
                <w:rFonts w:ascii="宋体" w:cs="宋体" w:eastAsia="宋体" w:hAnsi="宋体" w:hint="eastAsia"/>
                <w:color w:val="000000"/>
                <w:kern w:val="0"/>
                <w:sz w:val="20"/>
                <w:szCs w:val="20"/>
              </w:rPr>
              <w:t>部门：益阳市第十五中学</w:t>
            </w:r>
          </w:p>
        </w:tc>
        <w:tc>
          <w:tcPr>
            <w:tcW w:w="95"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0"/>
                <w:szCs w:val="20"/>
              </w:rPr>
            </w:pPr>
          </w:p>
        </w:tc>
        <w:tc>
          <w:tcPr>
            <w:tcW w:w="95"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13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金额单位：万元</w:t>
            </w:r>
          </w:p>
        </w:tc>
      </w:tr>
      <w:tr>
        <w:tblPrEx/>
        <w:trPr>
          <w:gridAfter w:val="1"/>
          <w:wAfter w:w="71" w:type="pct"/>
          <w:trHeight w:val="300" w:hRule="atLeast"/>
        </w:trPr>
        <w:tc>
          <w:tcPr>
            <w:tcW w:w="2032"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w:t>
            </w:r>
          </w:p>
        </w:tc>
        <w:tc>
          <w:tcPr>
            <w:tcW w:w="4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年初结转和结余</w:t>
            </w:r>
          </w:p>
        </w:tc>
        <w:tc>
          <w:tcPr>
            <w:tcW w:w="4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本年收入</w:t>
            </w:r>
          </w:p>
        </w:tc>
        <w:tc>
          <w:tcPr>
            <w:tcW w:w="1449" w:type="pct"/>
            <w:gridSpan w:val="3"/>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本年支出</w:t>
            </w:r>
          </w:p>
        </w:tc>
        <w:tc>
          <w:tcPr>
            <w:tcW w:w="4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年末结转和结余</w:t>
            </w:r>
          </w:p>
        </w:tc>
      </w:tr>
      <w:tr>
        <w:tblPrEx/>
        <w:trPr>
          <w:gridAfter w:val="1"/>
          <w:wAfter w:w="71" w:type="pct"/>
          <w:trHeight w:val="312" w:hRule="atLeast"/>
        </w:trPr>
        <w:tc>
          <w:tcPr>
            <w:tcW w:w="902" w:type="pct"/>
            <w:gridSpan w:val="3"/>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科目代码</w:t>
            </w:r>
          </w:p>
        </w:tc>
        <w:tc>
          <w:tcPr>
            <w:tcW w:w="1130" w:type="pct"/>
            <w:vMerge w:val="restar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科目名称</w:t>
            </w: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小计</w:t>
            </w:r>
          </w:p>
        </w:tc>
        <w:tc>
          <w:tcPr>
            <w:tcW w:w="4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基本支出</w:t>
            </w:r>
          </w:p>
        </w:tc>
        <w:tc>
          <w:tcPr>
            <w:tcW w:w="483"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项目支出</w:t>
            </w: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r>
      <w:tr>
        <w:tblPrEx/>
        <w:trPr>
          <w:trHeight w:val="300" w:hRule="atLeast"/>
        </w:trPr>
        <w:tc>
          <w:tcPr>
            <w:tcW w:w="902"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13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71" w:type="pct"/>
            <w:tcBorders>
              <w:top w:val="nil"/>
              <w:left w:val="nil"/>
              <w:bottom w:val="nil"/>
              <w:right w:val="nil"/>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r>
      <w:tr>
        <w:tblPrEx/>
        <w:trPr>
          <w:trHeight w:val="300" w:hRule="atLeast"/>
        </w:trPr>
        <w:tc>
          <w:tcPr>
            <w:tcW w:w="902"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13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483"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7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2032"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栏次</w:t>
            </w:r>
          </w:p>
        </w:tc>
        <w:tc>
          <w:tcPr>
            <w:tcW w:w="483"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w:t>
            </w:r>
          </w:p>
        </w:tc>
        <w:tc>
          <w:tcPr>
            <w:tcW w:w="483"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w:t>
            </w:r>
          </w:p>
        </w:tc>
        <w:tc>
          <w:tcPr>
            <w:tcW w:w="483"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483"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w:t>
            </w:r>
          </w:p>
        </w:tc>
        <w:tc>
          <w:tcPr>
            <w:tcW w:w="483"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w:t>
            </w:r>
          </w:p>
        </w:tc>
        <w:tc>
          <w:tcPr>
            <w:tcW w:w="483"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6</w:t>
            </w:r>
          </w:p>
        </w:tc>
        <w:tc>
          <w:tcPr>
            <w:tcW w:w="71"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2032"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1"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902"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113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83"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71"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4929" w:type="pct"/>
            <w:gridSpan w:val="10"/>
            <w:tcBorders>
              <w:top w:val="single" w:sz="4" w:space="0" w:color="d4d4d4"/>
              <w:left w:val="nil"/>
              <w:bottom w:val="nil"/>
              <w:right w:val="nil"/>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注：本表反映部门本年度政府性基金预算财政拨款收入、支出及结转和结余情况。</w:t>
            </w:r>
          </w:p>
          <w:p>
            <w:pPr>
              <w:pStyle w:val="style29"/>
              <w:rPr>
                <w:rFonts w:hint="eastAsia"/>
              </w:rPr>
            </w:pPr>
          </w:p>
          <w:p>
            <w:pPr>
              <w:pStyle w:val="style0"/>
              <w:widowControl/>
              <w:jc w:val="left"/>
              <w:textAlignment w:val="center"/>
              <w:rPr>
                <w:rFonts w:ascii="Times New Roman" w:cs="Times New Roman" w:eastAsia="楷体_GB2312" w:hAnsi="Times New Roman"/>
                <w:color w:val="000000"/>
                <w:kern w:val="0"/>
                <w:sz w:val="24"/>
                <w:szCs w:val="24"/>
              </w:rPr>
            </w:pPr>
            <w:r>
              <w:rPr>
                <w:rFonts w:ascii="Times New Roman" w:cs="Times New Roman" w:eastAsia="楷体_GB2312" w:hAnsi="Times New Roman"/>
                <w:b/>
                <w:bCs/>
                <w:kern w:val="0"/>
                <w:sz w:val="24"/>
                <w:szCs w:val="24"/>
              </w:rPr>
              <w:t>说明：我单位没有</w:t>
            </w:r>
            <w:r>
              <w:rPr>
                <w:rFonts w:ascii="Times New Roman" w:cs="Times New Roman" w:eastAsia="楷体_GB2312" w:hAnsi="Times New Roman" w:hint="eastAsia"/>
                <w:b/>
                <w:bCs/>
                <w:kern w:val="0"/>
                <w:sz w:val="24"/>
                <w:szCs w:val="24"/>
              </w:rPr>
              <w:t>使用政府性基金预算安排的</w:t>
            </w:r>
            <w:r>
              <w:rPr>
                <w:rFonts w:ascii="Times New Roman" w:cs="Times New Roman" w:eastAsia="楷体_GB2312" w:hAnsi="Times New Roman"/>
                <w:b/>
                <w:bCs/>
                <w:kern w:val="0"/>
                <w:sz w:val="24"/>
                <w:szCs w:val="24"/>
              </w:rPr>
              <w:t>的</w:t>
            </w:r>
            <w:r>
              <w:rPr>
                <w:rFonts w:ascii="Times New Roman" w:cs="Times New Roman" w:eastAsia="楷体_GB2312" w:hAnsi="Times New Roman"/>
                <w:b/>
                <w:bCs/>
                <w:kern w:val="0"/>
                <w:sz w:val="24"/>
                <w:szCs w:val="24"/>
              </w:rPr>
              <w:t>支出，故本表无数据。</w:t>
            </w:r>
          </w:p>
          <w:p>
            <w:pPr>
              <w:pStyle w:val="style29"/>
              <w:rPr>
                <w:rFonts w:hint="eastAsia"/>
              </w:rPr>
            </w:pPr>
          </w:p>
        </w:tc>
        <w:tc>
          <w:tcPr>
            <w:tcW w:w="71" w:type="pct"/>
            <w:tcBorders/>
            <w:vAlign w:val="center"/>
            <w:hideMark/>
          </w:tcPr>
          <w:p>
            <w:pPr>
              <w:pStyle w:val="style0"/>
              <w:widowControl/>
              <w:jc w:val="left"/>
              <w:rPr>
                <w:rFonts w:ascii="Times New Roman" w:cs="Times New Roman" w:eastAsia="Times New Roman" w:hAnsi="Times New Roman"/>
                <w:kern w:val="0"/>
                <w:sz w:val="20"/>
                <w:szCs w:val="20"/>
              </w:rPr>
            </w:pPr>
          </w:p>
        </w:tc>
      </w:tr>
    </w:tbl>
    <w:p>
      <w:pPr>
        <w:pStyle w:val="style0"/>
        <w:widowControl/>
        <w:jc w:val="center"/>
        <w:rPr>
          <w:rFonts w:ascii="Times New Roman" w:cs="Times New Roman" w:eastAsia="方正小标宋_GBK" w:hAnsi="Times New Roman"/>
          <w:color w:val="000000"/>
          <w:kern w:val="0"/>
          <w:sz w:val="36"/>
          <w:szCs w:val="36"/>
        </w:rPr>
      </w:pPr>
    </w:p>
    <w:p>
      <w:pPr>
        <w:pStyle w:val="style0"/>
        <w:widowControl/>
        <w:spacing w:lineRule="exact" w:line="400"/>
        <w:textAlignment w:val="center"/>
        <w:rPr>
          <w:rFonts w:ascii="Times New Roman" w:cs="Times New Roman" w:eastAsia="黑体" w:hAnsi="Times New Roman"/>
          <w:color w:val="000000"/>
          <w:kern w:val="0"/>
          <w:sz w:val="36"/>
          <w:szCs w:val="36"/>
        </w:rPr>
      </w:pPr>
    </w:p>
    <w:p>
      <w:pPr>
        <w:pStyle w:val="style0"/>
        <w:widowControl/>
        <w:spacing w:after="156" w:afterLines="50"/>
        <w:jc w:val="center"/>
        <w:textAlignment w:val="center"/>
        <w:rPr>
          <w:rFonts w:ascii="Times New Roman" w:cs="Times New Roman" w:eastAsia="黑体" w:hAnsi="Times New Roman"/>
          <w:color w:val="000000"/>
          <w:kern w:val="0"/>
          <w:sz w:val="36"/>
          <w:szCs w:val="36"/>
        </w:rPr>
      </w:pPr>
      <w:r>
        <w:rPr>
          <w:rFonts w:ascii="Times New Roman" w:cs="Times New Roman" w:eastAsia="黑体" w:hAnsi="Times New Roman"/>
          <w:color w:val="000000"/>
          <w:kern w:val="0"/>
          <w:sz w:val="36"/>
          <w:szCs w:val="36"/>
        </w:rPr>
        <w:t>国有资本经营预算财政拨款支出决算表</w:t>
      </w:r>
    </w:p>
    <w:tbl>
      <w:tblPr>
        <w:tblW w:w="5000" w:type="pct"/>
        <w:tblLook w:val="04A0" w:firstRow="1" w:lastRow="0" w:firstColumn="1" w:lastColumn="0" w:noHBand="0" w:noVBand="1"/>
      </w:tblPr>
      <w:tblGrid>
        <w:gridCol w:w="2796"/>
        <w:gridCol w:w="373"/>
        <w:gridCol w:w="373"/>
        <w:gridCol w:w="4524"/>
        <w:gridCol w:w="1933"/>
        <w:gridCol w:w="1933"/>
        <w:gridCol w:w="1933"/>
        <w:gridCol w:w="284"/>
      </w:tblGrid>
      <w:tr>
        <w:trPr>
          <w:gridAfter w:val="1"/>
          <w:wAfter w:w="100" w:type="pct"/>
          <w:trHeight w:val="288" w:hRule="atLeast"/>
        </w:trPr>
        <w:tc>
          <w:tcPr>
            <w:tcW w:w="1003"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3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3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59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公开08表</w:t>
            </w:r>
          </w:p>
        </w:tc>
      </w:tr>
      <w:tr>
        <w:tblPrEx/>
        <w:trPr>
          <w:gridAfter w:val="1"/>
          <w:wAfter w:w="100" w:type="pct"/>
          <w:trHeight w:val="288" w:hRule="atLeast"/>
        </w:trPr>
        <w:tc>
          <w:tcPr>
            <w:tcW w:w="1003"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r>
              <w:rPr>
                <w:rFonts w:ascii="宋体" w:cs="宋体" w:eastAsia="宋体" w:hAnsi="宋体" w:hint="eastAsia"/>
                <w:color w:val="000000"/>
                <w:kern w:val="0"/>
                <w:sz w:val="20"/>
                <w:szCs w:val="20"/>
              </w:rPr>
              <w:t>部门：益阳市第十五中学</w:t>
            </w:r>
          </w:p>
        </w:tc>
        <w:tc>
          <w:tcPr>
            <w:tcW w:w="134"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0"/>
                <w:szCs w:val="20"/>
              </w:rPr>
            </w:pPr>
          </w:p>
        </w:tc>
        <w:tc>
          <w:tcPr>
            <w:tcW w:w="134"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1591"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金额单位：万元</w:t>
            </w:r>
          </w:p>
        </w:tc>
      </w:tr>
      <w:tr>
        <w:tblPrEx/>
        <w:trPr>
          <w:gridAfter w:val="1"/>
          <w:wAfter w:w="100" w:type="pct"/>
          <w:trHeight w:val="300" w:hRule="atLeast"/>
        </w:trPr>
        <w:tc>
          <w:tcPr>
            <w:tcW w:w="2860"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w:t>
            </w:r>
          </w:p>
        </w:tc>
        <w:tc>
          <w:tcPr>
            <w:tcW w:w="2040" w:type="pct"/>
            <w:gridSpan w:val="3"/>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本年支出</w:t>
            </w:r>
          </w:p>
        </w:tc>
      </w:tr>
      <w:tr>
        <w:tblPrEx/>
        <w:trPr>
          <w:gridAfter w:val="1"/>
          <w:wAfter w:w="100" w:type="pct"/>
          <w:trHeight w:val="312" w:hRule="atLeast"/>
        </w:trPr>
        <w:tc>
          <w:tcPr>
            <w:tcW w:w="1270" w:type="pct"/>
            <w:gridSpan w:val="3"/>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科目代码</w:t>
            </w:r>
          </w:p>
        </w:tc>
        <w:tc>
          <w:tcPr>
            <w:tcW w:w="1591" w:type="pct"/>
            <w:vMerge w:val="restar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科目名称</w:t>
            </w:r>
          </w:p>
        </w:tc>
        <w:tc>
          <w:tcPr>
            <w:tcW w:w="680"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680"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基本支出</w:t>
            </w:r>
          </w:p>
        </w:tc>
        <w:tc>
          <w:tcPr>
            <w:tcW w:w="680"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项目支出</w:t>
            </w:r>
          </w:p>
        </w:tc>
      </w:tr>
      <w:tr>
        <w:tblPrEx/>
        <w:trPr>
          <w:trHeight w:val="300" w:hRule="atLeast"/>
        </w:trPr>
        <w:tc>
          <w:tcPr>
            <w:tcW w:w="1270"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59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8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8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8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0" w:type="pct"/>
            <w:tcBorders>
              <w:top w:val="nil"/>
              <w:left w:val="nil"/>
              <w:bottom w:val="nil"/>
              <w:right w:val="nil"/>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r>
      <w:tr>
        <w:tblPrEx/>
        <w:trPr>
          <w:trHeight w:val="300" w:hRule="atLeast"/>
        </w:trPr>
        <w:tc>
          <w:tcPr>
            <w:tcW w:w="1270" w:type="pct"/>
            <w:gridSpan w:val="3"/>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591"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8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8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680"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100"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2860"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color w:val="000000"/>
                <w:kern w:val="0"/>
                <w:sz w:val="22"/>
              </w:rPr>
            </w:pPr>
            <w:r>
              <w:rPr>
                <w:rFonts w:ascii="宋体" w:cs="宋体" w:eastAsia="宋体" w:hAnsi="宋体" w:hint="eastAsia"/>
                <w:color w:val="000000"/>
                <w:kern w:val="0"/>
                <w:sz w:val="22"/>
              </w:rPr>
              <w:t>栏次</w:t>
            </w:r>
          </w:p>
        </w:tc>
        <w:tc>
          <w:tcPr>
            <w:tcW w:w="680"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w:t>
            </w:r>
          </w:p>
        </w:tc>
        <w:tc>
          <w:tcPr>
            <w:tcW w:w="680"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w:t>
            </w:r>
          </w:p>
        </w:tc>
        <w:tc>
          <w:tcPr>
            <w:tcW w:w="680" w:type="pct"/>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100"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2860" w:type="pct"/>
            <w:gridSpan w:val="4"/>
            <w:tcBorders>
              <w:top w:val="single" w:sz="4" w:space="0" w:color="d4d4d4"/>
              <w:left w:val="single" w:sz="4" w:space="0" w:color="d4d4d4"/>
              <w:bottom w:val="single" w:sz="4" w:space="0" w:color="d4d4d4"/>
              <w:right w:val="single" w:sz="4" w:space="0" w:color="d4d4d4"/>
            </w:tcBorders>
            <w:shd w:val="clear" w:color="auto" w:fill="f1f1f1"/>
            <w:noWrap/>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68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68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b/>
                <w:bCs/>
                <w:color w:val="000000"/>
                <w:kern w:val="0"/>
                <w:sz w:val="22"/>
              </w:rPr>
            </w:pPr>
            <w:r>
              <w:rPr>
                <w:rFonts w:ascii="宋体" w:cs="宋体" w:eastAsia="宋体" w:hAnsi="宋体" w:hint="eastAsia"/>
                <w:b/>
                <w:bCs/>
                <w:color w:val="000000"/>
                <w:kern w:val="0"/>
                <w:sz w:val="22"/>
              </w:rPr>
              <w:t xml:space="preserve">0.00 </w:t>
            </w:r>
          </w:p>
        </w:tc>
        <w:tc>
          <w:tcPr>
            <w:tcW w:w="68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宋体" w:cs="宋体" w:eastAsia="宋体" w:hAnsi="宋体" w:hint="eastAsia"/>
                <w:b/>
                <w:bCs/>
                <w:color w:val="000000"/>
                <w:kern w:val="0"/>
                <w:sz w:val="22"/>
              </w:rPr>
            </w:pPr>
          </w:p>
        </w:tc>
        <w:tc>
          <w:tcPr>
            <w:tcW w:w="100"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1270"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1591"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68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680"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100" w:type="pct"/>
            <w:tcBorders/>
            <w:vAlign w:val="center"/>
            <w:hideMark/>
          </w:tcPr>
          <w:p>
            <w:pPr>
              <w:pStyle w:val="style0"/>
              <w:widowControl/>
              <w:jc w:val="left"/>
              <w:rPr>
                <w:rFonts w:ascii="Times New Roman" w:cs="Times New Roman" w:eastAsia="Times New Roman" w:hAnsi="Times New Roman"/>
                <w:kern w:val="0"/>
                <w:sz w:val="20"/>
                <w:szCs w:val="20"/>
              </w:rPr>
            </w:pPr>
          </w:p>
        </w:tc>
      </w:tr>
      <w:tr>
        <w:tblPrEx/>
        <w:trPr>
          <w:trHeight w:val="300" w:hRule="atLeast"/>
        </w:trPr>
        <w:tc>
          <w:tcPr>
            <w:tcW w:w="4900" w:type="pct"/>
            <w:gridSpan w:val="7"/>
            <w:tcBorders>
              <w:top w:val="single" w:sz="4" w:space="0" w:color="d4d4d4"/>
              <w:left w:val="nil"/>
              <w:bottom w:val="nil"/>
              <w:right w:val="nil"/>
            </w:tcBorders>
            <w:shd w:val="clear" w:color="auto" w:fill="auto"/>
            <w:noWrap/>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注：本表反映部门本年度国有资本经营预算财政拨款支出情况。</w:t>
            </w:r>
          </w:p>
        </w:tc>
        <w:tc>
          <w:tcPr>
            <w:tcW w:w="100" w:type="pct"/>
            <w:tcBorders/>
            <w:vAlign w:val="center"/>
            <w:hideMark/>
          </w:tcPr>
          <w:p>
            <w:pPr>
              <w:pStyle w:val="style0"/>
              <w:widowControl/>
              <w:jc w:val="left"/>
              <w:rPr>
                <w:rFonts w:ascii="Times New Roman" w:cs="Times New Roman" w:eastAsia="Times New Roman" w:hAnsi="Times New Roman"/>
                <w:kern w:val="0"/>
                <w:sz w:val="20"/>
                <w:szCs w:val="20"/>
              </w:rPr>
            </w:pPr>
          </w:p>
        </w:tc>
      </w:tr>
    </w:tbl>
    <w:p>
      <w:pPr>
        <w:pStyle w:val="style0"/>
        <w:widowControl/>
        <w:jc w:val="left"/>
        <w:textAlignment w:val="center"/>
        <w:rPr>
          <w:rFonts w:ascii="Times New Roman" w:cs="Times New Roman" w:eastAsia="宋体" w:hAnsi="Times New Roman"/>
          <w:color w:val="000000"/>
          <w:kern w:val="0"/>
          <w:sz w:val="24"/>
          <w:szCs w:val="24"/>
        </w:rPr>
      </w:pPr>
    </w:p>
    <w:p>
      <w:pPr>
        <w:pStyle w:val="style0"/>
        <w:widowControl/>
        <w:jc w:val="left"/>
        <w:textAlignment w:val="center"/>
        <w:rPr>
          <w:rFonts w:ascii="Times New Roman" w:cs="Times New Roman" w:eastAsia="楷体_GB2312" w:hAnsi="Times New Roman"/>
          <w:color w:val="000000"/>
          <w:kern w:val="0"/>
          <w:sz w:val="24"/>
          <w:szCs w:val="24"/>
        </w:rPr>
      </w:pPr>
      <w:r>
        <w:rPr>
          <w:rFonts w:ascii="Times New Roman" w:cs="Times New Roman" w:eastAsia="楷体_GB2312" w:hAnsi="Times New Roman"/>
          <w:b/>
          <w:bCs/>
          <w:kern w:val="0"/>
          <w:sz w:val="24"/>
          <w:szCs w:val="24"/>
        </w:rPr>
        <w:t>说明：我单位没有使用国有资本经营预算安排的支出，故本表无数据。</w:t>
      </w:r>
    </w:p>
    <w:p>
      <w:pPr>
        <w:pStyle w:val="style0"/>
        <w:widowControl/>
        <w:jc w:val="center"/>
        <w:rPr>
          <w:rFonts w:ascii="Times New Roman" w:cs="Times New Roman" w:eastAsia="方正小标宋_GBK" w:hAnsi="Times New Roman"/>
          <w:color w:val="000000"/>
          <w:kern w:val="0"/>
          <w:sz w:val="36"/>
          <w:szCs w:val="36"/>
        </w:rPr>
      </w:pPr>
    </w:p>
    <w:p>
      <w:pPr>
        <w:pStyle w:val="style29"/>
        <w:spacing w:lineRule="exact" w:line="400"/>
        <w:rPr>
          <w:rFonts w:ascii="Times New Roman" w:cs="Times New Roman" w:eastAsia="华文中宋" w:hAnsi="Times New Roman"/>
          <w:color w:val="000000"/>
          <w:kern w:val="0"/>
          <w:sz w:val="32"/>
          <w:szCs w:val="32"/>
        </w:rPr>
      </w:pPr>
    </w:p>
    <w:p>
      <w:pPr>
        <w:pStyle w:val="style0"/>
        <w:widowControl/>
        <w:spacing w:after="156" w:afterLines="50"/>
        <w:jc w:val="center"/>
        <w:textAlignment w:val="center"/>
        <w:rPr>
          <w:rFonts w:ascii="Times New Roman" w:cs="Times New Roman" w:eastAsia="黑体" w:hAnsi="Times New Roman"/>
          <w:color w:val="000000"/>
          <w:kern w:val="0"/>
          <w:sz w:val="36"/>
          <w:szCs w:val="36"/>
        </w:rPr>
      </w:pPr>
      <w:r>
        <w:rPr>
          <w:rFonts w:ascii="Times New Roman" w:cs="Times New Roman" w:eastAsia="黑体" w:hAnsi="Times New Roman"/>
          <w:color w:val="000000"/>
          <w:kern w:val="0"/>
          <w:sz w:val="36"/>
          <w:szCs w:val="36"/>
        </w:rPr>
        <w:t>财政拨款</w:t>
      </w:r>
      <w:r>
        <w:rPr>
          <w:rFonts w:ascii="Times New Roman" w:cs="Times New Roman" w:eastAsia="黑体" w:hAnsi="Times New Roman"/>
          <w:color w:val="000000"/>
          <w:kern w:val="0"/>
          <w:sz w:val="36"/>
          <w:szCs w:val="36"/>
        </w:rPr>
        <w:t>“</w:t>
      </w:r>
      <w:r>
        <w:rPr>
          <w:rFonts w:ascii="Times New Roman" w:cs="Times New Roman" w:eastAsia="黑体" w:hAnsi="Times New Roman"/>
          <w:color w:val="000000"/>
          <w:kern w:val="0"/>
          <w:sz w:val="36"/>
          <w:szCs w:val="36"/>
        </w:rPr>
        <w:t>三公</w:t>
      </w:r>
      <w:r>
        <w:rPr>
          <w:rFonts w:ascii="Times New Roman" w:cs="Times New Roman" w:eastAsia="黑体" w:hAnsi="Times New Roman"/>
          <w:color w:val="000000"/>
          <w:kern w:val="0"/>
          <w:sz w:val="36"/>
          <w:szCs w:val="36"/>
        </w:rPr>
        <w:t>”</w:t>
      </w:r>
      <w:r>
        <w:rPr>
          <w:rFonts w:ascii="Times New Roman" w:cs="Times New Roman" w:eastAsia="黑体" w:hAnsi="Times New Roman"/>
          <w:color w:val="000000"/>
          <w:kern w:val="0"/>
          <w:sz w:val="36"/>
          <w:szCs w:val="36"/>
        </w:rPr>
        <w:t>经费支出决算表</w:t>
      </w:r>
    </w:p>
    <w:p>
      <w:pPr>
        <w:pStyle w:val="style0"/>
        <w:widowControl/>
        <w:tabs>
          <w:tab w:val="left" w:leader="none" w:pos="1260"/>
          <w:tab w:val="left" w:leader="none" w:pos="2521"/>
          <w:tab w:val="left" w:leader="none" w:pos="3782"/>
          <w:tab w:val="left" w:leader="none" w:pos="5043"/>
          <w:tab w:val="left" w:leader="none" w:pos="6304"/>
          <w:tab w:val="left" w:leader="none" w:pos="7565"/>
          <w:tab w:val="left" w:leader="none" w:pos="8826"/>
          <w:tab w:val="left" w:leader="none" w:pos="10087"/>
          <w:tab w:val="left" w:leader="none" w:pos="11348"/>
          <w:tab w:val="left" w:leader="none" w:pos="12609"/>
          <w:tab w:val="left" w:leader="none" w:pos="13870"/>
        </w:tabs>
        <w:jc w:val="right"/>
        <w:textAlignment w:val="center"/>
        <w:rPr>
          <w:rFonts w:ascii="Times New Roman" w:cs="Times New Roman" w:eastAsia="宋体" w:hAnsi="Times New Roman"/>
          <w:kern w:val="0"/>
          <w:sz w:val="24"/>
          <w:szCs w:val="24"/>
        </w:rPr>
      </w:pP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r>
        <w:rPr>
          <w:rFonts w:ascii="Times New Roman" w:cs="Times New Roman" w:eastAsia="宋体" w:hAnsi="Times New Roman"/>
          <w:color w:val="000000"/>
          <w:sz w:val="20"/>
          <w:szCs w:val="20"/>
        </w:rPr>
        <w:tab/>
      </w:r>
    </w:p>
    <w:tbl>
      <w:tblPr>
        <w:tblW w:w="5000" w:type="pct"/>
        <w:tblLook w:val="04A0" w:firstRow="1" w:lastRow="0" w:firstColumn="1" w:lastColumn="0" w:noHBand="0" w:noVBand="1"/>
      </w:tblPr>
      <w:tblGrid>
        <w:gridCol w:w="1939"/>
        <w:gridCol w:w="1103"/>
        <w:gridCol w:w="1103"/>
        <w:gridCol w:w="1103"/>
        <w:gridCol w:w="1103"/>
        <w:gridCol w:w="1103"/>
        <w:gridCol w:w="1103"/>
        <w:gridCol w:w="1103"/>
        <w:gridCol w:w="1103"/>
        <w:gridCol w:w="1103"/>
        <w:gridCol w:w="1103"/>
        <w:gridCol w:w="1242"/>
      </w:tblGrid>
      <w:tr>
        <w:trPr>
          <w:trHeight w:val="288" w:hRule="atLeast"/>
        </w:trPr>
        <w:tc>
          <w:tcPr>
            <w:tcW w:w="682"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37"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公开09表</w:t>
            </w:r>
          </w:p>
        </w:tc>
      </w:tr>
      <w:tr>
        <w:tblPrEx/>
        <w:trPr>
          <w:trHeight w:val="288" w:hRule="atLeast"/>
        </w:trPr>
        <w:tc>
          <w:tcPr>
            <w:tcW w:w="682"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hint="eastAsia"/>
                <w:color w:val="000000"/>
                <w:kern w:val="0"/>
                <w:sz w:val="20"/>
                <w:szCs w:val="20"/>
              </w:rPr>
            </w:pPr>
            <w:r>
              <w:rPr>
                <w:rFonts w:ascii="宋体" w:cs="宋体" w:eastAsia="宋体" w:hAnsi="宋体" w:hint="eastAsia"/>
                <w:color w:val="000000"/>
                <w:kern w:val="0"/>
                <w:sz w:val="20"/>
                <w:szCs w:val="20"/>
              </w:rPr>
              <w:t>部门：益阳市第十五中学</w:t>
            </w:r>
          </w:p>
        </w:tc>
        <w:tc>
          <w:tcPr>
            <w:tcW w:w="388" w:type="pct"/>
            <w:tcBorders>
              <w:top w:val="nil"/>
              <w:left w:val="nil"/>
              <w:bottom w:val="nil"/>
              <w:right w:val="nil"/>
            </w:tcBorders>
            <w:shd w:val="clear" w:color="auto" w:fill="auto"/>
            <w:noWrap/>
            <w:vAlign w:val="center"/>
            <w:hideMark/>
          </w:tcPr>
          <w:p>
            <w:pPr>
              <w:pStyle w:val="style0"/>
              <w:widowControl/>
              <w:jc w:val="left"/>
              <w:rPr>
                <w:rFonts w:ascii="宋体" w:cs="宋体" w:eastAsia="宋体" w:hAnsi="宋体" w:hint="eastAsia"/>
                <w:color w:val="000000"/>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388" w:type="pct"/>
            <w:tcBorders>
              <w:top w:val="nil"/>
              <w:left w:val="nil"/>
              <w:bottom w:val="nil"/>
              <w:right w:val="nil"/>
            </w:tcBorders>
            <w:shd w:val="clear" w:color="auto" w:fill="auto"/>
            <w:noWrap/>
            <w:vAlign w:val="center"/>
            <w:hideMark/>
          </w:tcPr>
          <w:p>
            <w:pPr>
              <w:pStyle w:val="style0"/>
              <w:widowControl/>
              <w:jc w:val="left"/>
              <w:rPr>
                <w:rFonts w:ascii="Times New Roman" w:cs="Times New Roman" w:eastAsia="Times New Roman" w:hAnsi="Times New Roman"/>
                <w:kern w:val="0"/>
                <w:sz w:val="20"/>
                <w:szCs w:val="20"/>
              </w:rPr>
            </w:pPr>
          </w:p>
        </w:tc>
        <w:tc>
          <w:tcPr>
            <w:tcW w:w="437" w:type="pct"/>
            <w:tcBorders>
              <w:top w:val="nil"/>
              <w:left w:val="nil"/>
              <w:bottom w:val="nil"/>
              <w:right w:val="nil"/>
            </w:tcBorders>
            <w:shd w:val="clear" w:color="auto" w:fill="auto"/>
            <w:noWrap/>
            <w:vAlign w:val="bottom"/>
            <w:hideMark/>
          </w:tcPr>
          <w:p>
            <w:pPr>
              <w:pStyle w:val="style0"/>
              <w:widowControl/>
              <w:jc w:val="left"/>
              <w:rPr>
                <w:rFonts w:ascii="宋体" w:cs="宋体" w:eastAsia="宋体" w:hAnsi="宋体"/>
                <w:color w:val="000000"/>
                <w:kern w:val="0"/>
                <w:sz w:val="20"/>
                <w:szCs w:val="20"/>
              </w:rPr>
            </w:pPr>
            <w:r>
              <w:rPr>
                <w:rFonts w:ascii="宋体" w:cs="宋体" w:eastAsia="宋体" w:hAnsi="宋体" w:hint="eastAsia"/>
                <w:color w:val="000000"/>
                <w:kern w:val="0"/>
                <w:sz w:val="20"/>
                <w:szCs w:val="20"/>
              </w:rPr>
              <w:t>金额单位：万元</w:t>
            </w:r>
          </w:p>
        </w:tc>
      </w:tr>
      <w:tr>
        <w:tblPrEx/>
        <w:trPr>
          <w:trHeight w:val="300" w:hRule="atLeast"/>
        </w:trPr>
        <w:tc>
          <w:tcPr>
            <w:tcW w:w="2622" w:type="pct"/>
            <w:gridSpan w:val="6"/>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预算数</w:t>
            </w:r>
          </w:p>
        </w:tc>
        <w:tc>
          <w:tcPr>
            <w:tcW w:w="2378" w:type="pct"/>
            <w:gridSpan w:val="6"/>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决算数</w:t>
            </w:r>
          </w:p>
        </w:tc>
      </w:tr>
      <w:tr>
        <w:tblPrEx/>
        <w:trPr>
          <w:trHeight w:val="300" w:hRule="atLeast"/>
        </w:trPr>
        <w:tc>
          <w:tcPr>
            <w:tcW w:w="682"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38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因公出国（境）费</w:t>
            </w:r>
          </w:p>
        </w:tc>
        <w:tc>
          <w:tcPr>
            <w:tcW w:w="1164" w:type="pct"/>
            <w:gridSpan w:val="3"/>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公务用车购置及运行维护费</w:t>
            </w:r>
          </w:p>
        </w:tc>
        <w:tc>
          <w:tcPr>
            <w:tcW w:w="38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公务接待费</w:t>
            </w:r>
          </w:p>
        </w:tc>
        <w:tc>
          <w:tcPr>
            <w:tcW w:w="38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合计</w:t>
            </w:r>
          </w:p>
        </w:tc>
        <w:tc>
          <w:tcPr>
            <w:tcW w:w="388"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因公出国（境）费</w:t>
            </w:r>
          </w:p>
        </w:tc>
        <w:tc>
          <w:tcPr>
            <w:tcW w:w="1164" w:type="pct"/>
            <w:gridSpan w:val="3"/>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公务用车购置及运行维护费</w:t>
            </w:r>
          </w:p>
        </w:tc>
        <w:tc>
          <w:tcPr>
            <w:tcW w:w="437" w:type="pct"/>
            <w:vMerge w:val="restar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公务接待费</w:t>
            </w:r>
          </w:p>
        </w:tc>
      </w:tr>
      <w:tr>
        <w:tblPrEx/>
        <w:trPr>
          <w:trHeight w:val="600" w:hRule="atLeast"/>
        </w:trPr>
        <w:tc>
          <w:tcPr>
            <w:tcW w:w="682"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小计</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公务用车购置费</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公务用车运行维护费</w:t>
            </w: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小计</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公务用车购置费</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公务用车运行维护费</w:t>
            </w:r>
          </w:p>
        </w:tc>
        <w:tc>
          <w:tcPr>
            <w:tcW w:w="437" w:type="pct"/>
            <w:vMerge w:val="continue"/>
            <w:tcBorders>
              <w:top w:val="single" w:sz="4" w:space="0" w:color="d4d4d4"/>
              <w:left w:val="single" w:sz="4" w:space="0" w:color="d4d4d4"/>
              <w:bottom w:val="single" w:sz="4" w:space="0" w:color="d4d4d4"/>
              <w:right w:val="single" w:sz="4" w:space="0" w:color="d4d4d4"/>
            </w:tcBorders>
            <w:vAlign w:val="center"/>
            <w:hideMark/>
          </w:tcPr>
          <w:p>
            <w:pPr>
              <w:pStyle w:val="style0"/>
              <w:widowControl/>
              <w:jc w:val="left"/>
              <w:rPr>
                <w:rFonts w:ascii="宋体" w:cs="宋体" w:eastAsia="宋体" w:hAnsi="宋体"/>
                <w:color w:val="000000"/>
                <w:kern w:val="0"/>
                <w:sz w:val="22"/>
              </w:rPr>
            </w:pPr>
          </w:p>
        </w:tc>
      </w:tr>
      <w:tr>
        <w:tblPrEx/>
        <w:trPr>
          <w:trHeight w:val="300" w:hRule="atLeast"/>
        </w:trPr>
        <w:tc>
          <w:tcPr>
            <w:tcW w:w="682"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2</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3</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4</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5</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6</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7</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8</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9</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10</w:t>
            </w:r>
          </w:p>
        </w:tc>
        <w:tc>
          <w:tcPr>
            <w:tcW w:w="388"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11</w:t>
            </w:r>
          </w:p>
        </w:tc>
        <w:tc>
          <w:tcPr>
            <w:tcW w:w="437" w:type="pct"/>
            <w:tcBorders>
              <w:top w:val="single" w:sz="4" w:space="0" w:color="d4d4d4"/>
              <w:left w:val="single" w:sz="4" w:space="0" w:color="d4d4d4"/>
              <w:bottom w:val="single" w:sz="4" w:space="0" w:color="d4d4d4"/>
              <w:right w:val="single" w:sz="4" w:space="0" w:color="d4d4d4"/>
            </w:tcBorders>
            <w:shd w:val="clear" w:color="auto" w:fill="f1f1f1"/>
            <w:vAlign w:val="center"/>
            <w:hideMark/>
          </w:tcPr>
          <w:p>
            <w:pPr>
              <w:pStyle w:val="style0"/>
              <w:widowControl/>
              <w:jc w:val="center"/>
              <w:rPr>
                <w:rFonts w:ascii="宋体" w:cs="宋体" w:eastAsia="宋体" w:hAnsi="宋体" w:hint="eastAsia"/>
                <w:color w:val="000000"/>
                <w:kern w:val="0"/>
                <w:sz w:val="22"/>
              </w:rPr>
            </w:pPr>
            <w:r>
              <w:rPr>
                <w:rFonts w:ascii="宋体" w:cs="宋体" w:eastAsia="宋体" w:hAnsi="宋体" w:hint="eastAsia"/>
                <w:color w:val="000000"/>
                <w:kern w:val="0"/>
                <w:sz w:val="22"/>
              </w:rPr>
              <w:t>12</w:t>
            </w:r>
          </w:p>
        </w:tc>
      </w:tr>
      <w:tr>
        <w:tblPrEx/>
        <w:trPr>
          <w:trHeight w:val="300" w:hRule="atLeast"/>
        </w:trPr>
        <w:tc>
          <w:tcPr>
            <w:tcW w:w="682"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center"/>
              <w:rPr>
                <w:rFonts w:ascii="宋体" w:cs="宋体" w:eastAsia="宋体" w:hAnsi="宋体" w:hint="eastAsia"/>
                <w:color w:val="000000"/>
                <w:kern w:val="0"/>
                <w:sz w:val="22"/>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388"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c>
          <w:tcPr>
            <w:tcW w:w="437" w:type="pct"/>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pPr>
              <w:pStyle w:val="style0"/>
              <w:widowControl/>
              <w:jc w:val="right"/>
              <w:rPr>
                <w:rFonts w:ascii="Times New Roman" w:cs="Times New Roman" w:eastAsia="Times New Roman" w:hAnsi="Times New Roman"/>
                <w:kern w:val="0"/>
                <w:sz w:val="20"/>
                <w:szCs w:val="20"/>
              </w:rPr>
            </w:pPr>
          </w:p>
        </w:tc>
      </w:tr>
      <w:tr>
        <w:tblPrEx/>
        <w:trPr>
          <w:trHeight w:val="600" w:hRule="atLeast"/>
        </w:trPr>
        <w:tc>
          <w:tcPr>
            <w:tcW w:w="5000" w:type="pct"/>
            <w:gridSpan w:val="12"/>
            <w:tcBorders>
              <w:top w:val="single" w:sz="4" w:space="0" w:color="d4d4d4"/>
              <w:left w:val="nil"/>
              <w:bottom w:val="nil"/>
              <w:right w:val="nil"/>
            </w:tcBorders>
            <w:shd w:val="clear" w:color="auto" w:fill="auto"/>
            <w:vAlign w:val="center"/>
            <w:hideMark/>
          </w:tcPr>
          <w:p>
            <w:pPr>
              <w:pStyle w:val="style0"/>
              <w:widowControl/>
              <w:jc w:val="left"/>
              <w:rPr>
                <w:rFonts w:ascii="宋体" w:cs="宋体" w:eastAsia="宋体" w:hAnsi="宋体"/>
                <w:color w:val="000000"/>
                <w:kern w:val="0"/>
                <w:sz w:val="22"/>
              </w:rPr>
            </w:pPr>
            <w:r>
              <w:rPr>
                <w:rFonts w:ascii="宋体" w:cs="宋体" w:eastAsia="宋体" w:hAnsi="宋体" w:hint="eastAsia"/>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pStyle w:val="style0"/>
        <w:widowControl/>
        <w:tabs>
          <w:tab w:val="left" w:leader="none" w:pos="1260"/>
          <w:tab w:val="left" w:leader="none" w:pos="2521"/>
          <w:tab w:val="left" w:leader="none" w:pos="3782"/>
          <w:tab w:val="left" w:leader="none" w:pos="5043"/>
          <w:tab w:val="left" w:leader="none" w:pos="6304"/>
          <w:tab w:val="left" w:leader="none" w:pos="7565"/>
          <w:tab w:val="left" w:leader="none" w:pos="8826"/>
          <w:tab w:val="left" w:leader="none" w:pos="10087"/>
          <w:tab w:val="left" w:leader="none" w:pos="11348"/>
          <w:tab w:val="left" w:leader="none" w:pos="12609"/>
          <w:tab w:val="left" w:leader="none" w:pos="13870"/>
        </w:tabs>
        <w:jc w:val="right"/>
        <w:textAlignment w:val="center"/>
        <w:rPr>
          <w:rFonts w:ascii="Times New Roman" w:cs="Times New Roman" w:eastAsia="宋体" w:hAnsi="Times New Roman"/>
          <w:kern w:val="0"/>
          <w:sz w:val="24"/>
          <w:szCs w:val="24"/>
        </w:rPr>
      </w:pPr>
    </w:p>
    <w:p>
      <w:pPr>
        <w:pStyle w:val="style0"/>
        <w:autoSpaceDE w:val="false"/>
        <w:autoSpaceDN w:val="false"/>
        <w:adjustRightInd w:val="false"/>
        <w:ind w:left="315" w:leftChars="150"/>
        <w:jc w:val="left"/>
        <w:rPr>
          <w:rFonts w:ascii="Times New Roman" w:cs="Times New Roman" w:eastAsia="宋体" w:hAnsi="Times New Roman"/>
          <w:kern w:val="0"/>
          <w:sz w:val="24"/>
          <w:szCs w:val="24"/>
        </w:rPr>
      </w:pPr>
    </w:p>
    <w:p>
      <w:pPr>
        <w:pStyle w:val="style0"/>
        <w:autoSpaceDE w:val="false"/>
        <w:autoSpaceDN w:val="false"/>
        <w:adjustRightInd w:val="false"/>
        <w:ind w:left="315" w:leftChars="150"/>
        <w:jc w:val="left"/>
        <w:rPr>
          <w:rFonts w:ascii="Times New Roman" w:cs="Times New Roman" w:eastAsia="宋体" w:hAnsi="Times New Roman"/>
          <w:kern w:val="0"/>
          <w:sz w:val="24"/>
          <w:szCs w:val="24"/>
        </w:rPr>
      </w:pPr>
      <w:r>
        <w:rPr>
          <w:rFonts w:ascii="Times New Roman" w:cs="Times New Roman" w:eastAsia="楷体_GB2312" w:hAnsi="Times New Roman"/>
          <w:b/>
          <w:bCs/>
          <w:kern w:val="0"/>
          <w:sz w:val="24"/>
          <w:szCs w:val="24"/>
        </w:rPr>
        <w:t>说明：我单位没有</w:t>
      </w:r>
      <w:r>
        <w:rPr>
          <w:rFonts w:ascii="Times New Roman" w:cs="Times New Roman" w:eastAsia="楷体_GB2312" w:hAnsi="Times New Roman"/>
          <w:b/>
          <w:bCs/>
          <w:kern w:val="0"/>
          <w:sz w:val="24"/>
          <w:szCs w:val="24"/>
        </w:rPr>
        <w:t>“</w:t>
      </w:r>
      <w:r>
        <w:rPr>
          <w:rFonts w:ascii="Times New Roman" w:cs="Times New Roman" w:eastAsia="楷体_GB2312" w:hAnsi="Times New Roman"/>
          <w:b/>
          <w:bCs/>
          <w:kern w:val="0"/>
          <w:sz w:val="24"/>
          <w:szCs w:val="24"/>
        </w:rPr>
        <w:t>三公</w:t>
      </w:r>
      <w:r>
        <w:rPr>
          <w:rFonts w:ascii="Times New Roman" w:cs="Times New Roman" w:eastAsia="楷体_GB2312" w:hAnsi="Times New Roman"/>
          <w:b/>
          <w:bCs/>
          <w:kern w:val="0"/>
          <w:sz w:val="24"/>
          <w:szCs w:val="24"/>
        </w:rPr>
        <w:t>”</w:t>
      </w:r>
      <w:r>
        <w:rPr>
          <w:rFonts w:ascii="Times New Roman" w:cs="Times New Roman" w:eastAsia="楷体_GB2312" w:hAnsi="Times New Roman"/>
          <w:b/>
          <w:bCs/>
          <w:kern w:val="0"/>
          <w:sz w:val="24"/>
          <w:szCs w:val="24"/>
        </w:rPr>
        <w:t>经费支出，故本表无数据。</w:t>
      </w:r>
    </w:p>
    <w:p>
      <w:pPr>
        <w:pStyle w:val="style0"/>
        <w:autoSpaceDE w:val="false"/>
        <w:autoSpaceDN w:val="false"/>
        <w:adjustRightInd w:val="false"/>
        <w:ind w:left="315" w:leftChars="150"/>
        <w:jc w:val="left"/>
        <w:rPr>
          <w:rFonts w:ascii="Times New Roman" w:cs="Times New Roman" w:eastAsia="宋体" w:hAnsi="Times New Roman"/>
          <w:kern w:val="0"/>
          <w:sz w:val="24"/>
          <w:szCs w:val="24"/>
        </w:rPr>
      </w:pPr>
    </w:p>
    <w:p>
      <w:pPr>
        <w:pStyle w:val="style0"/>
        <w:autoSpaceDE w:val="false"/>
        <w:autoSpaceDN w:val="false"/>
        <w:adjustRightInd w:val="false"/>
        <w:ind w:left="315" w:leftChars="150"/>
        <w:jc w:val="left"/>
        <w:rPr>
          <w:rFonts w:ascii="Times New Roman" w:cs="Times New Roman" w:eastAsia="宋体" w:hAnsi="Times New Roman"/>
          <w:kern w:val="0"/>
          <w:sz w:val="24"/>
          <w:szCs w:val="24"/>
        </w:rPr>
      </w:pPr>
    </w:p>
    <w:p>
      <w:pPr>
        <w:pStyle w:val="style0"/>
        <w:widowControl/>
        <w:rPr>
          <w:rFonts w:ascii="Times New Roman" w:cs="Times New Roman" w:hAnsi="Times New Roman"/>
          <w:sz w:val="72"/>
          <w:szCs w:val="72"/>
        </w:rPr>
        <w:sectPr>
          <w:pgSz w:w="16838" w:h="11906" w:orient="landscape"/>
          <w:pgMar w:top="1134" w:right="1417" w:bottom="1134" w:left="1417" w:header="851" w:footer="992" w:gutter="0"/>
          <w:cols w:space="425"/>
          <w:docGrid w:type="lines" w:linePitch="312"/>
        </w:sectPr>
      </w:pPr>
      <w:r>
        <w:rPr>
          <w:rFonts w:ascii="Times New Roman" w:cs="Times New Roman" w:eastAsia="黑体" w:hAnsi="Times New Roman"/>
          <w:szCs w:val="21"/>
        </w:rPr>
        <w:br w:type="page"/>
      </w:r>
    </w:p>
    <w:p>
      <w:pPr>
        <w:pStyle w:val="style4099"/>
        <w:rPr>
          <w:rFonts w:ascii="Times New Roman" w:cs="Times New Roman" w:hAnsi="Times New Roman"/>
          <w:sz w:val="72"/>
          <w:szCs w:val="72"/>
        </w:rPr>
      </w:pPr>
    </w:p>
    <w:p>
      <w:pPr>
        <w:pStyle w:val="style4099"/>
        <w:rPr>
          <w:rFonts w:ascii="Times New Roman" w:cs="Times New Roman" w:hAnsi="Times New Roman"/>
          <w:sz w:val="72"/>
          <w:szCs w:val="72"/>
        </w:rPr>
      </w:pPr>
    </w:p>
    <w:p>
      <w:pPr>
        <w:pStyle w:val="style4099"/>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eastAsia="方正小标宋_GBK" w:hAnsi="Times New Roman"/>
          <w:sz w:val="72"/>
          <w:szCs w:val="72"/>
        </w:rPr>
      </w:pPr>
    </w:p>
    <w:p>
      <w:pPr>
        <w:pStyle w:val="style4099"/>
        <w:spacing w:lineRule="auto" w:line="360"/>
        <w:jc w:val="center"/>
        <w:rPr>
          <w:rFonts w:ascii="Times New Roman" w:cs="Times New Roman" w:eastAsia="方正小标宋_GBK" w:hAnsi="Times New Roman"/>
          <w:sz w:val="52"/>
          <w:szCs w:val="52"/>
        </w:rPr>
      </w:pPr>
      <w:r>
        <w:rPr>
          <w:rFonts w:ascii="Times New Roman" w:cs="Times New Roman" w:eastAsia="方正小标宋_GBK" w:hAnsi="Times New Roman"/>
          <w:sz w:val="52"/>
          <w:szCs w:val="52"/>
        </w:rPr>
        <w:t>第三部分</w:t>
      </w:r>
    </w:p>
    <w:p>
      <w:pPr>
        <w:pStyle w:val="style4099"/>
        <w:spacing w:lineRule="auto" w:line="360"/>
        <w:jc w:val="center"/>
        <w:rPr>
          <w:rFonts w:ascii="Times New Roman" w:cs="Times New Roman" w:eastAsia="方正小标宋_GBK" w:hAnsi="Times New Roman"/>
          <w:sz w:val="52"/>
          <w:szCs w:val="52"/>
        </w:rPr>
      </w:pPr>
      <w:r>
        <w:rPr>
          <w:rFonts w:ascii="Times New Roman" w:cs="Times New Roman" w:eastAsia="方正小标宋_GBK" w:hAnsi="Times New Roman"/>
          <w:sz w:val="52"/>
          <w:szCs w:val="52"/>
        </w:rPr>
        <w:t>202</w:t>
      </w:r>
      <w:r>
        <w:rPr>
          <w:rFonts w:ascii="Times New Roman" w:cs="Times New Roman" w:eastAsia="方正小标宋_GBK" w:hAnsi="Times New Roman" w:hint="eastAsia"/>
          <w:sz w:val="52"/>
          <w:szCs w:val="52"/>
        </w:rPr>
        <w:t>5</w:t>
      </w:r>
      <w:r>
        <w:rPr>
          <w:rFonts w:ascii="Times New Roman" w:cs="Times New Roman" w:eastAsia="方正小标宋_GBK" w:hAnsi="Times New Roman"/>
          <w:sz w:val="52"/>
          <w:szCs w:val="52"/>
        </w:rPr>
        <w:t>年度部门决算情况说明</w:t>
      </w:r>
    </w:p>
    <w:p>
      <w:pPr>
        <w:pStyle w:val="style0"/>
        <w:widowControl/>
        <w:jc w:val="left"/>
        <w:rPr>
          <w:rFonts w:ascii="Times New Roman" w:cs="Times New Roman" w:hAnsi="Times New Roman"/>
          <w:sz w:val="32"/>
          <w:szCs w:val="32"/>
        </w:rPr>
      </w:pPr>
      <w:r>
        <w:rPr>
          <w:rFonts w:ascii="Times New Roman" w:cs="Times New Roman" w:eastAsia="方正小标宋_GBK" w:hAnsi="Times New Roman"/>
          <w:sz w:val="70"/>
          <w:szCs w:val="70"/>
        </w:rPr>
        <w:br w:type="page"/>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一、收入支出决算总体情况说明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hint="eastAsia"/>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年度收</w:t>
      </w:r>
      <w:r>
        <w:rPr>
          <w:rFonts w:ascii="Times New Roman" w:cs="Times New Roman" w:eastAsia="仿宋_GB2312" w:hAnsi="Times New Roman" w:hint="eastAsia"/>
          <w:sz w:val="32"/>
          <w:szCs w:val="32"/>
        </w:rPr>
        <w:t>入总计</w:t>
      </w:r>
      <w:r>
        <w:rPr>
          <w:rFonts w:ascii="Times New Roman" w:cs="Times New Roman" w:eastAsia="仿宋_GB2312" w:hAnsi="Times New Roman" w:hint="eastAsia"/>
          <w:sz w:val="32"/>
          <w:szCs w:val="32"/>
        </w:rPr>
        <w:t>2556.96</w:t>
      </w:r>
      <w:r>
        <w:rPr>
          <w:rFonts w:ascii="Times New Roman" w:cs="Times New Roman" w:eastAsia="仿宋_GB2312" w:hAnsi="Times New Roman" w:hint="eastAsia"/>
          <w:sz w:val="32"/>
          <w:szCs w:val="32"/>
        </w:rPr>
        <w:t>万元</w:t>
      </w:r>
      <w:r>
        <w:rPr>
          <w:rFonts w:ascii="Times New Roman" w:cs="Times New Roman" w:eastAsia="仿宋_GB2312" w:hAnsi="Times New Roman"/>
          <w:sz w:val="32"/>
          <w:szCs w:val="32"/>
        </w:rPr>
        <w:t>、支</w:t>
      </w:r>
      <w:r>
        <w:rPr>
          <w:rFonts w:ascii="Times New Roman" w:cs="Times New Roman" w:eastAsia="仿宋_GB2312" w:hAnsi="Times New Roman" w:hint="eastAsia"/>
          <w:sz w:val="32"/>
          <w:szCs w:val="32"/>
        </w:rPr>
        <w:t>出</w:t>
      </w:r>
      <w:r>
        <w:rPr>
          <w:rFonts w:ascii="Times New Roman" w:cs="Times New Roman" w:eastAsia="仿宋_GB2312" w:hAnsi="Times New Roman"/>
          <w:sz w:val="32"/>
          <w:szCs w:val="32"/>
        </w:rPr>
        <w:t>总计</w:t>
      </w:r>
      <w:r>
        <w:rPr>
          <w:rFonts w:ascii="Times New Roman" w:cs="Times New Roman" w:eastAsia="仿宋_GB2312" w:hAnsi="Times New Roman" w:hint="eastAsia"/>
          <w:sz w:val="32"/>
          <w:szCs w:val="32"/>
        </w:rPr>
        <w:t>2556.96</w:t>
      </w:r>
      <w:r>
        <w:rPr>
          <w:rFonts w:ascii="Times New Roman" w:cs="Times New Roman" w:eastAsia="仿宋_GB2312" w:hAnsi="Times New Roman"/>
          <w:sz w:val="32"/>
          <w:szCs w:val="32"/>
        </w:rPr>
        <w:t>万元。与上年相比，减少</w:t>
      </w:r>
      <w:r>
        <w:rPr>
          <w:rFonts w:ascii="Times New Roman" w:cs="Times New Roman" w:eastAsia="仿宋_GB2312" w:hAnsi="Times New Roman" w:hint="eastAsia"/>
          <w:sz w:val="32"/>
          <w:szCs w:val="32"/>
        </w:rPr>
        <w:t>12.89</w:t>
      </w:r>
      <w:r>
        <w:rPr>
          <w:rFonts w:ascii="Times New Roman" w:cs="Times New Roman" w:eastAsia="仿宋_GB2312" w:hAnsi="Times New Roman"/>
          <w:sz w:val="32"/>
          <w:szCs w:val="32"/>
        </w:rPr>
        <w:t>万元，降低</w:t>
      </w:r>
      <w:r>
        <w:rPr>
          <w:rFonts w:ascii="Times New Roman" w:cs="Times New Roman" w:eastAsia="仿宋_GB2312" w:hAnsi="Times New Roman" w:hint="eastAsia"/>
          <w:sz w:val="32"/>
          <w:szCs w:val="32"/>
        </w:rPr>
        <w:t>0.5%</w:t>
      </w:r>
      <w:r>
        <w:rPr>
          <w:rFonts w:ascii="Times New Roman" w:cs="Times New Roman" w:eastAsia="仿宋_GB2312" w:hAnsi="Times New Roman"/>
          <w:sz w:val="32"/>
          <w:szCs w:val="32"/>
        </w:rPr>
        <w:t>，主要是因为</w:t>
      </w:r>
      <w:r>
        <w:rPr>
          <w:rFonts w:ascii="Times New Roman" w:cs="Times New Roman" w:eastAsia="仿宋_GB2312" w:hAnsi="Times New Roman" w:hint="eastAsia"/>
          <w:sz w:val="32"/>
          <w:szCs w:val="32"/>
        </w:rPr>
        <w:t>学校</w:t>
      </w:r>
      <w:r>
        <w:rPr>
          <w:rFonts w:ascii="Times New Roman" w:cs="Times New Roman" w:eastAsia="仿宋_GB2312" w:hAnsi="Times New Roman" w:hint="eastAsia"/>
          <w:sz w:val="32"/>
          <w:szCs w:val="32"/>
        </w:rPr>
        <w:t>虽然学生人数增加，但不再收取课后服务费</w:t>
      </w:r>
      <w:r>
        <w:rPr>
          <w:rFonts w:ascii="Times New Roman" w:cs="Times New Roman" w:eastAsia="仿宋_GB2312" w:hAnsi="Times New Roman" w:hint="eastAsia"/>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二、收入决算情况说明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年度收入合计</w:t>
      </w:r>
      <w:r>
        <w:rPr>
          <w:rFonts w:ascii="Times New Roman" w:cs="Times New Roman" w:eastAsia="仿宋_GB2312" w:hAnsi="Times New Roman" w:hint="eastAsia"/>
          <w:sz w:val="32"/>
          <w:szCs w:val="32"/>
        </w:rPr>
        <w:t>2556.96</w:t>
      </w:r>
      <w:r>
        <w:rPr>
          <w:rFonts w:ascii="Times New Roman" w:cs="Times New Roman" w:eastAsia="仿宋_GB2312" w:hAnsi="Times New Roman"/>
          <w:sz w:val="32"/>
          <w:szCs w:val="32"/>
        </w:rPr>
        <w:t>万元，其中：财政拨款收入</w:t>
      </w:r>
      <w:r>
        <w:rPr>
          <w:rFonts w:ascii="Times New Roman" w:cs="Times New Roman" w:eastAsia="仿宋_GB2312" w:hAnsi="Times New Roman" w:hint="eastAsia"/>
          <w:sz w:val="32"/>
          <w:szCs w:val="32"/>
        </w:rPr>
        <w:t>2196.7</w:t>
      </w:r>
      <w:r>
        <w:rPr>
          <w:rFonts w:ascii="Times New Roman" w:cs="Times New Roman" w:eastAsia="仿宋_GB2312" w:hAnsi="Times New Roman"/>
          <w:sz w:val="32"/>
          <w:szCs w:val="32"/>
        </w:rPr>
        <w:t>万元，占</w:t>
      </w:r>
      <w:r>
        <w:rPr>
          <w:rFonts w:ascii="Times New Roman" w:cs="Times New Roman" w:eastAsia="仿宋_GB2312" w:hAnsi="Times New Roman" w:hint="eastAsia"/>
          <w:sz w:val="32"/>
          <w:szCs w:val="32"/>
        </w:rPr>
        <w:t>85.91</w:t>
      </w:r>
      <w:r>
        <w:rPr>
          <w:rFonts w:ascii="Times New Roman" w:cs="Times New Roman" w:eastAsia="仿宋_GB2312" w:hAnsi="Times New Roman"/>
          <w:sz w:val="32"/>
          <w:szCs w:val="32"/>
        </w:rPr>
        <w:t>%</w:t>
      </w:r>
      <w:r>
        <w:rPr>
          <w:rFonts w:ascii="Times New Roman" w:cs="Times New Roman" w:eastAsia="仿宋_GB2312" w:hAnsi="Times New Roman"/>
          <w:sz w:val="32"/>
          <w:szCs w:val="32"/>
        </w:rPr>
        <w:t>；事业收入</w:t>
      </w:r>
      <w:r>
        <w:rPr>
          <w:rFonts w:ascii="Times New Roman" w:cs="Times New Roman" w:eastAsia="仿宋_GB2312" w:hAnsi="Times New Roman" w:hint="eastAsia"/>
          <w:sz w:val="32"/>
          <w:szCs w:val="32"/>
        </w:rPr>
        <w:t>355.8</w:t>
      </w:r>
      <w:r>
        <w:rPr>
          <w:rFonts w:ascii="Times New Roman" w:cs="Times New Roman" w:eastAsia="仿宋_GB2312" w:hAnsi="Times New Roman"/>
          <w:sz w:val="32"/>
          <w:szCs w:val="32"/>
        </w:rPr>
        <w:t>万元，占</w:t>
      </w:r>
      <w:r>
        <w:rPr>
          <w:rFonts w:ascii="Times New Roman" w:cs="Times New Roman" w:eastAsia="仿宋_GB2312" w:hAnsi="Times New Roman" w:hint="eastAsia"/>
          <w:sz w:val="32"/>
          <w:szCs w:val="32"/>
        </w:rPr>
        <w:t>1</w:t>
      </w:r>
      <w:r>
        <w:rPr>
          <w:rFonts w:ascii="Times New Roman" w:cs="Times New Roman" w:eastAsia="仿宋_GB2312" w:hAnsi="Times New Roman" w:hint="eastAsia"/>
          <w:sz w:val="32"/>
          <w:szCs w:val="32"/>
        </w:rPr>
        <w:t>3.91</w:t>
      </w:r>
      <w:r>
        <w:rPr>
          <w:rFonts w:ascii="Times New Roman" w:cs="Times New Roman" w:eastAsia="仿宋_GB2312" w:hAnsi="Times New Roman"/>
          <w:sz w:val="32"/>
          <w:szCs w:val="32"/>
        </w:rPr>
        <w:t>%</w:t>
      </w:r>
      <w:r>
        <w:rPr>
          <w:rFonts w:ascii="Times New Roman" w:cs="Times New Roman" w:eastAsia="仿宋_GB2312" w:hAnsi="Times New Roman"/>
          <w:sz w:val="32"/>
          <w:szCs w:val="32"/>
        </w:rPr>
        <w:t>；其他收入</w:t>
      </w:r>
      <w:r>
        <w:rPr>
          <w:rFonts w:ascii="Times New Roman" w:cs="Times New Roman" w:eastAsia="仿宋_GB2312" w:hAnsi="Times New Roman" w:hint="eastAsia"/>
          <w:sz w:val="32"/>
          <w:szCs w:val="32"/>
        </w:rPr>
        <w:t>4.46</w:t>
      </w:r>
      <w:r>
        <w:rPr>
          <w:rFonts w:ascii="Times New Roman" w:cs="Times New Roman" w:eastAsia="仿宋_GB2312" w:hAnsi="Times New Roman"/>
          <w:sz w:val="32"/>
          <w:szCs w:val="32"/>
        </w:rPr>
        <w:t>万元，占</w:t>
      </w:r>
      <w:r>
        <w:rPr>
          <w:rFonts w:ascii="Times New Roman" w:cs="Times New Roman" w:eastAsia="仿宋_GB2312" w:hAnsi="Times New Roman" w:hint="eastAsia"/>
          <w:sz w:val="32"/>
          <w:szCs w:val="32"/>
        </w:rPr>
        <w:t>0.17</w:t>
      </w:r>
      <w:r>
        <w:rPr>
          <w:rFonts w:ascii="Times New Roman" w:cs="Times New Roman" w:eastAsia="仿宋_GB2312" w:hAnsi="Times New Roman"/>
          <w:sz w:val="32"/>
          <w:szCs w:val="32"/>
        </w:rPr>
        <w:t>%</w:t>
      </w:r>
      <w:r>
        <w:rPr>
          <w:rFonts w:ascii="Times New Roman" w:cs="Times New Roman" w:eastAsia="仿宋_GB2312" w:hAnsi="Times New Roman"/>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三、支出决算情况说明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年度支出合计</w:t>
      </w:r>
      <w:r>
        <w:rPr>
          <w:rFonts w:ascii="Times New Roman" w:cs="Times New Roman" w:eastAsia="仿宋_GB2312" w:hAnsi="Times New Roman" w:hint="eastAsia"/>
          <w:sz w:val="32"/>
          <w:szCs w:val="32"/>
        </w:rPr>
        <w:t>2556.96</w:t>
      </w:r>
      <w:r>
        <w:rPr>
          <w:rFonts w:ascii="Times New Roman" w:cs="Times New Roman" w:eastAsia="仿宋_GB2312" w:hAnsi="Times New Roman"/>
          <w:sz w:val="32"/>
          <w:szCs w:val="32"/>
        </w:rPr>
        <w:t>万元，其中：基本支出</w:t>
      </w:r>
      <w:r>
        <w:rPr>
          <w:rFonts w:ascii="Times New Roman" w:cs="Times New Roman" w:eastAsia="仿宋_GB2312" w:hAnsi="Times New Roman" w:hint="eastAsia"/>
          <w:sz w:val="32"/>
          <w:szCs w:val="32"/>
        </w:rPr>
        <w:t>2106.96</w:t>
      </w:r>
      <w:r>
        <w:rPr>
          <w:rFonts w:ascii="Times New Roman" w:cs="Times New Roman" w:eastAsia="仿宋_GB2312" w:hAnsi="Times New Roman"/>
          <w:sz w:val="32"/>
          <w:szCs w:val="32"/>
        </w:rPr>
        <w:t>万元，占</w:t>
      </w:r>
      <w:r>
        <w:rPr>
          <w:rFonts w:ascii="Times New Roman" w:cs="Times New Roman" w:eastAsia="仿宋_GB2312" w:hAnsi="Times New Roman" w:hint="eastAsia"/>
          <w:sz w:val="32"/>
          <w:szCs w:val="32"/>
        </w:rPr>
        <w:t>82.4</w:t>
      </w:r>
      <w:r>
        <w:rPr>
          <w:rFonts w:ascii="Times New Roman" w:cs="Times New Roman" w:eastAsia="仿宋_GB2312" w:hAnsi="Times New Roman"/>
          <w:sz w:val="32"/>
          <w:szCs w:val="32"/>
        </w:rPr>
        <w:t>%</w:t>
      </w:r>
      <w:r>
        <w:rPr>
          <w:rFonts w:ascii="Times New Roman" w:cs="Times New Roman" w:eastAsia="仿宋_GB2312" w:hAnsi="Times New Roman"/>
          <w:sz w:val="32"/>
          <w:szCs w:val="32"/>
        </w:rPr>
        <w:t>；项目支出</w:t>
      </w:r>
      <w:r>
        <w:rPr>
          <w:rFonts w:ascii="Times New Roman" w:cs="Times New Roman" w:eastAsia="仿宋_GB2312" w:hAnsi="Times New Roman" w:hint="eastAsia"/>
          <w:sz w:val="32"/>
          <w:szCs w:val="32"/>
        </w:rPr>
        <w:t>450</w:t>
      </w:r>
      <w:r>
        <w:rPr>
          <w:rFonts w:ascii="Times New Roman" w:cs="Times New Roman" w:eastAsia="仿宋_GB2312" w:hAnsi="Times New Roman"/>
          <w:sz w:val="32"/>
          <w:szCs w:val="32"/>
        </w:rPr>
        <w:t>万元，占</w:t>
      </w:r>
      <w:r>
        <w:rPr>
          <w:rFonts w:ascii="Times New Roman" w:cs="Times New Roman" w:eastAsia="仿宋_GB2312" w:hAnsi="Times New Roman" w:hint="eastAsia"/>
          <w:sz w:val="32"/>
          <w:szCs w:val="32"/>
        </w:rPr>
        <w:t>17.6</w:t>
      </w:r>
      <w:r>
        <w:rPr>
          <w:rFonts w:ascii="Times New Roman" w:cs="Times New Roman" w:eastAsia="仿宋_GB2312" w:hAnsi="Times New Roman"/>
          <w:sz w:val="32"/>
          <w:szCs w:val="32"/>
        </w:rPr>
        <w:t>%</w:t>
      </w:r>
      <w:r>
        <w:rPr>
          <w:rFonts w:ascii="Times New Roman" w:cs="Times New Roman" w:eastAsia="仿宋_GB2312" w:hAnsi="Times New Roman"/>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四、财政拨款收入支出决算总体情况说明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年度财政拨款收</w:t>
      </w:r>
      <w:r>
        <w:rPr>
          <w:rFonts w:ascii="Times New Roman" w:cs="Times New Roman" w:eastAsia="仿宋_GB2312" w:hAnsi="Times New Roman" w:hint="eastAsia"/>
          <w:sz w:val="32"/>
          <w:szCs w:val="32"/>
        </w:rPr>
        <w:t>入总计</w:t>
      </w:r>
      <w:r>
        <w:rPr>
          <w:rFonts w:ascii="Times New Roman" w:cs="Times New Roman" w:eastAsia="仿宋_GB2312" w:hAnsi="Times New Roman"/>
          <w:sz w:val="32"/>
          <w:szCs w:val="32"/>
        </w:rPr>
        <w:t>2196.7</w:t>
      </w:r>
      <w:r>
        <w:rPr>
          <w:rFonts w:ascii="Times New Roman" w:cs="Times New Roman" w:eastAsia="仿宋_GB2312" w:hAnsi="Times New Roman" w:hint="eastAsia"/>
          <w:sz w:val="32"/>
          <w:szCs w:val="32"/>
        </w:rPr>
        <w:t>万元</w:t>
      </w:r>
      <w:r>
        <w:rPr>
          <w:rFonts w:ascii="Times New Roman" w:cs="Times New Roman" w:eastAsia="仿宋_GB2312" w:hAnsi="Times New Roman"/>
          <w:sz w:val="32"/>
          <w:szCs w:val="32"/>
        </w:rPr>
        <w:t>、支</w:t>
      </w:r>
      <w:r>
        <w:rPr>
          <w:rFonts w:ascii="Times New Roman" w:cs="Times New Roman" w:eastAsia="仿宋_GB2312" w:hAnsi="Times New Roman" w:hint="eastAsia"/>
          <w:sz w:val="32"/>
          <w:szCs w:val="32"/>
        </w:rPr>
        <w:t>出</w:t>
      </w:r>
      <w:r>
        <w:rPr>
          <w:rFonts w:ascii="Times New Roman" w:cs="Times New Roman" w:eastAsia="仿宋_GB2312" w:hAnsi="Times New Roman"/>
          <w:sz w:val="32"/>
          <w:szCs w:val="32"/>
        </w:rPr>
        <w:t>总计</w:t>
      </w:r>
      <w:r>
        <w:rPr>
          <w:rFonts w:ascii="Times New Roman" w:cs="Times New Roman" w:eastAsia="仿宋_GB2312" w:hAnsi="Times New Roman"/>
          <w:sz w:val="32"/>
          <w:szCs w:val="32"/>
        </w:rPr>
        <w:t>2196.7</w:t>
      </w:r>
      <w:r>
        <w:rPr>
          <w:rFonts w:ascii="Times New Roman" w:cs="Times New Roman" w:eastAsia="仿宋_GB2312" w:hAnsi="Times New Roman"/>
          <w:sz w:val="32"/>
          <w:szCs w:val="32"/>
        </w:rPr>
        <w:t>万元，与上年相比，</w:t>
      </w:r>
      <w:r>
        <w:rPr>
          <w:rFonts w:ascii="Times New Roman" w:cs="Times New Roman" w:eastAsia="仿宋_GB2312" w:hAnsi="Times New Roman" w:hint="eastAsia"/>
          <w:sz w:val="32"/>
          <w:szCs w:val="32"/>
        </w:rPr>
        <w:t>增加</w:t>
      </w:r>
      <w:r>
        <w:rPr>
          <w:rFonts w:ascii="Times New Roman" w:cs="Times New Roman" w:eastAsia="仿宋_GB2312" w:hAnsi="Times New Roman" w:hint="eastAsia"/>
          <w:sz w:val="32"/>
          <w:szCs w:val="32"/>
        </w:rPr>
        <w:t>251.85</w:t>
      </w:r>
      <w:r>
        <w:rPr>
          <w:rFonts w:ascii="Times New Roman" w:cs="Times New Roman" w:eastAsia="仿宋_GB2312" w:hAnsi="Times New Roman"/>
          <w:sz w:val="32"/>
          <w:szCs w:val="32"/>
        </w:rPr>
        <w:t>万元</w:t>
      </w:r>
      <w:r>
        <w:rPr>
          <w:rFonts w:ascii="Times New Roman" w:cs="Times New Roman" w:eastAsia="仿宋_GB2312" w:hAnsi="Times New Roman"/>
          <w:sz w:val="32"/>
          <w:szCs w:val="32"/>
        </w:rPr>
        <w:t>,</w:t>
      </w:r>
      <w:r>
        <w:rPr>
          <w:rFonts w:ascii="Times New Roman" w:cs="Times New Roman" w:eastAsia="仿宋_GB2312" w:hAnsi="Times New Roman" w:hint="eastAsia"/>
          <w:sz w:val="32"/>
          <w:szCs w:val="32"/>
        </w:rPr>
        <w:t>增长</w:t>
      </w:r>
      <w:r>
        <w:rPr>
          <w:rFonts w:ascii="Times New Roman" w:cs="Times New Roman" w:eastAsia="仿宋_GB2312" w:hAnsi="Times New Roman" w:hint="eastAsia"/>
          <w:sz w:val="32"/>
          <w:szCs w:val="32"/>
        </w:rPr>
        <w:t>12.9</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，主要是因为</w:t>
      </w:r>
      <w:r>
        <w:rPr>
          <w:rFonts w:ascii="Times New Roman" w:cs="Times New Roman" w:eastAsia="仿宋_GB2312" w:hAnsi="Times New Roman" w:hint="eastAsia"/>
          <w:sz w:val="32"/>
          <w:szCs w:val="32"/>
        </w:rPr>
        <w:t>学生人数增加</w:t>
      </w:r>
      <w:r>
        <w:rPr>
          <w:rFonts w:ascii="Times New Roman" w:cs="Times New Roman" w:eastAsia="仿宋_GB2312" w:hAnsi="Times New Roman" w:hint="eastAsia"/>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五、一般公共预算财政拨款支出决算情况说明</w:t>
      </w:r>
    </w:p>
    <w:p>
      <w:pPr>
        <w:pStyle w:val="style4099"/>
        <w:overflowPunct w:val="false"/>
        <w:autoSpaceDE/>
        <w:autoSpaceDN/>
        <w:spacing w:lineRule="exact" w:line="600"/>
        <w:ind w:firstLine="643" w:firstLineChars="200"/>
        <w:jc w:val="both"/>
        <w:rPr>
          <w:rFonts w:ascii="Times New Roman" w:cs="Times New Roman" w:eastAsia="楷体_GB2312" w:hAnsi="Times New Roman"/>
          <w:b/>
          <w:sz w:val="32"/>
          <w:szCs w:val="32"/>
        </w:rPr>
      </w:pPr>
      <w:r>
        <w:rPr>
          <w:rFonts w:ascii="Times New Roman" w:cs="Times New Roman" w:eastAsia="楷体_GB2312" w:hAnsi="Times New Roman"/>
          <w:b/>
          <w:sz w:val="32"/>
          <w:szCs w:val="32"/>
        </w:rPr>
        <w:t>（一）一般公共预算财政拨款支出决算总体情况</w:t>
      </w:r>
    </w:p>
    <w:p>
      <w:pPr>
        <w:pStyle w:val="style4099"/>
        <w:overflowPunct w:val="false"/>
        <w:autoSpaceDE/>
        <w:autoSpaceDN/>
        <w:spacing w:lineRule="exact" w:line="600"/>
        <w:ind w:firstLine="640" w:firstLineChars="200"/>
        <w:jc w:val="both"/>
        <w:rPr>
          <w:rFonts w:ascii="Times New Roman" w:cs="Times New Roman" w:eastAsia="仿宋_GB2312" w:hAnsi="Times New Roman" w:hint="eastAsia"/>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年度财政拨款支出</w:t>
      </w:r>
      <w:r>
        <w:rPr>
          <w:rFonts w:ascii="Times New Roman" w:cs="Times New Roman" w:eastAsia="仿宋_GB2312" w:hAnsi="Times New Roman"/>
          <w:sz w:val="32"/>
          <w:szCs w:val="32"/>
        </w:rPr>
        <w:t>2196.7</w:t>
      </w:r>
      <w:r>
        <w:rPr>
          <w:rFonts w:ascii="Times New Roman" w:cs="Times New Roman" w:eastAsia="仿宋_GB2312" w:hAnsi="Times New Roman"/>
          <w:sz w:val="32"/>
          <w:szCs w:val="32"/>
        </w:rPr>
        <w:t>万元，占本年支出合计的</w:t>
      </w:r>
      <w:r>
        <w:rPr>
          <w:rFonts w:ascii="Times New Roman" w:cs="Times New Roman" w:eastAsia="仿宋_GB2312" w:hAnsi="Times New Roman" w:hint="eastAsia"/>
          <w:sz w:val="32"/>
          <w:szCs w:val="32"/>
        </w:rPr>
        <w:t>85.91</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，与上年相比，</w:t>
      </w:r>
      <w:r>
        <w:rPr>
          <w:rFonts w:ascii="Times New Roman" w:cs="Times New Roman" w:eastAsia="仿宋_GB2312" w:hAnsi="Times New Roman" w:hint="eastAsia"/>
          <w:sz w:val="32"/>
          <w:szCs w:val="32"/>
        </w:rPr>
        <w:t>增加</w:t>
      </w:r>
      <w:r>
        <w:rPr>
          <w:rFonts w:ascii="Times New Roman" w:cs="Times New Roman" w:eastAsia="仿宋_GB2312" w:hAnsi="Times New Roman" w:hint="eastAsia"/>
          <w:sz w:val="32"/>
          <w:szCs w:val="32"/>
        </w:rPr>
        <w:t>251.85</w:t>
      </w:r>
      <w:r>
        <w:rPr>
          <w:rFonts w:ascii="Times New Roman" w:cs="Times New Roman" w:eastAsia="仿宋_GB2312" w:hAnsi="Times New Roman"/>
          <w:sz w:val="32"/>
          <w:szCs w:val="32"/>
        </w:rPr>
        <w:t>万元</w:t>
      </w:r>
      <w:r>
        <w:rPr>
          <w:rFonts w:ascii="Times New Roman" w:cs="Times New Roman" w:eastAsia="仿宋_GB2312" w:hAnsi="Times New Roman"/>
          <w:sz w:val="32"/>
          <w:szCs w:val="32"/>
        </w:rPr>
        <w:t>,</w:t>
      </w:r>
      <w:r>
        <w:rPr>
          <w:rFonts w:ascii="Times New Roman" w:cs="Times New Roman" w:eastAsia="仿宋_GB2312" w:hAnsi="Times New Roman" w:hint="eastAsia"/>
          <w:sz w:val="32"/>
          <w:szCs w:val="32"/>
        </w:rPr>
        <w:t>增长</w:t>
      </w:r>
      <w:r>
        <w:rPr>
          <w:rFonts w:ascii="Times New Roman" w:cs="Times New Roman" w:eastAsia="仿宋_GB2312" w:hAnsi="Times New Roman" w:hint="eastAsia"/>
          <w:sz w:val="32"/>
          <w:szCs w:val="32"/>
        </w:rPr>
        <w:t>12.9</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，主要是因为</w:t>
      </w:r>
      <w:r>
        <w:rPr>
          <w:rFonts w:ascii="Times New Roman" w:cs="Times New Roman" w:eastAsia="仿宋_GB2312" w:hAnsi="Times New Roman" w:hint="eastAsia"/>
          <w:sz w:val="32"/>
          <w:szCs w:val="32"/>
        </w:rPr>
        <w:t>学生人数增加。</w:t>
      </w:r>
    </w:p>
    <w:p>
      <w:pPr>
        <w:pStyle w:val="style4099"/>
        <w:overflowPunct w:val="false"/>
        <w:autoSpaceDE/>
        <w:autoSpaceDN/>
        <w:spacing w:lineRule="exact" w:line="600"/>
        <w:ind w:firstLine="643" w:firstLineChars="200"/>
        <w:jc w:val="both"/>
        <w:rPr>
          <w:rFonts w:ascii="Times New Roman" w:cs="Times New Roman" w:eastAsia="楷体_GB2312" w:hAnsi="Times New Roman"/>
          <w:b/>
          <w:sz w:val="32"/>
          <w:szCs w:val="32"/>
        </w:rPr>
      </w:pPr>
      <w:r>
        <w:rPr>
          <w:rFonts w:ascii="Times New Roman" w:cs="Times New Roman" w:eastAsia="楷体_GB2312" w:hAnsi="Times New Roman"/>
          <w:b/>
          <w:sz w:val="32"/>
          <w:szCs w:val="32"/>
        </w:rPr>
        <w:t>（二）一般公共预算财政拨款支出决算结构情况</w:t>
      </w:r>
    </w:p>
    <w:p>
      <w:pPr>
        <w:pStyle w:val="style4099"/>
        <w:overflowPunct w:val="false"/>
        <w:autoSpaceDE/>
        <w:autoSpaceDN/>
        <w:spacing w:lineRule="exact" w:line="600"/>
        <w:ind w:firstLine="640" w:firstLineChars="200"/>
        <w:jc w:val="both"/>
        <w:rPr>
          <w:rFonts w:ascii="Times New Roman" w:cs="Times New Roman" w:eastAsia="仿宋_GB2312" w:hAnsi="Times New Roman" w:hint="eastAsia"/>
          <w:sz w:val="32"/>
          <w:szCs w:val="32"/>
        </w:rPr>
      </w:pPr>
      <w:r>
        <w:rPr>
          <w:rFonts w:ascii="Times New Roman" w:cs="Times New Roman" w:eastAsia="仿宋_GB2312" w:hAnsi="Times New Roman" w:hint="eastAsia"/>
          <w:sz w:val="32"/>
          <w:szCs w:val="32"/>
        </w:rPr>
        <w:t>2025</w:t>
      </w:r>
      <w:r>
        <w:rPr>
          <w:rFonts w:ascii="Times New Roman" w:cs="Times New Roman" w:eastAsia="仿宋_GB2312" w:hAnsi="Times New Roman" w:hint="eastAsia"/>
          <w:sz w:val="32"/>
          <w:szCs w:val="32"/>
        </w:rPr>
        <w:t>年</w:t>
      </w:r>
      <w:r>
        <w:rPr>
          <w:rFonts w:ascii="Times New Roman" w:cs="Times New Roman" w:eastAsia="仿宋_GB2312" w:hAnsi="Times New Roman"/>
          <w:sz w:val="32"/>
          <w:szCs w:val="32"/>
        </w:rPr>
        <w:t>度财政拨款支出</w:t>
      </w:r>
      <w:r>
        <w:rPr>
          <w:rFonts w:ascii="Times New Roman" w:cs="Times New Roman" w:eastAsia="仿宋_GB2312" w:hAnsi="Times New Roman"/>
          <w:sz w:val="32"/>
          <w:szCs w:val="32"/>
        </w:rPr>
        <w:t>2196.7</w:t>
      </w:r>
      <w:r>
        <w:rPr>
          <w:rFonts w:ascii="Times New Roman" w:cs="Times New Roman" w:eastAsia="仿宋_GB2312" w:hAnsi="Times New Roman"/>
          <w:sz w:val="32"/>
          <w:szCs w:val="32"/>
        </w:rPr>
        <w:t>万元，主要用于以下方面：教育（类）支出</w:t>
      </w:r>
      <w:r>
        <w:rPr>
          <w:rFonts w:ascii="Times New Roman" w:cs="Times New Roman" w:eastAsia="仿宋_GB2312" w:hAnsi="Times New Roman"/>
          <w:sz w:val="32"/>
          <w:szCs w:val="32"/>
        </w:rPr>
        <w:t>2102.5</w:t>
      </w:r>
      <w:r>
        <w:rPr>
          <w:rFonts w:ascii="Times New Roman" w:cs="Times New Roman" w:eastAsia="仿宋_GB2312" w:hAnsi="Times New Roman"/>
          <w:sz w:val="32"/>
          <w:szCs w:val="32"/>
        </w:rPr>
        <w:t>万元，占</w:t>
      </w:r>
      <w:r>
        <w:rPr>
          <w:rFonts w:ascii="Times New Roman" w:cs="Times New Roman" w:eastAsia="仿宋_GB2312" w:hAnsi="Times New Roman" w:hint="eastAsia"/>
          <w:sz w:val="32"/>
          <w:szCs w:val="32"/>
        </w:rPr>
        <w:t>9</w:t>
      </w:r>
      <w:r>
        <w:rPr>
          <w:rFonts w:ascii="Times New Roman" w:cs="Times New Roman" w:eastAsia="仿宋_GB2312" w:hAnsi="Times New Roman" w:hint="eastAsia"/>
          <w:sz w:val="32"/>
          <w:szCs w:val="32"/>
        </w:rPr>
        <w:t>5.7</w:t>
      </w:r>
      <w:r>
        <w:rPr>
          <w:rFonts w:ascii="Times New Roman" w:cs="Times New Roman" w:eastAsia="仿宋_GB2312" w:hAnsi="Times New Roman"/>
          <w:sz w:val="32"/>
          <w:szCs w:val="32"/>
        </w:rPr>
        <w:t>%;</w:t>
      </w:r>
      <w:r>
        <w:rPr>
          <w:rFonts w:ascii="Times New Roman" w:cs="Times New Roman" w:eastAsia="仿宋_GB2312" w:hAnsi="Times New Roman" w:hint="eastAsia"/>
          <w:sz w:val="32"/>
          <w:szCs w:val="32"/>
        </w:rPr>
        <w:t>社会保障和就业（类）</w:t>
      </w:r>
      <w:r>
        <w:rPr>
          <w:rFonts w:ascii="Times New Roman" w:cs="Times New Roman" w:eastAsia="仿宋_GB2312" w:hAnsi="Times New Roman" w:hint="eastAsia"/>
          <w:sz w:val="32"/>
          <w:szCs w:val="32"/>
        </w:rPr>
        <w:t>支出</w:t>
      </w:r>
      <w:r>
        <w:rPr>
          <w:rFonts w:ascii="Times New Roman" w:cs="Times New Roman" w:eastAsia="仿宋_GB2312" w:hAnsi="Times New Roman" w:hint="eastAsia"/>
          <w:sz w:val="32"/>
          <w:szCs w:val="32"/>
        </w:rPr>
        <w:t>1.8</w:t>
      </w:r>
      <w:r>
        <w:rPr>
          <w:rFonts w:ascii="Times New Roman" w:cs="Times New Roman" w:eastAsia="仿宋_GB2312" w:hAnsi="Times New Roman" w:hint="eastAsia"/>
          <w:sz w:val="32"/>
          <w:szCs w:val="32"/>
        </w:rPr>
        <w:t>万元，占</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.0008</w:t>
      </w:r>
      <w:r>
        <w:rPr>
          <w:rFonts w:ascii="Times New Roman" w:cs="Times New Roman" w:eastAsia="仿宋_GB2312" w:hAnsi="Times New Roman" w:hint="eastAsia"/>
          <w:sz w:val="32"/>
          <w:szCs w:val="32"/>
        </w:rPr>
        <w:t>%</w:t>
      </w:r>
      <w:r>
        <w:rPr>
          <w:rFonts w:ascii="Times New Roman" w:cs="Times New Roman" w:eastAsia="仿宋_GB2312" w:hAnsi="Times New Roman"/>
          <w:sz w:val="32"/>
          <w:szCs w:val="32"/>
        </w:rPr>
        <w:t>;</w:t>
      </w:r>
      <w:r>
        <w:rPr>
          <w:rFonts w:ascii="Times New Roman" w:cs="Times New Roman" w:eastAsia="仿宋_GB2312" w:hAnsi="Times New Roman" w:hint="eastAsia"/>
          <w:sz w:val="32"/>
          <w:szCs w:val="32"/>
        </w:rPr>
        <w:t>卫生健康支出</w:t>
      </w:r>
      <w:r>
        <w:rPr>
          <w:rFonts w:ascii="Times New Roman" w:cs="Times New Roman" w:eastAsia="仿宋_GB2312" w:hAnsi="Times New Roman"/>
          <w:sz w:val="32"/>
          <w:szCs w:val="32"/>
        </w:rPr>
        <w:t>92.4</w:t>
      </w:r>
      <w:r>
        <w:rPr>
          <w:rFonts w:ascii="Times New Roman" w:cs="Times New Roman" w:eastAsia="仿宋_GB2312" w:hAnsi="Times New Roman" w:hint="eastAsia"/>
          <w:sz w:val="32"/>
          <w:szCs w:val="32"/>
        </w:rPr>
        <w:t>万元，占</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42</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w:t>
      </w:r>
    </w:p>
    <w:p>
      <w:pPr>
        <w:pStyle w:val="style4099"/>
        <w:overflowPunct w:val="false"/>
        <w:autoSpaceDE/>
        <w:autoSpaceDN/>
        <w:spacing w:lineRule="exact" w:line="600"/>
        <w:ind w:firstLine="643" w:firstLineChars="200"/>
        <w:jc w:val="both"/>
        <w:rPr>
          <w:rFonts w:ascii="Times New Roman" w:cs="Times New Roman" w:eastAsia="楷体_GB2312" w:hAnsi="Times New Roman"/>
          <w:b/>
          <w:sz w:val="32"/>
          <w:szCs w:val="32"/>
        </w:rPr>
      </w:pPr>
      <w:r>
        <w:rPr>
          <w:rFonts w:ascii="Times New Roman" w:cs="Times New Roman" w:eastAsia="楷体_GB2312" w:hAnsi="Times New Roman"/>
          <w:b/>
          <w:sz w:val="32"/>
          <w:szCs w:val="32"/>
        </w:rPr>
        <w:t>（三）一般公共预算财政拨款支出决算具体情况</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年度财政拨款支出年初预算数为</w:t>
      </w:r>
      <w:r>
        <w:rPr>
          <w:rFonts w:ascii="Times New Roman" w:cs="Times New Roman" w:eastAsia="仿宋_GB2312" w:hAnsi="Times New Roman"/>
          <w:sz w:val="32"/>
          <w:szCs w:val="32"/>
        </w:rPr>
        <w:t>21</w:t>
      </w:r>
      <w:r>
        <w:rPr>
          <w:rFonts w:ascii="Times New Roman" w:cs="Times New Roman" w:eastAsia="仿宋_GB2312" w:hAnsi="Times New Roman" w:hint="eastAsia"/>
          <w:sz w:val="32"/>
          <w:szCs w:val="32"/>
        </w:rPr>
        <w:t>04.63</w:t>
      </w:r>
      <w:r>
        <w:rPr>
          <w:rFonts w:ascii="Times New Roman" w:cs="Times New Roman" w:eastAsia="仿宋_GB2312" w:hAnsi="Times New Roman"/>
          <w:sz w:val="32"/>
          <w:szCs w:val="32"/>
        </w:rPr>
        <w:t>万元，支出决算数为</w:t>
      </w:r>
      <w:r>
        <w:rPr>
          <w:rFonts w:ascii="Times New Roman" w:cs="Times New Roman" w:eastAsia="仿宋_GB2312" w:hAnsi="Times New Roman"/>
          <w:sz w:val="32"/>
          <w:szCs w:val="32"/>
        </w:rPr>
        <w:t>2196.7</w:t>
      </w:r>
      <w:r>
        <w:rPr>
          <w:rFonts w:ascii="Times New Roman" w:cs="Times New Roman" w:eastAsia="仿宋_GB2312" w:hAnsi="Times New Roman"/>
          <w:sz w:val="32"/>
          <w:szCs w:val="32"/>
        </w:rPr>
        <w:t>万元，完成年初预算的</w:t>
      </w:r>
      <w:r>
        <w:rPr>
          <w:rFonts w:ascii="Times New Roman" w:cs="Times New Roman" w:eastAsia="仿宋_GB2312" w:hAnsi="Times New Roman" w:hint="eastAsia"/>
          <w:sz w:val="32"/>
          <w:szCs w:val="32"/>
        </w:rPr>
        <w:t>104.37</w:t>
      </w:r>
      <w:r>
        <w:rPr>
          <w:rFonts w:ascii="Times New Roman" w:cs="Times New Roman" w:eastAsia="仿宋_GB2312" w:hAnsi="Times New Roman"/>
          <w:sz w:val="32"/>
          <w:szCs w:val="32"/>
        </w:rPr>
        <w:t>%</w:t>
      </w:r>
      <w:r>
        <w:rPr>
          <w:rFonts w:ascii="Times New Roman" w:cs="Times New Roman" w:eastAsia="仿宋_GB2312" w:hAnsi="Times New Roman"/>
          <w:sz w:val="32"/>
          <w:szCs w:val="32"/>
        </w:rPr>
        <w:t>，其中：</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1</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教育支出（类）普通教育（款）</w:t>
      </w:r>
      <w:r>
        <w:rPr>
          <w:rFonts w:ascii="Times New Roman" w:cs="Times New Roman" w:eastAsia="仿宋_GB2312" w:hAnsi="Times New Roman" w:hint="eastAsia"/>
          <w:sz w:val="32"/>
          <w:szCs w:val="32"/>
        </w:rPr>
        <w:t>高</w:t>
      </w:r>
      <w:r>
        <w:rPr>
          <w:rFonts w:ascii="Times New Roman" w:cs="Times New Roman" w:eastAsia="仿宋_GB2312" w:hAnsi="Times New Roman" w:hint="eastAsia"/>
          <w:sz w:val="32"/>
          <w:szCs w:val="32"/>
        </w:rPr>
        <w:t>中教育（项）</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年初预算为</w:t>
      </w:r>
      <w:r>
        <w:rPr>
          <w:rFonts w:ascii="Times New Roman" w:cs="Times New Roman" w:eastAsia="仿宋_GB2312" w:hAnsi="Times New Roman" w:hint="eastAsia"/>
          <w:sz w:val="32"/>
          <w:szCs w:val="32"/>
        </w:rPr>
        <w:t>62.55</w:t>
      </w:r>
      <w:r>
        <w:rPr>
          <w:rFonts w:ascii="Times New Roman" w:cs="Times New Roman" w:eastAsia="仿宋_GB2312" w:hAnsi="Times New Roman" w:hint="eastAsia"/>
          <w:sz w:val="32"/>
          <w:szCs w:val="32"/>
        </w:rPr>
        <w:t>万元，支出决算</w:t>
      </w:r>
      <w:r>
        <w:rPr>
          <w:rFonts w:ascii="Times New Roman" w:cs="Times New Roman" w:eastAsia="仿宋_GB2312" w:hAnsi="Times New Roman"/>
          <w:sz w:val="32"/>
          <w:szCs w:val="32"/>
        </w:rPr>
        <w:t>708.87</w:t>
      </w:r>
      <w:r>
        <w:rPr>
          <w:rFonts w:ascii="Times New Roman" w:cs="Times New Roman" w:eastAsia="仿宋_GB2312" w:hAnsi="Times New Roman" w:hint="eastAsia"/>
          <w:sz w:val="32"/>
          <w:szCs w:val="32"/>
        </w:rPr>
        <w:t>万元。决算数大于预算数的主要原因是</w:t>
      </w:r>
      <w:r>
        <w:rPr>
          <w:rFonts w:ascii="Times New Roman" w:cs="Times New Roman" w:eastAsia="仿宋_GB2312" w:hAnsi="Times New Roman" w:hint="eastAsia"/>
          <w:sz w:val="32"/>
          <w:szCs w:val="32"/>
        </w:rPr>
        <w:t>学生人数增加</w:t>
      </w:r>
      <w:r>
        <w:rPr>
          <w:rFonts w:ascii="Times New Roman" w:cs="Times New Roman" w:eastAsia="仿宋_GB2312" w:hAnsi="Times New Roman" w:hint="eastAsia"/>
          <w:sz w:val="32"/>
          <w:szCs w:val="32"/>
        </w:rPr>
        <w:t>。</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2</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教育支出（类）普通教育（款）其他普通教育支出（项）</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年初预算为</w:t>
      </w:r>
      <w:r>
        <w:rPr>
          <w:rFonts w:ascii="Times New Roman" w:cs="Times New Roman" w:eastAsia="仿宋_GB2312" w:hAnsi="Times New Roman" w:hint="eastAsia"/>
          <w:sz w:val="32"/>
          <w:szCs w:val="32"/>
        </w:rPr>
        <w:t>1959.53</w:t>
      </w:r>
      <w:r>
        <w:rPr>
          <w:rFonts w:ascii="Times New Roman" w:cs="Times New Roman" w:eastAsia="仿宋_GB2312" w:hAnsi="Times New Roman" w:hint="eastAsia"/>
          <w:sz w:val="32"/>
          <w:szCs w:val="32"/>
        </w:rPr>
        <w:t>万元，支出决算数为</w:t>
      </w:r>
      <w:r>
        <w:rPr>
          <w:rFonts w:ascii="Times New Roman" w:cs="Times New Roman" w:eastAsia="仿宋_GB2312" w:hAnsi="Times New Roman"/>
          <w:sz w:val="32"/>
          <w:szCs w:val="32"/>
        </w:rPr>
        <w:t>1384.31</w:t>
      </w:r>
      <w:r>
        <w:rPr>
          <w:rFonts w:ascii="Times New Roman" w:cs="Times New Roman" w:eastAsia="仿宋_GB2312" w:hAnsi="Times New Roman" w:hint="eastAsia"/>
          <w:sz w:val="32"/>
          <w:szCs w:val="32"/>
        </w:rPr>
        <w:t>万元。决算数</w:t>
      </w:r>
      <w:r>
        <w:rPr>
          <w:rFonts w:ascii="Times New Roman" w:cs="Times New Roman" w:eastAsia="仿宋_GB2312" w:hAnsi="Times New Roman" w:hint="eastAsia"/>
          <w:sz w:val="32"/>
          <w:szCs w:val="32"/>
        </w:rPr>
        <w:t>小</w:t>
      </w:r>
      <w:r>
        <w:rPr>
          <w:rFonts w:ascii="Times New Roman" w:cs="Times New Roman" w:eastAsia="仿宋_GB2312" w:hAnsi="Times New Roman" w:hint="eastAsia"/>
          <w:sz w:val="32"/>
          <w:szCs w:val="32"/>
        </w:rPr>
        <w:t>于预算</w:t>
      </w:r>
      <w:r>
        <w:rPr>
          <w:rFonts w:ascii="Times New Roman" w:cs="Times New Roman" w:eastAsia="仿宋_GB2312" w:hAnsi="Times New Roman" w:hint="eastAsia"/>
          <w:sz w:val="32"/>
          <w:szCs w:val="32"/>
        </w:rPr>
        <w:t>数主要</w:t>
      </w:r>
      <w:r>
        <w:rPr>
          <w:rFonts w:ascii="Times New Roman" w:cs="Times New Roman" w:eastAsia="仿宋_GB2312" w:hAnsi="Times New Roman" w:hint="eastAsia"/>
          <w:sz w:val="32"/>
          <w:szCs w:val="32"/>
        </w:rPr>
        <w:t>是因为</w:t>
      </w:r>
      <w:r>
        <w:rPr>
          <w:rFonts w:ascii="Times New Roman" w:cs="Times New Roman" w:eastAsia="仿宋_GB2312" w:hAnsi="Times New Roman" w:hint="eastAsia"/>
          <w:sz w:val="32"/>
          <w:szCs w:val="32"/>
        </w:rPr>
        <w:t>学校缩减开支</w:t>
      </w:r>
      <w:r>
        <w:rPr>
          <w:rFonts w:ascii="Times New Roman" w:cs="Times New Roman" w:eastAsia="仿宋_GB2312" w:hAnsi="Times New Roman" w:hint="eastAsia"/>
          <w:sz w:val="32"/>
          <w:szCs w:val="32"/>
        </w:rPr>
        <w:t>。</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3</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教育支出（类）其他教育支出（款）其他教育费附加安排的支出（项）</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年初预算为</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万元，支出决算数为</w:t>
      </w:r>
      <w:r>
        <w:rPr>
          <w:rFonts w:ascii="Times New Roman" w:cs="Times New Roman" w:eastAsia="仿宋_GB2312" w:hAnsi="Times New Roman"/>
          <w:sz w:val="32"/>
          <w:szCs w:val="32"/>
        </w:rPr>
        <w:t>9.31</w:t>
      </w:r>
      <w:r>
        <w:rPr>
          <w:rFonts w:ascii="Times New Roman" w:cs="Times New Roman" w:eastAsia="仿宋_GB2312" w:hAnsi="Times New Roman" w:hint="eastAsia"/>
          <w:sz w:val="32"/>
          <w:szCs w:val="32"/>
        </w:rPr>
        <w:t>万元。决算数大于预算数的主要原因是预算时全部纳入教育支出（类）普通教育（款）其他普通教育支出（项），决算时进行了分类。</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4</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社会保障和就业支出（类）人力资源和社会保障管理事务（款）引进人才费用（项）</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年初预算为</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万元，支出决算为</w:t>
      </w:r>
      <w:r>
        <w:rPr>
          <w:rFonts w:ascii="Times New Roman" w:cs="Times New Roman" w:eastAsia="仿宋_GB2312" w:hAnsi="Times New Roman" w:hint="eastAsia"/>
          <w:sz w:val="32"/>
          <w:szCs w:val="32"/>
        </w:rPr>
        <w:t>1.8</w:t>
      </w:r>
      <w:r>
        <w:rPr>
          <w:rFonts w:ascii="Times New Roman" w:cs="Times New Roman" w:eastAsia="仿宋_GB2312" w:hAnsi="Times New Roman" w:hint="eastAsia"/>
          <w:sz w:val="32"/>
          <w:szCs w:val="32"/>
        </w:rPr>
        <w:t>万元。决算数大于预算数的主要原因是</w:t>
      </w:r>
      <w:r>
        <w:rPr>
          <w:rFonts w:ascii="Times New Roman" w:cs="Times New Roman" w:eastAsia="仿宋_GB2312" w:hAnsi="Times New Roman" w:hint="eastAsia"/>
          <w:sz w:val="32"/>
          <w:szCs w:val="32"/>
        </w:rPr>
        <w:t>新进</w:t>
      </w:r>
      <w:r>
        <w:rPr>
          <w:rFonts w:ascii="Times New Roman" w:cs="Times New Roman" w:eastAsia="仿宋_GB2312" w:hAnsi="Times New Roman" w:hint="eastAsia"/>
          <w:sz w:val="32"/>
          <w:szCs w:val="32"/>
        </w:rPr>
        <w:t>1</w:t>
      </w:r>
      <w:r>
        <w:rPr>
          <w:rFonts w:ascii="Times New Roman" w:cs="Times New Roman" w:eastAsia="仿宋_GB2312" w:hAnsi="Times New Roman" w:hint="eastAsia"/>
          <w:sz w:val="32"/>
          <w:szCs w:val="32"/>
        </w:rPr>
        <w:t>位人才</w:t>
      </w:r>
      <w:r>
        <w:rPr>
          <w:rFonts w:ascii="Times New Roman" w:cs="Times New Roman" w:eastAsia="仿宋_GB2312" w:hAnsi="Times New Roman" w:hint="eastAsia"/>
          <w:sz w:val="32"/>
          <w:szCs w:val="32"/>
        </w:rPr>
        <w:t>。</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hint="eastAsia"/>
          <w:sz w:val="32"/>
          <w:szCs w:val="32"/>
        </w:rPr>
        <w:t>按照支出功能分类，其他普通教育方面的支出规模较大（或占财政拨款支出总额的比重较高），主要是：其他普</w:t>
      </w:r>
      <w:r>
        <w:rPr>
          <w:rFonts w:ascii="Times New Roman" w:cs="Times New Roman" w:eastAsia="仿宋_GB2312" w:hAnsi="Times New Roman" w:hint="eastAsia"/>
          <w:sz w:val="32"/>
          <w:szCs w:val="32"/>
        </w:rPr>
        <w:t>通</w:t>
      </w:r>
      <w:r>
        <w:rPr>
          <w:rFonts w:ascii="Times New Roman" w:cs="Times New Roman" w:eastAsia="仿宋_GB2312" w:hAnsi="Times New Roman" w:hint="eastAsia"/>
          <w:sz w:val="32"/>
          <w:szCs w:val="32"/>
        </w:rPr>
        <w:t>教育，</w:t>
      </w:r>
      <w:r>
        <w:rPr>
          <w:rFonts w:ascii="Times New Roman" w:cs="Times New Roman" w:eastAsia="仿宋_GB2312" w:hAnsi="Times New Roman" w:hint="eastAsia"/>
          <w:sz w:val="32"/>
          <w:szCs w:val="32"/>
        </w:rPr>
        <w:t>2025</w:t>
      </w:r>
      <w:r>
        <w:rPr>
          <w:rFonts w:ascii="Times New Roman" w:cs="Times New Roman" w:eastAsia="仿宋_GB2312" w:hAnsi="Times New Roman" w:hint="eastAsia"/>
          <w:sz w:val="32"/>
          <w:szCs w:val="32"/>
        </w:rPr>
        <w:t>年度决算数为</w:t>
      </w:r>
      <w:r>
        <w:rPr>
          <w:rFonts w:ascii="Times New Roman" w:cs="Times New Roman" w:eastAsia="仿宋_GB2312" w:hAnsi="Times New Roman"/>
          <w:sz w:val="32"/>
          <w:szCs w:val="32"/>
        </w:rPr>
        <w:t>1384.31</w:t>
      </w:r>
      <w:r>
        <w:rPr>
          <w:rFonts w:ascii="Times New Roman" w:cs="Times New Roman" w:eastAsia="仿宋_GB2312" w:hAnsi="Times New Roman" w:hint="eastAsia"/>
          <w:sz w:val="32"/>
          <w:szCs w:val="32"/>
        </w:rPr>
        <w:t>万元，占财政拨款支出总额的</w:t>
      </w:r>
      <w:r>
        <w:rPr>
          <w:rFonts w:ascii="Times New Roman" w:cs="Times New Roman" w:eastAsia="仿宋_GB2312" w:hAnsi="Times New Roman" w:hint="eastAsia"/>
          <w:sz w:val="32"/>
          <w:szCs w:val="32"/>
        </w:rPr>
        <w:t>63.02</w:t>
      </w:r>
      <w:r>
        <w:rPr>
          <w:rFonts w:ascii="Times New Roman" w:cs="Times New Roman" w:eastAsia="仿宋_GB2312" w:hAnsi="Times New Roman" w:hint="eastAsia"/>
          <w:sz w:val="32"/>
          <w:szCs w:val="32"/>
        </w:rPr>
        <w:t>%</w:t>
      </w:r>
      <w:r>
        <w:rPr>
          <w:rFonts w:ascii="Times New Roman" w:cs="Times New Roman" w:eastAsia="仿宋_GB2312" w:hAnsi="Times New Roman" w:hint="eastAsia"/>
          <w:sz w:val="32"/>
          <w:szCs w:val="32"/>
        </w:rPr>
        <w:t>，主要用于教职工工资支出和保障正常教育教学的办公</w:t>
      </w:r>
      <w:r>
        <w:rPr>
          <w:rFonts w:ascii="Times New Roman" w:cs="Times New Roman" w:eastAsia="仿宋_GB2312" w:hAnsi="Times New Roman" w:hint="eastAsia"/>
          <w:sz w:val="32"/>
          <w:szCs w:val="32"/>
        </w:rPr>
        <w:t>费、印刷费、维修维护费等</w:t>
      </w:r>
      <w:r>
        <w:rPr>
          <w:rFonts w:ascii="Times New Roman" w:cs="Times New Roman" w:eastAsia="楷体_GB2312" w:hAnsi="Times New Roman" w:hint="eastAsia"/>
          <w:b/>
          <w:bCs/>
          <w:i/>
          <w:color w:val="auto"/>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六、一般公共预算财政拨款基本支出决算情况说明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年度一般公共预算财政拨款基本支出</w:t>
      </w:r>
      <w:r>
        <w:rPr>
          <w:rFonts w:ascii="Times New Roman" w:cs="Times New Roman" w:eastAsia="仿宋_GB2312" w:hAnsi="Times New Roman"/>
          <w:sz w:val="32"/>
          <w:szCs w:val="32"/>
        </w:rPr>
        <w:t>2196.7</w:t>
      </w:r>
      <w:r>
        <w:rPr>
          <w:rFonts w:ascii="Times New Roman" w:cs="Times New Roman" w:eastAsia="仿宋_GB2312" w:hAnsi="Times New Roman"/>
          <w:sz w:val="32"/>
          <w:szCs w:val="32"/>
        </w:rPr>
        <w:t>万元，其中：</w:t>
      </w:r>
    </w:p>
    <w:p>
      <w:pPr>
        <w:pStyle w:val="style4099"/>
        <w:overflowPunct w:val="false"/>
        <w:autoSpaceDE/>
        <w:autoSpaceDN/>
        <w:spacing w:lineRule="exact" w:line="600"/>
        <w:ind w:firstLine="643" w:firstLineChars="200"/>
        <w:jc w:val="both"/>
        <w:rPr>
          <w:rFonts w:ascii="Times New Roman" w:cs="Times New Roman" w:eastAsia="仿宋_GB2312" w:hAnsi="Times New Roman"/>
          <w:sz w:val="32"/>
          <w:szCs w:val="32"/>
        </w:rPr>
      </w:pPr>
      <w:r>
        <w:rPr>
          <w:rFonts w:ascii="Times New Roman" w:cs="Times New Roman" w:eastAsia="仿宋_GB2312" w:hAnsi="Times New Roman"/>
          <w:b/>
          <w:bCs/>
          <w:sz w:val="32"/>
          <w:szCs w:val="32"/>
        </w:rPr>
        <w:t>人员经费</w:t>
      </w:r>
      <w:r>
        <w:rPr>
          <w:rFonts w:ascii="Times New Roman" w:cs="Times New Roman" w:eastAsia="仿宋_GB2312" w:hAnsi="Times New Roman"/>
          <w:sz w:val="32"/>
          <w:szCs w:val="32"/>
        </w:rPr>
        <w:t>1542.1</w:t>
      </w:r>
      <w:r>
        <w:rPr>
          <w:rFonts w:ascii="Times New Roman" w:cs="Times New Roman" w:eastAsia="仿宋_GB2312" w:hAnsi="Times New Roman"/>
          <w:sz w:val="32"/>
          <w:szCs w:val="32"/>
        </w:rPr>
        <w:t>万元，</w:t>
      </w:r>
      <w:r>
        <w:rPr>
          <w:rFonts w:ascii="Times New Roman" w:cs="Times New Roman" w:eastAsia="仿宋_GB2312" w:hAnsi="Times New Roman"/>
          <w:sz w:val="32"/>
          <w:szCs w:val="32"/>
        </w:rPr>
        <w:t>占基本</w:t>
      </w:r>
      <w:r>
        <w:rPr>
          <w:rFonts w:ascii="Times New Roman" w:cs="Times New Roman" w:eastAsia="仿宋_GB2312" w:hAnsi="Times New Roman"/>
          <w:sz w:val="32"/>
          <w:szCs w:val="32"/>
        </w:rPr>
        <w:t>支出的</w:t>
      </w:r>
      <w:r>
        <w:rPr>
          <w:rFonts w:ascii="Times New Roman" w:cs="Times New Roman" w:eastAsia="仿宋_GB2312" w:hAnsi="Times New Roman" w:hint="eastAsia"/>
          <w:sz w:val="32"/>
          <w:szCs w:val="32"/>
        </w:rPr>
        <w:t>70.2</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主要包括基本工资、津贴补贴、奖金、</w:t>
      </w:r>
      <w:r>
        <w:rPr>
          <w:rFonts w:ascii="Times New Roman" w:cs="Times New Roman" w:eastAsia="仿宋_GB2312" w:hAnsi="Times New Roman" w:hint="eastAsia"/>
          <w:sz w:val="32"/>
          <w:szCs w:val="32"/>
        </w:rPr>
        <w:t>机关养老保险、绩效工资、住房公积金等</w:t>
      </w:r>
      <w:r>
        <w:rPr>
          <w:rFonts w:ascii="Times New Roman" w:cs="Times New Roman" w:eastAsia="仿宋_GB2312" w:hAnsi="Times New Roman"/>
          <w:sz w:val="32"/>
          <w:szCs w:val="32"/>
        </w:rPr>
        <w:t>。</w:t>
      </w:r>
    </w:p>
    <w:p>
      <w:pPr>
        <w:pStyle w:val="style4099"/>
        <w:overflowPunct w:val="false"/>
        <w:autoSpaceDE/>
        <w:autoSpaceDN/>
        <w:spacing w:lineRule="exact" w:line="600"/>
        <w:ind w:firstLine="643" w:firstLineChars="200"/>
        <w:jc w:val="both"/>
        <w:rPr>
          <w:rFonts w:ascii="Times New Roman" w:cs="Times New Roman" w:eastAsia="仿宋_GB2312" w:hAnsi="Times New Roman"/>
          <w:sz w:val="32"/>
          <w:szCs w:val="32"/>
        </w:rPr>
      </w:pPr>
      <w:r>
        <w:rPr>
          <w:rFonts w:ascii="Times New Roman" w:cs="Times New Roman" w:eastAsia="仿宋_GB2312" w:hAnsi="Times New Roman"/>
          <w:b/>
          <w:bCs/>
          <w:sz w:val="32"/>
          <w:szCs w:val="32"/>
        </w:rPr>
        <w:t>公用经费</w:t>
      </w:r>
      <w:r>
        <w:rPr>
          <w:rFonts w:ascii="Times New Roman" w:cs="Times New Roman" w:eastAsia="仿宋_GB2312" w:hAnsi="Times New Roman"/>
          <w:sz w:val="32"/>
          <w:szCs w:val="32"/>
        </w:rPr>
        <w:t>204.6</w:t>
      </w:r>
      <w:r>
        <w:rPr>
          <w:rFonts w:ascii="Times New Roman" w:cs="Times New Roman" w:eastAsia="仿宋_GB2312" w:hAnsi="Times New Roman"/>
          <w:sz w:val="32"/>
          <w:szCs w:val="32"/>
        </w:rPr>
        <w:t>万元，</w:t>
      </w:r>
      <w:r>
        <w:rPr>
          <w:rFonts w:ascii="Times New Roman" w:cs="Times New Roman" w:eastAsia="仿宋_GB2312" w:hAnsi="Times New Roman"/>
          <w:sz w:val="32"/>
          <w:szCs w:val="32"/>
        </w:rPr>
        <w:t>占基本</w:t>
      </w:r>
      <w:r>
        <w:rPr>
          <w:rFonts w:ascii="Times New Roman" w:cs="Times New Roman" w:eastAsia="仿宋_GB2312" w:hAnsi="Times New Roman"/>
          <w:sz w:val="32"/>
          <w:szCs w:val="32"/>
        </w:rPr>
        <w:t>支出的</w:t>
      </w:r>
      <w:r>
        <w:rPr>
          <w:rFonts w:ascii="Times New Roman" w:cs="Times New Roman" w:eastAsia="仿宋_GB2312" w:hAnsi="Times New Roman" w:hint="eastAsia"/>
          <w:sz w:val="32"/>
          <w:szCs w:val="32"/>
        </w:rPr>
        <w:t>0.09</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，主要包括办公费、印刷费、</w:t>
      </w:r>
      <w:r>
        <w:rPr>
          <w:rFonts w:ascii="Times New Roman" w:cs="Times New Roman" w:eastAsia="仿宋_GB2312" w:hAnsi="Times New Roman" w:hint="eastAsia"/>
          <w:sz w:val="32"/>
          <w:szCs w:val="32"/>
        </w:rPr>
        <w:t>水电费、培训费、工会经费、培训费等</w:t>
      </w:r>
      <w:r>
        <w:rPr>
          <w:rFonts w:ascii="Times New Roman" w:cs="Times New Roman" w:eastAsia="仿宋_GB2312" w:hAnsi="Times New Roman"/>
          <w:sz w:val="32"/>
          <w:szCs w:val="32"/>
        </w:rPr>
        <w:t>。</w:t>
      </w:r>
    </w:p>
    <w:p>
      <w:pPr>
        <w:pStyle w:val="style4099"/>
        <w:overflowPunct w:val="false"/>
        <w:autoSpaceDE/>
        <w:autoSpaceDN/>
        <w:spacing w:lineRule="exact" w:line="600"/>
        <w:ind w:firstLine="640" w:firstLineChars="200"/>
        <w:jc w:val="both"/>
        <w:rPr>
          <w:rFonts w:ascii="Times New Roman" w:cs="Times New Roman" w:eastAsia="仿宋_GB2312" w:hAnsi="Times New Roman"/>
          <w:b/>
          <w:sz w:val="32"/>
          <w:szCs w:val="32"/>
        </w:rPr>
      </w:pPr>
      <w:r>
        <w:rPr>
          <w:rFonts w:ascii="Times New Roman" w:cs="Times New Roman" w:hAnsi="Times New Roman"/>
          <w:bCs/>
          <w:sz w:val="32"/>
          <w:szCs w:val="32"/>
        </w:rPr>
        <w:t>七、财政拨款</w:t>
      </w:r>
      <w:r>
        <w:rPr>
          <w:rFonts w:ascii="Times New Roman" w:cs="Times New Roman" w:hAnsi="Times New Roman"/>
          <w:bCs/>
          <w:sz w:val="32"/>
          <w:szCs w:val="32"/>
        </w:rPr>
        <w:t>“</w:t>
      </w:r>
      <w:r>
        <w:rPr>
          <w:rFonts w:ascii="Times New Roman" w:cs="Times New Roman" w:hAnsi="Times New Roman"/>
          <w:bCs/>
          <w:sz w:val="32"/>
          <w:szCs w:val="32"/>
        </w:rPr>
        <w:t>三公</w:t>
      </w:r>
      <w:r>
        <w:rPr>
          <w:rFonts w:ascii="Times New Roman" w:cs="Times New Roman" w:hAnsi="Times New Roman"/>
          <w:bCs/>
          <w:sz w:val="32"/>
          <w:szCs w:val="32"/>
        </w:rPr>
        <w:t>”</w:t>
      </w:r>
      <w:r>
        <w:rPr>
          <w:rFonts w:ascii="Times New Roman" w:cs="Times New Roman" w:hAnsi="Times New Roman"/>
          <w:bCs/>
          <w:sz w:val="32"/>
          <w:szCs w:val="32"/>
        </w:rPr>
        <w:t>经费支出决算情况说明</w:t>
      </w:r>
      <w:r>
        <w:rPr>
          <w:rFonts w:ascii="Times New Roman" w:cs="Times New Roman" w:eastAsia="楷体_GB2312" w:hAnsi="Times New Roman"/>
          <w:b/>
          <w:bCs/>
          <w:i/>
          <w:color w:val="auto"/>
          <w:sz w:val="32"/>
          <w:szCs w:val="32"/>
        </w:rPr>
        <w:t>（注意：</w:t>
      </w:r>
      <w:r>
        <w:rPr>
          <w:rFonts w:ascii="Times New Roman" w:cs="Times New Roman" w:eastAsia="楷体_GB2312" w:hAnsi="Times New Roman"/>
          <w:b/>
          <w:bCs/>
          <w:i/>
          <w:color w:val="auto"/>
          <w:sz w:val="32"/>
          <w:szCs w:val="32"/>
        </w:rPr>
        <w:t>“</w:t>
      </w:r>
      <w:r>
        <w:rPr>
          <w:rFonts w:ascii="Times New Roman" w:cs="Times New Roman" w:eastAsia="楷体_GB2312" w:hAnsi="Times New Roman"/>
          <w:b/>
          <w:bCs/>
          <w:i/>
          <w:color w:val="auto"/>
          <w:sz w:val="32"/>
          <w:szCs w:val="32"/>
        </w:rPr>
        <w:t>三公</w:t>
      </w:r>
      <w:r>
        <w:rPr>
          <w:rFonts w:ascii="Times New Roman" w:cs="Times New Roman" w:eastAsia="楷体_GB2312" w:hAnsi="Times New Roman"/>
          <w:b/>
          <w:bCs/>
          <w:i/>
          <w:color w:val="auto"/>
          <w:sz w:val="32"/>
          <w:szCs w:val="32"/>
        </w:rPr>
        <w:t>”</w:t>
      </w:r>
      <w:r>
        <w:rPr>
          <w:rFonts w:ascii="Times New Roman" w:cs="Times New Roman" w:eastAsia="楷体_GB2312" w:hAnsi="Times New Roman"/>
          <w:b/>
          <w:bCs/>
          <w:i/>
          <w:color w:val="auto"/>
          <w:sz w:val="32"/>
          <w:szCs w:val="32"/>
        </w:rPr>
        <w:t>经费不再是一般公共预算财政拨款口径，而是财政拨款口径）</w:t>
      </w:r>
    </w:p>
    <w:p>
      <w:pPr>
        <w:pStyle w:val="style4099"/>
        <w:overflowPunct w:val="false"/>
        <w:autoSpaceDE/>
        <w:autoSpaceDN/>
        <w:spacing w:lineRule="exact" w:line="600"/>
        <w:ind w:firstLine="643" w:firstLineChars="200"/>
        <w:jc w:val="both"/>
        <w:rPr>
          <w:rFonts w:ascii="Times New Roman" w:cs="Times New Roman" w:eastAsia="楷体_GB2312" w:hAnsi="Times New Roman"/>
          <w:b/>
          <w:sz w:val="32"/>
          <w:szCs w:val="32"/>
        </w:rPr>
      </w:pPr>
      <w:r>
        <w:rPr>
          <w:rFonts w:ascii="Times New Roman" w:cs="Times New Roman" w:eastAsia="楷体_GB2312" w:hAnsi="Times New Roman"/>
          <w:b/>
          <w:sz w:val="32"/>
          <w:szCs w:val="32"/>
        </w:rPr>
        <w:t>（一）</w:t>
      </w:r>
      <w:r>
        <w:rPr>
          <w:rFonts w:ascii="Times New Roman" w:cs="Times New Roman" w:eastAsia="楷体_GB2312" w:hAnsi="Times New Roman"/>
          <w:b/>
          <w:sz w:val="32"/>
          <w:szCs w:val="32"/>
        </w:rPr>
        <w:t>“</w:t>
      </w:r>
      <w:r>
        <w:rPr>
          <w:rFonts w:ascii="Times New Roman" w:cs="Times New Roman" w:eastAsia="楷体_GB2312" w:hAnsi="Times New Roman"/>
          <w:b/>
          <w:sz w:val="32"/>
          <w:szCs w:val="32"/>
        </w:rPr>
        <w:t>三公</w:t>
      </w:r>
      <w:r>
        <w:rPr>
          <w:rFonts w:ascii="Times New Roman" w:cs="Times New Roman" w:eastAsia="楷体_GB2312" w:hAnsi="Times New Roman"/>
          <w:b/>
          <w:sz w:val="32"/>
          <w:szCs w:val="32"/>
        </w:rPr>
        <w:t>”</w:t>
      </w:r>
      <w:r>
        <w:rPr>
          <w:rFonts w:ascii="Times New Roman" w:cs="Times New Roman" w:eastAsia="楷体_GB2312" w:hAnsi="Times New Roman"/>
          <w:b/>
          <w:sz w:val="32"/>
          <w:szCs w:val="32"/>
        </w:rPr>
        <w:t>经费财政拨款支出决算总体情况说明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highlight w:val="yellow"/>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w:t>
      </w:r>
      <w:r>
        <w:rPr>
          <w:rFonts w:ascii="Times New Roman" w:cs="Times New Roman" w:eastAsia="仿宋_GB2312" w:hAnsi="Times New Roman"/>
          <w:sz w:val="32"/>
          <w:szCs w:val="32"/>
        </w:rPr>
        <w:t>“</w:t>
      </w:r>
      <w:r>
        <w:rPr>
          <w:rFonts w:ascii="Times New Roman" w:cs="Times New Roman" w:eastAsia="仿宋_GB2312" w:hAnsi="Times New Roman"/>
          <w:sz w:val="32"/>
          <w:szCs w:val="32"/>
        </w:rPr>
        <w:t>三公</w:t>
      </w:r>
      <w:r>
        <w:rPr>
          <w:rFonts w:ascii="Times New Roman" w:cs="Times New Roman" w:eastAsia="仿宋_GB2312" w:hAnsi="Times New Roman"/>
          <w:sz w:val="32"/>
          <w:szCs w:val="32"/>
        </w:rPr>
        <w:t>”</w:t>
      </w:r>
      <w:r>
        <w:rPr>
          <w:rFonts w:ascii="Times New Roman" w:cs="Times New Roman" w:eastAsia="仿宋_GB2312" w:hAnsi="Times New Roman"/>
          <w:sz w:val="32"/>
          <w:szCs w:val="32"/>
        </w:rPr>
        <w:t>经费财政拨款支出预算为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万元，支出决算为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万元，与上年</w:t>
      </w:r>
      <w:r>
        <w:rPr>
          <w:rFonts w:ascii="Times New Roman" w:cs="Times New Roman" w:eastAsia="仿宋_GB2312" w:hAnsi="Times New Roman" w:hint="eastAsia"/>
          <w:sz w:val="32"/>
          <w:szCs w:val="32"/>
        </w:rPr>
        <w:t>持平</w:t>
      </w:r>
      <w:r>
        <w:rPr>
          <w:rFonts w:ascii="Times New Roman" w:cs="Times New Roman" w:eastAsia="仿宋_GB2312" w:hAnsi="Times New Roman"/>
          <w:sz w:val="32"/>
          <w:szCs w:val="32"/>
        </w:rPr>
        <w:t>。</w:t>
      </w:r>
    </w:p>
    <w:p>
      <w:pPr>
        <w:pStyle w:val="style4099"/>
        <w:overflowPunct w:val="false"/>
        <w:autoSpaceDE/>
        <w:autoSpaceDN/>
        <w:spacing w:lineRule="exact" w:line="600"/>
        <w:ind w:firstLine="643" w:firstLineChars="200"/>
        <w:jc w:val="both"/>
        <w:rPr>
          <w:rFonts w:ascii="Times New Roman" w:cs="Times New Roman" w:eastAsia="楷体_GB2312" w:hAnsi="Times New Roman"/>
          <w:b/>
          <w:sz w:val="32"/>
          <w:szCs w:val="32"/>
        </w:rPr>
      </w:pPr>
      <w:r>
        <w:rPr>
          <w:rFonts w:ascii="Times New Roman" w:cs="Times New Roman" w:eastAsia="楷体_GB2312" w:hAnsi="Times New Roman"/>
          <w:b/>
          <w:sz w:val="32"/>
          <w:szCs w:val="32"/>
        </w:rPr>
        <w:t>（二）</w:t>
      </w:r>
      <w:r>
        <w:rPr>
          <w:rFonts w:ascii="Times New Roman" w:cs="Times New Roman" w:eastAsia="楷体_GB2312" w:hAnsi="Times New Roman"/>
          <w:b/>
          <w:sz w:val="32"/>
          <w:szCs w:val="32"/>
        </w:rPr>
        <w:t>“</w:t>
      </w:r>
      <w:r>
        <w:rPr>
          <w:rFonts w:ascii="Times New Roman" w:cs="Times New Roman" w:eastAsia="楷体_GB2312" w:hAnsi="Times New Roman"/>
          <w:b/>
          <w:sz w:val="32"/>
          <w:szCs w:val="32"/>
        </w:rPr>
        <w:t>三公</w:t>
      </w:r>
      <w:r>
        <w:rPr>
          <w:rFonts w:ascii="Times New Roman" w:cs="Times New Roman" w:eastAsia="楷体_GB2312" w:hAnsi="Times New Roman"/>
          <w:b/>
          <w:sz w:val="32"/>
          <w:szCs w:val="32"/>
        </w:rPr>
        <w:t>”</w:t>
      </w:r>
      <w:r>
        <w:rPr>
          <w:rFonts w:ascii="Times New Roman" w:cs="Times New Roman" w:eastAsia="楷体_GB2312" w:hAnsi="Times New Roman"/>
          <w:b/>
          <w:sz w:val="32"/>
          <w:szCs w:val="32"/>
        </w:rPr>
        <w:t>经费财政拨款支出决算具体情况说明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b/>
          <w:bCs/>
          <w:i/>
          <w:color w:val="auto"/>
          <w:sz w:val="32"/>
          <w:szCs w:val="32"/>
        </w:rPr>
      </w:pPr>
      <w:r>
        <w:rPr>
          <w:rFonts w:ascii="Times New Roman" w:cs="Times New Roman" w:eastAsia="仿宋_GB2312" w:hAnsi="Times New Roman"/>
          <w:sz w:val="32"/>
          <w:szCs w:val="32"/>
        </w:rPr>
        <w:t>1.</w:t>
      </w:r>
      <w:r>
        <w:rPr>
          <w:rFonts w:ascii="Times New Roman" w:cs="Times New Roman" w:eastAsia="仿宋_GB2312" w:hAnsi="Times New Roman"/>
          <w:sz w:val="32"/>
          <w:szCs w:val="32"/>
        </w:rPr>
        <w:t>因公出国（境）</w:t>
      </w:r>
      <w:r>
        <w:rPr>
          <w:rFonts w:ascii="Times New Roman" w:cs="Times New Roman" w:eastAsia="仿宋_GB2312" w:hAnsi="Times New Roman"/>
          <w:sz w:val="32"/>
          <w:szCs w:val="32"/>
        </w:rPr>
        <w:t>费</w:t>
      </w:r>
      <w:r>
        <w:rPr>
          <w:rFonts w:ascii="Times New Roman" w:cs="Times New Roman" w:eastAsia="仿宋_GB2312" w:hAnsi="Times New Roman" w:hint="eastAsia"/>
          <w:sz w:val="32"/>
          <w:szCs w:val="32"/>
        </w:rPr>
        <w:t>出预算</w:t>
      </w:r>
      <w:r>
        <w:rPr>
          <w:rFonts w:ascii="Times New Roman" w:cs="Times New Roman" w:eastAsia="仿宋_GB2312" w:hAnsi="Times New Roman" w:hint="eastAsia"/>
          <w:sz w:val="32"/>
          <w:szCs w:val="32"/>
        </w:rPr>
        <w:t>为</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万元，支出决算为</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万元，与上年持平。</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highlight w:val="yellow"/>
        </w:rPr>
      </w:pPr>
      <w:r>
        <w:rPr>
          <w:rFonts w:ascii="Times New Roman" w:cs="Times New Roman" w:eastAsia="仿宋_GB2312" w:hAnsi="Times New Roman"/>
          <w:sz w:val="32"/>
          <w:szCs w:val="32"/>
        </w:rPr>
        <w:t>2.</w:t>
      </w:r>
      <w:r>
        <w:rPr>
          <w:rFonts w:ascii="Times New Roman" w:cs="Times New Roman" w:eastAsia="仿宋_GB2312" w:hAnsi="Times New Roman"/>
          <w:sz w:val="32"/>
          <w:szCs w:val="32"/>
        </w:rPr>
        <w:t>公务用车购置费及运行维护费出预算为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万元，支出决算为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万元，与上年</w:t>
      </w:r>
      <w:r>
        <w:rPr>
          <w:rFonts w:ascii="Times New Roman" w:cs="Times New Roman" w:eastAsia="仿宋_GB2312" w:hAnsi="Times New Roman" w:hint="eastAsia"/>
          <w:sz w:val="32"/>
          <w:szCs w:val="32"/>
        </w:rPr>
        <w:t>持平</w:t>
      </w:r>
      <w:r>
        <w:rPr>
          <w:rFonts w:ascii="Times New Roman" w:cs="Times New Roman" w:eastAsia="仿宋_GB2312" w:hAnsi="Times New Roman"/>
          <w:sz w:val="32"/>
          <w:szCs w:val="32"/>
        </w:rPr>
        <w:t>。</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。截止</w:t>
      </w: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w:t>
      </w:r>
      <w:r>
        <w:rPr>
          <w:rFonts w:ascii="Times New Roman" w:cs="Times New Roman" w:eastAsia="仿宋_GB2312" w:hAnsi="Times New Roman"/>
          <w:sz w:val="32"/>
          <w:szCs w:val="32"/>
        </w:rPr>
        <w:t>12</w:t>
      </w:r>
      <w:r>
        <w:rPr>
          <w:rFonts w:ascii="Times New Roman" w:cs="Times New Roman" w:eastAsia="仿宋_GB2312" w:hAnsi="Times New Roman"/>
          <w:sz w:val="32"/>
          <w:szCs w:val="32"/>
        </w:rPr>
        <w:t>月</w:t>
      </w:r>
      <w:r>
        <w:rPr>
          <w:rFonts w:ascii="Times New Roman" w:cs="Times New Roman" w:eastAsia="仿宋_GB2312" w:hAnsi="Times New Roman"/>
          <w:sz w:val="32"/>
          <w:szCs w:val="32"/>
        </w:rPr>
        <w:t>31</w:t>
      </w:r>
      <w:r>
        <w:rPr>
          <w:rFonts w:ascii="Times New Roman" w:cs="Times New Roman" w:eastAsia="仿宋_GB2312" w:hAnsi="Times New Roman"/>
          <w:sz w:val="32"/>
          <w:szCs w:val="32"/>
        </w:rPr>
        <w:t>日，我单位开支财政拨款的公务用车保有量为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辆。</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3.</w:t>
      </w:r>
      <w:r>
        <w:rPr>
          <w:rFonts w:ascii="Times New Roman" w:cs="Times New Roman" w:eastAsia="仿宋_GB2312" w:hAnsi="Times New Roman"/>
          <w:sz w:val="32"/>
          <w:szCs w:val="32"/>
        </w:rPr>
        <w:t>公务</w:t>
      </w:r>
      <w:r>
        <w:rPr>
          <w:rFonts w:ascii="Times New Roman" w:cs="Times New Roman" w:eastAsia="仿宋_GB2312" w:hAnsi="Times New Roman"/>
          <w:sz w:val="32"/>
          <w:szCs w:val="32"/>
        </w:rPr>
        <w:t>接待费</w:t>
      </w:r>
      <w:r>
        <w:rPr>
          <w:rFonts w:ascii="Times New Roman" w:cs="Times New Roman" w:eastAsia="仿宋_GB2312" w:hAnsi="Times New Roman" w:hint="eastAsia"/>
          <w:sz w:val="32"/>
          <w:szCs w:val="32"/>
        </w:rPr>
        <w:t>出预算</w:t>
      </w:r>
      <w:r>
        <w:rPr>
          <w:rFonts w:ascii="Times New Roman" w:cs="Times New Roman" w:eastAsia="仿宋_GB2312" w:hAnsi="Times New Roman" w:hint="eastAsia"/>
          <w:sz w:val="32"/>
          <w:szCs w:val="32"/>
        </w:rPr>
        <w:t>为</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万元，支出决算为</w:t>
      </w:r>
      <w:r>
        <w:rPr>
          <w:rFonts w:ascii="Times New Roman" w:cs="Times New Roman" w:eastAsia="仿宋_GB2312" w:hAnsi="Times New Roman" w:hint="eastAsia"/>
          <w:sz w:val="32"/>
          <w:szCs w:val="32"/>
        </w:rPr>
        <w:t>0</w:t>
      </w:r>
      <w:r>
        <w:rPr>
          <w:rFonts w:ascii="Times New Roman" w:cs="Times New Roman" w:eastAsia="仿宋_GB2312" w:hAnsi="Times New Roman" w:hint="eastAsia"/>
          <w:sz w:val="32"/>
          <w:szCs w:val="32"/>
        </w:rPr>
        <w:t>万元，与上年持平。</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八、政府性基金预算收入支出决算情况</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年度政府性基金预算财政拨款收入</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万元；年初结转和结余</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万元，其中基本支出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万元，项目支出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万元；年末结转和结余</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九、关于机关运行经费支出说明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本部门</w:t>
      </w: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年度机关运行经费支出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w:t>
      </w:r>
      <w:r>
        <w:rPr>
          <w:rFonts w:ascii="Times New Roman" w:cs="Times New Roman" w:eastAsia="楷体_GB2312" w:hAnsi="Times New Roman"/>
          <w:b/>
          <w:bCs/>
          <w:i/>
          <w:color w:val="auto"/>
          <w:sz w:val="32"/>
          <w:szCs w:val="32"/>
        </w:rPr>
        <w:t>（与部门决算中行政单位和参照公务员法管理事业单位财政拨款基本支出中公用经费之和一致）</w:t>
      </w:r>
      <w:r>
        <w:rPr>
          <w:rFonts w:ascii="Times New Roman" w:cs="Times New Roman" w:eastAsia="仿宋_GB2312" w:hAnsi="Times New Roman"/>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十、一般性支出情况说明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sz w:val="32"/>
          <w:szCs w:val="32"/>
        </w:rPr>
      </w:pP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年本部门开支培训费</w:t>
      </w:r>
      <w:r>
        <w:rPr>
          <w:rFonts w:ascii="Times New Roman" w:cs="Times New Roman" w:eastAsia="仿宋_GB2312" w:hAnsi="Times New Roman"/>
          <w:sz w:val="32"/>
          <w:szCs w:val="32"/>
        </w:rPr>
        <w:t>23.47</w:t>
      </w:r>
      <w:r>
        <w:rPr>
          <w:rFonts w:ascii="Times New Roman" w:cs="Times New Roman" w:eastAsia="仿宋_GB2312" w:hAnsi="Times New Roman"/>
          <w:sz w:val="32"/>
          <w:szCs w:val="32"/>
        </w:rPr>
        <w:t>万元，用于开展</w:t>
      </w:r>
      <w:r>
        <w:rPr>
          <w:rFonts w:ascii="Times New Roman" w:cs="Times New Roman" w:eastAsia="仿宋_GB2312" w:hAnsi="Times New Roman" w:hint="eastAsia"/>
          <w:sz w:val="32"/>
          <w:szCs w:val="32"/>
        </w:rPr>
        <w:t>新教材、</w:t>
      </w:r>
      <w:r>
        <w:rPr>
          <w:rFonts w:ascii="Times New Roman" w:cs="Times New Roman" w:eastAsia="仿宋_GB2312" w:hAnsi="Times New Roman" w:hint="eastAsia"/>
          <w:sz w:val="32"/>
          <w:szCs w:val="32"/>
        </w:rPr>
        <w:t>赫</w:t>
      </w:r>
      <w:r>
        <w:rPr>
          <w:rFonts w:ascii="Times New Roman" w:cs="Times New Roman" w:eastAsia="仿宋_GB2312" w:hAnsi="Times New Roman" w:hint="eastAsia"/>
          <w:sz w:val="32"/>
          <w:szCs w:val="32"/>
        </w:rPr>
        <w:t>山教育云平台</w:t>
      </w:r>
      <w:r>
        <w:rPr>
          <w:rFonts w:ascii="Times New Roman" w:cs="Times New Roman" w:eastAsia="仿宋_GB2312" w:hAnsi="Times New Roman"/>
          <w:sz w:val="32"/>
          <w:szCs w:val="32"/>
        </w:rPr>
        <w:t>培训</w:t>
      </w:r>
      <w:r>
        <w:rPr>
          <w:rFonts w:ascii="Times New Roman" w:cs="Times New Roman" w:eastAsia="仿宋_GB2312" w:hAnsi="Times New Roman" w:hint="eastAsia"/>
          <w:sz w:val="32"/>
          <w:szCs w:val="32"/>
        </w:rPr>
        <w:t>等培训助力教师成长</w:t>
      </w:r>
      <w:r>
        <w:rPr>
          <w:rFonts w:ascii="Times New Roman" w:cs="Times New Roman" w:eastAsia="仿宋_GB2312" w:hAnsi="Times New Roman"/>
          <w:sz w:val="32"/>
          <w:szCs w:val="32"/>
        </w:rPr>
        <w:t>，内容为</w:t>
      </w:r>
      <w:r>
        <w:rPr>
          <w:rFonts w:ascii="Times New Roman" w:cs="Times New Roman" w:eastAsia="仿宋_GB2312" w:hAnsi="Times New Roman" w:hint="eastAsia"/>
          <w:sz w:val="32"/>
          <w:szCs w:val="32"/>
        </w:rPr>
        <w:t>新教材的使用、如何进行教学设计、</w:t>
      </w:r>
      <w:r>
        <w:rPr>
          <w:rFonts w:ascii="Times New Roman" w:cs="Times New Roman" w:eastAsia="仿宋_GB2312" w:hAnsi="Times New Roman" w:hint="eastAsia"/>
          <w:sz w:val="32"/>
          <w:szCs w:val="32"/>
        </w:rPr>
        <w:t>外出培训</w:t>
      </w:r>
      <w:r>
        <w:rPr>
          <w:rFonts w:ascii="Times New Roman" w:cs="Times New Roman" w:eastAsia="仿宋_GB2312" w:hAnsi="Times New Roman" w:hint="eastAsia"/>
          <w:sz w:val="32"/>
          <w:szCs w:val="32"/>
        </w:rPr>
        <w:t>等。</w:t>
      </w:r>
    </w:p>
    <w:p>
      <w:pPr>
        <w:pStyle w:val="style4099"/>
        <w:overflowPunct w:val="false"/>
        <w:autoSpaceDE/>
        <w:autoSpaceDN/>
        <w:spacing w:lineRule="exact" w:line="600"/>
        <w:ind w:firstLine="640" w:firstLineChars="200"/>
        <w:jc w:val="both"/>
        <w:rPr>
          <w:rFonts w:ascii="Times New Roman" w:cs="Times New Roman" w:hAnsi="Times New Roman"/>
          <w:bCs/>
          <w:sz w:val="32"/>
          <w:szCs w:val="32"/>
        </w:rPr>
      </w:pPr>
      <w:r>
        <w:rPr>
          <w:rFonts w:ascii="Times New Roman" w:cs="Times New Roman" w:hAnsi="Times New Roman"/>
          <w:bCs/>
          <w:sz w:val="32"/>
          <w:szCs w:val="32"/>
        </w:rPr>
        <w:t>十一、关于政府采购支出说明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color w:val="auto"/>
          <w:sz w:val="32"/>
          <w:szCs w:val="32"/>
        </w:rPr>
      </w:pPr>
      <w:r>
        <w:rPr>
          <w:rFonts w:ascii="Times New Roman" w:cs="Times New Roman" w:eastAsia="仿宋_GB2312" w:hAnsi="Times New Roman"/>
          <w:sz w:val="32"/>
          <w:szCs w:val="32"/>
        </w:rPr>
        <w:t>本部门</w:t>
      </w:r>
      <w:r>
        <w:rPr>
          <w:rFonts w:ascii="Times New Roman" w:cs="Times New Roman" w:eastAsia="仿宋_GB2312" w:hAnsi="Times New Roman"/>
          <w:sz w:val="32"/>
          <w:szCs w:val="32"/>
        </w:rPr>
        <w:t>202</w:t>
      </w:r>
      <w:r>
        <w:rPr>
          <w:rFonts w:ascii="Times New Roman" w:cs="Times New Roman" w:eastAsia="仿宋_GB2312" w:hAnsi="Times New Roman" w:hint="eastAsia"/>
          <w:sz w:val="32"/>
          <w:szCs w:val="32"/>
        </w:rPr>
        <w:t>5</w:t>
      </w:r>
      <w:r>
        <w:rPr>
          <w:rFonts w:ascii="Times New Roman" w:cs="Times New Roman" w:eastAsia="仿宋_GB2312" w:hAnsi="Times New Roman"/>
          <w:sz w:val="32"/>
          <w:szCs w:val="32"/>
        </w:rPr>
        <w:t>年度政府采购支出总额</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万元，其中：政府采购货物支出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 xml:space="preserve"> </w:t>
      </w:r>
      <w:r>
        <w:rPr>
          <w:rFonts w:ascii="Times New Roman" w:cs="Times New Roman" w:eastAsia="仿宋_GB2312" w:hAnsi="Times New Roman"/>
          <w:sz w:val="32"/>
          <w:szCs w:val="32"/>
        </w:rPr>
        <w:t>万元、政府采购工程支出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万元、政府采购服务支出</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万元。授予中小企业合同金额</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万元，其中：授予小</w:t>
      </w:r>
      <w:r>
        <w:rPr>
          <w:rFonts w:ascii="Times New Roman" w:cs="Times New Roman" w:eastAsia="仿宋_GB2312" w:hAnsi="Times New Roman"/>
          <w:sz w:val="32"/>
          <w:szCs w:val="32"/>
        </w:rPr>
        <w:t>微企业</w:t>
      </w:r>
      <w:r>
        <w:rPr>
          <w:rFonts w:ascii="Times New Roman" w:cs="Times New Roman" w:eastAsia="仿宋_GB2312" w:hAnsi="Times New Roman"/>
          <w:sz w:val="32"/>
          <w:szCs w:val="32"/>
        </w:rPr>
        <w:t>合同金额</w:t>
      </w:r>
      <w:r>
        <w:rPr>
          <w:rFonts w:ascii="Times New Roman" w:cs="Times New Roman" w:eastAsia="仿宋_GB2312" w:hAnsi="Times New Roman" w:hint="eastAsia"/>
          <w:sz w:val="32"/>
          <w:szCs w:val="32"/>
        </w:rPr>
        <w:t>0</w:t>
      </w:r>
      <w:r>
        <w:rPr>
          <w:rFonts w:ascii="Times New Roman" w:cs="Times New Roman" w:eastAsia="仿宋_GB2312" w:hAnsi="Times New Roman"/>
          <w:sz w:val="32"/>
          <w:szCs w:val="32"/>
        </w:rPr>
        <w:t>万元</w:t>
      </w:r>
      <w:r>
        <w:rPr>
          <w:rFonts w:ascii="Times New Roman" w:cs="Times New Roman" w:eastAsia="仿宋_GB2312" w:hAnsi="Times New Roman"/>
          <w:color w:val="auto"/>
          <w:sz w:val="32"/>
          <w:szCs w:val="32"/>
        </w:rPr>
        <w:t>。</w:t>
      </w:r>
    </w:p>
    <w:p>
      <w:pPr>
        <w:pStyle w:val="style4099"/>
        <w:overflowPunct w:val="false"/>
        <w:autoSpaceDE/>
        <w:autoSpaceDN/>
        <w:spacing w:lineRule="exact" w:line="600"/>
        <w:ind w:firstLine="640" w:firstLineChars="200"/>
        <w:jc w:val="both"/>
        <w:rPr>
          <w:rFonts w:ascii="Times New Roman" w:cs="Times New Roman" w:hAnsi="Times New Roman"/>
          <w:bCs/>
          <w:color w:val="auto"/>
          <w:sz w:val="32"/>
          <w:szCs w:val="32"/>
        </w:rPr>
      </w:pPr>
      <w:r>
        <w:rPr>
          <w:rFonts w:ascii="Times New Roman" w:cs="Times New Roman" w:hAnsi="Times New Roman"/>
          <w:bCs/>
          <w:color w:val="auto"/>
          <w:sz w:val="32"/>
          <w:szCs w:val="32"/>
        </w:rPr>
        <w:t>十二、关于国有资产占用情况说明</w:t>
      </w:r>
    </w:p>
    <w:p>
      <w:pPr>
        <w:pStyle w:val="style4099"/>
        <w:overflowPunct w:val="false"/>
        <w:autoSpaceDE/>
        <w:autoSpaceDN/>
        <w:spacing w:lineRule="exact" w:line="600"/>
        <w:ind w:firstLine="640" w:firstLineChars="200"/>
        <w:jc w:val="both"/>
        <w:rPr>
          <w:rFonts w:ascii="Times New Roman" w:cs="Times New Roman" w:eastAsia="仿宋_GB2312" w:hAnsi="Times New Roman"/>
          <w:color w:val="auto"/>
          <w:sz w:val="32"/>
          <w:szCs w:val="32"/>
        </w:rPr>
      </w:pPr>
      <w:r>
        <w:rPr>
          <w:rFonts w:ascii="Times New Roman" w:cs="Times New Roman" w:eastAsia="仿宋_GB2312" w:hAnsi="Times New Roman"/>
          <w:color w:val="auto"/>
          <w:sz w:val="32"/>
          <w:szCs w:val="32"/>
        </w:rPr>
        <w:t>截至</w:t>
      </w:r>
      <w:r>
        <w:rPr>
          <w:rFonts w:ascii="Times New Roman" w:cs="Times New Roman" w:eastAsia="仿宋_GB2312" w:hAnsi="Times New Roman"/>
          <w:color w:val="auto"/>
          <w:sz w:val="32"/>
          <w:szCs w:val="32"/>
        </w:rPr>
        <w:t>202</w:t>
      </w:r>
      <w:r>
        <w:rPr>
          <w:rFonts w:ascii="Times New Roman" w:cs="Times New Roman" w:eastAsia="仿宋_GB2312" w:hAnsi="Times New Roman" w:hint="eastAsia"/>
          <w:color w:val="auto"/>
          <w:sz w:val="32"/>
          <w:szCs w:val="32"/>
        </w:rPr>
        <w:t>5</w:t>
      </w:r>
      <w:r>
        <w:rPr>
          <w:rFonts w:ascii="Times New Roman" w:cs="Times New Roman" w:eastAsia="仿宋_GB2312" w:hAnsi="Times New Roman"/>
          <w:color w:val="auto"/>
          <w:sz w:val="32"/>
          <w:szCs w:val="32"/>
        </w:rPr>
        <w:t>年</w:t>
      </w:r>
      <w:r>
        <w:rPr>
          <w:rFonts w:ascii="Times New Roman" w:cs="Times New Roman" w:eastAsia="仿宋_GB2312" w:hAnsi="Times New Roman"/>
          <w:color w:val="auto"/>
          <w:sz w:val="32"/>
          <w:szCs w:val="32"/>
        </w:rPr>
        <w:t>12</w:t>
      </w:r>
      <w:r>
        <w:rPr>
          <w:rFonts w:ascii="Times New Roman" w:cs="Times New Roman" w:eastAsia="仿宋_GB2312" w:hAnsi="Times New Roman"/>
          <w:color w:val="auto"/>
          <w:sz w:val="32"/>
          <w:szCs w:val="32"/>
        </w:rPr>
        <w:t>月</w:t>
      </w:r>
      <w:r>
        <w:rPr>
          <w:rFonts w:ascii="Times New Roman" w:cs="Times New Roman" w:eastAsia="仿宋_GB2312" w:hAnsi="Times New Roman"/>
          <w:color w:val="auto"/>
          <w:sz w:val="32"/>
          <w:szCs w:val="32"/>
        </w:rPr>
        <w:t>31</w:t>
      </w:r>
      <w:r>
        <w:rPr>
          <w:rFonts w:ascii="Times New Roman" w:cs="Times New Roman" w:eastAsia="仿宋_GB2312" w:hAnsi="Times New Roman"/>
          <w:color w:val="auto"/>
          <w:sz w:val="32"/>
          <w:szCs w:val="32"/>
        </w:rPr>
        <w:t>日，部门（单位）共有车辆</w:t>
      </w:r>
      <w:r>
        <w:rPr>
          <w:rFonts w:ascii="Times New Roman" w:cs="Times New Roman" w:eastAsia="仿宋_GB2312" w:hAnsi="Times New Roman"/>
          <w:color w:val="auto"/>
          <w:sz w:val="32"/>
          <w:szCs w:val="32"/>
          <w:lang w:val="en-US"/>
        </w:rPr>
        <w:t>2</w:t>
      </w:r>
      <w:r>
        <w:rPr>
          <w:rFonts w:ascii="Times New Roman" w:cs="Times New Roman" w:eastAsia="仿宋_GB2312" w:hAnsi="Times New Roman"/>
          <w:color w:val="auto"/>
          <w:sz w:val="32"/>
          <w:szCs w:val="32"/>
        </w:rPr>
        <w:t>辆，其中，副部（省）级及以上领导用车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辆、主要负责人用车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辆、机要通信用车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辆、应急保障用车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辆、执法执勤用车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辆、特种专业技术用车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辆、离退休干部服务用车</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辆、其他用车</w:t>
      </w:r>
      <w:r>
        <w:rPr>
          <w:rFonts w:ascii="Times New Roman" w:cs="Times New Roman" w:eastAsia="仿宋_GB2312" w:hAnsi="Times New Roman"/>
          <w:color w:val="auto"/>
          <w:sz w:val="32"/>
          <w:szCs w:val="32"/>
          <w:lang w:val="en-US"/>
        </w:rPr>
        <w:t>2</w:t>
      </w:r>
      <w:r>
        <w:rPr>
          <w:rFonts w:ascii="Times New Roman" w:cs="Times New Roman" w:eastAsia="仿宋_GB2312" w:hAnsi="Times New Roman"/>
          <w:color w:val="auto"/>
          <w:sz w:val="32"/>
          <w:szCs w:val="32"/>
        </w:rPr>
        <w:t>辆，；单位价值</w:t>
      </w:r>
      <w:r>
        <w:rPr>
          <w:rFonts w:ascii="Times New Roman" w:cs="Times New Roman" w:eastAsia="仿宋_GB2312" w:hAnsi="Times New Roman"/>
          <w:color w:val="auto"/>
          <w:sz w:val="32"/>
          <w:szCs w:val="32"/>
        </w:rPr>
        <w:t>100</w:t>
      </w:r>
      <w:r>
        <w:rPr>
          <w:rFonts w:ascii="Times New Roman" w:cs="Times New Roman" w:eastAsia="仿宋_GB2312" w:hAnsi="Times New Roman"/>
          <w:color w:val="auto"/>
          <w:sz w:val="32"/>
          <w:szCs w:val="32"/>
        </w:rPr>
        <w:t>万元以上设备（不含车辆）</w:t>
      </w:r>
      <w:r>
        <w:rPr>
          <w:rFonts w:ascii="Times New Roman" w:cs="Times New Roman" w:eastAsia="仿宋_GB2312" w:hAnsi="Times New Roman" w:hint="eastAsia"/>
          <w:color w:val="auto"/>
          <w:sz w:val="32"/>
          <w:szCs w:val="32"/>
        </w:rPr>
        <w:t>0</w:t>
      </w:r>
      <w:r>
        <w:rPr>
          <w:rFonts w:ascii="Times New Roman" w:cs="Times New Roman" w:eastAsia="仿宋_GB2312" w:hAnsi="Times New Roman"/>
          <w:color w:val="auto"/>
          <w:sz w:val="32"/>
          <w:szCs w:val="32"/>
        </w:rPr>
        <w:t>台（套）。</w:t>
      </w:r>
    </w:p>
    <w:p>
      <w:pPr>
        <w:pStyle w:val="style4099"/>
        <w:overflowPunct w:val="false"/>
        <w:autoSpaceDE/>
        <w:autoSpaceDN/>
        <w:spacing w:lineRule="exact" w:line="600"/>
        <w:ind w:firstLine="640" w:firstLineChars="200"/>
        <w:jc w:val="both"/>
        <w:rPr>
          <w:rFonts w:ascii="Times New Roman" w:cs="Times New Roman" w:hAnsi="Times New Roman"/>
          <w:bCs/>
          <w:color w:val="auto"/>
          <w:sz w:val="32"/>
          <w:szCs w:val="32"/>
        </w:rPr>
      </w:pPr>
      <w:r>
        <w:rPr>
          <w:rFonts w:ascii="Times New Roman" w:cs="Times New Roman" w:hAnsi="Times New Roman"/>
          <w:bCs/>
          <w:color w:val="auto"/>
          <w:sz w:val="32"/>
          <w:szCs w:val="32"/>
        </w:rPr>
        <w:t>十三、关于</w:t>
      </w:r>
      <w:r>
        <w:rPr>
          <w:rFonts w:ascii="Times New Roman" w:cs="Times New Roman" w:eastAsia="仿宋_GB2312" w:hAnsi="Times New Roman"/>
          <w:color w:val="auto"/>
          <w:sz w:val="32"/>
          <w:szCs w:val="32"/>
        </w:rPr>
        <w:t>202</w:t>
      </w:r>
      <w:r>
        <w:rPr>
          <w:rFonts w:ascii="Times New Roman" w:cs="Times New Roman" w:eastAsia="仿宋_GB2312" w:hAnsi="Times New Roman" w:hint="eastAsia"/>
          <w:color w:val="auto"/>
          <w:sz w:val="32"/>
          <w:szCs w:val="32"/>
        </w:rPr>
        <w:t>5</w:t>
      </w:r>
      <w:r>
        <w:rPr>
          <w:rFonts w:ascii="Times New Roman" w:cs="Times New Roman" w:hAnsi="Times New Roman"/>
          <w:bCs/>
          <w:color w:val="auto"/>
          <w:sz w:val="32"/>
          <w:szCs w:val="32"/>
        </w:rPr>
        <w:t>年度预算绩效情况的说明</w:t>
      </w:r>
    </w:p>
    <w:p>
      <w:pPr>
        <w:pStyle w:val="style0"/>
        <w:overflowPunct w:val="false"/>
        <w:spacing w:lineRule="exact" w:line="600"/>
        <w:ind w:firstLine="643" w:firstLineChars="200"/>
        <w:rPr>
          <w:rFonts w:ascii="Times New Roman" w:cs="Times New Roman" w:eastAsia="仿宋_GB2312" w:hAnsi="Times New Roman"/>
          <w:kern w:val="0"/>
          <w:sz w:val="32"/>
          <w:szCs w:val="32"/>
        </w:rPr>
      </w:pPr>
      <w:r>
        <w:rPr>
          <w:rFonts w:ascii="Times New Roman" w:cs="Times New Roman" w:eastAsia="楷体_GB2312" w:hAnsi="Times New Roman"/>
          <w:b/>
          <w:bCs/>
          <w:sz w:val="32"/>
          <w:szCs w:val="32"/>
        </w:rPr>
        <w:t>（一）绩效评价工作开展情况。</w:t>
      </w:r>
      <w:r>
        <w:rPr>
          <w:rFonts w:ascii="Times New Roman" w:cs="Times New Roman" w:eastAsia="仿宋_GB2312" w:hAnsi="Times New Roman"/>
          <w:b/>
          <w:bCs/>
          <w:kern w:val="0"/>
          <w:sz w:val="32"/>
          <w:szCs w:val="32"/>
        </w:rPr>
        <w:t>一是绩效自评开展情况。</w:t>
      </w:r>
      <w:r>
        <w:rPr>
          <w:rFonts w:ascii="Times New Roman" w:cs="Times New Roman" w:eastAsia="仿宋_GB2312" w:hAnsi="Times New Roman"/>
          <w:kern w:val="0"/>
          <w:sz w:val="32"/>
          <w:szCs w:val="32"/>
        </w:rPr>
        <w:t>组织对</w:t>
      </w:r>
      <w:r>
        <w:rPr>
          <w:rFonts w:ascii="Times New Roman" w:cs="Times New Roman" w:eastAsia="仿宋_GB2312" w:hAnsi="Times New Roman"/>
          <w:kern w:val="0"/>
          <w:sz w:val="32"/>
          <w:szCs w:val="32"/>
        </w:rPr>
        <w:t>202</w:t>
      </w:r>
      <w:r>
        <w:rPr>
          <w:rFonts w:ascii="Times New Roman" w:cs="Times New Roman" w:eastAsia="仿宋_GB2312" w:hAnsi="Times New Roman" w:hint="eastAsia"/>
          <w:kern w:val="0"/>
          <w:sz w:val="32"/>
          <w:szCs w:val="32"/>
        </w:rPr>
        <w:t>5</w:t>
      </w:r>
      <w:r>
        <w:rPr>
          <w:rFonts w:ascii="Times New Roman" w:cs="Times New Roman" w:eastAsia="仿宋_GB2312" w:hAnsi="Times New Roman"/>
          <w:kern w:val="0"/>
          <w:sz w:val="32"/>
          <w:szCs w:val="32"/>
        </w:rPr>
        <w:t>年度本部门（单位）整体支出开展绩效自评，涉及项目</w:t>
      </w:r>
      <w:r>
        <w:rPr>
          <w:rFonts w:ascii="Times New Roman" w:cs="Times New Roman" w:eastAsia="仿宋_GB2312" w:hAnsi="Times New Roman" w:hint="eastAsia"/>
          <w:kern w:val="0"/>
          <w:sz w:val="32"/>
          <w:szCs w:val="32"/>
        </w:rPr>
        <w:t>1</w:t>
      </w:r>
      <w:r>
        <w:rPr>
          <w:rFonts w:ascii="Times New Roman" w:cs="Times New Roman" w:eastAsia="仿宋_GB2312" w:hAnsi="Times New Roman"/>
          <w:kern w:val="0"/>
          <w:sz w:val="32"/>
          <w:szCs w:val="32"/>
        </w:rPr>
        <w:t xml:space="preserve"> </w:t>
      </w:r>
      <w:r>
        <w:rPr>
          <w:rFonts w:ascii="Times New Roman" w:cs="Times New Roman" w:eastAsia="仿宋_GB2312" w:hAnsi="Times New Roman"/>
          <w:kern w:val="0"/>
          <w:sz w:val="32"/>
          <w:szCs w:val="32"/>
        </w:rPr>
        <w:t>个</w:t>
      </w:r>
      <w:r>
        <w:rPr>
          <w:rFonts w:ascii="Times New Roman" w:cs="Times New Roman" w:eastAsia="仿宋_GB2312" w:hAnsi="Times New Roman"/>
          <w:kern w:val="0"/>
          <w:sz w:val="32"/>
          <w:szCs w:val="32"/>
        </w:rPr>
        <w:t>，共涉及资金</w:t>
      </w:r>
      <w:r>
        <w:rPr>
          <w:rFonts w:ascii="Times New Roman" w:cs="Times New Roman" w:eastAsia="仿宋_GB2312" w:hAnsi="Times New Roman" w:hint="eastAsia"/>
          <w:kern w:val="0"/>
          <w:sz w:val="32"/>
          <w:szCs w:val="32"/>
        </w:rPr>
        <w:t>347.91</w:t>
      </w:r>
      <w:r>
        <w:rPr>
          <w:rFonts w:ascii="Times New Roman" w:cs="Times New Roman" w:eastAsia="仿宋_GB2312" w:hAnsi="Times New Roman"/>
          <w:kern w:val="0"/>
          <w:sz w:val="32"/>
          <w:szCs w:val="32"/>
        </w:rPr>
        <w:t>万元。其中，一般公共预算项目</w:t>
      </w:r>
      <w:r>
        <w:rPr>
          <w:rFonts w:ascii="Times New Roman" w:cs="Times New Roman" w:eastAsia="仿宋_GB2312" w:hAnsi="Times New Roman" w:hint="eastAsia"/>
          <w:kern w:val="0"/>
          <w:sz w:val="32"/>
          <w:szCs w:val="32"/>
        </w:rPr>
        <w:t>1</w:t>
      </w:r>
      <w:r>
        <w:rPr>
          <w:rFonts w:ascii="Times New Roman" w:cs="Times New Roman" w:eastAsia="仿宋_GB2312" w:hAnsi="Times New Roman"/>
          <w:kern w:val="0"/>
          <w:sz w:val="32"/>
          <w:szCs w:val="32"/>
        </w:rPr>
        <w:t xml:space="preserve"> </w:t>
      </w:r>
      <w:r>
        <w:rPr>
          <w:rFonts w:ascii="Times New Roman" w:cs="Times New Roman" w:eastAsia="仿宋_GB2312" w:hAnsi="Times New Roman"/>
          <w:kern w:val="0"/>
          <w:sz w:val="32"/>
          <w:szCs w:val="32"/>
        </w:rPr>
        <w:t>个</w:t>
      </w:r>
      <w:r>
        <w:rPr>
          <w:rFonts w:ascii="Times New Roman" w:cs="Times New Roman" w:eastAsia="仿宋_GB2312" w:hAnsi="Times New Roman" w:hint="eastAsia"/>
          <w:kern w:val="0"/>
          <w:sz w:val="32"/>
          <w:szCs w:val="32"/>
        </w:rPr>
        <w:t>347.91</w:t>
      </w:r>
      <w:r>
        <w:rPr>
          <w:rFonts w:ascii="Times New Roman" w:cs="Times New Roman" w:eastAsia="仿宋_GB2312" w:hAnsi="Times New Roman"/>
          <w:kern w:val="0"/>
          <w:sz w:val="32"/>
          <w:szCs w:val="32"/>
        </w:rPr>
        <w:t>万元，占一般公共预算支出总额的</w:t>
      </w:r>
      <w:r>
        <w:rPr>
          <w:rFonts w:ascii="Times New Roman" w:cs="Times New Roman" w:eastAsia="仿宋_GB2312" w:hAnsi="Times New Roman" w:hint="eastAsia"/>
          <w:kern w:val="0"/>
          <w:sz w:val="32"/>
          <w:szCs w:val="32"/>
        </w:rPr>
        <w:t>15.84</w:t>
      </w:r>
      <w:r>
        <w:rPr>
          <w:rFonts w:ascii="Times New Roman" w:cs="Times New Roman" w:eastAsia="仿宋_GB2312" w:hAnsi="Times New Roman" w:hint="eastAsia"/>
          <w:kern w:val="0"/>
          <w:sz w:val="32"/>
          <w:szCs w:val="32"/>
        </w:rPr>
        <w:t>%</w:t>
      </w:r>
      <w:r>
        <w:rPr>
          <w:rFonts w:ascii="Times New Roman" w:cs="Times New Roman" w:eastAsia="仿宋_GB2312" w:hAnsi="Times New Roman"/>
          <w:kern w:val="0"/>
          <w:sz w:val="32"/>
          <w:szCs w:val="32"/>
        </w:rPr>
        <w:t>；政府性基金预算项目</w:t>
      </w:r>
      <w:r>
        <w:rPr>
          <w:rFonts w:ascii="Times New Roman" w:cs="Times New Roman" w:eastAsia="仿宋_GB2312" w:hAnsi="Times New Roman" w:hint="eastAsia"/>
          <w:kern w:val="0"/>
          <w:sz w:val="32"/>
          <w:szCs w:val="32"/>
        </w:rPr>
        <w:t>0</w:t>
      </w:r>
      <w:r>
        <w:rPr>
          <w:rFonts w:ascii="Times New Roman" w:cs="Times New Roman" w:eastAsia="仿宋_GB2312" w:hAnsi="Times New Roman"/>
          <w:kern w:val="0"/>
          <w:sz w:val="32"/>
          <w:szCs w:val="32"/>
        </w:rPr>
        <w:t xml:space="preserve"> </w:t>
      </w:r>
      <w:r>
        <w:rPr>
          <w:rFonts w:ascii="Times New Roman" w:cs="Times New Roman" w:eastAsia="仿宋_GB2312" w:hAnsi="Times New Roman"/>
          <w:kern w:val="0"/>
          <w:sz w:val="32"/>
          <w:szCs w:val="32"/>
        </w:rPr>
        <w:t>个</w:t>
      </w:r>
      <w:r>
        <w:rPr>
          <w:rFonts w:ascii="Times New Roman" w:cs="Times New Roman" w:eastAsia="仿宋_GB2312" w:hAnsi="Times New Roman" w:hint="eastAsia"/>
          <w:kern w:val="0"/>
          <w:sz w:val="32"/>
          <w:szCs w:val="32"/>
        </w:rPr>
        <w:t>0</w:t>
      </w:r>
      <w:r>
        <w:rPr>
          <w:rFonts w:ascii="Times New Roman" w:cs="Times New Roman" w:eastAsia="仿宋_GB2312" w:hAnsi="Times New Roman"/>
          <w:kern w:val="0"/>
          <w:sz w:val="32"/>
          <w:szCs w:val="32"/>
        </w:rPr>
        <w:t xml:space="preserve"> </w:t>
      </w:r>
      <w:r>
        <w:rPr>
          <w:rFonts w:ascii="Times New Roman" w:cs="Times New Roman" w:eastAsia="仿宋_GB2312" w:hAnsi="Times New Roman"/>
          <w:kern w:val="0"/>
          <w:sz w:val="32"/>
          <w:szCs w:val="32"/>
        </w:rPr>
        <w:t>万元；国有资本经营预算项目</w:t>
      </w:r>
      <w:r>
        <w:rPr>
          <w:rFonts w:ascii="Times New Roman" w:cs="Times New Roman" w:eastAsia="仿宋_GB2312" w:hAnsi="Times New Roman" w:hint="eastAsia"/>
          <w:kern w:val="0"/>
          <w:sz w:val="32"/>
          <w:szCs w:val="32"/>
        </w:rPr>
        <w:t>0</w:t>
      </w:r>
      <w:r>
        <w:rPr>
          <w:rFonts w:ascii="Times New Roman" w:cs="Times New Roman" w:eastAsia="仿宋_GB2312" w:hAnsi="Times New Roman"/>
          <w:kern w:val="0"/>
          <w:sz w:val="32"/>
          <w:szCs w:val="32"/>
        </w:rPr>
        <w:t xml:space="preserve"> </w:t>
      </w:r>
      <w:r>
        <w:rPr>
          <w:rFonts w:ascii="Times New Roman" w:cs="Times New Roman" w:eastAsia="仿宋_GB2312" w:hAnsi="Times New Roman"/>
          <w:kern w:val="0"/>
          <w:sz w:val="32"/>
          <w:szCs w:val="32"/>
        </w:rPr>
        <w:t>个</w:t>
      </w:r>
      <w:r>
        <w:rPr>
          <w:rFonts w:ascii="Times New Roman" w:cs="Times New Roman" w:eastAsia="仿宋_GB2312" w:hAnsi="Times New Roman" w:hint="eastAsia"/>
          <w:kern w:val="0"/>
          <w:sz w:val="32"/>
          <w:szCs w:val="32"/>
        </w:rPr>
        <w:t>0</w:t>
      </w:r>
      <w:r>
        <w:rPr>
          <w:rFonts w:ascii="Times New Roman" w:cs="Times New Roman" w:eastAsia="仿宋_GB2312" w:hAnsi="Times New Roman"/>
          <w:kern w:val="0"/>
          <w:sz w:val="32"/>
          <w:szCs w:val="32"/>
        </w:rPr>
        <w:t>万元；社会保险基金预算项目</w:t>
      </w:r>
      <w:r>
        <w:rPr>
          <w:rFonts w:ascii="Times New Roman" w:cs="Times New Roman" w:eastAsia="仿宋_GB2312" w:hAnsi="Times New Roman" w:hint="eastAsia"/>
          <w:kern w:val="0"/>
          <w:sz w:val="32"/>
          <w:szCs w:val="32"/>
        </w:rPr>
        <w:t>0</w:t>
      </w:r>
      <w:r>
        <w:rPr>
          <w:rFonts w:ascii="Times New Roman" w:cs="Times New Roman" w:eastAsia="仿宋_GB2312" w:hAnsi="Times New Roman"/>
          <w:kern w:val="0"/>
          <w:sz w:val="32"/>
          <w:szCs w:val="32"/>
        </w:rPr>
        <w:t xml:space="preserve"> </w:t>
      </w:r>
      <w:r>
        <w:rPr>
          <w:rFonts w:ascii="Times New Roman" w:cs="Times New Roman" w:eastAsia="仿宋_GB2312" w:hAnsi="Times New Roman"/>
          <w:kern w:val="0"/>
          <w:sz w:val="32"/>
          <w:szCs w:val="32"/>
        </w:rPr>
        <w:t>个</w:t>
      </w:r>
      <w:r>
        <w:rPr>
          <w:rFonts w:ascii="Times New Roman" w:cs="Times New Roman" w:eastAsia="仿宋_GB2312" w:hAnsi="Times New Roman" w:hint="eastAsia"/>
          <w:kern w:val="0"/>
          <w:sz w:val="32"/>
          <w:szCs w:val="32"/>
        </w:rPr>
        <w:t>0</w:t>
      </w:r>
      <w:r>
        <w:rPr>
          <w:rFonts w:ascii="Times New Roman" w:cs="Times New Roman" w:eastAsia="仿宋_GB2312" w:hAnsi="Times New Roman"/>
          <w:kern w:val="0"/>
          <w:sz w:val="32"/>
          <w:szCs w:val="32"/>
        </w:rPr>
        <w:t>万元。</w:t>
      </w:r>
    </w:p>
    <w:p>
      <w:pPr>
        <w:pStyle w:val="style0"/>
        <w:overflowPunct w:val="false"/>
        <w:spacing w:lineRule="exact" w:line="600"/>
        <w:ind w:firstLine="643" w:firstLineChars="200"/>
        <w:rPr>
          <w:rFonts w:ascii="Times New Roman" w:cs="Times New Roman" w:eastAsia="仿宋_GB2312" w:hAnsi="Times New Roman"/>
          <w:bCs/>
          <w:sz w:val="32"/>
          <w:szCs w:val="32"/>
        </w:rPr>
      </w:pPr>
      <w:r>
        <w:rPr>
          <w:rFonts w:ascii="Times New Roman" w:cs="Times New Roman" w:eastAsia="楷体_GB2312" w:hAnsi="Times New Roman"/>
          <w:b/>
          <w:bCs/>
          <w:sz w:val="32"/>
          <w:szCs w:val="32"/>
        </w:rPr>
        <w:t>（二）绩效评价结果。</w:t>
      </w:r>
      <w:r>
        <w:rPr>
          <w:rFonts w:ascii="Times New Roman" w:cs="Times New Roman" w:eastAsia="仿宋_GB2312" w:hAnsi="Times New Roman"/>
          <w:b/>
          <w:bCs/>
          <w:kern w:val="0"/>
          <w:sz w:val="32"/>
          <w:szCs w:val="32"/>
        </w:rPr>
        <w:t>一是绩效自评结果。</w:t>
      </w:r>
      <w:r>
        <w:rPr>
          <w:rFonts w:ascii="Times New Roman" w:cs="Times New Roman" w:eastAsia="仿宋_GB2312" w:hAnsi="Times New Roman"/>
          <w:kern w:val="0"/>
          <w:sz w:val="32"/>
          <w:szCs w:val="32"/>
        </w:rPr>
        <w:t>202</w:t>
      </w:r>
      <w:r>
        <w:rPr>
          <w:rFonts w:ascii="Times New Roman" w:cs="Times New Roman" w:eastAsia="仿宋_GB2312" w:hAnsi="Times New Roman" w:hint="eastAsia"/>
          <w:kern w:val="0"/>
          <w:sz w:val="32"/>
          <w:szCs w:val="32"/>
        </w:rPr>
        <w:t>5</w:t>
      </w:r>
      <w:r>
        <w:rPr>
          <w:rFonts w:ascii="Times New Roman" w:cs="Times New Roman" w:eastAsia="仿宋_GB2312" w:hAnsi="Times New Roman"/>
          <w:kern w:val="0"/>
          <w:sz w:val="32"/>
          <w:szCs w:val="32"/>
        </w:rPr>
        <w:t>年度本部门（单位）整体支出</w:t>
      </w:r>
      <w:r>
        <w:rPr>
          <w:rFonts w:ascii="Times New Roman" w:cs="Times New Roman" w:eastAsia="仿宋_GB2312" w:hAnsi="Times New Roman"/>
          <w:sz w:val="32"/>
          <w:szCs w:val="32"/>
        </w:rPr>
        <w:t>全年预算数</w:t>
      </w:r>
      <w:r>
        <w:rPr>
          <w:rFonts w:ascii="Times New Roman" w:cs="Times New Roman" w:eastAsia="仿宋_GB2312" w:hAnsi="Times New Roman" w:hint="eastAsia"/>
          <w:sz w:val="32"/>
          <w:szCs w:val="32"/>
        </w:rPr>
        <w:t>347.91</w:t>
      </w:r>
      <w:r>
        <w:rPr>
          <w:rFonts w:ascii="Times New Roman" w:cs="Times New Roman" w:eastAsia="仿宋_GB2312" w:hAnsi="Times New Roman"/>
          <w:sz w:val="32"/>
          <w:szCs w:val="32"/>
        </w:rPr>
        <w:t>万元，执行数</w:t>
      </w:r>
      <w:r>
        <w:rPr>
          <w:rFonts w:ascii="Times New Roman" w:cs="Times New Roman" w:eastAsia="仿宋_GB2312" w:hAnsi="Times New Roman" w:hint="eastAsia"/>
          <w:sz w:val="32"/>
          <w:szCs w:val="32"/>
        </w:rPr>
        <w:t>278.15</w:t>
      </w:r>
      <w:r>
        <w:rPr>
          <w:rFonts w:ascii="Times New Roman" w:cs="Times New Roman" w:eastAsia="仿宋_GB2312" w:hAnsi="Times New Roman"/>
          <w:sz w:val="32"/>
          <w:szCs w:val="32"/>
        </w:rPr>
        <w:t>万元，完成预算的</w:t>
      </w:r>
      <w:r>
        <w:rPr>
          <w:rFonts w:ascii="Times New Roman" w:cs="Times New Roman" w:eastAsia="仿宋_GB2312" w:hAnsi="Times New Roman" w:hint="eastAsia"/>
          <w:sz w:val="32"/>
          <w:szCs w:val="32"/>
        </w:rPr>
        <w:t>79.95</w:t>
      </w:r>
      <w:r>
        <w:rPr>
          <w:rFonts w:ascii="Times New Roman" w:cs="Times New Roman" w:eastAsia="仿宋_GB2312" w:hAnsi="Times New Roman"/>
          <w:sz w:val="32"/>
          <w:szCs w:val="32"/>
        </w:rPr>
        <w:t>%</w:t>
      </w:r>
      <w:r>
        <w:rPr>
          <w:rFonts w:ascii="Times New Roman" w:cs="Times New Roman" w:eastAsia="仿宋_GB2312" w:hAnsi="Times New Roman"/>
          <w:kern w:val="0"/>
          <w:sz w:val="32"/>
          <w:szCs w:val="32"/>
        </w:rPr>
        <w:t>，绩效自评得分</w:t>
      </w:r>
      <w:r>
        <w:rPr>
          <w:rFonts w:ascii="Times New Roman" w:cs="Times New Roman" w:eastAsia="仿宋_GB2312" w:hAnsi="Times New Roman" w:hint="eastAsia"/>
          <w:sz w:val="32"/>
          <w:szCs w:val="32"/>
        </w:rPr>
        <w:t>91</w:t>
      </w:r>
      <w:r>
        <w:rPr>
          <w:rFonts w:ascii="Times New Roman" w:cs="Times New Roman" w:eastAsia="仿宋_GB2312" w:hAnsi="Times New Roman"/>
          <w:sz w:val="32"/>
          <w:szCs w:val="32"/>
        </w:rPr>
        <w:t>分</w:t>
      </w:r>
      <w:r>
        <w:rPr>
          <w:rFonts w:ascii="Times New Roman" w:cs="Times New Roman" w:eastAsia="仿宋_GB2312" w:hAnsi="Times New Roman"/>
          <w:kern w:val="0"/>
          <w:sz w:val="32"/>
          <w:szCs w:val="32"/>
        </w:rPr>
        <w:t>，评价等级为</w:t>
      </w:r>
      <w:r>
        <w:rPr>
          <w:rFonts w:ascii="Times New Roman" w:cs="Times New Roman" w:eastAsia="仿宋_GB2312" w:hAnsi="Times New Roman"/>
          <w:sz w:val="32"/>
          <w:szCs w:val="32"/>
        </w:rPr>
        <w:t>“</w:t>
      </w:r>
      <w:r>
        <w:rPr>
          <w:rFonts w:ascii="Times New Roman" w:cs="Times New Roman" w:eastAsia="仿宋_GB2312" w:hAnsi="Times New Roman" w:hint="eastAsia"/>
          <w:sz w:val="32"/>
          <w:szCs w:val="32"/>
        </w:rPr>
        <w:t>优秀</w:t>
      </w:r>
      <w:r>
        <w:rPr>
          <w:rFonts w:ascii="Times New Roman" w:cs="Times New Roman" w:eastAsia="仿宋_GB2312" w:hAnsi="Times New Roman"/>
          <w:sz w:val="32"/>
          <w:szCs w:val="32"/>
        </w:rPr>
        <w:t>”</w:t>
      </w:r>
      <w:r>
        <w:rPr>
          <w:rFonts w:ascii="Times New Roman" w:cs="Times New Roman" w:eastAsia="仿宋_GB2312" w:hAnsi="Times New Roman"/>
          <w:sz w:val="32"/>
          <w:szCs w:val="32"/>
        </w:rPr>
        <w:t>。绩效目标完成情况：</w:t>
      </w:r>
      <w:r>
        <w:rPr>
          <w:rFonts w:ascii="Times New Roman" w:cs="Times New Roman" w:eastAsia="仿宋_GB2312" w:hAnsi="Times New Roman" w:hint="eastAsia"/>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cs="Times New Roman" w:eastAsia="仿宋_GB2312" w:hAnsi="Times New Roman"/>
          <w:kern w:val="0"/>
          <w:sz w:val="32"/>
          <w:szCs w:val="32"/>
        </w:rPr>
        <w:t>。</w:t>
      </w:r>
    </w:p>
    <w:p>
      <w:pPr>
        <w:pStyle w:val="style4099"/>
        <w:overflowPunct w:val="false"/>
        <w:autoSpaceDE/>
        <w:autoSpaceDN/>
        <w:spacing w:lineRule="exact" w:line="600"/>
        <w:ind w:firstLine="643" w:firstLineChars="200"/>
        <w:jc w:val="both"/>
        <w:rPr>
          <w:rFonts w:ascii="Times New Roman" w:cs="Times New Roman" w:eastAsia="仿宋_GB2312" w:hAnsi="Times New Roman"/>
          <w:color w:val="auto"/>
          <w:sz w:val="32"/>
          <w:szCs w:val="32"/>
        </w:rPr>
      </w:pPr>
      <w:r>
        <w:rPr>
          <w:rFonts w:ascii="Times New Roman" w:cs="Times New Roman" w:eastAsia="楷体_GB2312" w:hAnsi="Times New Roman"/>
          <w:b/>
          <w:bCs/>
          <w:color w:val="auto"/>
          <w:kern w:val="2"/>
          <w:sz w:val="32"/>
          <w:szCs w:val="32"/>
        </w:rPr>
        <w:t>（三）评价结果应用情况。</w:t>
      </w:r>
      <w:r>
        <w:rPr>
          <w:rFonts w:ascii="Times New Roman" w:cs="Times New Roman" w:eastAsia="仿宋_GB2312" w:hAnsi="Times New Roman" w:hint="eastAsia"/>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w:t>
      </w:r>
      <w:r>
        <w:rPr>
          <w:rFonts w:ascii="Times New Roman" w:cs="Times New Roman" w:eastAsia="仿宋_GB2312" w:hAnsi="Times New Roman" w:hint="eastAsia"/>
          <w:color w:val="auto"/>
          <w:sz w:val="32"/>
          <w:szCs w:val="32"/>
        </w:rPr>
        <w:t>2026</w:t>
      </w:r>
      <w:r>
        <w:rPr>
          <w:rFonts w:ascii="Times New Roman" w:cs="Times New Roman" w:eastAsia="仿宋_GB2312" w:hAnsi="Times New Roman" w:hint="eastAsia"/>
          <w:color w:val="auto"/>
          <w:sz w:val="32"/>
          <w:szCs w:val="32"/>
        </w:rPr>
        <w:t>年预算安排需以“精准化、绩效化、法治化”为核心；进一步加强绩效评价，</w:t>
      </w:r>
      <w:r>
        <w:rPr>
          <w:rFonts w:ascii="Times New Roman" w:cs="Times New Roman" w:eastAsia="仿宋_GB2312" w:hAnsi="Times New Roman" w:hint="eastAsia"/>
          <w:color w:val="auto"/>
          <w:sz w:val="32"/>
          <w:szCs w:val="32"/>
        </w:rPr>
        <w:t>让经费</w:t>
      </w:r>
      <w:r>
        <w:rPr>
          <w:rFonts w:ascii="Times New Roman" w:cs="Times New Roman" w:eastAsia="仿宋_GB2312" w:hAnsi="Times New Roman" w:hint="eastAsia"/>
          <w:color w:val="auto"/>
          <w:sz w:val="32"/>
          <w:szCs w:val="32"/>
        </w:rPr>
        <w:t>投入取得的效益最大化。</w:t>
      </w: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spacing w:lineRule="auto" w:line="360"/>
        <w:jc w:val="center"/>
        <w:rPr>
          <w:rFonts w:ascii="Times New Roman" w:cs="Times New Roman" w:eastAsia="方正小标宋_GBK" w:hAnsi="Times New Roman"/>
          <w:sz w:val="52"/>
          <w:szCs w:val="52"/>
        </w:rPr>
      </w:pPr>
      <w:r>
        <w:rPr>
          <w:rFonts w:ascii="Times New Roman" w:cs="Times New Roman" w:eastAsia="方正小标宋_GBK" w:hAnsi="Times New Roman"/>
          <w:sz w:val="52"/>
          <w:szCs w:val="52"/>
        </w:rPr>
        <w:t>第四部分</w:t>
      </w:r>
      <w:r>
        <w:rPr>
          <w:rFonts w:ascii="Times New Roman" w:cs="Times New Roman" w:eastAsia="方正小标宋_GBK" w:hAnsi="Times New Roman"/>
          <w:sz w:val="52"/>
          <w:szCs w:val="52"/>
        </w:rPr>
        <w:t xml:space="preserve">    </w:t>
      </w:r>
      <w:r>
        <w:rPr>
          <w:rFonts w:ascii="Times New Roman" w:cs="Times New Roman" w:eastAsia="方正小标宋_GBK" w:hAnsi="Times New Roman"/>
          <w:sz w:val="52"/>
          <w:szCs w:val="52"/>
        </w:rPr>
        <w:t>名词解释</w:t>
      </w:r>
    </w:p>
    <w:p>
      <w:pPr>
        <w:pStyle w:val="style0"/>
        <w:widowControl/>
        <w:jc w:val="left"/>
        <w:rPr>
          <w:rFonts w:ascii="Times New Roman" w:cs="Times New Roman" w:hAnsi="Times New Roman"/>
          <w:color w:val="000000"/>
          <w:kern w:val="0"/>
          <w:sz w:val="32"/>
          <w:szCs w:val="32"/>
        </w:rPr>
      </w:pPr>
    </w:p>
    <w:p>
      <w:pPr>
        <w:pStyle w:val="style29"/>
        <w:rPr>
          <w:rFonts w:ascii="Times New Roman" w:cs="Times New Roman" w:hAnsi="Times New Roman"/>
          <w:color w:val="000000"/>
          <w:kern w:val="0"/>
          <w:sz w:val="32"/>
          <w:szCs w:val="32"/>
        </w:rPr>
      </w:pPr>
    </w:p>
    <w:p>
      <w:pPr>
        <w:pStyle w:val="style78"/>
        <w:ind w:firstLine="640"/>
        <w:rPr>
          <w:rFonts w:ascii="Times New Roman" w:cs="Times New Roman" w:hAnsi="Times New Roman"/>
          <w:color w:val="000000"/>
          <w:sz w:val="32"/>
          <w:szCs w:val="32"/>
        </w:rPr>
      </w:pPr>
    </w:p>
    <w:p>
      <w:pPr>
        <w:pStyle w:val="style0"/>
        <w:rPr>
          <w:rFonts w:ascii="Times New Roman" w:cs="Times New Roman" w:hAnsi="Times New Roman"/>
          <w:color w:val="000000"/>
          <w:kern w:val="0"/>
          <w:sz w:val="32"/>
          <w:szCs w:val="32"/>
        </w:rPr>
      </w:pPr>
    </w:p>
    <w:p>
      <w:pPr>
        <w:pStyle w:val="style29"/>
        <w:rPr>
          <w:rFonts w:ascii="Times New Roman" w:cs="Times New Roman" w:hAnsi="Times New Roman"/>
          <w:color w:val="000000"/>
          <w:kern w:val="0"/>
          <w:sz w:val="32"/>
          <w:szCs w:val="32"/>
        </w:rPr>
      </w:pPr>
    </w:p>
    <w:p>
      <w:pPr>
        <w:pStyle w:val="style78"/>
        <w:ind w:firstLine="640"/>
        <w:rPr>
          <w:rFonts w:ascii="Times New Roman" w:cs="Times New Roman" w:hAnsi="Times New Roman"/>
          <w:color w:val="000000"/>
          <w:sz w:val="32"/>
          <w:szCs w:val="32"/>
        </w:rPr>
      </w:pPr>
    </w:p>
    <w:p>
      <w:pPr>
        <w:pStyle w:val="style0"/>
        <w:rPr>
          <w:rFonts w:ascii="Times New Roman" w:cs="Times New Roman" w:hAnsi="Times New Roman"/>
          <w:color w:val="000000"/>
          <w:kern w:val="0"/>
          <w:sz w:val="32"/>
          <w:szCs w:val="32"/>
        </w:rPr>
      </w:pPr>
    </w:p>
    <w:p>
      <w:pPr>
        <w:pStyle w:val="style29"/>
        <w:rPr>
          <w:rFonts w:ascii="Times New Roman" w:cs="Times New Roman" w:hAnsi="Times New Roman"/>
          <w:color w:val="000000"/>
          <w:kern w:val="0"/>
          <w:sz w:val="32"/>
          <w:szCs w:val="32"/>
        </w:rPr>
      </w:pPr>
    </w:p>
    <w:p>
      <w:pPr>
        <w:pStyle w:val="style78"/>
        <w:ind w:firstLine="640"/>
        <w:rPr>
          <w:rFonts w:ascii="Times New Roman" w:cs="Times New Roman" w:hAnsi="Times New Roman"/>
          <w:color w:val="000000"/>
          <w:sz w:val="32"/>
          <w:szCs w:val="32"/>
        </w:rPr>
      </w:pPr>
    </w:p>
    <w:p>
      <w:pPr>
        <w:pStyle w:val="style29"/>
        <w:rPr/>
      </w:pP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一、财政拨款收入：指本级财政当年拨付的资金。</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二、政府性基金预算财政拨款收入：指本级财政当年拨付的政府性基金预算资金。</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三、事业收入：指事业单位开展专业业务活动及辅助活动所取得的收入。</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四、其他收入：指除上述“财政拨款收入”、“上级补助收入”、“事业收入”、“经营收入”、“附属单位上缴收入”等以外的收入。</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五、上年结转和结余：指以前年度尚未完成、结转到本年按有关规定继续使用的资金。</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六、教育支出（类）：是指用于政府教育事务支出，包括保障机构正常运转、完成日常和特定的工作任务或事业发展目标的支出。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七、基本支出：</w:t>
      </w:r>
      <w:r>
        <w:rPr>
          <w:rFonts w:ascii="仿宋" w:cs="仿宋" w:eastAsia="仿宋" w:hAnsi="仿宋" w:hint="eastAsia"/>
          <w:sz w:val="32"/>
          <w:szCs w:val="32"/>
        </w:rPr>
        <w:t>指保障</w:t>
      </w:r>
      <w:r>
        <w:rPr>
          <w:rFonts w:ascii="仿宋" w:cs="仿宋" w:eastAsia="仿宋" w:hAnsi="仿宋" w:hint="eastAsia"/>
          <w:sz w:val="32"/>
          <w:szCs w:val="32"/>
        </w:rPr>
        <w:t>机构正常运转、完成支日常工作任务而发生的人员支出和公用支出。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八、项目支出：指在基本支出之外为完成特定行政任务和事业发展目标所发生的支出。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九、“三公”经费：指用财政拨款安排的因公出国（境）费、公务用车购置及运行费和公务接待费。其中，因公出国（境）</w:t>
      </w:r>
      <w:r>
        <w:rPr>
          <w:rFonts w:ascii="仿宋" w:cs="仿宋" w:eastAsia="仿宋" w:hAnsi="仿宋" w:hint="eastAsia"/>
          <w:sz w:val="32"/>
          <w:szCs w:val="32"/>
        </w:rPr>
        <w:t>费反映</w:t>
      </w:r>
      <w:r>
        <w:rPr>
          <w:rFonts w:ascii="仿宋" w:cs="仿宋" w:eastAsia="仿宋" w:hAnsi="仿宋" w:hint="eastAsia"/>
          <w:sz w:val="32"/>
          <w:szCs w:val="32"/>
        </w:rPr>
        <w:t>出国（境）的住宿费、旅费、伙食补助费、杂费、培训费等支出；公务用车购置及运行</w:t>
      </w:r>
      <w:r>
        <w:rPr>
          <w:rFonts w:ascii="仿宋" w:cs="仿宋" w:eastAsia="仿宋" w:hAnsi="仿宋" w:hint="eastAsia"/>
          <w:sz w:val="32"/>
          <w:szCs w:val="32"/>
        </w:rPr>
        <w:t>费反映</w:t>
      </w:r>
      <w:r>
        <w:rPr>
          <w:rFonts w:ascii="仿宋" w:cs="仿宋" w:eastAsia="仿宋" w:hAnsi="仿宋" w:hint="eastAsia"/>
          <w:sz w:val="32"/>
          <w:szCs w:val="32"/>
        </w:rPr>
        <w:t>单位公务用车购置费及租用费、燃料费、维修费、过路过桥费、保险费、安全奖励费用等支出；公务接待</w:t>
      </w:r>
      <w:r>
        <w:rPr>
          <w:rFonts w:ascii="仿宋" w:cs="仿宋" w:eastAsia="仿宋" w:hAnsi="仿宋" w:hint="eastAsia"/>
          <w:sz w:val="32"/>
          <w:szCs w:val="32"/>
        </w:rPr>
        <w:t>费反映</w:t>
      </w:r>
      <w:r>
        <w:rPr>
          <w:rFonts w:ascii="仿宋" w:cs="仿宋" w:eastAsia="仿宋" w:hAnsi="仿宋" w:hint="eastAsia"/>
          <w:sz w:val="32"/>
          <w:szCs w:val="32"/>
        </w:rPr>
        <w:t>单位按规定开支的各类公务接待（含外宾接待）支出。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十二、教育支出（类）普通教育（款）学前教育（项）：指幼儿园用于保障机构正常运行、开展日常工作的基本支出。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十三、教育支出（类）普通教育（款）小学教育（项）：指小学学校用于保障机构正常运行、开展日常工作的基本支出。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十四、教育支出（类）普通教育（款）初中教育（项）：指初中学校用于保障机构正常运行、开展日常工作的基本支出。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十五、教育支出（类）其他教育支出（款）其他教育支出（项）：指为用于学校正常运转、开展日常工作的其他支出。</w:t>
      </w:r>
    </w:p>
    <w:p>
      <w:pPr>
        <w:pStyle w:val="style4099"/>
        <w:ind w:firstLine="640" w:firstLineChars="200"/>
        <w:rPr>
          <w:rFonts w:ascii="仿宋" w:cs="仿宋" w:eastAsia="仿宋" w:hAnsi="仿宋" w:hint="eastAsia"/>
          <w:sz w:val="32"/>
          <w:szCs w:val="32"/>
        </w:rPr>
      </w:pPr>
      <w:r>
        <w:rPr>
          <w:rFonts w:ascii="仿宋" w:cs="仿宋" w:eastAsia="仿宋" w:hAnsi="仿宋" w:hint="eastAsia"/>
          <w:sz w:val="32"/>
          <w:szCs w:val="32"/>
        </w:rPr>
        <w:t>十六、社会保障和就业支出（类）人力资源和社会保障管理事务（款）引进人才费用（项）：用于引进外国专家、引智成果推广以及其他相关人才引进工作的专项经费支出。包括用于引进人才的租房补贴和生活补助等。</w:t>
      </w: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jc w:val="both"/>
        <w:rPr>
          <w:rFonts w:ascii="Times New Roman" w:cs="Times New Roman" w:hAnsi="Times New Roman"/>
          <w:sz w:val="72"/>
          <w:szCs w:val="72"/>
        </w:rPr>
      </w:pPr>
    </w:p>
    <w:p>
      <w:pPr>
        <w:pStyle w:val="style4099"/>
        <w:spacing w:lineRule="auto" w:line="360"/>
        <w:jc w:val="center"/>
        <w:rPr>
          <w:rFonts w:ascii="Times New Roman" w:cs="Times New Roman" w:eastAsia="方正小标宋_GBK" w:hAnsi="Times New Roman"/>
          <w:sz w:val="52"/>
          <w:szCs w:val="52"/>
        </w:rPr>
      </w:pPr>
      <w:r>
        <w:rPr>
          <w:rFonts w:ascii="Times New Roman" w:cs="Times New Roman" w:eastAsia="方正小标宋_GBK" w:hAnsi="Times New Roman"/>
          <w:sz w:val="52"/>
          <w:szCs w:val="52"/>
        </w:rPr>
        <w:t>第五部分</w:t>
      </w:r>
      <w:r>
        <w:rPr>
          <w:rFonts w:ascii="Times New Roman" w:cs="Times New Roman" w:eastAsia="方正小标宋_GBK" w:hAnsi="Times New Roman"/>
          <w:sz w:val="52"/>
          <w:szCs w:val="52"/>
        </w:rPr>
        <w:t xml:space="preserve">   </w:t>
      </w:r>
      <w:r>
        <w:rPr>
          <w:rFonts w:ascii="Times New Roman" w:cs="Times New Roman" w:eastAsia="方正小标宋_GBK" w:hAnsi="Times New Roman"/>
          <w:sz w:val="52"/>
          <w:szCs w:val="52"/>
        </w:rPr>
        <w:t>附</w:t>
      </w:r>
      <w:r>
        <w:rPr>
          <w:rFonts w:ascii="Times New Roman" w:cs="Times New Roman" w:eastAsia="方正小标宋_GBK" w:hAnsi="Times New Roman"/>
          <w:sz w:val="52"/>
          <w:szCs w:val="52"/>
        </w:rPr>
        <w:t xml:space="preserve"> </w:t>
      </w:r>
      <w:r>
        <w:rPr>
          <w:rFonts w:ascii="Times New Roman" w:cs="Times New Roman" w:eastAsia="方正小标宋_GBK" w:hAnsi="Times New Roman"/>
          <w:sz w:val="52"/>
          <w:szCs w:val="52"/>
        </w:rPr>
        <w:t>件</w:t>
      </w:r>
    </w:p>
    <w:p>
      <w:pPr>
        <w:pStyle w:val="style29"/>
        <w:rPr/>
      </w:pPr>
    </w:p>
    <w:p>
      <w:pPr>
        <w:pStyle w:val="style4099"/>
        <w:spacing w:lineRule="exact" w:line="600"/>
        <w:ind w:firstLine="640" w:firstLineChars="200"/>
        <w:rPr>
          <w:rFonts w:ascii="Times New Roman" w:cs="Times New Roman" w:eastAsia="仿宋_GB2312" w:hAnsi="Times New Roman"/>
          <w:sz w:val="32"/>
          <w:szCs w:val="32"/>
        </w:rPr>
      </w:pPr>
    </w:p>
    <w:p>
      <w:pPr>
        <w:pStyle w:val="style4099"/>
        <w:spacing w:lineRule="exact" w:line="600"/>
        <w:ind w:firstLine="640" w:firstLineChars="200"/>
        <w:rPr>
          <w:rFonts w:ascii="Times New Roman" w:cs="Times New Roman" w:eastAsia="仿宋_GB2312" w:hAnsi="Times New Roman"/>
          <w:sz w:val="32"/>
          <w:szCs w:val="32"/>
        </w:rPr>
      </w:pPr>
    </w:p>
    <w:p>
      <w:pPr>
        <w:pStyle w:val="style4099"/>
        <w:jc w:val="center"/>
        <w:rPr>
          <w:rFonts w:ascii="Times New Roman" w:cs="Times New Roman" w:hAnsi="Times New Roman"/>
          <w:sz w:val="72"/>
          <w:szCs w:val="72"/>
        </w:rPr>
      </w:pPr>
    </w:p>
    <w:p>
      <w:pPr>
        <w:pStyle w:val="style4099"/>
        <w:jc w:val="center"/>
        <w:rPr>
          <w:rFonts w:ascii="Times New Roman" w:cs="Times New Roman" w:hAnsi="Times New Roman"/>
          <w:sz w:val="72"/>
          <w:szCs w:val="72"/>
        </w:rPr>
      </w:pPr>
    </w:p>
    <w:p>
      <w:pPr>
        <w:pStyle w:val="style0"/>
        <w:jc w:val="left"/>
        <w:rPr>
          <w:rFonts w:ascii="Times New Roman" w:cs="Times New Roman" w:hAnsi="Times New Roman"/>
          <w:color w:val="000000"/>
          <w:kern w:val="0"/>
          <w:sz w:val="32"/>
          <w:szCs w:val="32"/>
        </w:rPr>
      </w:pPr>
    </w:p>
    <w:p>
      <w:pPr>
        <w:pStyle w:val="style29"/>
        <w:rPr>
          <w:rFonts w:ascii="Times New Roman" w:cs="Times New Roman" w:hAnsi="Times New Roman"/>
          <w:color w:val="000000"/>
          <w:kern w:val="0"/>
          <w:sz w:val="32"/>
          <w:szCs w:val="32"/>
        </w:rPr>
      </w:pPr>
    </w:p>
    <w:p>
      <w:pPr>
        <w:pStyle w:val="style78"/>
        <w:ind w:firstLine="640"/>
        <w:rPr>
          <w:rFonts w:ascii="Times New Roman" w:cs="Times New Roman" w:hAnsi="Times New Roman"/>
          <w:color w:val="000000"/>
          <w:sz w:val="32"/>
          <w:szCs w:val="32"/>
        </w:rPr>
      </w:pPr>
    </w:p>
    <w:p>
      <w:pPr>
        <w:pStyle w:val="style0"/>
        <w:rPr>
          <w:rFonts w:ascii="Times New Roman" w:cs="Times New Roman" w:hAnsi="Times New Roman"/>
          <w:color w:val="000000"/>
          <w:kern w:val="0"/>
          <w:sz w:val="32"/>
          <w:szCs w:val="32"/>
        </w:rPr>
      </w:pPr>
    </w:p>
    <w:p>
      <w:pPr>
        <w:pStyle w:val="style29"/>
        <w:rPr>
          <w:rFonts w:ascii="Times New Roman" w:cs="Times New Roman" w:hAnsi="Times New Roman"/>
          <w:color w:val="000000"/>
          <w:kern w:val="0"/>
          <w:sz w:val="32"/>
          <w:szCs w:val="32"/>
        </w:rPr>
      </w:pPr>
    </w:p>
    <w:p>
      <w:pPr>
        <w:pStyle w:val="style78"/>
        <w:ind w:firstLine="640"/>
        <w:rPr>
          <w:rFonts w:ascii="Times New Roman" w:cs="Times New Roman" w:hAnsi="Times New Roman"/>
          <w:color w:val="000000"/>
          <w:sz w:val="32"/>
          <w:szCs w:val="32"/>
        </w:rPr>
      </w:pPr>
    </w:p>
    <w:p>
      <w:pPr>
        <w:pStyle w:val="style0"/>
        <w:rPr>
          <w:rFonts w:ascii="Times New Roman" w:cs="Times New Roman" w:hAnsi="Times New Roman"/>
          <w:color w:val="000000"/>
          <w:kern w:val="0"/>
          <w:sz w:val="32"/>
          <w:szCs w:val="32"/>
        </w:rPr>
      </w:pPr>
    </w:p>
    <w:p>
      <w:pPr>
        <w:pStyle w:val="style0"/>
        <w:spacing w:lineRule="exact" w:line="540"/>
        <w:jc w:val="center"/>
        <w:rPr>
          <w:rFonts w:ascii="方正小标宋简体" w:eastAsia="方正小标宋简体"/>
          <w:sz w:val="44"/>
          <w:szCs w:val="44"/>
        </w:rPr>
      </w:pPr>
      <w:r>
        <w:rPr>
          <w:rFonts w:ascii="方正小标宋简体" w:eastAsia="方正小标宋简体" w:hint="eastAsia"/>
          <w:sz w:val="44"/>
          <w:szCs w:val="44"/>
        </w:rPr>
        <w:t>2025年度</w:t>
      </w:r>
      <w:r>
        <w:rPr>
          <w:rFonts w:ascii="方正小标宋简体" w:eastAsia="方正小标宋简体" w:hint="eastAsia"/>
          <w:sz w:val="44"/>
          <w:szCs w:val="44"/>
        </w:rPr>
        <w:t>益阳市第十五中学</w:t>
      </w:r>
    </w:p>
    <w:p>
      <w:pPr>
        <w:pStyle w:val="style0"/>
        <w:spacing w:lineRule="exact" w:line="540"/>
        <w:jc w:val="center"/>
        <w:rPr>
          <w:rFonts w:ascii="方正小标宋简体" w:eastAsia="方正小标宋简体"/>
          <w:sz w:val="44"/>
          <w:szCs w:val="44"/>
        </w:rPr>
      </w:pPr>
      <w:r>
        <w:rPr>
          <w:rFonts w:ascii="方正小标宋简体" w:eastAsia="方正小标宋简体" w:hint="eastAsia"/>
          <w:sz w:val="44"/>
          <w:szCs w:val="44"/>
        </w:rPr>
        <w:t>整体支出绩效自评报告</w:t>
      </w:r>
    </w:p>
    <w:p>
      <w:pPr>
        <w:pStyle w:val="style0"/>
        <w:spacing w:lineRule="exact" w:line="540"/>
        <w:jc w:val="center"/>
        <w:rPr>
          <w:rFonts w:ascii="方正小标宋简体" w:eastAsia="方正小标宋简体"/>
          <w:sz w:val="44"/>
          <w:szCs w:val="44"/>
        </w:rPr>
      </w:pPr>
    </w:p>
    <w:p>
      <w:pPr>
        <w:pStyle w:val="style0"/>
        <w:numPr>
          <w:ilvl w:val="0"/>
          <w:numId w:val="1"/>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部门（单位）基本情况</w:t>
      </w:r>
    </w:p>
    <w:p>
      <w:pPr>
        <w:pStyle w:val="style0"/>
        <w:spacing w:lineRule="exact" w:line="540"/>
        <w:ind w:firstLine="640" w:firstLineChars="200"/>
        <w:rPr>
          <w:rFonts w:ascii="仿宋_GB2312" w:eastAsia="仿宋_GB2312"/>
          <w:sz w:val="32"/>
          <w:szCs w:val="32"/>
        </w:rPr>
      </w:pPr>
      <w:r>
        <w:rPr>
          <w:rFonts w:ascii="楷体_GB2312" w:eastAsia="楷体_GB2312" w:hint="eastAsia"/>
          <w:sz w:val="32"/>
          <w:szCs w:val="32"/>
        </w:rPr>
        <w:t>（一）主要职能</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（一）负责贯彻党的教育方针,坚持社会主义办学方向,对学生进行德育、智育、体育、美育和劳动教育等方面的教育。</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）负责制定学校教育发展规划,并抓好组织实施和落实工作。</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三</w:t>
      </w:r>
      <w:r>
        <w:rPr>
          <w:rFonts w:ascii="仿宋_GB2312" w:eastAsia="仿宋_GB2312" w:hint="eastAsia"/>
          <w:sz w:val="32"/>
          <w:szCs w:val="32"/>
        </w:rPr>
        <w:t>）负责按照教育主管部门发布的指导性教学计划、教学大纲,组织实施教育教学活动。</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四</w:t>
      </w:r>
      <w:r>
        <w:rPr>
          <w:rFonts w:ascii="仿宋_GB2312" w:eastAsia="仿宋_GB2312" w:hint="eastAsia"/>
          <w:sz w:val="32"/>
          <w:szCs w:val="32"/>
        </w:rPr>
        <w:t>）负责依据国家主管部门有关教学计划、课程设置等方面的规定,决定和实施本校的教学计划,组织教学评比、集体备课,对学生进行统一考核等。</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五</w:t>
      </w:r>
      <w:r>
        <w:rPr>
          <w:rFonts w:ascii="仿宋_GB2312" w:eastAsia="仿宋_GB2312" w:hint="eastAsia"/>
          <w:sz w:val="32"/>
          <w:szCs w:val="32"/>
        </w:rPr>
        <w:t>）负责学籍管理。</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六</w:t>
      </w:r>
      <w:r>
        <w:rPr>
          <w:rFonts w:ascii="仿宋_GB2312" w:eastAsia="仿宋_GB2312" w:hint="eastAsia"/>
          <w:sz w:val="32"/>
          <w:szCs w:val="32"/>
        </w:rPr>
        <w:t>）负责聘任、培训、考核教师,依法奖励或处分有关教师和职工。</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七</w:t>
      </w:r>
      <w:r>
        <w:rPr>
          <w:rFonts w:ascii="仿宋_GB2312" w:eastAsia="仿宋_GB2312" w:hint="eastAsia"/>
          <w:sz w:val="32"/>
          <w:szCs w:val="32"/>
        </w:rPr>
        <w:t>）负责科学管理、合理使用学校的设施和经费。</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八</w:t>
      </w:r>
      <w:r>
        <w:rPr>
          <w:rFonts w:ascii="仿宋_GB2312" w:eastAsia="仿宋_GB2312" w:hint="eastAsia"/>
          <w:sz w:val="32"/>
          <w:szCs w:val="32"/>
        </w:rPr>
        <w:t>）负责维护学校、师生的合法权益,有权拒绝任何组织和个人对教育教学活动进行非法干涉。</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九</w:t>
      </w:r>
      <w:r>
        <w:rPr>
          <w:rFonts w:ascii="仿宋_GB2312" w:eastAsia="仿宋_GB2312" w:hint="eastAsia"/>
          <w:sz w:val="32"/>
          <w:szCs w:val="32"/>
        </w:rPr>
        <w:t>）依法接受各级教育行政部门的检查指导和人民群众的监督。</w:t>
      </w:r>
    </w:p>
    <w:p>
      <w:pPr>
        <w:pStyle w:val="style0"/>
        <w:spacing w:lineRule="exact" w:line="540"/>
        <w:ind w:firstLine="640" w:firstLineChars="200"/>
        <w:rPr>
          <w:rFonts w:ascii="楷体_GB2312" w:eastAsia="楷体_GB2312"/>
          <w:sz w:val="32"/>
          <w:szCs w:val="32"/>
        </w:rPr>
      </w:pPr>
      <w:r>
        <w:rPr>
          <w:rFonts w:ascii="楷体_GB2312" w:eastAsia="楷体_GB2312" w:hint="eastAsia"/>
          <w:sz w:val="32"/>
          <w:szCs w:val="32"/>
        </w:rPr>
        <w:t>（二）部门决算单位构成</w:t>
      </w:r>
    </w:p>
    <w:p>
      <w:pPr>
        <w:pStyle w:val="style29"/>
        <w:ind w:firstLine="640" w:firstLineChars="200"/>
        <w:rPr>
          <w:rFonts w:ascii="仿宋_GB2312" w:eastAsia="仿宋_GB2312" w:hint="eastAsia"/>
          <w:sz w:val="32"/>
          <w:szCs w:val="32"/>
        </w:rPr>
      </w:pPr>
      <w:r>
        <w:rPr>
          <w:rFonts w:ascii="仿宋_GB2312" w:eastAsia="仿宋_GB2312" w:hint="eastAsia"/>
          <w:sz w:val="32"/>
          <w:szCs w:val="32"/>
        </w:rPr>
        <w:t>益阳市第十五中学</w:t>
      </w:r>
    </w:p>
    <w:p>
      <w:pPr>
        <w:pStyle w:val="style0"/>
        <w:spacing w:lineRule="exact" w:line="540"/>
        <w:ind w:firstLine="640" w:firstLineChars="200"/>
        <w:rPr>
          <w:rFonts w:ascii="黑体" w:eastAsia="黑体" w:hAnsi="黑体" w:hint="eastAsia"/>
          <w:sz w:val="32"/>
          <w:szCs w:val="32"/>
        </w:rPr>
      </w:pPr>
      <w:r>
        <w:rPr>
          <w:rFonts w:ascii="黑体" w:eastAsia="黑体" w:hAnsi="黑体" w:hint="eastAsia"/>
          <w:sz w:val="32"/>
          <w:szCs w:val="32"/>
        </w:rPr>
        <w:t>二、一般公共预算支出情况</w:t>
      </w:r>
    </w:p>
    <w:p>
      <w:pPr>
        <w:pStyle w:val="style0"/>
        <w:spacing w:lineRule="exact" w:line="540"/>
        <w:ind w:firstLine="640" w:firstLineChars="200"/>
        <w:rPr>
          <w:rFonts w:ascii="楷体_GB2312" w:eastAsia="楷体_GB2312"/>
          <w:sz w:val="32"/>
          <w:szCs w:val="32"/>
        </w:rPr>
      </w:pPr>
      <w:r>
        <w:rPr>
          <w:rFonts w:ascii="楷体_GB2312" w:eastAsia="楷体_GB2312" w:hint="eastAsia"/>
          <w:sz w:val="32"/>
          <w:szCs w:val="32"/>
        </w:rPr>
        <w:t>（一）基本支出情况</w:t>
      </w:r>
    </w:p>
    <w:p>
      <w:pPr>
        <w:pStyle w:val="style29"/>
        <w:ind w:firstLine="640" w:firstLineChars="200"/>
        <w:rPr>
          <w:rFonts w:ascii="仿宋_GB2312" w:eastAsia="仿宋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2025年度一般公共预算财政拨款基本支出</w:t>
      </w:r>
      <w:r>
        <w:rPr>
          <w:rFonts w:ascii="仿宋_GB2312" w:eastAsia="仿宋_GB2312"/>
          <w:sz w:val="32"/>
          <w:szCs w:val="32"/>
        </w:rPr>
        <w:t>1746.7</w:t>
      </w:r>
      <w:r>
        <w:rPr>
          <w:rFonts w:ascii="仿宋_GB2312" w:eastAsia="仿宋_GB2312" w:hint="eastAsia"/>
          <w:sz w:val="32"/>
          <w:szCs w:val="32"/>
        </w:rPr>
        <w:t>万元,其中工资福利支出</w:t>
      </w:r>
      <w:r>
        <w:rPr>
          <w:rFonts w:ascii="仿宋_GB2312" w:eastAsia="仿宋_GB2312"/>
          <w:sz w:val="32"/>
          <w:szCs w:val="32"/>
        </w:rPr>
        <w:t>1512.49</w:t>
      </w:r>
      <w:r>
        <w:rPr>
          <w:rFonts w:ascii="仿宋_GB2312" w:eastAsia="仿宋_GB2312" w:hint="eastAsia"/>
          <w:sz w:val="32"/>
          <w:szCs w:val="32"/>
        </w:rPr>
        <w:t>万元，对个人和家庭的补助支出</w:t>
      </w:r>
      <w:r>
        <w:rPr>
          <w:rFonts w:ascii="仿宋_GB2312" w:eastAsia="仿宋_GB2312"/>
          <w:sz w:val="32"/>
          <w:szCs w:val="32"/>
        </w:rPr>
        <w:t>29.61</w:t>
      </w:r>
      <w:r>
        <w:rPr>
          <w:rFonts w:ascii="仿宋_GB2312" w:eastAsia="仿宋_GB2312" w:hint="eastAsia"/>
          <w:sz w:val="32"/>
          <w:szCs w:val="32"/>
        </w:rPr>
        <w:t>万元，商品和服务支出</w:t>
      </w:r>
      <w:r>
        <w:rPr>
          <w:rFonts w:ascii="仿宋_GB2312" w:eastAsia="仿宋_GB2312"/>
          <w:sz w:val="32"/>
          <w:szCs w:val="32"/>
        </w:rPr>
        <w:t>204.18</w:t>
      </w:r>
      <w:r>
        <w:rPr>
          <w:rFonts w:ascii="仿宋_GB2312" w:eastAsia="仿宋_GB2312" w:hint="eastAsia"/>
          <w:sz w:val="32"/>
          <w:szCs w:val="32"/>
        </w:rPr>
        <w:t>万元。</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1.工资福利支出</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2025年度一般公共预算财政拨款基本支出工资福利支出</w:t>
      </w:r>
      <w:r>
        <w:rPr>
          <w:rFonts w:ascii="仿宋_GB2312" w:eastAsia="仿宋_GB2312"/>
          <w:sz w:val="32"/>
          <w:szCs w:val="32"/>
        </w:rPr>
        <w:t>1512.49</w:t>
      </w:r>
      <w:r>
        <w:rPr>
          <w:rFonts w:ascii="仿宋_GB2312" w:eastAsia="仿宋_GB2312" w:hint="eastAsia"/>
          <w:sz w:val="32"/>
          <w:szCs w:val="32"/>
        </w:rPr>
        <w:t>万元，其中基本工资</w:t>
      </w:r>
      <w:r>
        <w:rPr>
          <w:rFonts w:ascii="仿宋_GB2312" w:eastAsia="仿宋_GB2312"/>
          <w:sz w:val="32"/>
          <w:szCs w:val="32"/>
        </w:rPr>
        <w:t>747.49</w:t>
      </w:r>
      <w:r>
        <w:rPr>
          <w:rFonts w:ascii="仿宋_GB2312" w:eastAsia="仿宋_GB2312" w:hint="eastAsia"/>
          <w:sz w:val="32"/>
          <w:szCs w:val="32"/>
        </w:rPr>
        <w:t>万元、津贴补贴</w:t>
      </w:r>
      <w:r>
        <w:rPr>
          <w:rFonts w:ascii="仿宋_GB2312" w:eastAsia="仿宋_GB2312"/>
          <w:sz w:val="32"/>
          <w:szCs w:val="32"/>
        </w:rPr>
        <w:t>50.04</w:t>
      </w:r>
      <w:r>
        <w:rPr>
          <w:rFonts w:ascii="仿宋_GB2312" w:eastAsia="仿宋_GB2312" w:hint="eastAsia"/>
          <w:sz w:val="32"/>
          <w:szCs w:val="32"/>
        </w:rPr>
        <w:t>万元、绩效工资</w:t>
      </w:r>
      <w:r>
        <w:rPr>
          <w:rFonts w:ascii="仿宋_GB2312" w:eastAsia="仿宋_GB2312"/>
          <w:sz w:val="32"/>
          <w:szCs w:val="32"/>
        </w:rPr>
        <w:t>278.15</w:t>
      </w:r>
      <w:r>
        <w:rPr>
          <w:rFonts w:ascii="仿宋_GB2312" w:eastAsia="仿宋_GB2312" w:hint="eastAsia"/>
          <w:sz w:val="32"/>
          <w:szCs w:val="32"/>
        </w:rPr>
        <w:t>万元、机关事业单位基本养老保险缴费</w:t>
      </w:r>
      <w:r>
        <w:rPr>
          <w:rFonts w:ascii="仿宋_GB2312" w:eastAsia="仿宋_GB2312"/>
          <w:sz w:val="32"/>
          <w:szCs w:val="32"/>
        </w:rPr>
        <w:t>168.48</w:t>
      </w:r>
      <w:r>
        <w:rPr>
          <w:rFonts w:ascii="仿宋_GB2312" w:eastAsia="仿宋_GB2312" w:hint="eastAsia"/>
          <w:sz w:val="32"/>
          <w:szCs w:val="32"/>
        </w:rPr>
        <w:t>万元、职业年金缴费</w:t>
      </w:r>
      <w:r>
        <w:rPr>
          <w:rFonts w:ascii="仿宋_GB2312" w:eastAsia="仿宋_GB2312" w:hint="eastAsia"/>
          <w:sz w:val="32"/>
          <w:szCs w:val="32"/>
        </w:rPr>
        <w:t>0</w:t>
      </w:r>
      <w:r>
        <w:rPr>
          <w:rFonts w:ascii="仿宋_GB2312" w:eastAsia="仿宋_GB2312" w:hint="eastAsia"/>
          <w:sz w:val="32"/>
          <w:szCs w:val="32"/>
        </w:rPr>
        <w:t>万元、职工基本医疗保险缴费</w:t>
      </w:r>
      <w:r>
        <w:rPr>
          <w:rFonts w:ascii="仿宋_GB2312" w:eastAsia="仿宋_GB2312"/>
          <w:sz w:val="32"/>
          <w:szCs w:val="32"/>
        </w:rPr>
        <w:t>92.4</w:t>
      </w:r>
      <w:r>
        <w:rPr>
          <w:rFonts w:ascii="仿宋_GB2312" w:eastAsia="仿宋_GB2312" w:hint="eastAsia"/>
          <w:sz w:val="32"/>
          <w:szCs w:val="32"/>
        </w:rPr>
        <w:t>万元、住房公积金</w:t>
      </w:r>
      <w:r>
        <w:rPr>
          <w:rFonts w:ascii="仿宋_GB2312" w:eastAsia="仿宋_GB2312"/>
          <w:sz w:val="32"/>
          <w:szCs w:val="32"/>
        </w:rPr>
        <w:t>135.92</w:t>
      </w:r>
      <w:r>
        <w:rPr>
          <w:rFonts w:ascii="仿宋_GB2312" w:eastAsia="仿宋_GB2312" w:hint="eastAsia"/>
          <w:sz w:val="32"/>
          <w:szCs w:val="32"/>
        </w:rPr>
        <w:t>万元、其他工资福利支出</w:t>
      </w:r>
      <w:r>
        <w:rPr>
          <w:rFonts w:ascii="仿宋_GB2312" w:eastAsia="仿宋_GB2312" w:hint="eastAsia"/>
          <w:sz w:val="32"/>
          <w:szCs w:val="32"/>
        </w:rPr>
        <w:t>0</w:t>
      </w:r>
      <w:r>
        <w:rPr>
          <w:rFonts w:ascii="仿宋_GB2312" w:eastAsia="仿宋_GB2312" w:hint="eastAsia"/>
          <w:sz w:val="32"/>
          <w:szCs w:val="32"/>
        </w:rPr>
        <w:t xml:space="preserve">万元。 </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2.商品服务支出</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w:t>
      </w:r>
      <w:r>
        <w:rPr>
          <w:rFonts w:ascii="仿宋_GB2312" w:eastAsia="仿宋_GB2312" w:hint="eastAsia"/>
          <w:sz w:val="32"/>
          <w:szCs w:val="32"/>
        </w:rPr>
        <w:t>一般公共预算财政拨款基本支出商品服务支出</w:t>
      </w:r>
      <w:r>
        <w:rPr>
          <w:rFonts w:ascii="仿宋_GB2312" w:eastAsia="仿宋_GB2312"/>
          <w:sz w:val="32"/>
          <w:szCs w:val="32"/>
        </w:rPr>
        <w:t>204.18</w:t>
      </w:r>
      <w:r>
        <w:rPr>
          <w:rFonts w:ascii="仿宋_GB2312" w:eastAsia="仿宋_GB2312" w:hint="eastAsia"/>
          <w:sz w:val="32"/>
          <w:szCs w:val="32"/>
        </w:rPr>
        <w:t>万元，其中办公费</w:t>
      </w:r>
      <w:r>
        <w:rPr>
          <w:rFonts w:ascii="仿宋_GB2312" w:eastAsia="仿宋_GB2312"/>
          <w:sz w:val="32"/>
          <w:szCs w:val="32"/>
        </w:rPr>
        <w:t>5</w:t>
      </w:r>
      <w:r>
        <w:rPr>
          <w:rFonts w:ascii="仿宋_GB2312" w:eastAsia="仿宋_GB2312" w:hint="eastAsia"/>
          <w:sz w:val="32"/>
          <w:szCs w:val="32"/>
        </w:rPr>
        <w:t>万元、印刷费</w:t>
      </w:r>
      <w:r>
        <w:rPr>
          <w:rFonts w:ascii="仿宋_GB2312" w:eastAsia="仿宋_GB2312"/>
          <w:sz w:val="32"/>
          <w:szCs w:val="32"/>
        </w:rPr>
        <w:t>3</w:t>
      </w:r>
      <w:r>
        <w:rPr>
          <w:rFonts w:ascii="仿宋_GB2312" w:eastAsia="仿宋_GB2312" w:hint="eastAsia"/>
          <w:sz w:val="32"/>
          <w:szCs w:val="32"/>
        </w:rPr>
        <w:t>万元、水费</w:t>
      </w:r>
      <w:r>
        <w:rPr>
          <w:rFonts w:ascii="仿宋_GB2312" w:eastAsia="仿宋_GB2312"/>
          <w:sz w:val="32"/>
          <w:szCs w:val="32"/>
        </w:rPr>
        <w:t>3</w:t>
      </w:r>
      <w:r>
        <w:rPr>
          <w:rFonts w:ascii="仿宋_GB2312" w:eastAsia="仿宋_GB2312" w:hint="eastAsia"/>
          <w:sz w:val="32"/>
          <w:szCs w:val="32"/>
        </w:rPr>
        <w:t>万元、电费</w:t>
      </w:r>
      <w:r>
        <w:rPr>
          <w:rFonts w:ascii="仿宋_GB2312" w:eastAsia="仿宋_GB2312"/>
          <w:sz w:val="32"/>
          <w:szCs w:val="32"/>
        </w:rPr>
        <w:t>54.69</w:t>
      </w:r>
      <w:r>
        <w:rPr>
          <w:rFonts w:ascii="仿宋_GB2312" w:eastAsia="仿宋_GB2312" w:hint="eastAsia"/>
          <w:sz w:val="32"/>
          <w:szCs w:val="32"/>
        </w:rPr>
        <w:t>万元、物业管理费</w:t>
      </w:r>
      <w:r>
        <w:rPr>
          <w:rFonts w:ascii="仿宋_GB2312" w:eastAsia="仿宋_GB2312"/>
          <w:sz w:val="32"/>
          <w:szCs w:val="32"/>
        </w:rPr>
        <w:t>11.4</w:t>
      </w:r>
      <w:r>
        <w:rPr>
          <w:rFonts w:ascii="仿宋_GB2312" w:eastAsia="仿宋_GB2312" w:hint="eastAsia"/>
          <w:sz w:val="32"/>
          <w:szCs w:val="32"/>
        </w:rPr>
        <w:t>万元、维修（护）费</w:t>
      </w:r>
      <w:r>
        <w:rPr>
          <w:rFonts w:ascii="仿宋_GB2312" w:eastAsia="仿宋_GB2312"/>
          <w:sz w:val="32"/>
          <w:szCs w:val="32"/>
        </w:rPr>
        <w:t>55.07</w:t>
      </w:r>
      <w:r>
        <w:rPr>
          <w:rFonts w:ascii="仿宋_GB2312" w:eastAsia="仿宋_GB2312" w:hint="eastAsia"/>
          <w:sz w:val="32"/>
          <w:szCs w:val="32"/>
        </w:rPr>
        <w:t>万元、培训费</w:t>
      </w:r>
      <w:r>
        <w:rPr>
          <w:rFonts w:ascii="仿宋_GB2312" w:eastAsia="仿宋_GB2312"/>
          <w:sz w:val="32"/>
          <w:szCs w:val="32"/>
        </w:rPr>
        <w:t>23.47</w:t>
      </w:r>
      <w:r>
        <w:rPr>
          <w:rFonts w:ascii="仿宋_GB2312" w:eastAsia="仿宋_GB2312" w:hint="eastAsia"/>
          <w:sz w:val="32"/>
          <w:szCs w:val="32"/>
        </w:rPr>
        <w:t>万元、工会经费</w:t>
      </w:r>
      <w:r>
        <w:rPr>
          <w:rFonts w:ascii="仿宋_GB2312" w:eastAsia="仿宋_GB2312"/>
          <w:sz w:val="32"/>
          <w:szCs w:val="32"/>
        </w:rPr>
        <w:t>40</w:t>
      </w:r>
      <w:r>
        <w:rPr>
          <w:rFonts w:ascii="仿宋_GB2312" w:eastAsia="仿宋_GB2312" w:hint="eastAsia"/>
          <w:sz w:val="32"/>
          <w:szCs w:val="32"/>
        </w:rPr>
        <w:t>万元、其他商品和服务支出</w:t>
      </w:r>
      <w:r>
        <w:rPr>
          <w:rFonts w:ascii="仿宋_GB2312" w:eastAsia="仿宋_GB2312" w:hint="eastAsia"/>
          <w:sz w:val="32"/>
          <w:szCs w:val="32"/>
        </w:rPr>
        <w:t>3.55</w:t>
      </w:r>
      <w:r>
        <w:rPr>
          <w:rFonts w:ascii="仿宋_GB2312" w:eastAsia="仿宋_GB2312" w:hint="eastAsia"/>
          <w:sz w:val="32"/>
          <w:szCs w:val="32"/>
        </w:rPr>
        <w:t>万元。</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3.对个人和家庭和补助支出</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2025年度一般公共预算财政拨款基本支出对个人和家庭和补助支出</w:t>
      </w:r>
      <w:r>
        <w:rPr>
          <w:rFonts w:ascii="仿宋_GB2312" w:eastAsia="仿宋_GB2312"/>
          <w:sz w:val="32"/>
          <w:szCs w:val="32"/>
        </w:rPr>
        <w:t>29.61</w:t>
      </w:r>
      <w:r>
        <w:rPr>
          <w:rFonts w:ascii="仿宋_GB2312" w:eastAsia="仿宋_GB2312" w:hint="eastAsia"/>
          <w:sz w:val="32"/>
          <w:szCs w:val="32"/>
        </w:rPr>
        <w:t>万元，其中抚恤金</w:t>
      </w:r>
      <w:r>
        <w:rPr>
          <w:rFonts w:ascii="仿宋_GB2312" w:eastAsia="仿宋_GB2312"/>
          <w:sz w:val="32"/>
          <w:szCs w:val="32"/>
        </w:rPr>
        <w:t>14.11</w:t>
      </w:r>
      <w:r>
        <w:rPr>
          <w:rFonts w:ascii="仿宋_GB2312" w:eastAsia="仿宋_GB2312" w:hint="eastAsia"/>
          <w:sz w:val="32"/>
          <w:szCs w:val="32"/>
        </w:rPr>
        <w:t>万元、生活补助</w:t>
      </w:r>
      <w:r>
        <w:rPr>
          <w:rFonts w:ascii="仿宋_GB2312" w:eastAsia="仿宋_GB2312"/>
          <w:sz w:val="32"/>
          <w:szCs w:val="32"/>
        </w:rPr>
        <w:t>15.5</w:t>
      </w:r>
      <w:r>
        <w:rPr>
          <w:rFonts w:ascii="仿宋_GB2312" w:eastAsia="仿宋_GB2312" w:hint="eastAsia"/>
          <w:sz w:val="32"/>
          <w:szCs w:val="32"/>
        </w:rPr>
        <w:t xml:space="preserve"> </w:t>
      </w:r>
      <w:r>
        <w:rPr>
          <w:rFonts w:ascii="仿宋_GB2312" w:eastAsia="仿宋_GB2312" w:hint="eastAsia"/>
          <w:sz w:val="32"/>
          <w:szCs w:val="32"/>
        </w:rPr>
        <w:t>万元</w:t>
      </w:r>
      <w:r>
        <w:rPr>
          <w:rFonts w:ascii="仿宋_GB2312" w:eastAsia="仿宋_GB2312" w:hint="eastAsia"/>
          <w:sz w:val="32"/>
          <w:szCs w:val="32"/>
        </w:rPr>
        <w:t>。</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4.资本性支出</w:t>
      </w:r>
    </w:p>
    <w:p>
      <w:pPr>
        <w:pStyle w:val="style0"/>
        <w:spacing w:lineRule="exact" w:line="540"/>
        <w:ind w:firstLine="640" w:firstLineChars="200"/>
        <w:rPr>
          <w:rFonts w:ascii="楷体_GB2312" w:eastAsia="楷体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2025年度一般公共预算财政拨款基本</w:t>
      </w:r>
      <w:r>
        <w:rPr>
          <w:rFonts w:ascii="仿宋_GB2312" w:eastAsia="仿宋_GB2312" w:hint="eastAsia"/>
          <w:sz w:val="32"/>
          <w:szCs w:val="32"/>
        </w:rPr>
        <w:t>支出资本性支出</w:t>
      </w:r>
      <w:r>
        <w:rPr>
          <w:rFonts w:ascii="仿宋_GB2312" w:eastAsia="仿宋_GB2312"/>
          <w:sz w:val="32"/>
          <w:szCs w:val="32"/>
        </w:rPr>
        <w:t>0.42</w:t>
      </w:r>
      <w:r>
        <w:rPr>
          <w:rFonts w:ascii="仿宋_GB2312" w:eastAsia="仿宋_GB2312" w:hint="eastAsia"/>
          <w:sz w:val="32"/>
          <w:szCs w:val="32"/>
        </w:rPr>
        <w:t>元，其</w:t>
      </w:r>
      <w:r>
        <w:rPr>
          <w:rFonts w:ascii="仿宋_GB2312" w:eastAsia="仿宋_GB2312" w:hint="eastAsia"/>
          <w:sz w:val="32"/>
          <w:szCs w:val="32"/>
        </w:rPr>
        <w:t>中</w:t>
      </w:r>
      <w:r>
        <w:rPr>
          <w:rFonts w:ascii="仿宋_GB2312" w:eastAsia="仿宋_GB2312" w:hint="eastAsia"/>
          <w:sz w:val="32"/>
          <w:szCs w:val="32"/>
        </w:rPr>
        <w:t>办公设备购置</w:t>
      </w:r>
      <w:r>
        <w:rPr>
          <w:rFonts w:ascii="仿宋_GB2312" w:eastAsia="仿宋_GB2312"/>
          <w:sz w:val="32"/>
          <w:szCs w:val="32"/>
        </w:rPr>
        <w:t>0.42</w:t>
      </w:r>
      <w:r>
        <w:rPr>
          <w:rFonts w:ascii="仿宋_GB2312" w:eastAsia="仿宋_GB2312" w:hint="eastAsia"/>
          <w:sz w:val="32"/>
          <w:szCs w:val="32"/>
        </w:rPr>
        <w:t>万元。</w:t>
      </w:r>
    </w:p>
    <w:p>
      <w:pPr>
        <w:pStyle w:val="style0"/>
        <w:numPr>
          <w:ilvl w:val="0"/>
          <w:numId w:val="2"/>
        </w:numPr>
        <w:spacing w:lineRule="exact" w:line="540"/>
        <w:ind w:firstLine="640" w:firstLineChars="200"/>
        <w:rPr>
          <w:rFonts w:ascii="楷体_GB2312" w:eastAsia="楷体_GB2312"/>
          <w:sz w:val="32"/>
          <w:szCs w:val="32"/>
        </w:rPr>
      </w:pPr>
      <w:r>
        <w:rPr>
          <w:rFonts w:ascii="楷体_GB2312" w:eastAsia="楷体_GB2312" w:hint="eastAsia"/>
          <w:sz w:val="32"/>
          <w:szCs w:val="32"/>
        </w:rPr>
        <w:t>项目支出情况</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2025年度一般公共预算财政拨款项目支出</w:t>
      </w:r>
      <w:r>
        <w:rPr>
          <w:rFonts w:ascii="仿宋_GB2312" w:eastAsia="仿宋_GB2312"/>
          <w:sz w:val="32"/>
          <w:szCs w:val="32"/>
        </w:rPr>
        <w:t>450</w:t>
      </w:r>
      <w:r>
        <w:rPr>
          <w:rFonts w:ascii="仿宋_GB2312" w:eastAsia="仿宋_GB2312" w:hint="eastAsia"/>
          <w:sz w:val="32"/>
          <w:szCs w:val="32"/>
        </w:rPr>
        <w:t>万元,其中资本性支出</w:t>
      </w:r>
      <w:r>
        <w:rPr>
          <w:rFonts w:ascii="仿宋_GB2312" w:eastAsia="仿宋_GB2312" w:hint="eastAsia"/>
          <w:sz w:val="32"/>
          <w:szCs w:val="32"/>
        </w:rPr>
        <w:t>0</w:t>
      </w:r>
      <w:r>
        <w:rPr>
          <w:rFonts w:ascii="仿宋_GB2312" w:eastAsia="仿宋_GB2312" w:hint="eastAsia"/>
          <w:sz w:val="32"/>
          <w:szCs w:val="32"/>
        </w:rPr>
        <w:t>万元。资本性支出占项目支出的</w:t>
      </w:r>
      <w:r>
        <w:rPr>
          <w:rFonts w:ascii="仿宋_GB2312" w:eastAsia="仿宋_GB2312" w:hint="eastAsia"/>
          <w:sz w:val="32"/>
          <w:szCs w:val="32"/>
        </w:rPr>
        <w:t>0</w:t>
      </w:r>
      <w:r>
        <w:rPr>
          <w:rFonts w:ascii="仿宋_GB2312" w:eastAsia="仿宋_GB2312" w:hint="eastAsia"/>
          <w:sz w:val="32"/>
          <w:szCs w:val="32"/>
        </w:rPr>
        <w:t>。</w:t>
      </w:r>
    </w:p>
    <w:p>
      <w:pPr>
        <w:pStyle w:val="style0"/>
        <w:spacing w:lineRule="exact" w:line="540"/>
        <w:ind w:firstLine="640" w:firstLineChars="200"/>
        <w:rPr>
          <w:rFonts w:ascii="黑体" w:eastAsia="黑体" w:hAnsi="黑体" w:hint="eastAsia"/>
          <w:sz w:val="32"/>
          <w:szCs w:val="32"/>
        </w:rPr>
      </w:pPr>
      <w:r>
        <w:rPr>
          <w:rFonts w:ascii="黑体" w:eastAsia="黑体" w:hAnsi="黑体" w:hint="eastAsia"/>
          <w:sz w:val="32"/>
          <w:szCs w:val="32"/>
        </w:rPr>
        <w:t>三、政府性基金预算支出情况</w:t>
      </w:r>
    </w:p>
    <w:p>
      <w:pPr>
        <w:pStyle w:val="style0"/>
        <w:spacing w:lineRule="exact" w:line="540"/>
        <w:ind w:firstLine="640" w:firstLineChars="200"/>
        <w:rPr>
          <w:rFonts w:ascii="黑体" w:eastAsia="黑体" w:hAnsi="黑体" w:hint="eastAsia"/>
          <w:sz w:val="32"/>
          <w:szCs w:val="32"/>
        </w:rPr>
      </w:pPr>
      <w:r>
        <w:rPr>
          <w:rFonts w:ascii="仿宋_GB2312" w:eastAsia="仿宋_GB2312" w:hint="eastAsia"/>
          <w:sz w:val="32"/>
          <w:szCs w:val="32"/>
        </w:rPr>
        <w:t>益阳市第十五中学</w:t>
      </w:r>
      <w:r>
        <w:rPr>
          <w:rFonts w:ascii="仿宋_GB2312" w:eastAsia="仿宋_GB2312" w:hint="eastAsia"/>
          <w:sz w:val="32"/>
          <w:szCs w:val="32"/>
        </w:rPr>
        <w:t>2025年度无政府性基金支出。</w:t>
      </w:r>
    </w:p>
    <w:p>
      <w:pPr>
        <w:pStyle w:val="style0"/>
        <w:numPr>
          <w:ilvl w:val="0"/>
          <w:numId w:val="3"/>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国有资本经营预算支出情况</w:t>
      </w:r>
    </w:p>
    <w:p>
      <w:pPr>
        <w:pStyle w:val="style0"/>
        <w:spacing w:lineRule="exact" w:line="540"/>
        <w:ind w:firstLine="640" w:firstLineChars="200"/>
        <w:rPr>
          <w:rFonts w:ascii="黑体" w:eastAsia="黑体" w:hAnsi="黑体" w:hint="eastAsia"/>
          <w:sz w:val="32"/>
          <w:szCs w:val="32"/>
        </w:rPr>
      </w:pPr>
      <w:r>
        <w:rPr>
          <w:rFonts w:ascii="仿宋_GB2312" w:eastAsia="仿宋_GB2312" w:hint="eastAsia"/>
          <w:sz w:val="32"/>
          <w:szCs w:val="32"/>
        </w:rPr>
        <w:t>本单位本年度无国有资本经营预算支出。</w:t>
      </w:r>
    </w:p>
    <w:p>
      <w:pPr>
        <w:pStyle w:val="style0"/>
        <w:numPr>
          <w:ilvl w:val="0"/>
          <w:numId w:val="3"/>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社会保险基金预算支出情况</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本单位本年度无社会保险基金预算支出。</w:t>
      </w:r>
    </w:p>
    <w:p>
      <w:pPr>
        <w:pStyle w:val="style0"/>
        <w:spacing w:lineRule="exact" w:line="540"/>
        <w:ind w:firstLine="640" w:firstLineChars="200"/>
        <w:rPr>
          <w:rFonts w:ascii="黑体" w:eastAsia="黑体" w:hAnsi="黑体" w:hint="eastAsia"/>
          <w:sz w:val="32"/>
          <w:szCs w:val="32"/>
        </w:rPr>
      </w:pPr>
      <w:r>
        <w:rPr>
          <w:rFonts w:ascii="黑体" w:eastAsia="黑体" w:hAnsi="黑体" w:hint="eastAsia"/>
          <w:sz w:val="32"/>
          <w:szCs w:val="32"/>
        </w:rPr>
        <w:t>六、部门整体支出绩效情况</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益阳市第十五中学</w:t>
      </w:r>
      <w:r>
        <w:rPr>
          <w:rFonts w:ascii="仿宋_GB2312" w:eastAsia="仿宋_GB2312" w:hint="eastAsia"/>
          <w:sz w:val="32"/>
          <w:szCs w:val="32"/>
        </w:rPr>
        <w:t>严格执行《预算法》，强化支出责任，不断提高资金使用效益，根据绩效评价相关制度规定对2025年度部门整体支出开展绩效评价，认真制定绩效自评工作方案，坚持客观公正和有效性原则，按照设定的指标体系，认真对各类项目资金开展预算资金绩效自评。</w:t>
      </w:r>
    </w:p>
    <w:p>
      <w:pPr>
        <w:pStyle w:val="style0"/>
        <w:spacing w:lineRule="exact" w:line="540"/>
        <w:ind w:firstLine="640" w:firstLineChars="200"/>
        <w:rPr>
          <w:rFonts w:ascii="楷体_GB2312" w:eastAsia="楷体_GB2312"/>
          <w:sz w:val="32"/>
          <w:szCs w:val="32"/>
        </w:rPr>
      </w:pPr>
      <w:r>
        <w:rPr>
          <w:rFonts w:ascii="楷体_GB2312" w:eastAsia="楷体_GB2312" w:hint="eastAsia"/>
          <w:sz w:val="32"/>
          <w:szCs w:val="32"/>
        </w:rPr>
        <w:t>（一）绩效评价工作情况</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1.成立领导小组。由党总支书记任组长，学校总务室、政教处、德育</w:t>
      </w:r>
      <w:r>
        <w:rPr>
          <w:rFonts w:ascii="仿宋_GB2312" w:eastAsia="仿宋_GB2312" w:hint="eastAsia"/>
          <w:sz w:val="32"/>
          <w:szCs w:val="32"/>
        </w:rPr>
        <w:t>处相关</w:t>
      </w:r>
      <w:r>
        <w:rPr>
          <w:rFonts w:ascii="仿宋_GB2312" w:eastAsia="仿宋_GB2312" w:hint="eastAsia"/>
          <w:sz w:val="32"/>
          <w:szCs w:val="32"/>
        </w:rPr>
        <w:t>人员组成绩效评价工作领导小组，学习评价指标体系和绩效评价相关要求，明确工作职责和分工。</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2.制定评价方案。</w:t>
      </w:r>
      <w:r>
        <w:rPr>
          <w:rFonts w:ascii="仿宋_GB2312" w:eastAsia="仿宋_GB2312" w:hint="eastAsia"/>
          <w:sz w:val="32"/>
          <w:szCs w:val="32"/>
        </w:rPr>
        <w:t>由评价</w:t>
      </w:r>
      <w:r>
        <w:rPr>
          <w:rFonts w:ascii="仿宋_GB2312" w:eastAsia="仿宋_GB2312" w:hint="eastAsia"/>
          <w:sz w:val="32"/>
          <w:szCs w:val="32"/>
        </w:rPr>
        <w:t>小组按照客观、科学、可行的原由则，</w:t>
      </w:r>
      <w:r>
        <w:rPr>
          <w:rFonts w:ascii="仿宋_GB2312" w:eastAsia="仿宋_GB2312" w:hint="eastAsia"/>
          <w:sz w:val="32"/>
          <w:szCs w:val="32"/>
        </w:rPr>
        <w:t>由评价</w:t>
      </w:r>
      <w:r>
        <w:rPr>
          <w:rFonts w:ascii="仿宋_GB2312" w:eastAsia="仿宋_GB2312" w:hint="eastAsia"/>
          <w:sz w:val="32"/>
          <w:szCs w:val="32"/>
        </w:rPr>
        <w:t>小组充分研究和讨论后，确定各项目绩效自评的对象和范围、评价目的、评价依据、评价内容、评价方法、评价指标、评价标准、评价实施步骤、人员和时间安排等内容。</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3.实施绩效评价</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通过实地勘察、询问、发放问卷调查、召开座谈会听取汇报等方式收集相关评价资料，</w:t>
      </w:r>
      <w:r>
        <w:rPr>
          <w:rFonts w:ascii="仿宋_GB2312" w:eastAsia="仿宋_GB2312" w:hint="eastAsia"/>
          <w:sz w:val="32"/>
          <w:szCs w:val="32"/>
        </w:rPr>
        <w:t>由评价</w:t>
      </w:r>
      <w:r>
        <w:rPr>
          <w:rFonts w:ascii="仿宋_GB2312" w:eastAsia="仿宋_GB2312" w:hint="eastAsia"/>
          <w:sz w:val="32"/>
          <w:szCs w:val="32"/>
        </w:rPr>
        <w:t>小组对资料进行分类、整理、分析，根据评价方案中制定的评价依据、评价标准进行打分。</w:t>
      </w:r>
    </w:p>
    <w:p>
      <w:pPr>
        <w:pStyle w:val="style0"/>
        <w:spacing w:lineRule="exact" w:line="540"/>
        <w:ind w:firstLine="640" w:firstLineChars="200"/>
        <w:rPr>
          <w:rFonts w:ascii="楷体_GB2312" w:eastAsia="楷体_GB2312"/>
          <w:sz w:val="32"/>
          <w:szCs w:val="32"/>
        </w:rPr>
      </w:pPr>
      <w:r>
        <w:rPr>
          <w:rFonts w:ascii="楷体_GB2312" w:eastAsia="楷体_GB2312" w:hint="eastAsia"/>
          <w:sz w:val="32"/>
          <w:szCs w:val="32"/>
        </w:rPr>
        <w:t>（二）部门整体支出主要绩效及评价结论</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1. 经济性与内控管理：</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严控非</w:t>
      </w:r>
      <w:r>
        <w:rPr>
          <w:rFonts w:ascii="仿宋_GB2312" w:eastAsia="仿宋_GB2312" w:hint="eastAsia"/>
          <w:sz w:val="32"/>
          <w:szCs w:val="32"/>
        </w:rPr>
        <w:t>刚性支出：学校普遍坚持“过紧日子”的原则，将有限资金向教育教学、学生发展、师资培育及校园安全等核心领域倾斜。</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资产规范管理：建立健全固定资产动态管理台账，定期开展清查盘点，合理调配闲置资产，有效杜绝了资产闲置与流失，提高了资产使用效率。</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2. 资金使用效率（效率性）：</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办学条件改善：高效推进校园基础设施维修改造（如宿舍改造、运动场修缮、食堂标准化建设、校园安防系统升级等），切实优化了师生学习与生活环境。</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教育教学提质：资金有效保障了课程改革、教学教研大比武、名师工作室建设等，提升了教师专业素养与课堂教学水平。</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五育并举落实：统筹资金开展德育、心理健康、艺</w:t>
      </w:r>
      <w:r>
        <w:rPr>
          <w:rFonts w:ascii="仿宋_GB2312" w:eastAsia="仿宋_GB2312" w:hint="eastAsia"/>
          <w:sz w:val="32"/>
          <w:szCs w:val="32"/>
        </w:rPr>
        <w:t>体教育</w:t>
      </w:r>
      <w:r>
        <w:rPr>
          <w:rFonts w:ascii="仿宋_GB2312" w:eastAsia="仿宋_GB2312" w:hint="eastAsia"/>
          <w:sz w:val="32"/>
          <w:szCs w:val="32"/>
        </w:rPr>
        <w:t>及劳动教育等特色活动，丰富了课后服务内容，促进了学生综合素质的全面发展。</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3. 履职成效与社会效益（效益性）：</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教学质量稳步提升：中考成绩取得突破或保持优势。</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社会满意度高：通过落实课后服务、</w:t>
      </w:r>
      <w:r>
        <w:rPr>
          <w:rFonts w:ascii="仿宋_GB2312" w:eastAsia="仿宋_GB2312" w:hint="eastAsia"/>
          <w:sz w:val="32"/>
          <w:szCs w:val="32"/>
        </w:rPr>
        <w:t>护学安</w:t>
      </w:r>
      <w:r>
        <w:rPr>
          <w:rFonts w:ascii="仿宋_GB2312" w:eastAsia="仿宋_GB2312" w:hint="eastAsia"/>
          <w:sz w:val="32"/>
          <w:szCs w:val="32"/>
        </w:rPr>
        <w:t>园、校园餐整</w:t>
      </w:r>
      <w:r>
        <w:rPr>
          <w:rFonts w:ascii="仿宋_GB2312" w:eastAsia="仿宋_GB2312" w:hint="eastAsia"/>
          <w:sz w:val="32"/>
          <w:szCs w:val="32"/>
        </w:rPr>
        <w:t>治等民生举措，切实解决了群众</w:t>
      </w:r>
      <w:r>
        <w:rPr>
          <w:rFonts w:ascii="仿宋_GB2312" w:eastAsia="仿宋_GB2312" w:hint="eastAsia"/>
          <w:sz w:val="32"/>
          <w:szCs w:val="32"/>
        </w:rPr>
        <w:t>急难愁盼问题</w:t>
      </w:r>
      <w:r>
        <w:rPr>
          <w:rFonts w:ascii="仿宋_GB2312" w:eastAsia="仿宋_GB2312" w:hint="eastAsia"/>
          <w:sz w:val="32"/>
          <w:szCs w:val="32"/>
        </w:rPr>
        <w:t>，家长及社会各界对学校办学的满意度不断提升。</w:t>
      </w:r>
    </w:p>
    <w:p>
      <w:pPr>
        <w:pStyle w:val="style0"/>
        <w:numPr>
          <w:ilvl w:val="0"/>
          <w:numId w:val="4"/>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存在的问题及原因分析</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1.预算编制与执行偏差：部分项目年初预算测算不够精准，实际支出与预算存在偏差；个别项目前期推进较慢，导致资金支付进度不均衡。</w:t>
      </w:r>
    </w:p>
    <w:p>
      <w:pPr>
        <w:pStyle w:val="style29"/>
        <w:ind w:firstLine="640" w:firstLineChars="200"/>
        <w:rPr/>
      </w:pPr>
      <w:r>
        <w:rPr>
          <w:rFonts w:ascii="仿宋_GB2312" w:eastAsia="仿宋_GB2312" w:hint="eastAsia"/>
          <w:sz w:val="32"/>
          <w:szCs w:val="32"/>
        </w:rPr>
        <w:t>2. 绩效管理与制度执行不到位：虽然建立了基本的财务与资产管理制度，但针对资金使用全流程监管、绩效动态监控的</w:t>
      </w:r>
      <w:r>
        <w:rPr>
          <w:rFonts w:ascii="仿宋_GB2312" w:eastAsia="仿宋_GB2312" w:hint="eastAsia"/>
          <w:sz w:val="32"/>
          <w:szCs w:val="32"/>
        </w:rPr>
        <w:t>专项制度</w:t>
      </w:r>
      <w:r>
        <w:rPr>
          <w:rFonts w:ascii="仿宋_GB2312" w:eastAsia="仿宋_GB2312" w:hint="eastAsia"/>
          <w:sz w:val="32"/>
          <w:szCs w:val="32"/>
        </w:rPr>
        <w:t>仍需完善；部分环节存在“重制定、轻执行”的现象，制度约束力未充分发挥。</w:t>
      </w:r>
    </w:p>
    <w:p>
      <w:pPr>
        <w:pStyle w:val="style0"/>
        <w:numPr>
          <w:ilvl w:val="0"/>
          <w:numId w:val="4"/>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下一步改进措施</w:t>
      </w:r>
    </w:p>
    <w:p>
      <w:pPr>
        <w:pStyle w:val="style0"/>
        <w:numPr>
          <w:ilvl w:val="0"/>
          <w:numId w:val="5"/>
        </w:numPr>
        <w:spacing w:lineRule="exact" w:line="540"/>
        <w:ind w:firstLine="640" w:firstLineChars="200"/>
        <w:rPr>
          <w:rFonts w:ascii="仿宋_GB2312" w:eastAsia="仿宋_GB2312"/>
          <w:sz w:val="32"/>
          <w:szCs w:val="32"/>
        </w:rPr>
      </w:pPr>
      <w:r>
        <w:rPr>
          <w:rFonts w:ascii="仿宋_GB2312" w:eastAsia="仿宋_GB2312" w:hint="eastAsia"/>
          <w:sz w:val="32"/>
          <w:szCs w:val="32"/>
        </w:rPr>
        <w:t xml:space="preserve">强化预算编制的科学性与前瞻性，结合上年度资金使用情况合理测算；加强项目事前事中调度，加快资金执行进度。    </w:t>
      </w:r>
    </w:p>
    <w:p>
      <w:pPr>
        <w:pStyle w:val="style0"/>
        <w:spacing w:lineRule="exact" w:line="540"/>
        <w:ind w:firstLine="640" w:firstLineChars="200"/>
        <w:rPr>
          <w:rFonts w:ascii="黑体" w:eastAsia="黑体" w:hAnsi="黑体" w:hint="eastAsia"/>
          <w:sz w:val="32"/>
          <w:szCs w:val="32"/>
        </w:rPr>
      </w:pPr>
      <w:r>
        <w:rPr>
          <w:rFonts w:ascii="仿宋_GB2312" w:eastAsia="仿宋_GB2312" w:hint="eastAsia"/>
          <w:sz w:val="32"/>
          <w:szCs w:val="32"/>
        </w:rPr>
        <w:t>2.健全绩效目标精准编制与全过程动态监控机制，强化绩效评价结果的实际应用，将其作为下一年度预算安排的重要依据。</w:t>
      </w:r>
    </w:p>
    <w:p>
      <w:pPr>
        <w:pStyle w:val="style0"/>
        <w:numPr>
          <w:ilvl w:val="0"/>
          <w:numId w:val="4"/>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绩效自评结果拟应用和公开情况</w:t>
      </w:r>
    </w:p>
    <w:p>
      <w:pPr>
        <w:pStyle w:val="style0"/>
        <w:spacing w:lineRule="exact" w:line="540"/>
        <w:ind w:firstLine="640" w:firstLineChars="200"/>
        <w:rPr>
          <w:rFonts w:ascii="黑体" w:eastAsia="黑体" w:hAnsi="黑体" w:hint="eastAsia"/>
          <w:sz w:val="32"/>
          <w:szCs w:val="32"/>
        </w:rPr>
      </w:pPr>
      <w:r>
        <w:rPr>
          <w:rFonts w:ascii="仿宋_GB2312" w:eastAsia="仿宋_GB2312" w:hint="eastAsia"/>
          <w:sz w:val="32"/>
          <w:szCs w:val="32"/>
        </w:rPr>
        <w:t>根据财政部门要求，</w:t>
      </w:r>
      <w:r>
        <w:rPr>
          <w:rFonts w:ascii="仿宋_GB2312" w:eastAsia="仿宋_GB2312" w:hint="eastAsia"/>
          <w:sz w:val="32"/>
          <w:szCs w:val="32"/>
        </w:rPr>
        <w:t>益阳市第十五中学</w:t>
      </w:r>
      <w:r>
        <w:rPr>
          <w:rFonts w:ascii="仿宋_GB2312" w:eastAsia="仿宋_GB2312" w:hint="eastAsia"/>
          <w:sz w:val="32"/>
          <w:szCs w:val="32"/>
        </w:rPr>
        <w:t>认真组织开展了2025年度预决算，对预算执行情况进行了部门整体支出绩效评价，根据财政部门要求在政府门户网站进行公开，公开内容包括2025年度</w:t>
      </w:r>
      <w:r>
        <w:rPr>
          <w:rFonts w:ascii="仿宋_GB2312" w:eastAsia="仿宋_GB2312" w:hint="eastAsia"/>
          <w:sz w:val="32"/>
          <w:szCs w:val="32"/>
        </w:rPr>
        <w:t>益阳市第十五中学</w:t>
      </w:r>
      <w:r>
        <w:rPr>
          <w:rFonts w:ascii="仿宋_GB2312" w:eastAsia="仿宋_GB2312" w:hint="eastAsia"/>
          <w:sz w:val="32"/>
          <w:szCs w:val="32"/>
        </w:rPr>
        <w:t>整体支出绩效自评报告和基础表、自评表。</w:t>
      </w:r>
    </w:p>
    <w:p>
      <w:pPr>
        <w:pStyle w:val="style0"/>
        <w:numPr>
          <w:ilvl w:val="0"/>
          <w:numId w:val="4"/>
        </w:numPr>
        <w:spacing w:lineRule="exact" w:line="540"/>
        <w:ind w:firstLine="640" w:firstLineChars="200"/>
        <w:rPr>
          <w:rFonts w:ascii="黑体" w:eastAsia="黑体" w:hAnsi="黑体" w:hint="eastAsia"/>
          <w:sz w:val="32"/>
          <w:szCs w:val="32"/>
        </w:rPr>
      </w:pPr>
      <w:r>
        <w:rPr>
          <w:rFonts w:ascii="黑体" w:eastAsia="黑体" w:hAnsi="黑体" w:hint="eastAsia"/>
          <w:sz w:val="32"/>
          <w:szCs w:val="32"/>
        </w:rPr>
        <w:t>其他需要说明的情况</w:t>
      </w:r>
    </w:p>
    <w:p>
      <w:pPr>
        <w:pStyle w:val="style0"/>
        <w:spacing w:lineRule="exact" w:line="540"/>
        <w:ind w:firstLine="640" w:firstLineChars="200"/>
        <w:rPr>
          <w:rFonts w:ascii="仿宋_GB2312" w:eastAsia="仿宋_GB2312"/>
          <w:sz w:val="32"/>
          <w:szCs w:val="32"/>
        </w:rPr>
      </w:pPr>
      <w:r>
        <w:rPr>
          <w:rFonts w:ascii="仿宋_GB2312" w:eastAsia="仿宋_GB2312" w:hint="eastAsia"/>
          <w:sz w:val="32"/>
          <w:szCs w:val="32"/>
        </w:rPr>
        <w:t>无。</w:t>
      </w:r>
    </w:p>
    <w:p>
      <w:pPr>
        <w:pStyle w:val="style29"/>
        <w:rPr/>
      </w:pPr>
    </w:p>
    <w:sectPr>
      <w:pgSz w:w="11906" w:h="16838" w:orient="portrait"/>
      <w:pgMar w:top="1417" w:right="1588" w:bottom="1417" w:left="1588"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Calibri">
    <w:altName w:val="Calibri"/>
    <w:panose1 w:val="020f0502020002030204"/>
    <w:charset w:val="00"/>
    <w:family w:val="swiss"/>
    <w:pitch w:val="variable"/>
    <w:sig w:usb0="E0002AFF" w:usb1="4000ACFF" w:usb2="00000001" w:usb3="00000000" w:csb0="000001FF" w:csb1="00000000"/>
  </w:font>
  <w:font w:name="黑体">
    <w:altName w:val="SimHei"/>
    <w:panose1 w:val="02010609060001010101"/>
    <w:charset w:val="86"/>
    <w:family w:val="modern"/>
    <w:pitch w:val="fixed"/>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华文中宋">
    <w:altName w:val="宋体"/>
    <w:panose1 w:val="02010600040001010101"/>
    <w:charset w:val="86"/>
    <w:family w:val="auto"/>
    <w:pitch w:val="variable"/>
    <w:sig w:usb0="00000287" w:usb1="080F0000" w:usb2="00000010" w:usb3="00000000" w:csb0="0004009F" w:csb1="00000000"/>
  </w:font>
  <w:font w:name="仿宋">
    <w:altName w:val="仿宋"/>
    <w:panose1 w:val="02010609060001010101"/>
    <w:charset w:val="86"/>
    <w:family w:val="modern"/>
    <w:pitch w:val="fixed"/>
    <w:sig w:usb0="800002BF" w:usb1="38CF7CFA" w:usb2="00000016" w:usb3="00000000" w:csb0="00040001"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w:noProof/>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2"/>
                            <w:rPr/>
                          </w:pPr>
                          <w:r>
                            <w:rPr/>
                            <w:fldChar w:fldCharType="begin"/>
                          </w:r>
                          <w:r>
                            <w:instrText xml:space="preserve"> PAGE  \* MERGEFORMAT </w:instrText>
                          </w:r>
                          <w:r>
                            <w:rPr/>
                            <w:fldChar w:fldCharType="separate"/>
                          </w:r>
                          <w:r>
                            <w:t>20</w:t>
                          </w:r>
                          <w:r>
                            <w:rPr/>
                            <w:fldChar w:fldCharType="end"/>
                          </w: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2"/>
                      <w:rPr/>
                    </w:pPr>
                    <w:r>
                      <w:rPr/>
                      <w:fldChar w:fldCharType="begin"/>
                    </w:r>
                    <w:r>
                      <w:instrText xml:space="preserve"> PAGE  \* MERGEFORMAT </w:instrText>
                    </w:r>
                    <w:r>
                      <w:rPr/>
                      <w:fldChar w:fldCharType="separate"/>
                    </w:r>
                    <w:r>
                      <w:t>20</w:t>
                    </w:r>
                    <w:r>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F65111A"/>
    <w:lvl w:ilvl="0">
      <w:start w:val="1"/>
      <w:numFmt w:val="decimal"/>
      <w:lvlText w:val="%1."/>
      <w:lvlJc w:val="left"/>
      <w:pPr>
        <w:tabs>
          <w:tab w:val="left" w:leader="none" w:pos="312"/>
        </w:tabs>
      </w:pPr>
    </w:lvl>
  </w:abstractNum>
  <w:abstractNum w:abstractNumId="1">
    <w:nsid w:val="00000001"/>
    <w:multiLevelType w:val="singleLevel"/>
    <w:tmpl w:val="32D1E1B7"/>
    <w:lvl w:ilvl="0">
      <w:start w:val="2"/>
      <w:numFmt w:val="chineseCounting"/>
      <w:suff w:val="nothing"/>
      <w:lvlText w:val="（%1）"/>
      <w:lvlJc w:val="left"/>
      <w:pPr/>
      <w:rPr>
        <w:rFonts w:hint="eastAsia"/>
      </w:rPr>
    </w:lvl>
  </w:abstractNum>
  <w:abstractNum w:abstractNumId="2">
    <w:nsid w:val="00000002"/>
    <w:multiLevelType w:val="singleLevel"/>
    <w:tmpl w:val="4D452EE6"/>
    <w:lvl w:ilvl="0">
      <w:start w:val="1"/>
      <w:numFmt w:val="chineseCounting"/>
      <w:suff w:val="nothing"/>
      <w:lvlText w:val="%1、"/>
      <w:lvlJc w:val="left"/>
      <w:pPr/>
      <w:rPr>
        <w:rFonts w:hint="eastAsia"/>
      </w:rPr>
    </w:lvl>
  </w:abstractNum>
  <w:abstractNum w:abstractNumId="3">
    <w:nsid w:val="00000003"/>
    <w:multiLevelType w:val="singleLevel"/>
    <w:tmpl w:val="62FC3140"/>
    <w:lvl w:ilvl="0">
      <w:start w:val="4"/>
      <w:numFmt w:val="chineseCounting"/>
      <w:suff w:val="nothing"/>
      <w:lvlText w:val="%1、"/>
      <w:lvlJc w:val="left"/>
      <w:pPr/>
      <w:rPr>
        <w:rFonts w:hint="eastAsia"/>
      </w:rPr>
    </w:lvl>
  </w:abstractNum>
  <w:abstractNum w:abstractNumId="4">
    <w:nsid w:val="00000004"/>
    <w:multiLevelType w:val="singleLevel"/>
    <w:tmpl w:val="7879F838"/>
    <w:lvl w:ilvl="0">
      <w:start w:val="7"/>
      <w:numFmt w:val="chineseCounting"/>
      <w:suff w:val="nothing"/>
      <w:lvlText w:val="%1、"/>
      <w:lvlJc w:val="left"/>
      <w:pPr/>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pPrDefault>
  </w:docDefaults>
  <w:style w:type="paragraph" w:default="1" w:styleId="style0">
    <w:name w:val="Normal"/>
    <w:next w:val="style29"/>
    <w:qFormat/>
    <w:pPr>
      <w:widowControl w:val="false"/>
      <w:jc w:val="both"/>
    </w:pPr>
    <w:rPr>
      <w:rFonts w:ascii="Calibri" w:cs="宋体" w:eastAsia="宋体" w:hAnsi="Calibri"/>
      <w:kern w:val="2"/>
      <w:sz w:val="21"/>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78"/>
    <w:qFormat/>
    <w:pPr>
      <w:snapToGrid w:val="false"/>
      <w:jc w:val="left"/>
    </w:pPr>
    <w:rPr>
      <w:sz w:val="18"/>
      <w:szCs w:val="18"/>
    </w:rPr>
  </w:style>
  <w:style w:type="paragraph" w:styleId="style78">
    <w:name w:val="Body Text First Indent 2"/>
    <w:basedOn w:val="style67"/>
    <w:next w:val="style0"/>
    <w:qFormat/>
    <w:uiPriority w:val="99"/>
    <w:pPr>
      <w:ind w:firstLine="420" w:firstLineChars="200"/>
    </w:pPr>
    <w:rPr/>
  </w:style>
  <w:style w:type="paragraph" w:styleId="style67">
    <w:name w:val="Body Text Indent"/>
    <w:basedOn w:val="style0"/>
    <w:next w:val="style78"/>
    <w:qFormat/>
    <w:uiPriority w:val="99"/>
    <w:pPr>
      <w:widowControl/>
      <w:spacing w:after="120"/>
      <w:ind w:left="420" w:leftChars="200"/>
      <w:jc w:val="left"/>
    </w:pPr>
    <w:rPr>
      <w:rFonts w:ascii="宋体" w:cs="宋体" w:eastAsia="宋体" w:hAnsi="宋体"/>
      <w:kern w:val="0"/>
      <w:sz w:val="24"/>
    </w:rPr>
  </w:style>
  <w:style w:type="paragraph" w:styleId="style153">
    <w:name w:val="Balloon Text"/>
    <w:basedOn w:val="style0"/>
    <w:next w:val="style153"/>
    <w:link w:val="style4100"/>
    <w:qFormat/>
    <w:uiPriority w:val="99"/>
    <w:pPr/>
    <w:rPr>
      <w:sz w:val="18"/>
      <w:szCs w:val="18"/>
    </w:rPr>
  </w:style>
  <w:style w:type="paragraph" w:styleId="style32">
    <w:name w:val="footer"/>
    <w:basedOn w:val="style0"/>
    <w:next w:val="style32"/>
    <w:link w:val="style4098"/>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7"/>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customStyle="1" w:styleId="style4097">
    <w:name w:val="页眉 字符"/>
    <w:basedOn w:val="style65"/>
    <w:next w:val="style4097"/>
    <w:link w:val="style31"/>
    <w:qFormat/>
    <w:uiPriority w:val="99"/>
    <w:rPr>
      <w:sz w:val="18"/>
      <w:szCs w:val="18"/>
    </w:rPr>
  </w:style>
  <w:style w:type="character" w:customStyle="1" w:styleId="style4098">
    <w:name w:val="页脚 字符"/>
    <w:basedOn w:val="style65"/>
    <w:next w:val="style4098"/>
    <w:link w:val="style32"/>
    <w:qFormat/>
    <w:uiPriority w:val="99"/>
    <w:rPr>
      <w:sz w:val="18"/>
      <w:szCs w:val="18"/>
    </w:rPr>
  </w:style>
  <w:style w:type="paragraph" w:customStyle="1" w:styleId="style4099">
    <w:name w:val="Default"/>
    <w:next w:val="style4099"/>
    <w:qFormat/>
    <w:pPr>
      <w:widowControl w:val="false"/>
      <w:autoSpaceDE w:val="false"/>
      <w:autoSpaceDN w:val="false"/>
      <w:adjustRightInd w:val="false"/>
    </w:pPr>
    <w:rPr>
      <w:rFonts w:ascii="黑体" w:cs="黑体" w:eastAsia="黑体" w:hAnsi="Calibri"/>
      <w:color w:val="000000"/>
      <w:sz w:val="24"/>
      <w:szCs w:val="24"/>
    </w:rPr>
  </w:style>
  <w:style w:type="paragraph" w:styleId="style179">
    <w:name w:val="List Paragraph"/>
    <w:basedOn w:val="style0"/>
    <w:next w:val="style179"/>
    <w:qFormat/>
    <w:uiPriority w:val="34"/>
    <w:pPr>
      <w:ind w:firstLine="420" w:firstLineChars="200"/>
    </w:pPr>
    <w:rPr/>
  </w:style>
  <w:style w:type="character" w:customStyle="1" w:styleId="style4100">
    <w:name w:val="批注框文本 字符"/>
    <w:basedOn w:val="style65"/>
    <w:next w:val="style4100"/>
    <w:link w:val="style153"/>
    <w:qFormat/>
    <w:uiPriority w:val="99"/>
    <w:rPr>
      <w:sz w:val="18"/>
      <w:szCs w:val="18"/>
    </w:rPr>
  </w:style>
  <w:style w:type="character" w:customStyle="1" w:styleId="style4101">
    <w:name w:val="font01"/>
    <w:basedOn w:val="style65"/>
    <w:next w:val="style4101"/>
    <w:qFormat/>
    <w:rPr>
      <w:rFonts w:ascii="宋体" w:cs="宋体" w:eastAsia="宋体" w:hAnsi="宋体" w:hint="eastAsia"/>
      <w:color w:val="000000"/>
      <w:sz w:val="22"/>
      <w:szCs w:val="22"/>
      <w:u w:val="none"/>
    </w:rPr>
  </w:style>
  <w:style w:type="character" w:customStyle="1" w:styleId="style4102">
    <w:name w:val="font21"/>
    <w:basedOn w:val="style65"/>
    <w:next w:val="style4102"/>
    <w:qFormat/>
    <w:rPr>
      <w:rFonts w:ascii="宋体" w:cs="宋体" w:eastAsia="宋体" w:hAnsi="宋体" w:hint="eastAsia"/>
      <w:color w:val="000000"/>
      <w:sz w:val="24"/>
      <w:szCs w:val="24"/>
      <w:u w:val="none"/>
    </w:rPr>
  </w:style>
  <w:style w:type="character" w:customStyle="1" w:styleId="style4103">
    <w:name w:val="font11"/>
    <w:basedOn w:val="style65"/>
    <w:next w:val="style4103"/>
    <w:qFormat/>
    <w:rPr>
      <w:rFonts w:ascii="宋体" w:cs="宋体" w:eastAsia="宋体" w:hAnsi="宋体" w:hint="eastAsia"/>
      <w:color w:val="000000"/>
      <w:sz w:val="24"/>
      <w:szCs w:val="24"/>
      <w:u w: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172</TotalTime>
  <Words>8652</Words>
  <Pages>29</Pages>
  <Characters>9901</Characters>
  <Application>WPS Office</Application>
  <DocSecurity>0</DocSecurity>
  <Paragraphs>1590</Paragraphs>
  <ScaleCrop>false</ScaleCrop>
  <Company>Microsoft</Company>
  <LinksUpToDate>false</LinksUpToDate>
  <CharactersWithSpaces>10227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2026-09-03T08:48:00Z</dcterms:created>
  <dc:creator>李航 null</dc:creator>
  <lastModifiedBy>PJY110</lastModifiedBy>
  <lastPrinted>2024-08-10T02:20:00Z</lastPrinted>
  <dcterms:modified xsi:type="dcterms:W3CDTF">2026-09-03T11:47:52Z</dcterms:modified>
  <revision>58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9E3BDAD195464D89936CB480D273D870_13</vt:lpwstr>
  </property>
  <property fmtid="{D5CDD505-2E9C-101B-9397-08002B2CF9AE}" pid="4" name="KSOTemplateDocerSaveRecord">
    <vt:lpwstr>eyJoZGlkIjoiM2UwMWU2NzdiNjM0OWY5NjhlMTUyYjMxYWQ1OTA2ZWIiLCJ1c2VySWQiOiIzMDczMTI1OTcifQ==</vt:lpwstr>
  </property>
</Properties>
</file>