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益阳市第十七中学</w:t>
      </w:r>
    </w:p>
    <w:p>
      <w:pPr>
        <w:pStyle w:val="12"/>
        <w:jc w:val="center"/>
        <w:rPr>
          <w:rFonts w:ascii="Times New Roman" w:hAnsi="Times New Roman" w:cs="Times New Roman"/>
          <w:sz w:val="32"/>
          <w:szCs w:val="32"/>
        </w:rPr>
      </w:pPr>
      <w:r>
        <w:rPr>
          <w:rFonts w:ascii="Times New Roman" w:hAnsi="Times New Roman" w:eastAsia="方正小标宋简体" w:cs="Times New Roman"/>
          <w:sz w:val="72"/>
          <w:szCs w:val="72"/>
        </w:rPr>
        <w:t>部门决算</w:t>
      </w:r>
    </w:p>
    <w:p>
      <w:pPr>
        <w:pStyle w:val="12"/>
        <w:jc w:val="both"/>
        <w:rPr>
          <w:rFonts w:ascii="Times New Roman" w:hAnsi="Times New Roman" w:cs="Times New Roman"/>
          <w:sz w:val="32"/>
          <w:szCs w:val="32"/>
        </w:rPr>
      </w:pPr>
    </w:p>
    <w:p>
      <w:pPr>
        <w:pStyle w:val="12"/>
        <w:spacing w:line="540" w:lineRule="exact"/>
        <w:jc w:val="center"/>
        <w:rPr>
          <w:rFonts w:ascii="Times New Roman" w:hAnsi="Times New Roman" w:cs="Times New Roman"/>
          <w:sz w:val="56"/>
          <w:szCs w:val="56"/>
        </w:rPr>
      </w:pPr>
    </w:p>
    <w:p>
      <w:pPr>
        <w:pStyle w:val="12"/>
        <w:spacing w:line="600" w:lineRule="exact"/>
        <w:jc w:val="both"/>
        <w:rPr>
          <w:rFonts w:ascii="Times New Roman" w:hAnsi="Times New Roman" w:cs="Times New Roman"/>
          <w:b/>
          <w:sz w:val="36"/>
          <w:szCs w:val="28"/>
        </w:rPr>
        <w:sectPr>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益阳市第十七中学</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hint="eastAsia" w:ascii="Times New Roman" w:hAnsi="Times New Roman" w:eastAsia="方正小标宋_GBK" w:cs="Times New Roman"/>
          <w:sz w:val="52"/>
          <w:szCs w:val="52"/>
          <w:lang w:val="en-US" w:eastAsia="zh-CN"/>
        </w:rPr>
      </w:pPr>
      <w:r>
        <w:rPr>
          <w:rFonts w:hint="eastAsia" w:ascii="Times New Roman" w:hAnsi="Times New Roman" w:eastAsia="方正小标宋_GBK" w:cs="Times New Roman"/>
          <w:sz w:val="52"/>
          <w:szCs w:val="52"/>
          <w:lang w:val="en-US" w:eastAsia="zh-CN"/>
        </w:rPr>
        <w:t>益阳市第十七中学概况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益阳市第十七中学的主要职责是组织教育教学、科学研究活动，保证教育教学质量。维护教职工利益，保障教职工合法权益，以教职工和学生的人生幸福和生命质量作为重点。</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jc w:val="left"/>
        <w:textAlignment w:val="auto"/>
        <w:rPr>
          <w:rFonts w:hint="eastAsia" w:ascii="仿宋" w:hAnsi="仿宋" w:eastAsia="仿宋" w:cs="仿宋"/>
          <w:sz w:val="30"/>
          <w:szCs w:val="30"/>
        </w:rPr>
      </w:pPr>
      <w:r>
        <w:rPr>
          <w:rFonts w:hint="eastAsia" w:ascii="仿宋" w:hAnsi="仿宋" w:eastAsia="仿宋" w:cs="仿宋"/>
          <w:sz w:val="30"/>
          <w:szCs w:val="30"/>
        </w:rPr>
        <w:t>负责贯彻党的教育方针,坚持社会主义办学方向,对学生进行德育、智育、体育、美育和劳动教育等方面的教育。</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jc w:val="left"/>
        <w:textAlignment w:val="auto"/>
        <w:rPr>
          <w:rFonts w:hint="eastAsia" w:ascii="仿宋" w:hAnsi="仿宋" w:eastAsia="仿宋" w:cs="仿宋"/>
          <w:sz w:val="30"/>
          <w:szCs w:val="30"/>
        </w:rPr>
      </w:pPr>
      <w:r>
        <w:rPr>
          <w:rFonts w:hint="eastAsia" w:ascii="仿宋" w:hAnsi="仿宋" w:eastAsia="仿宋" w:cs="仿宋"/>
          <w:sz w:val="30"/>
          <w:szCs w:val="30"/>
        </w:rPr>
        <w:t>严格控制学生辍学,依法保证在校学生接受高中教育。</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jc w:val="left"/>
        <w:textAlignment w:val="auto"/>
        <w:rPr>
          <w:rFonts w:hint="eastAsia" w:ascii="仿宋" w:hAnsi="仿宋" w:eastAsia="仿宋" w:cs="仿宋"/>
          <w:sz w:val="30"/>
          <w:szCs w:val="30"/>
        </w:rPr>
      </w:pPr>
      <w:r>
        <w:rPr>
          <w:rFonts w:hint="eastAsia" w:ascii="仿宋" w:hAnsi="仿宋" w:eastAsia="仿宋" w:cs="仿宋"/>
          <w:sz w:val="30"/>
          <w:szCs w:val="30"/>
        </w:rPr>
        <w:t>负责制定校教育发展规划,并抓好组织实施和落实工作。</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jc w:val="left"/>
        <w:textAlignment w:val="auto"/>
        <w:rPr>
          <w:rFonts w:hint="eastAsia" w:ascii="仿宋" w:hAnsi="仿宋" w:eastAsia="仿宋" w:cs="仿宋"/>
          <w:sz w:val="30"/>
          <w:szCs w:val="30"/>
        </w:rPr>
      </w:pPr>
      <w:r>
        <w:rPr>
          <w:rFonts w:hint="eastAsia" w:ascii="仿宋" w:hAnsi="仿宋" w:eastAsia="仿宋" w:cs="仿宋"/>
          <w:sz w:val="30"/>
          <w:szCs w:val="30"/>
        </w:rPr>
        <w:t>负责按照教育主管部门发布的指导性教学计划、教学大纲,组织实施教育教学活动。</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jc w:val="left"/>
        <w:textAlignment w:val="auto"/>
        <w:rPr>
          <w:rFonts w:hint="eastAsia" w:ascii="仿宋" w:hAnsi="仿宋" w:eastAsia="仿宋" w:cs="仿宋"/>
          <w:sz w:val="30"/>
          <w:szCs w:val="30"/>
        </w:rPr>
      </w:pPr>
      <w:r>
        <w:rPr>
          <w:rFonts w:hint="eastAsia" w:ascii="仿宋" w:hAnsi="仿宋" w:eastAsia="仿宋" w:cs="仿宋"/>
          <w:sz w:val="30"/>
          <w:szCs w:val="30"/>
        </w:rPr>
        <w:t>负责依据国家主管部门有关教学计划、课程设置等方面的规定,决定和实施本校的教学计划,组织教学评比、集体备课,对学生进行统一考核等。</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jc w:val="left"/>
        <w:textAlignment w:val="auto"/>
        <w:rPr>
          <w:rFonts w:hint="eastAsia" w:ascii="仿宋" w:hAnsi="仿宋" w:eastAsia="仿宋" w:cs="仿宋"/>
          <w:sz w:val="30"/>
          <w:szCs w:val="30"/>
        </w:rPr>
      </w:pPr>
      <w:r>
        <w:rPr>
          <w:rFonts w:hint="eastAsia" w:ascii="仿宋" w:hAnsi="仿宋" w:eastAsia="仿宋" w:cs="仿宋"/>
          <w:sz w:val="30"/>
          <w:szCs w:val="30"/>
        </w:rPr>
        <w:t>负责学籍管理。</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jc w:val="left"/>
        <w:textAlignment w:val="auto"/>
        <w:rPr>
          <w:rFonts w:hint="eastAsia" w:ascii="仿宋" w:hAnsi="仿宋" w:eastAsia="仿宋" w:cs="仿宋"/>
          <w:sz w:val="30"/>
          <w:szCs w:val="30"/>
        </w:rPr>
      </w:pPr>
      <w:r>
        <w:rPr>
          <w:rFonts w:hint="eastAsia" w:ascii="仿宋" w:hAnsi="仿宋" w:eastAsia="仿宋" w:cs="仿宋"/>
          <w:sz w:val="30"/>
          <w:szCs w:val="30"/>
        </w:rPr>
        <w:t>负责聘任、培训、考核教师,依法奖励或处分有关教师和职工。</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jc w:val="left"/>
        <w:textAlignment w:val="auto"/>
        <w:rPr>
          <w:rFonts w:hint="eastAsia" w:ascii="仿宋" w:hAnsi="仿宋" w:eastAsia="仿宋" w:cs="仿宋"/>
          <w:sz w:val="30"/>
          <w:szCs w:val="30"/>
        </w:rPr>
      </w:pPr>
      <w:r>
        <w:rPr>
          <w:rFonts w:hint="eastAsia" w:ascii="仿宋" w:hAnsi="仿宋" w:eastAsia="仿宋" w:cs="仿宋"/>
          <w:sz w:val="30"/>
          <w:szCs w:val="30"/>
        </w:rPr>
        <w:t>负责科学管理、合理使用学校的设施和经费。</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jc w:val="left"/>
        <w:textAlignment w:val="auto"/>
        <w:rPr>
          <w:rFonts w:hint="eastAsia" w:ascii="仿宋" w:hAnsi="仿宋" w:eastAsia="仿宋" w:cs="仿宋"/>
          <w:sz w:val="30"/>
          <w:szCs w:val="30"/>
        </w:rPr>
      </w:pPr>
      <w:r>
        <w:rPr>
          <w:rFonts w:hint="eastAsia" w:ascii="仿宋" w:hAnsi="仿宋" w:eastAsia="仿宋" w:cs="仿宋"/>
          <w:sz w:val="30"/>
          <w:szCs w:val="30"/>
        </w:rPr>
        <w:t>负责维护学校、师生的合法权益,有权拒绝任何组织和个人对教育教学活动进行非法干涉。</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jc w:val="left"/>
        <w:textAlignment w:val="auto"/>
        <w:rPr>
          <w:rFonts w:hint="eastAsia" w:ascii="仿宋" w:hAnsi="仿宋" w:eastAsia="仿宋" w:cs="仿宋"/>
          <w:sz w:val="30"/>
          <w:szCs w:val="30"/>
        </w:rPr>
      </w:pPr>
      <w:r>
        <w:rPr>
          <w:rFonts w:hint="eastAsia" w:ascii="仿宋" w:hAnsi="仿宋" w:eastAsia="仿宋" w:cs="仿宋"/>
          <w:sz w:val="30"/>
          <w:szCs w:val="30"/>
        </w:rPr>
        <w:t>依法接受各级教育行政部门的检查指导和人民群众的监督。</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0"/>
          <w:szCs w:val="30"/>
        </w:rPr>
      </w:pPr>
      <w:r>
        <w:rPr>
          <w:rFonts w:hint="eastAsia" w:ascii="Times New Roman" w:hAnsi="Times New Roman" w:eastAsia="仿宋_GB2312" w:cs="仿宋_GB2312"/>
          <w:bCs/>
          <w:kern w:val="0"/>
          <w:sz w:val="32"/>
          <w:szCs w:val="32"/>
        </w:rPr>
        <w:t>（一）内设机构设置。</w:t>
      </w:r>
      <w:r>
        <w:rPr>
          <w:rFonts w:hint="eastAsia" w:ascii="仿宋" w:hAnsi="仿宋" w:eastAsia="仿宋" w:cs="仿宋"/>
          <w:sz w:val="30"/>
          <w:szCs w:val="30"/>
        </w:rPr>
        <w:t>湖南省益阳市第十七中学</w:t>
      </w:r>
      <w:r>
        <w:rPr>
          <w:rFonts w:hint="eastAsia" w:ascii="Times New Roman" w:hAnsi="Times New Roman" w:eastAsia="仿宋_GB2312" w:cs="仿宋_GB2312"/>
          <w:bCs/>
          <w:kern w:val="0"/>
          <w:sz w:val="32"/>
          <w:szCs w:val="32"/>
        </w:rPr>
        <w:t>内设机构包括：</w:t>
      </w:r>
      <w:r>
        <w:rPr>
          <w:rFonts w:hint="eastAsia" w:ascii="仿宋" w:hAnsi="仿宋" w:eastAsia="仿宋" w:cs="仿宋"/>
          <w:sz w:val="30"/>
          <w:szCs w:val="30"/>
        </w:rPr>
        <w:t>党务办</w:t>
      </w:r>
      <w:r>
        <w:rPr>
          <w:rFonts w:hint="eastAsia" w:ascii="仿宋" w:hAnsi="仿宋" w:eastAsia="仿宋" w:cs="仿宋"/>
          <w:sz w:val="30"/>
          <w:szCs w:val="30"/>
          <w:lang w:eastAsia="zh-CN"/>
        </w:rPr>
        <w:t>、</w:t>
      </w:r>
      <w:r>
        <w:rPr>
          <w:rFonts w:hint="eastAsia" w:ascii="仿宋" w:hAnsi="仿宋" w:eastAsia="仿宋" w:cs="仿宋"/>
          <w:sz w:val="30"/>
          <w:szCs w:val="30"/>
        </w:rPr>
        <w:t>校务办</w:t>
      </w:r>
      <w:r>
        <w:rPr>
          <w:rFonts w:hint="eastAsia" w:ascii="仿宋" w:hAnsi="仿宋" w:eastAsia="仿宋" w:cs="仿宋"/>
          <w:sz w:val="30"/>
          <w:szCs w:val="30"/>
          <w:lang w:eastAsia="zh-CN"/>
        </w:rPr>
        <w:t>、</w:t>
      </w:r>
      <w:r>
        <w:rPr>
          <w:rFonts w:hint="eastAsia" w:ascii="仿宋" w:hAnsi="仿宋" w:eastAsia="仿宋" w:cs="仿宋"/>
          <w:sz w:val="30"/>
          <w:szCs w:val="30"/>
        </w:rPr>
        <w:t>教导处</w:t>
      </w:r>
      <w:r>
        <w:rPr>
          <w:rFonts w:hint="eastAsia" w:ascii="仿宋" w:hAnsi="仿宋" w:eastAsia="仿宋" w:cs="仿宋"/>
          <w:sz w:val="30"/>
          <w:szCs w:val="30"/>
          <w:lang w:eastAsia="zh-CN"/>
        </w:rPr>
        <w:t>、</w:t>
      </w:r>
      <w:r>
        <w:rPr>
          <w:rFonts w:hint="eastAsia" w:ascii="仿宋" w:hAnsi="仿宋" w:eastAsia="仿宋" w:cs="仿宋"/>
          <w:sz w:val="30"/>
          <w:szCs w:val="30"/>
        </w:rPr>
        <w:t>总务处</w:t>
      </w:r>
      <w:r>
        <w:rPr>
          <w:rFonts w:hint="eastAsia" w:ascii="仿宋" w:hAnsi="仿宋" w:eastAsia="仿宋" w:cs="仿宋"/>
          <w:sz w:val="30"/>
          <w:szCs w:val="30"/>
          <w:lang w:eastAsia="zh-CN"/>
        </w:rPr>
        <w:t>、</w:t>
      </w:r>
      <w:r>
        <w:rPr>
          <w:rFonts w:hint="eastAsia" w:ascii="仿宋" w:hAnsi="仿宋" w:eastAsia="仿宋" w:cs="仿宋"/>
          <w:sz w:val="30"/>
          <w:szCs w:val="30"/>
        </w:rPr>
        <w:t>学生处</w:t>
      </w:r>
      <w:r>
        <w:rPr>
          <w:rFonts w:hint="eastAsia" w:ascii="仿宋" w:hAnsi="仿宋" w:eastAsia="仿宋" w:cs="仿宋"/>
          <w:sz w:val="30"/>
          <w:szCs w:val="30"/>
          <w:lang w:eastAsia="zh-CN"/>
        </w:rPr>
        <w:t>、</w:t>
      </w:r>
      <w:r>
        <w:rPr>
          <w:rFonts w:hint="eastAsia" w:ascii="仿宋" w:hAnsi="仿宋" w:eastAsia="仿宋" w:cs="仿宋"/>
          <w:sz w:val="30"/>
          <w:szCs w:val="30"/>
        </w:rPr>
        <w:t>团委、工会办公室。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ascii="仿宋_GB2312" w:eastAsia="仿宋_GB2312" w:hAnsiTheme="minorEastAsia"/>
          <w:sz w:val="28"/>
          <w:szCs w:val="32"/>
        </w:rPr>
      </w:pPr>
      <w:r>
        <w:rPr>
          <w:rFonts w:hint="eastAsia" w:ascii="Times New Roman" w:hAnsi="Times New Roman" w:eastAsia="仿宋_GB2312" w:cs="仿宋_GB2312"/>
          <w:bCs/>
          <w:kern w:val="0"/>
          <w:sz w:val="32"/>
          <w:szCs w:val="32"/>
        </w:rPr>
        <w:t>（二）决算单位构成。</w:t>
      </w:r>
      <w:r>
        <w:rPr>
          <w:rFonts w:hint="eastAsia" w:ascii="仿宋" w:hAnsi="仿宋" w:eastAsia="仿宋" w:cs="仿宋"/>
          <w:sz w:val="30"/>
          <w:szCs w:val="30"/>
        </w:rPr>
        <w:t>湖南省益阳市第十七中学</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w:t>
      </w:r>
      <w:r>
        <w:rPr>
          <w:rFonts w:hint="eastAsia" w:ascii="仿宋" w:hAnsi="仿宋" w:eastAsia="仿宋" w:cs="仿宋"/>
          <w:sz w:val="30"/>
          <w:szCs w:val="30"/>
        </w:rPr>
        <w:t>仅包括第十七中学，无二级财务独立机构。</w:t>
      </w:r>
    </w:p>
    <w:p>
      <w:pPr>
        <w:jc w:val="both"/>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益阳市第十七中学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2,083.89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1,489.00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29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429.21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2,543.82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六、社会保障和就业支出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3.12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104.20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148.04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2"/>
                <w:lang w:val="en-US" w:eastAsia="zh-CN"/>
              </w:rPr>
              <w:t>九、其他支出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1,489.00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bookmarkStart w:id="0" w:name="OLE_LINK1"/>
            <w:r>
              <w:rPr>
                <w:rFonts w:hint="eastAsia" w:ascii="宋体" w:hAnsi="宋体" w:eastAsia="宋体" w:cs="宋体"/>
                <w:i w:val="0"/>
                <w:iCs w:val="0"/>
                <w:color w:val="000000"/>
                <w:kern w:val="0"/>
                <w:sz w:val="22"/>
                <w:szCs w:val="22"/>
                <w:u w:val="none"/>
                <w:lang w:val="en-US" w:eastAsia="zh-CN" w:bidi="ar"/>
              </w:rPr>
              <w:t>4,150.14</w:t>
            </w:r>
            <w:bookmarkEnd w:id="0"/>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4,150.14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4,150.14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4,150.14</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lang w:val="en-US" w:eastAsia="zh-CN"/>
        </w:rPr>
        <w:t>益阳市第十七中学</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86"/>
        <w:gridCol w:w="1511"/>
        <w:gridCol w:w="1429"/>
        <w:gridCol w:w="1640"/>
        <w:gridCol w:w="1640"/>
        <w:gridCol w:w="1640"/>
        <w:gridCol w:w="1640"/>
        <w:gridCol w:w="1897"/>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397" w:type="dxa"/>
            <w:gridSpan w:val="2"/>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29" w:type="dxa"/>
            <w:vMerge w:val="restart"/>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 w:hRule="exact"/>
          <w:jc w:val="center"/>
        </w:trPr>
        <w:tc>
          <w:tcPr>
            <w:tcW w:w="1886" w:type="dxa"/>
            <w:vMerge w:val="restart"/>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511" w:type="dxa"/>
            <w:vMerge w:val="restart"/>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29" w:type="dxa"/>
            <w:vMerge w:val="continue"/>
            <w:vAlign w:val="center"/>
          </w:tcPr>
          <w:p>
            <w:pPr>
              <w:rPr>
                <w:rFonts w:ascii="Times New Roman" w:hAnsi="Times New Roman" w:eastAsia="仿宋_GB2312" w:cs="Times New Roman"/>
                <w:sz w:val="24"/>
                <w:szCs w:val="24"/>
              </w:rPr>
            </w:pPr>
          </w:p>
        </w:tc>
        <w:tc>
          <w:tcPr>
            <w:tcW w:w="1640" w:type="dxa"/>
            <w:vMerge w:val="continue"/>
            <w:vAlign w:val="center"/>
          </w:tcPr>
          <w:p>
            <w:pPr>
              <w:rPr>
                <w:rFonts w:ascii="Times New Roman" w:hAnsi="Times New Roman" w:eastAsia="仿宋_GB2312" w:cs="Times New Roman"/>
                <w:sz w:val="24"/>
                <w:szCs w:val="24"/>
              </w:rPr>
            </w:pPr>
          </w:p>
        </w:tc>
        <w:tc>
          <w:tcPr>
            <w:tcW w:w="1640" w:type="dxa"/>
            <w:vMerge w:val="continue"/>
            <w:vAlign w:val="center"/>
          </w:tcPr>
          <w:p>
            <w:pPr>
              <w:rPr>
                <w:rFonts w:ascii="Times New Roman" w:hAnsi="Times New Roman" w:eastAsia="仿宋_GB2312" w:cs="Times New Roman"/>
                <w:sz w:val="24"/>
                <w:szCs w:val="24"/>
              </w:rPr>
            </w:pPr>
          </w:p>
        </w:tc>
        <w:tc>
          <w:tcPr>
            <w:tcW w:w="1640" w:type="dxa"/>
            <w:vMerge w:val="continue"/>
            <w:vAlign w:val="center"/>
          </w:tcPr>
          <w:p>
            <w:pPr>
              <w:rPr>
                <w:rFonts w:ascii="Times New Roman" w:hAnsi="Times New Roman" w:eastAsia="仿宋_GB2312" w:cs="Times New Roman"/>
                <w:sz w:val="24"/>
                <w:szCs w:val="24"/>
              </w:rPr>
            </w:pPr>
          </w:p>
        </w:tc>
        <w:tc>
          <w:tcPr>
            <w:tcW w:w="1640" w:type="dxa"/>
            <w:vMerge w:val="continue"/>
            <w:vAlign w:val="center"/>
          </w:tcPr>
          <w:p>
            <w:pPr>
              <w:rPr>
                <w:rFonts w:ascii="Times New Roman" w:hAnsi="Times New Roman" w:eastAsia="仿宋_GB2312" w:cs="Times New Roman"/>
                <w:sz w:val="24"/>
                <w:szCs w:val="24"/>
              </w:rPr>
            </w:pPr>
          </w:p>
        </w:tc>
        <w:tc>
          <w:tcPr>
            <w:tcW w:w="1897" w:type="dxa"/>
            <w:vMerge w:val="continue"/>
            <w:vAlign w:val="center"/>
          </w:tcPr>
          <w:p>
            <w:pPr>
              <w:rPr>
                <w:rFonts w:ascii="Times New Roman" w:hAnsi="Times New Roman" w:eastAsia="仿宋_GB2312" w:cs="Times New Roman"/>
                <w:sz w:val="24"/>
                <w:szCs w:val="24"/>
              </w:rPr>
            </w:pPr>
          </w:p>
        </w:tc>
        <w:tc>
          <w:tcPr>
            <w:tcW w:w="1383" w:type="dxa"/>
            <w:vMerge w:val="continue"/>
            <w:vAlign w:val="center"/>
          </w:tcPr>
          <w:p>
            <w:pP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886" w:type="dxa"/>
            <w:vMerge w:val="continue"/>
            <w:vAlign w:val="center"/>
          </w:tcPr>
          <w:p>
            <w:pPr>
              <w:rPr>
                <w:rFonts w:ascii="Times New Roman" w:hAnsi="Times New Roman" w:eastAsia="仿宋_GB2312" w:cs="Times New Roman"/>
                <w:sz w:val="24"/>
                <w:szCs w:val="24"/>
              </w:rPr>
            </w:pPr>
          </w:p>
        </w:tc>
        <w:tc>
          <w:tcPr>
            <w:tcW w:w="1511" w:type="dxa"/>
            <w:vMerge w:val="continue"/>
            <w:vAlign w:val="center"/>
          </w:tcPr>
          <w:p>
            <w:pPr>
              <w:rPr>
                <w:rFonts w:ascii="Times New Roman" w:hAnsi="Times New Roman" w:eastAsia="仿宋_GB2312" w:cs="Times New Roman"/>
                <w:sz w:val="24"/>
                <w:szCs w:val="24"/>
              </w:rPr>
            </w:pPr>
          </w:p>
        </w:tc>
        <w:tc>
          <w:tcPr>
            <w:tcW w:w="1429" w:type="dxa"/>
            <w:vMerge w:val="continue"/>
            <w:vAlign w:val="center"/>
          </w:tcPr>
          <w:p>
            <w:pPr>
              <w:rPr>
                <w:rFonts w:ascii="Times New Roman" w:hAnsi="Times New Roman" w:eastAsia="仿宋_GB2312" w:cs="Times New Roman"/>
                <w:sz w:val="24"/>
                <w:szCs w:val="24"/>
              </w:rPr>
            </w:pPr>
          </w:p>
        </w:tc>
        <w:tc>
          <w:tcPr>
            <w:tcW w:w="1640" w:type="dxa"/>
            <w:vMerge w:val="continue"/>
            <w:vAlign w:val="center"/>
          </w:tcPr>
          <w:p>
            <w:pPr>
              <w:rPr>
                <w:rFonts w:ascii="Times New Roman" w:hAnsi="Times New Roman" w:eastAsia="仿宋_GB2312" w:cs="Times New Roman"/>
                <w:sz w:val="24"/>
                <w:szCs w:val="24"/>
              </w:rPr>
            </w:pPr>
          </w:p>
        </w:tc>
        <w:tc>
          <w:tcPr>
            <w:tcW w:w="1640" w:type="dxa"/>
            <w:vMerge w:val="continue"/>
            <w:vAlign w:val="center"/>
          </w:tcPr>
          <w:p>
            <w:pPr>
              <w:rPr>
                <w:rFonts w:ascii="Times New Roman" w:hAnsi="Times New Roman" w:eastAsia="仿宋_GB2312" w:cs="Times New Roman"/>
                <w:sz w:val="24"/>
                <w:szCs w:val="24"/>
              </w:rPr>
            </w:pPr>
          </w:p>
        </w:tc>
        <w:tc>
          <w:tcPr>
            <w:tcW w:w="1640" w:type="dxa"/>
            <w:vMerge w:val="continue"/>
            <w:vAlign w:val="center"/>
          </w:tcPr>
          <w:p>
            <w:pPr>
              <w:rPr>
                <w:rFonts w:ascii="Times New Roman" w:hAnsi="Times New Roman" w:eastAsia="仿宋_GB2312" w:cs="Times New Roman"/>
                <w:sz w:val="24"/>
                <w:szCs w:val="24"/>
              </w:rPr>
            </w:pPr>
          </w:p>
        </w:tc>
        <w:tc>
          <w:tcPr>
            <w:tcW w:w="1640" w:type="dxa"/>
            <w:vMerge w:val="continue"/>
            <w:vAlign w:val="center"/>
          </w:tcPr>
          <w:p>
            <w:pPr>
              <w:rPr>
                <w:rFonts w:ascii="Times New Roman" w:hAnsi="Times New Roman" w:eastAsia="仿宋_GB2312" w:cs="Times New Roman"/>
                <w:sz w:val="24"/>
                <w:szCs w:val="24"/>
              </w:rPr>
            </w:pPr>
          </w:p>
        </w:tc>
        <w:tc>
          <w:tcPr>
            <w:tcW w:w="1897" w:type="dxa"/>
            <w:vMerge w:val="continue"/>
            <w:vAlign w:val="center"/>
          </w:tcPr>
          <w:p>
            <w:pPr>
              <w:rPr>
                <w:rFonts w:ascii="Times New Roman" w:hAnsi="Times New Roman" w:eastAsia="仿宋_GB2312" w:cs="Times New Roman"/>
                <w:sz w:val="24"/>
                <w:szCs w:val="24"/>
              </w:rPr>
            </w:pPr>
          </w:p>
        </w:tc>
        <w:tc>
          <w:tcPr>
            <w:tcW w:w="1383" w:type="dxa"/>
            <w:vMerge w:val="continue"/>
            <w:vAlign w:val="center"/>
          </w:tcPr>
          <w:p>
            <w:pP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397" w:type="dxa"/>
            <w:gridSpan w:val="2"/>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29" w:type="dxa"/>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397" w:type="dxa"/>
            <w:gridSpan w:val="2"/>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29"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4,150.14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3,572.89 </w:t>
            </w:r>
          </w:p>
        </w:tc>
        <w:tc>
          <w:tcPr>
            <w:tcW w:w="1640" w:type="dxa"/>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429.21 </w:t>
            </w: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148.04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7" w:hRule="atLeast"/>
          <w:jc w:val="center"/>
        </w:trPr>
        <w:tc>
          <w:tcPr>
            <w:tcW w:w="1886"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2050204</w:t>
            </w:r>
          </w:p>
        </w:tc>
        <w:tc>
          <w:tcPr>
            <w:tcW w:w="1511"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高中教育</w:t>
            </w:r>
          </w:p>
        </w:tc>
        <w:tc>
          <w:tcPr>
            <w:tcW w:w="1429"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331.79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331.79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511"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429"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2,201.22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1,623.97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429.21 </w:t>
            </w: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148.04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4" w:hRule="atLeast"/>
          <w:jc w:val="center"/>
        </w:trPr>
        <w:tc>
          <w:tcPr>
            <w:tcW w:w="1886"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511"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429"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10.81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10.81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1511"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429"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3.12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3.12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both"/>
              <w:textAlignment w:val="center"/>
              <w:rPr>
                <w:rFonts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511"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429"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104.20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104.20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2210108</w:t>
            </w:r>
          </w:p>
        </w:tc>
        <w:tc>
          <w:tcPr>
            <w:tcW w:w="1511"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老旧小区改造</w:t>
            </w:r>
          </w:p>
        </w:tc>
        <w:tc>
          <w:tcPr>
            <w:tcW w:w="1429"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10.00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10.00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2290403</w:t>
            </w:r>
          </w:p>
        </w:tc>
        <w:tc>
          <w:tcPr>
            <w:tcW w:w="1511" w:type="dxa"/>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429"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1,489.00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1,489.00 </w:t>
            </w:r>
          </w:p>
        </w:tc>
        <w:tc>
          <w:tcPr>
            <w:tcW w:w="1640" w:type="dxa"/>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tbl>
      <w:tblPr>
        <w:tblStyle w:val="8"/>
        <w:tblpPr w:leftFromText="180" w:rightFromText="180" w:vertAnchor="text" w:horzAnchor="page" w:tblpX="1421" w:tblpY="591"/>
        <w:tblOverlap w:val="never"/>
        <w:tblW w:w="4996" w:type="pct"/>
        <w:tblInd w:w="0" w:type="dxa"/>
        <w:tblLayout w:type="fixed"/>
        <w:tblCellMar>
          <w:top w:w="0" w:type="dxa"/>
          <w:left w:w="108" w:type="dxa"/>
          <w:bottom w:w="0" w:type="dxa"/>
          <w:right w:w="108" w:type="dxa"/>
        </w:tblCellMar>
      </w:tblPr>
      <w:tblGrid>
        <w:gridCol w:w="2212"/>
        <w:gridCol w:w="1549"/>
        <w:gridCol w:w="1876"/>
        <w:gridCol w:w="1333"/>
        <w:gridCol w:w="1333"/>
        <w:gridCol w:w="1876"/>
        <w:gridCol w:w="1334"/>
        <w:gridCol w:w="2696"/>
      </w:tblGrid>
      <w:tr>
        <w:tblPrEx>
          <w:tblCellMar>
            <w:top w:w="0" w:type="dxa"/>
            <w:left w:w="108" w:type="dxa"/>
            <w:bottom w:w="0" w:type="dxa"/>
            <w:right w:w="108" w:type="dxa"/>
          </w:tblCellMar>
        </w:tblPrEx>
        <w:trPr>
          <w:trHeight w:val="595" w:hRule="atLeast"/>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trPr>
        <w:tc>
          <w:tcPr>
            <w:tcW w:w="77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545"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trPr>
        <w:tc>
          <w:tcPr>
            <w:tcW w:w="77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5"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4,150.14 </w:t>
            </w:r>
          </w:p>
        </w:tc>
        <w:tc>
          <w:tcPr>
            <w:tcW w:w="13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2,569.93 </w:t>
            </w:r>
          </w:p>
        </w:tc>
        <w:tc>
          <w:tcPr>
            <w:tcW w:w="13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1,580.21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trPr>
        <w:tc>
          <w:tcPr>
            <w:tcW w:w="77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2050204</w:t>
            </w:r>
          </w:p>
        </w:tc>
        <w:tc>
          <w:tcPr>
            <w:tcW w:w="54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高中教育</w:t>
            </w: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331.79 </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331.79 </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9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trPr>
        <w:tc>
          <w:tcPr>
            <w:tcW w:w="77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54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2,201.22 </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2,130.82 </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70.40 </w:t>
            </w: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9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trPr>
        <w:tc>
          <w:tcPr>
            <w:tcW w:w="77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54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10.81 </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10.81 </w:t>
            </w: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9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trPr>
        <w:tc>
          <w:tcPr>
            <w:tcW w:w="77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54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3.12 </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3.12 </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9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trPr>
        <w:tc>
          <w:tcPr>
            <w:tcW w:w="77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54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104.20 </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104.20 </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9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trPr>
        <w:tc>
          <w:tcPr>
            <w:tcW w:w="77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2210108</w:t>
            </w:r>
          </w:p>
        </w:tc>
        <w:tc>
          <w:tcPr>
            <w:tcW w:w="54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老旧小区改造</w:t>
            </w: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10.00 </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10.00 </w:t>
            </w: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9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921" w:hRule="atLeast"/>
        </w:trPr>
        <w:tc>
          <w:tcPr>
            <w:tcW w:w="77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54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1,489.00 </w:t>
            </w: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1,489.00 </w:t>
            </w:r>
          </w:p>
        </w:tc>
        <w:tc>
          <w:tcPr>
            <w:tcW w:w="187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269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r>
    </w:tbl>
    <w:p>
      <w:pPr>
        <w:widowControl/>
        <w:tabs>
          <w:tab w:val="left" w:pos="1236"/>
          <w:tab w:val="left" w:pos="1499"/>
          <w:tab w:val="left" w:pos="2980"/>
          <w:tab w:val="left" w:pos="4932"/>
          <w:tab w:val="left" w:pos="6923"/>
          <w:tab w:val="left" w:pos="8914"/>
          <w:tab w:val="left" w:pos="10905"/>
          <w:tab w:val="left" w:pos="12896"/>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益阳市第十七中学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p>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1" w:name="RANGE!A1:I22"/>
      <w:bookmarkEnd w:id="1"/>
      <w:bookmarkStart w:id="2" w:name="RANGE!A1:F16"/>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益阳市第十七中学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1096"/>
        <w:gridCol w:w="2636"/>
        <w:gridCol w:w="616"/>
        <w:gridCol w:w="1096"/>
        <w:gridCol w:w="1678"/>
        <w:gridCol w:w="1434"/>
        <w:gridCol w:w="1532"/>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2,083.89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一</w:t>
            </w:r>
            <w:r>
              <w:rPr>
                <w:rFonts w:ascii="Times New Roman" w:hAnsi="Times New Roman" w:eastAsia="仿宋_GB2312" w:cs="Times New Roman"/>
                <w:kern w:val="0"/>
                <w:sz w:val="22"/>
              </w:rPr>
              <w:t>、教育支出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1,966.57 </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1,966.57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1,489.00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二</w:t>
            </w:r>
            <w:r>
              <w:rPr>
                <w:rFonts w:hint="eastAsia" w:ascii="Times New Roman" w:hAnsi="Times New Roman" w:eastAsia="仿宋_GB2312" w:cs="Times New Roman"/>
                <w:kern w:val="0"/>
                <w:sz w:val="22"/>
                <w:lang w:eastAsia="zh-CN"/>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3.12 </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3.12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tabs>
                <w:tab w:val="right" w:pos="2420"/>
              </w:tabs>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三、卫生健康支出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104.20 </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104.20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lang w:val="en-US" w:eastAsia="zh-CN"/>
              </w:rPr>
              <w:t>住房保障</w:t>
            </w:r>
            <w:r>
              <w:rPr>
                <w:rFonts w:ascii="Times New Roman" w:hAnsi="Times New Roman" w:eastAsia="仿宋_GB2312" w:cs="Times New Roman"/>
                <w:kern w:val="0"/>
                <w:sz w:val="22"/>
              </w:rPr>
              <w:t>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10.00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五、其他支出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1,489.00 </w:t>
            </w: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4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1,489.00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tabs>
                <w:tab w:val="right" w:pos="2420"/>
              </w:tabs>
              <w:jc w:val="left"/>
              <w:rPr>
                <w:rFonts w:hint="eastAsia" w:ascii="Times New Roman" w:hAnsi="Times New Roman" w:eastAsia="仿宋_GB2312" w:cs="Times New Roman"/>
                <w:kern w:val="0"/>
                <w:sz w:val="24"/>
                <w:szCs w:val="24"/>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3,572.89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3,572.89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2,083.89 </w:t>
            </w:r>
          </w:p>
        </w:tc>
        <w:tc>
          <w:tcPr>
            <w:tcW w:w="14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1,489.00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3,572.89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9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3,572.89 </w:t>
            </w:r>
          </w:p>
        </w:tc>
        <w:tc>
          <w:tcPr>
            <w:tcW w:w="167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2,083.89 </w:t>
            </w:r>
          </w:p>
        </w:tc>
        <w:tc>
          <w:tcPr>
            <w:tcW w:w="14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1,489.00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2"/>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val="en-US" w:eastAsia="zh-CN"/>
        </w:rPr>
        <w:t>益阳市第十七中学</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2,083.89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1,992.68</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91.21</w:t>
            </w:r>
          </w:p>
        </w:tc>
      </w:tr>
      <w:tr>
        <w:tblPrEx>
          <w:tblCellMar>
            <w:top w:w="0" w:type="dxa"/>
            <w:left w:w="108" w:type="dxa"/>
            <w:bottom w:w="0" w:type="dxa"/>
            <w:right w:w="108" w:type="dxa"/>
          </w:tblCellMar>
        </w:tblPrEx>
        <w:trPr>
          <w:trHeight w:val="387"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2050204</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高中教育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331.79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331.79</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1,623.97</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1,553.57</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70.40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10.81</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10.81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2080116</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引进人才费用</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3.12</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104.20</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104.20</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2210108</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老旧小区改造</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492"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2"/>
          <w:szCs w:val="32"/>
          <w:lang w:bidi="ar"/>
        </w:rPr>
      </w:pPr>
      <w:bookmarkStart w:id="3" w:name="RANGE!A1:I34"/>
      <w:r>
        <w:rPr>
          <w:rFonts w:ascii="Times New Roman" w:hAnsi="Times New Roman" w:eastAsia="黑体" w:cs="Times New Roman"/>
          <w:color w:val="000000"/>
          <w:kern w:val="0"/>
          <w:sz w:val="32"/>
          <w:szCs w:val="32"/>
          <w:lang w:bidi="ar"/>
        </w:rPr>
        <w:t>一般公共预算财政拨款基本支出决算明细表</w:t>
      </w:r>
      <w:bookmarkEnd w:id="3"/>
    </w:p>
    <w:p>
      <w:pPr>
        <w:widowControl/>
        <w:spacing w:after="120"/>
        <w:jc w:val="center"/>
        <w:textAlignment w:val="center"/>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益阳市第十七中学</w:t>
      </w:r>
      <w:r>
        <w:rPr>
          <w:rFonts w:ascii="Times New Roman" w:hAnsi="Times New Roman" w:eastAsia="仿宋_GB2312" w:cs="Times New Roman"/>
          <w:color w:val="000000"/>
          <w:kern w:val="0"/>
          <w:szCs w:val="21"/>
        </w:rPr>
        <w:t xml:space="preserve">                                                                                公开06表</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722"/>
        <w:gridCol w:w="1200"/>
        <w:gridCol w:w="1010"/>
        <w:gridCol w:w="2018"/>
        <w:gridCol w:w="933"/>
        <w:gridCol w:w="1217"/>
        <w:gridCol w:w="3157"/>
        <w:gridCol w:w="128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72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0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1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15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8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1,704.03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237.42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839.63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57.88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50.00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28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30.60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30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321.23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182.07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55.70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28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30.60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104.20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28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149.02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5.07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20.63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4.83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9.44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1.49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7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42.95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1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80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0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1724.67</w:t>
            </w:r>
          </w:p>
        </w:tc>
        <w:tc>
          <w:tcPr>
            <w:tcW w:w="8335"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28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268.02</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益阳市第十七中学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1,489.00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1,489.00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1,489.00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1,489.00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1,489.00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1,489.00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4150.14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627.83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15.13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工程项目支出增多。</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卫生健康</w:t>
      </w:r>
      <w:r>
        <w:rPr>
          <w:rFonts w:hint="eastAsia" w:ascii="Times New Roman" w:hAnsi="Times New Roman" w:eastAsia="仿宋_GB2312" w:cs="Times New Roman"/>
          <w:sz w:val="32"/>
          <w:szCs w:val="32"/>
          <w:lang w:eastAsia="zh-CN"/>
        </w:rPr>
        <w:t>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4150.14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3572.89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86.10</w:t>
      </w:r>
      <w:r>
        <w:rPr>
          <w:rFonts w:ascii="Times New Roman" w:hAnsi="Times New Roman" w:eastAsia="仿宋_GB2312" w:cs="Times New Roman"/>
          <w:sz w:val="32"/>
          <w:szCs w:val="32"/>
        </w:rPr>
        <w:t>%；事业收</w:t>
      </w:r>
      <w:r>
        <w:rPr>
          <w:rFonts w:hint="eastAsia" w:ascii="Times New Roman" w:hAnsi="Times New Roman" w:eastAsia="仿宋_GB2312" w:cs="Times New Roman"/>
          <w:sz w:val="32"/>
          <w:szCs w:val="32"/>
          <w:lang w:val="en-US" w:eastAsia="zh-CN"/>
        </w:rPr>
        <w:t>429.21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10.34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148.04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3.56</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4150.1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2569.93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61.92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1580.21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38.08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3572.89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793.21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22.20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工程款的财政拨款增多。</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2083.89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50.21</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645.79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30.99</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津贴补贴减少。</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2083.89</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1966.57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94.37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社会保障和就业支出3.12万元，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卫生健康支出104.20万元，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10.00万元，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0.48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2077.69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2083.89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100.30</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教育支出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普通教育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高中教育</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72</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331.79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459.3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决算数大于预算数的主要原因是</w:t>
      </w:r>
      <w:r>
        <w:rPr>
          <w:rFonts w:hint="eastAsia" w:ascii="Times New Roman" w:hAnsi="Times New Roman" w:eastAsia="仿宋_GB2312" w:cs="Times New Roman"/>
          <w:sz w:val="32"/>
          <w:szCs w:val="32"/>
          <w:lang w:val="en-US" w:eastAsia="zh-CN"/>
        </w:rPr>
        <w:t>做预算时分类错误，把此款项放入其他普通教育支出。</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教育支出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普通教育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其他普通教育支出</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1912.39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1623.97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84.92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做预算时分类错误，把高中教育和教育费附加安排的支出相关费用分入此类。</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教育支出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教育费附加安排的支出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其他教育费附加安排的支出</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10.81</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做预算时分类错误，把此款项放入其他普通教育支出。</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人力资源和社会保障管理事务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引进人才费用</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3.12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学校新增人才引进教师。</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事业单位医疗</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93.07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104.2</w:t>
      </w:r>
      <w:r>
        <w:rPr>
          <w:rFonts w:ascii="Times New Roman" w:hAnsi="Times New Roman" w:eastAsia="仿宋_GB2312" w:cs="Times New Roman"/>
          <w:sz w:val="32"/>
          <w:szCs w:val="32"/>
        </w:rPr>
        <w:t>万元，决算数大于（小于）年初预算数的主要原因是</w:t>
      </w:r>
      <w:r>
        <w:rPr>
          <w:rFonts w:hint="eastAsia" w:ascii="Times New Roman" w:hAnsi="Times New Roman" w:eastAsia="仿宋_GB2312" w:cs="Times New Roman"/>
          <w:sz w:val="32"/>
          <w:szCs w:val="32"/>
          <w:lang w:val="en-US" w:eastAsia="zh-CN"/>
        </w:rPr>
        <w:t>人数增多，医疗基数增大。</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保障性安居工程支出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老旧小区改造</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宿舍房顶渗水，年久失修，临时安排维修。</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1623.97</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77.93</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r>
        <w:rPr>
          <w:rFonts w:hint="eastAsia" w:ascii="Times New Roman" w:hAnsi="Times New Roman" w:eastAsia="楷体_GB2312" w:cs="Times New Roman"/>
          <w:b/>
          <w:bCs/>
          <w:i/>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1992.6</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1724.66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86.55</w:t>
      </w:r>
      <w:r>
        <w:rPr>
          <w:rFonts w:ascii="Times New Roman" w:hAnsi="Times New Roman" w:eastAsia="仿宋_GB2312" w:cs="Times New Roman"/>
          <w:sz w:val="32"/>
          <w:szCs w:val="32"/>
        </w:rPr>
        <w:t>%,主要包括基本工资、津贴补贴、</w:t>
      </w:r>
      <w:r>
        <w:rPr>
          <w:rFonts w:hint="eastAsia" w:ascii="Times New Roman" w:hAnsi="Times New Roman" w:eastAsia="仿宋_GB2312" w:cs="Times New Roman"/>
          <w:sz w:val="32"/>
          <w:szCs w:val="32"/>
          <w:lang w:val="en-US" w:eastAsia="zh-CN"/>
        </w:rPr>
        <w:t>奖金、绩效工资、机关事业单位基本养老保险缴费</w:t>
      </w:r>
      <w:r>
        <w:rPr>
          <w:rFonts w:hint="eastAsia" w:ascii="Times New Roman" w:hAnsi="Times New Roman" w:eastAsia="仿宋_GB2312" w:cs="Times New Roman"/>
          <w:sz w:val="32"/>
          <w:szCs w:val="32"/>
          <w:lang w:eastAsia="zh-CN"/>
        </w:rPr>
        <w:t>、职工基本医疗保险缴费、住房公积金、抚恤金、生活补助、其他对个人和家庭的补助等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rPr>
        <w:t>268.02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13.45</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电费、培训费、工会经费、培训费等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pPr>
        <w:pStyle w:val="12"/>
        <w:overflowPunct w:val="0"/>
        <w:autoSpaceDE/>
        <w:autoSpaceDN/>
        <w:spacing w:line="600" w:lineRule="exact"/>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1489</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1489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1489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其他政府性基金债务收入安排的支出</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pPr>
        <w:pStyle w:val="12"/>
        <w:numPr>
          <w:ilvl w:val="0"/>
          <w:numId w:val="2"/>
        </w:numPr>
        <w:overflowPunct w:val="0"/>
        <w:autoSpaceDE/>
        <w:autoSpaceDN/>
        <w:spacing w:line="600" w:lineRule="exact"/>
        <w:ind w:left="-10" w:leftChars="0" w:firstLine="640" w:firstLineChars="0"/>
        <w:jc w:val="both"/>
        <w:rPr>
          <w:rFonts w:ascii="Times New Roman" w:hAnsi="Times New Roman" w:cs="Times New Roman"/>
          <w:bCs/>
          <w:sz w:val="32"/>
          <w:szCs w:val="32"/>
        </w:rPr>
      </w:pPr>
      <w:r>
        <w:rPr>
          <w:rFonts w:ascii="Times New Roman" w:hAnsi="Times New Roman" w:cs="Times New Roman"/>
          <w:bCs/>
          <w:sz w:val="32"/>
          <w:szCs w:val="32"/>
        </w:rPr>
        <w:t>关于机关运行经费支出说明</w:t>
      </w:r>
    </w:p>
    <w:p>
      <w:pPr>
        <w:pStyle w:val="12"/>
        <w:numPr>
          <w:ilvl w:val="0"/>
          <w:numId w:val="0"/>
        </w:numPr>
        <w:overflowPunct w:val="0"/>
        <w:autoSpaceDE/>
        <w:autoSpaceDN/>
        <w:spacing w:line="600" w:lineRule="exact"/>
        <w:ind w:left="630" w:leftChars="0"/>
        <w:jc w:val="both"/>
        <w:rPr>
          <w:rFonts w:hint="eastAsia" w:ascii="Times New Roman" w:hAnsi="Times New Roman" w:eastAsia="仿宋_GB2312" w:cs="Times New Roman"/>
          <w:bCs/>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2"/>
        <w:numPr>
          <w:ilvl w:val="0"/>
          <w:numId w:val="2"/>
        </w:numPr>
        <w:overflowPunct w:val="0"/>
        <w:autoSpaceDE/>
        <w:autoSpaceDN/>
        <w:spacing w:line="600" w:lineRule="exact"/>
        <w:ind w:left="-10" w:leftChars="0" w:firstLine="640" w:firstLineChars="0"/>
        <w:jc w:val="both"/>
        <w:rPr>
          <w:rFonts w:ascii="Times New Roman" w:hAnsi="Times New Roman" w:cs="Times New Roman"/>
          <w:bCs/>
          <w:sz w:val="32"/>
          <w:szCs w:val="32"/>
        </w:rPr>
      </w:pPr>
      <w:r>
        <w:rPr>
          <w:rFonts w:ascii="Times New Roman" w:hAnsi="Times New Roman" w:cs="Times New Roman"/>
          <w:bCs/>
          <w:sz w:val="32"/>
          <w:szCs w:val="32"/>
        </w:rPr>
        <w:t>一般性支出情况说明</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10.06</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安全工作、教师会、开学工作会、财务工作等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144</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青年教师、食堂账务处理、教师政治业务等</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144</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青年教师比武、教师师德师风和教学能力提升、财务人员业务培训等</w:t>
      </w:r>
      <w:r>
        <w:rPr>
          <w:rFonts w:ascii="Times New Roman" w:hAnsi="Times New Roman" w:eastAsia="仿宋_GB2312" w:cs="Times New Roman"/>
          <w:sz w:val="32"/>
          <w:szCs w:val="32"/>
        </w:rPr>
        <w:t>。</w:t>
      </w:r>
    </w:p>
    <w:p>
      <w:pPr>
        <w:pStyle w:val="12"/>
        <w:numPr>
          <w:ilvl w:val="0"/>
          <w:numId w:val="2"/>
        </w:numPr>
        <w:overflowPunct w:val="0"/>
        <w:autoSpaceDE/>
        <w:autoSpaceDN/>
        <w:spacing w:line="600" w:lineRule="exact"/>
        <w:ind w:left="-10" w:leftChars="0" w:firstLine="640" w:firstLineChars="0"/>
        <w:jc w:val="both"/>
        <w:rPr>
          <w:rFonts w:ascii="Times New Roman" w:hAnsi="Times New Roman" w:cs="Times New Roman"/>
          <w:bCs/>
          <w:sz w:val="32"/>
          <w:szCs w:val="32"/>
        </w:rPr>
      </w:pPr>
      <w:r>
        <w:rPr>
          <w:rFonts w:ascii="Times New Roman" w:hAnsi="Times New Roman" w:cs="Times New Roman"/>
          <w:bCs/>
          <w:sz w:val="32"/>
          <w:szCs w:val="32"/>
        </w:rPr>
        <w:t>关于政府采购支出说明</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kern w:val="0"/>
          <w:sz w:val="32"/>
          <w:szCs w:val="32"/>
          <w:lang w:val="en-US" w:eastAsia="zh-CN"/>
        </w:rPr>
        <w:t>1580.21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91.21</w:t>
      </w:r>
      <w:r>
        <w:rPr>
          <w:rFonts w:ascii="Times New Roman" w:hAnsi="Times New Roman" w:eastAsia="仿宋_GB2312" w:cs="Times New Roman"/>
          <w:kern w:val="0"/>
          <w:sz w:val="32"/>
          <w:szCs w:val="32"/>
        </w:rPr>
        <w:t>万元，占一般公共预算支出总额</w:t>
      </w:r>
      <w:r>
        <w:rPr>
          <w:rFonts w:hint="eastAsia" w:ascii="Times New Roman" w:hAnsi="Times New Roman" w:eastAsia="仿宋_GB2312" w:cs="Times New Roman"/>
          <w:kern w:val="0"/>
          <w:sz w:val="32"/>
          <w:szCs w:val="32"/>
          <w:lang w:val="en-US" w:eastAsia="zh-CN"/>
        </w:rPr>
        <w:t>4.38</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1489</w:t>
      </w:r>
      <w:r>
        <w:rPr>
          <w:rFonts w:ascii="Times New Roman" w:hAnsi="Times New Roman" w:eastAsia="仿宋_GB2312" w:cs="Times New Roman"/>
          <w:kern w:val="0"/>
          <w:sz w:val="32"/>
          <w:szCs w:val="32"/>
        </w:rPr>
        <w:t xml:space="preserve"> 万元</w:t>
      </w:r>
      <w:r>
        <w:rPr>
          <w:rFonts w:hint="eastAsia" w:ascii="Times New Roman" w:hAnsi="Times New Roman" w:eastAsia="仿宋_GB2312" w:cs="Times New Roman"/>
          <w:kern w:val="0"/>
          <w:sz w:val="32"/>
          <w:szCs w:val="32"/>
          <w:lang w:val="en-US" w:eastAsia="zh-CN"/>
        </w:rPr>
        <w:t>,</w:t>
      </w:r>
      <w:r>
        <w:rPr>
          <w:rFonts w:ascii="Times New Roman" w:hAnsi="Times New Roman" w:eastAsia="仿宋_GB2312" w:cs="Times New Roman"/>
          <w:kern w:val="0"/>
          <w:sz w:val="32"/>
          <w:szCs w:val="32"/>
        </w:rPr>
        <w:t>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4196.84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4150.14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98.89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楷体_GB2312" w:cs="Times New Roman"/>
          <w:b/>
          <w:bCs/>
          <w:color w:val="auto"/>
          <w:kern w:val="2"/>
          <w:sz w:val="32"/>
          <w:szCs w:val="32"/>
          <w:lang w:val="en-US" w:eastAsia="zh-CN"/>
        </w:rPr>
        <w:t>(</w:t>
      </w: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pPr>
        <w:pStyle w:val="12"/>
        <w:jc w:val="center"/>
        <w:rPr>
          <w:rFonts w:ascii="Times New Roman" w:hAnsi="Times New Roman" w:cs="Times New Roman"/>
          <w:sz w:val="72"/>
          <w:szCs w:val="72"/>
        </w:rPr>
      </w:pPr>
    </w:p>
    <w:p>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pStyle w:val="12"/>
        <w:ind w:firstLine="640" w:firstLineChars="200"/>
        <w:rPr>
          <w:rFonts w:hint="eastAsia" w:ascii="仿宋" w:hAnsi="仿宋" w:eastAsia="仿宋" w:cs="仿宋"/>
          <w:color w:val="000000"/>
          <w:kern w:val="0"/>
          <w:sz w:val="32"/>
          <w:szCs w:val="32"/>
        </w:rPr>
      </w:pPr>
    </w:p>
    <w:p>
      <w:pPr>
        <w:pStyle w:val="12"/>
        <w:ind w:firstLine="640" w:firstLineChars="200"/>
        <w:rPr>
          <w:rFonts w:hint="eastAsia" w:ascii="仿宋" w:hAnsi="仿宋" w:eastAsia="仿宋" w:cs="仿宋"/>
          <w:color w:val="000000"/>
          <w:kern w:val="0"/>
          <w:sz w:val="32"/>
          <w:szCs w:val="32"/>
        </w:rPr>
      </w:pPr>
    </w:p>
    <w:p>
      <w:pPr>
        <w:pStyle w:val="12"/>
        <w:ind w:firstLine="640" w:firstLineChars="200"/>
        <w:rPr>
          <w:rFonts w:hint="eastAsia" w:ascii="仿宋" w:hAnsi="仿宋" w:eastAsia="仿宋" w:cs="仿宋"/>
          <w:color w:val="000000"/>
          <w:kern w:val="0"/>
          <w:sz w:val="32"/>
          <w:szCs w:val="32"/>
        </w:rPr>
      </w:pPr>
    </w:p>
    <w:p>
      <w:pPr>
        <w:pStyle w:val="12"/>
        <w:ind w:firstLine="640" w:firstLineChars="200"/>
        <w:rPr>
          <w:rFonts w:hint="eastAsia" w:ascii="仿宋" w:hAnsi="仿宋" w:eastAsia="仿宋" w:cs="仿宋"/>
          <w:color w:val="000000"/>
          <w:kern w:val="0"/>
          <w:sz w:val="32"/>
          <w:szCs w:val="32"/>
        </w:rPr>
      </w:pPr>
    </w:p>
    <w:p>
      <w:pPr>
        <w:pStyle w:val="12"/>
        <w:ind w:firstLine="640" w:firstLineChars="200"/>
        <w:rPr>
          <w:rFonts w:hint="eastAsia" w:ascii="仿宋" w:hAnsi="仿宋" w:eastAsia="仿宋" w:cs="仿宋"/>
          <w:color w:val="000000"/>
          <w:kern w:val="0"/>
          <w:sz w:val="32"/>
          <w:szCs w:val="32"/>
        </w:rPr>
      </w:pPr>
    </w:p>
    <w:p>
      <w:pPr>
        <w:pStyle w:val="12"/>
        <w:ind w:firstLine="640" w:firstLineChars="200"/>
        <w:rPr>
          <w:rFonts w:hint="eastAsia" w:ascii="仿宋" w:hAnsi="仿宋" w:eastAsia="仿宋" w:cs="仿宋"/>
          <w:color w:val="000000"/>
          <w:kern w:val="0"/>
          <w:sz w:val="32"/>
          <w:szCs w:val="32"/>
        </w:rPr>
      </w:pPr>
    </w:p>
    <w:p>
      <w:pP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br w:type="page"/>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pPr>
        <w:pStyle w:val="12"/>
        <w:ind w:firstLine="640" w:firstLineChars="200"/>
        <w:rPr>
          <w:rFonts w:ascii="Times New Roman" w:hAnsi="Times New Roman" w:cs="Times New Roman"/>
          <w:sz w:val="72"/>
          <w:szCs w:val="7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rPr>
          <w:rFonts w:ascii="Times New Roman" w:hAnsi="Times New Roman" w:eastAsia="方正小标宋_GBK" w:cs="Times New Roman"/>
          <w:sz w:val="52"/>
          <w:szCs w:val="52"/>
        </w:rPr>
      </w:pPr>
      <w:r>
        <w:rPr>
          <w:rFonts w:ascii="Times New Roman" w:hAnsi="Times New Roman" w:eastAsia="方正小标宋_GBK" w:cs="Times New Roman"/>
          <w:sz w:val="52"/>
          <w:szCs w:val="52"/>
        </w:rPr>
        <w:br w:type="page"/>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spacing w:line="540" w:lineRule="exact"/>
        <w:jc w:val="center"/>
        <w:rPr>
          <w:rFonts w:hint="default" w:ascii="方正小标宋简体" w:eastAsia="方正小标宋简体"/>
          <w:sz w:val="44"/>
          <w:szCs w:val="44"/>
          <w:lang w:val="en-US"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w:t>
      </w:r>
      <w:r>
        <w:rPr>
          <w:rFonts w:hint="eastAsia" w:ascii="方正小标宋简体" w:eastAsia="方正小标宋简体"/>
          <w:sz w:val="44"/>
          <w:szCs w:val="44"/>
          <w:lang w:val="en-US" w:eastAsia="zh-CN"/>
        </w:rPr>
        <w:t>第十七中学</w:t>
      </w:r>
    </w:p>
    <w:p>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pPr>
        <w:spacing w:line="540" w:lineRule="exact"/>
        <w:jc w:val="center"/>
        <w:rPr>
          <w:rFonts w:hint="eastAsia" w:ascii="方正小标宋简体" w:eastAsia="方正小标宋简体"/>
          <w:sz w:val="44"/>
          <w:szCs w:val="44"/>
        </w:rPr>
      </w:pPr>
    </w:p>
    <w:p>
      <w:pPr>
        <w:numPr>
          <w:ilvl w:val="0"/>
          <w:numId w:val="3"/>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（二）部门决算单位构成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0"/>
          <w:szCs w:val="30"/>
        </w:rPr>
      </w:pPr>
      <w:r>
        <w:rPr>
          <w:rFonts w:hint="eastAsia" w:ascii="Times New Roman" w:hAnsi="Times New Roman" w:eastAsia="仿宋_GB2312" w:cs="仿宋_GB2312"/>
          <w:bCs/>
          <w:kern w:val="0"/>
          <w:sz w:val="32"/>
          <w:szCs w:val="32"/>
        </w:rPr>
        <w:t>决算单位构成。</w:t>
      </w:r>
      <w:r>
        <w:rPr>
          <w:rFonts w:hint="eastAsia" w:ascii="仿宋" w:hAnsi="仿宋" w:eastAsia="仿宋" w:cs="仿宋"/>
          <w:sz w:val="30"/>
          <w:szCs w:val="30"/>
        </w:rPr>
        <w:t>湖南省益阳市第十七中学</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w:t>
      </w:r>
      <w:r>
        <w:rPr>
          <w:rFonts w:hint="eastAsia" w:ascii="仿宋" w:hAnsi="仿宋" w:eastAsia="仿宋" w:cs="仿宋"/>
          <w:sz w:val="30"/>
          <w:szCs w:val="30"/>
        </w:rPr>
        <w:t>仅包括第十七中学，无二级财务独立机构。</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单位内设</w:t>
      </w:r>
      <w:r>
        <w:rPr>
          <w:rFonts w:hint="eastAsia" w:ascii="仿宋" w:hAnsi="仿宋" w:eastAsia="仿宋" w:cs="仿宋"/>
          <w:sz w:val="30"/>
          <w:szCs w:val="30"/>
          <w:lang w:val="en-US" w:eastAsia="zh-CN"/>
        </w:rPr>
        <w:t>机构：</w:t>
      </w:r>
      <w:r>
        <w:rPr>
          <w:rFonts w:hint="eastAsia" w:ascii="仿宋" w:hAnsi="仿宋" w:eastAsia="仿宋" w:cs="仿宋"/>
          <w:sz w:val="30"/>
          <w:szCs w:val="30"/>
        </w:rPr>
        <w:t>党务办</w:t>
      </w:r>
      <w:r>
        <w:rPr>
          <w:rFonts w:hint="eastAsia" w:ascii="仿宋" w:hAnsi="仿宋" w:eastAsia="仿宋" w:cs="仿宋"/>
          <w:sz w:val="30"/>
          <w:szCs w:val="30"/>
          <w:lang w:eastAsia="zh-CN"/>
        </w:rPr>
        <w:t>、</w:t>
      </w:r>
      <w:r>
        <w:rPr>
          <w:rFonts w:hint="eastAsia" w:ascii="仿宋" w:hAnsi="仿宋" w:eastAsia="仿宋" w:cs="仿宋"/>
          <w:sz w:val="30"/>
          <w:szCs w:val="30"/>
        </w:rPr>
        <w:t>教导处</w:t>
      </w:r>
      <w:r>
        <w:rPr>
          <w:rFonts w:hint="eastAsia" w:ascii="仿宋" w:hAnsi="仿宋" w:eastAsia="仿宋" w:cs="仿宋"/>
          <w:sz w:val="30"/>
          <w:szCs w:val="30"/>
          <w:lang w:eastAsia="zh-CN"/>
        </w:rPr>
        <w:t>、</w:t>
      </w:r>
      <w:r>
        <w:rPr>
          <w:rFonts w:hint="eastAsia" w:ascii="仿宋" w:hAnsi="仿宋" w:eastAsia="仿宋" w:cs="仿宋"/>
          <w:sz w:val="30"/>
          <w:szCs w:val="30"/>
        </w:rPr>
        <w:t>总务处</w:t>
      </w:r>
      <w:r>
        <w:rPr>
          <w:rFonts w:hint="eastAsia" w:ascii="仿宋" w:hAnsi="仿宋" w:eastAsia="仿宋" w:cs="仿宋"/>
          <w:sz w:val="30"/>
          <w:szCs w:val="30"/>
          <w:lang w:eastAsia="zh-CN"/>
        </w:rPr>
        <w:t>、</w:t>
      </w:r>
      <w:r>
        <w:rPr>
          <w:rFonts w:hint="eastAsia" w:ascii="仿宋" w:hAnsi="仿宋" w:eastAsia="仿宋" w:cs="仿宋"/>
          <w:sz w:val="30"/>
          <w:szCs w:val="30"/>
        </w:rPr>
        <w:t>学生处</w:t>
      </w:r>
      <w:r>
        <w:rPr>
          <w:rFonts w:hint="eastAsia" w:ascii="仿宋" w:hAnsi="仿宋" w:eastAsia="仿宋" w:cs="仿宋"/>
          <w:sz w:val="30"/>
          <w:szCs w:val="30"/>
          <w:lang w:eastAsia="zh-CN"/>
        </w:rPr>
        <w:t>、</w:t>
      </w:r>
      <w:r>
        <w:rPr>
          <w:rFonts w:hint="eastAsia" w:ascii="仿宋" w:hAnsi="仿宋" w:eastAsia="仿宋" w:cs="仿宋"/>
          <w:sz w:val="30"/>
          <w:szCs w:val="30"/>
        </w:rPr>
        <w:t>团委、工会办公室</w:t>
      </w:r>
      <w:r>
        <w:rPr>
          <w:rFonts w:hint="eastAsia" w:ascii="仿宋" w:hAnsi="仿宋" w:eastAsia="仿宋" w:cs="仿宋"/>
          <w:sz w:val="30"/>
          <w:szCs w:val="30"/>
          <w:lang w:val="en-US" w:eastAsia="zh-CN"/>
        </w:rPr>
        <w:t>等。</w:t>
      </w:r>
    </w:p>
    <w:p>
      <w:pPr>
        <w:pStyle w:val="2"/>
        <w:rPr>
          <w:rFonts w:hint="eastAsia"/>
        </w:rPr>
      </w:pPr>
    </w:p>
    <w:p>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pPr>
        <w:spacing w:line="54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益阳市第十七中学202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1992.68</w:t>
      </w:r>
      <w:r>
        <w:rPr>
          <w:rFonts w:hint="eastAsia" w:ascii="仿宋_GB2312" w:eastAsia="仿宋_GB2312"/>
          <w:sz w:val="32"/>
          <w:szCs w:val="32"/>
        </w:rPr>
        <w:t>万元,其中工资福利支出</w:t>
      </w:r>
      <w:r>
        <w:rPr>
          <w:rFonts w:hint="eastAsia" w:ascii="仿宋_GB2312" w:eastAsia="仿宋_GB2312"/>
          <w:sz w:val="32"/>
          <w:szCs w:val="32"/>
          <w:lang w:val="en-US" w:eastAsia="zh-CN"/>
        </w:rPr>
        <w:t>1704.03</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20.63</w:t>
      </w:r>
      <w:r>
        <w:rPr>
          <w:rFonts w:hint="eastAsia" w:ascii="仿宋_GB2312" w:eastAsia="仿宋_GB2312"/>
          <w:sz w:val="32"/>
          <w:szCs w:val="32"/>
        </w:rPr>
        <w:t>万元，商品和服务支出</w:t>
      </w:r>
      <w:r>
        <w:rPr>
          <w:rFonts w:hint="eastAsia" w:ascii="仿宋_GB2312" w:eastAsia="仿宋_GB2312"/>
          <w:sz w:val="32"/>
          <w:szCs w:val="32"/>
          <w:lang w:val="en-US" w:eastAsia="zh-CN"/>
        </w:rPr>
        <w:t>237.42</w:t>
      </w:r>
      <w:r>
        <w:rPr>
          <w:rFonts w:hint="eastAsia" w:ascii="仿宋_GB2312" w:eastAsia="仿宋_GB2312"/>
          <w:sz w:val="32"/>
          <w:szCs w:val="32"/>
        </w:rPr>
        <w:t>万元</w:t>
      </w:r>
      <w:r>
        <w:rPr>
          <w:rFonts w:hint="eastAsia" w:ascii="仿宋_GB2312" w:eastAsia="仿宋_GB2312"/>
          <w:sz w:val="32"/>
          <w:szCs w:val="32"/>
          <w:lang w:val="en-US" w:eastAsia="zh-CN"/>
        </w:rPr>
        <w:t>,资本性支出30.60万元。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益阳市第十七中学202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1704.03</w:t>
      </w:r>
      <w:r>
        <w:rPr>
          <w:rFonts w:hint="eastAsia" w:ascii="仿宋_GB2312" w:eastAsia="仿宋_GB2312"/>
          <w:sz w:val="32"/>
          <w:szCs w:val="32"/>
        </w:rPr>
        <w:t>万元，其中基本工资</w:t>
      </w:r>
      <w:r>
        <w:rPr>
          <w:rFonts w:hint="eastAsia" w:ascii="仿宋_GB2312" w:eastAsia="仿宋_GB2312"/>
          <w:sz w:val="32"/>
          <w:szCs w:val="32"/>
          <w:lang w:val="en-US" w:eastAsia="zh-CN"/>
        </w:rPr>
        <w:t>839.63</w:t>
      </w:r>
      <w:r>
        <w:rPr>
          <w:rFonts w:hint="eastAsia" w:ascii="仿宋_GB2312" w:eastAsia="仿宋_GB2312"/>
          <w:sz w:val="32"/>
          <w:szCs w:val="32"/>
        </w:rPr>
        <w:t>万元、津贴补贴</w:t>
      </w:r>
      <w:r>
        <w:rPr>
          <w:rFonts w:hint="eastAsia" w:ascii="仿宋_GB2312" w:eastAsia="仿宋_GB2312"/>
          <w:sz w:val="32"/>
          <w:szCs w:val="32"/>
          <w:lang w:val="en-US" w:eastAsia="zh-CN"/>
        </w:rPr>
        <w:t>57.88</w:t>
      </w:r>
      <w:r>
        <w:rPr>
          <w:rFonts w:hint="eastAsia" w:ascii="仿宋_GB2312" w:eastAsia="仿宋_GB2312"/>
          <w:sz w:val="32"/>
          <w:szCs w:val="32"/>
        </w:rPr>
        <w:t>万元、</w:t>
      </w:r>
      <w:r>
        <w:rPr>
          <w:rFonts w:hint="eastAsia" w:ascii="仿宋_GB2312" w:eastAsia="仿宋_GB2312"/>
          <w:sz w:val="32"/>
          <w:szCs w:val="32"/>
          <w:lang w:val="en-US" w:eastAsia="zh-CN"/>
        </w:rPr>
        <w:t>奖金50.00万元，</w:t>
      </w:r>
      <w:r>
        <w:rPr>
          <w:rFonts w:hint="eastAsia" w:ascii="仿宋_GB2312" w:eastAsia="仿宋_GB2312"/>
          <w:sz w:val="32"/>
          <w:szCs w:val="32"/>
        </w:rPr>
        <w:t>绩效工资</w:t>
      </w:r>
      <w:r>
        <w:rPr>
          <w:rFonts w:hint="eastAsia" w:ascii="仿宋_GB2312" w:eastAsia="仿宋_GB2312"/>
          <w:sz w:val="32"/>
          <w:szCs w:val="32"/>
          <w:lang w:val="en-US" w:eastAsia="zh-CN"/>
        </w:rPr>
        <w:t>321.23</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182.07</w:t>
      </w:r>
      <w:r>
        <w:rPr>
          <w:rFonts w:hint="eastAsia" w:ascii="仿宋_GB2312" w:eastAsia="仿宋_GB2312"/>
          <w:sz w:val="32"/>
          <w:szCs w:val="32"/>
        </w:rPr>
        <w:t>万元、职工基本医疗保险缴费</w:t>
      </w:r>
      <w:r>
        <w:rPr>
          <w:rFonts w:hint="eastAsia" w:ascii="仿宋_GB2312" w:eastAsia="仿宋_GB2312"/>
          <w:sz w:val="32"/>
          <w:szCs w:val="32"/>
          <w:lang w:val="en-US" w:eastAsia="zh-CN"/>
        </w:rPr>
        <w:t>104.2</w:t>
      </w:r>
      <w:r>
        <w:rPr>
          <w:rFonts w:hint="eastAsia" w:ascii="仿宋_GB2312" w:eastAsia="仿宋_GB2312"/>
          <w:sz w:val="32"/>
          <w:szCs w:val="32"/>
        </w:rPr>
        <w:t>万元、住房公积金</w:t>
      </w:r>
      <w:r>
        <w:rPr>
          <w:rFonts w:hint="eastAsia" w:ascii="仿宋_GB2312" w:eastAsia="仿宋_GB2312"/>
          <w:sz w:val="32"/>
          <w:szCs w:val="32"/>
          <w:lang w:val="en-US" w:eastAsia="zh-CN"/>
        </w:rPr>
        <w:t>149.02</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益阳市第十七中学202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237.42</w:t>
      </w:r>
      <w:r>
        <w:rPr>
          <w:rFonts w:hint="eastAsia" w:ascii="仿宋_GB2312" w:eastAsia="仿宋_GB2312"/>
          <w:sz w:val="32"/>
          <w:szCs w:val="32"/>
        </w:rPr>
        <w:t>万元，其中办公费2.6万元、印刷费</w:t>
      </w:r>
      <w:r>
        <w:rPr>
          <w:rFonts w:hint="eastAsia" w:ascii="仿宋_GB2312" w:eastAsia="仿宋_GB2312"/>
          <w:sz w:val="32"/>
          <w:szCs w:val="32"/>
          <w:lang w:val="en-US" w:eastAsia="zh-CN"/>
        </w:rPr>
        <w:t>2.2</w:t>
      </w:r>
      <w:r>
        <w:rPr>
          <w:rFonts w:hint="eastAsia" w:ascii="仿宋_GB2312" w:eastAsia="仿宋_GB2312"/>
          <w:sz w:val="32"/>
          <w:szCs w:val="32"/>
        </w:rPr>
        <w:t>万元、电费</w:t>
      </w:r>
      <w:r>
        <w:rPr>
          <w:rFonts w:hint="eastAsia" w:ascii="仿宋_GB2312" w:eastAsia="仿宋_GB2312"/>
          <w:sz w:val="32"/>
          <w:szCs w:val="32"/>
          <w:lang w:val="en-US" w:eastAsia="zh-CN"/>
        </w:rPr>
        <w:t>55.7</w:t>
      </w:r>
      <w:r>
        <w:rPr>
          <w:rFonts w:hint="eastAsia" w:ascii="仿宋_GB2312" w:eastAsia="仿宋_GB2312"/>
          <w:sz w:val="32"/>
          <w:szCs w:val="32"/>
        </w:rPr>
        <w:t>万元、物业管理费</w:t>
      </w:r>
      <w:r>
        <w:rPr>
          <w:rFonts w:hint="eastAsia" w:ascii="仿宋_GB2312" w:eastAsia="仿宋_GB2312"/>
          <w:sz w:val="32"/>
          <w:szCs w:val="32"/>
          <w:lang w:val="en-US" w:eastAsia="zh-CN"/>
        </w:rPr>
        <w:t>2.4</w:t>
      </w:r>
      <w:r>
        <w:rPr>
          <w:rFonts w:hint="eastAsia" w:ascii="仿宋_GB2312" w:eastAsia="仿宋_GB2312"/>
          <w:sz w:val="32"/>
          <w:szCs w:val="32"/>
        </w:rPr>
        <w:t>万元、维修（护）费</w:t>
      </w:r>
      <w:r>
        <w:rPr>
          <w:rFonts w:hint="eastAsia" w:ascii="仿宋_GB2312" w:eastAsia="仿宋_GB2312"/>
          <w:sz w:val="32"/>
          <w:szCs w:val="32"/>
          <w:lang w:val="en-US" w:eastAsia="zh-CN"/>
        </w:rPr>
        <w:t>5.07</w:t>
      </w:r>
      <w:r>
        <w:rPr>
          <w:rFonts w:hint="eastAsia" w:ascii="仿宋_GB2312" w:eastAsia="仿宋_GB2312"/>
          <w:sz w:val="32"/>
          <w:szCs w:val="32"/>
        </w:rPr>
        <w:t>万元、会议费</w:t>
      </w:r>
      <w:r>
        <w:rPr>
          <w:rFonts w:hint="eastAsia" w:ascii="仿宋_GB2312" w:eastAsia="仿宋_GB2312"/>
          <w:sz w:val="32"/>
          <w:szCs w:val="32"/>
          <w:lang w:val="en-US" w:eastAsia="zh-CN"/>
        </w:rPr>
        <w:t>10.06</w:t>
      </w:r>
      <w:r>
        <w:rPr>
          <w:rFonts w:hint="eastAsia" w:ascii="仿宋_GB2312" w:eastAsia="仿宋_GB2312"/>
          <w:sz w:val="32"/>
          <w:szCs w:val="32"/>
        </w:rPr>
        <w:t>万元、培训费</w:t>
      </w:r>
      <w:r>
        <w:rPr>
          <w:rFonts w:hint="eastAsia" w:ascii="仿宋_GB2312" w:eastAsia="仿宋_GB2312"/>
          <w:sz w:val="32"/>
          <w:szCs w:val="32"/>
          <w:lang w:val="en-US" w:eastAsia="zh-CN"/>
        </w:rPr>
        <w:t>15.00</w:t>
      </w:r>
      <w:r>
        <w:rPr>
          <w:rFonts w:hint="eastAsia" w:ascii="仿宋_GB2312" w:eastAsia="仿宋_GB2312"/>
          <w:sz w:val="32"/>
          <w:szCs w:val="32"/>
        </w:rPr>
        <w:t>万元、</w:t>
      </w:r>
      <w:r>
        <w:rPr>
          <w:rFonts w:hint="eastAsia" w:ascii="仿宋_GB2312" w:eastAsia="仿宋_GB2312"/>
          <w:sz w:val="32"/>
          <w:szCs w:val="32"/>
          <w:lang w:val="en-US" w:eastAsia="zh-CN"/>
        </w:rPr>
        <w:t>专用材料费51.00万元、劳务费9.44万元、</w:t>
      </w:r>
      <w:r>
        <w:rPr>
          <w:rFonts w:hint="eastAsia" w:ascii="仿宋_GB2312" w:eastAsia="仿宋_GB2312"/>
          <w:sz w:val="32"/>
          <w:szCs w:val="32"/>
        </w:rPr>
        <w:t>工会经费</w:t>
      </w:r>
      <w:r>
        <w:rPr>
          <w:rFonts w:hint="eastAsia" w:ascii="仿宋_GB2312" w:eastAsia="仿宋_GB2312"/>
          <w:sz w:val="32"/>
          <w:szCs w:val="32"/>
          <w:lang w:val="en-US" w:eastAsia="zh-CN"/>
        </w:rPr>
        <w:t>30.00</w:t>
      </w:r>
      <w:r>
        <w:rPr>
          <w:rFonts w:hint="eastAsia" w:ascii="仿宋_GB2312" w:eastAsia="仿宋_GB2312"/>
          <w:sz w:val="32"/>
          <w:szCs w:val="32"/>
        </w:rPr>
        <w:t>万元、福利费</w:t>
      </w:r>
      <w:r>
        <w:rPr>
          <w:rFonts w:hint="eastAsia" w:ascii="仿宋_GB2312" w:eastAsia="仿宋_GB2312"/>
          <w:sz w:val="32"/>
          <w:szCs w:val="32"/>
          <w:lang w:val="en-US" w:eastAsia="zh-CN"/>
        </w:rPr>
        <w:t>11.00万</w:t>
      </w:r>
      <w:r>
        <w:rPr>
          <w:rFonts w:hint="eastAsia" w:ascii="仿宋_GB2312" w:eastAsia="仿宋_GB2312"/>
          <w:sz w:val="32"/>
          <w:szCs w:val="32"/>
        </w:rPr>
        <w:t>元、其他商品和服务支出</w:t>
      </w:r>
      <w:r>
        <w:rPr>
          <w:rFonts w:hint="eastAsia" w:ascii="仿宋_GB2312" w:eastAsia="仿宋_GB2312"/>
          <w:sz w:val="32"/>
          <w:szCs w:val="32"/>
          <w:lang w:val="en-US" w:eastAsia="zh-CN"/>
        </w:rPr>
        <w:t>42.95</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益阳市第十七中学202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20.63</w:t>
      </w:r>
      <w:r>
        <w:rPr>
          <w:rFonts w:hint="eastAsia" w:ascii="仿宋_GB2312" w:eastAsia="仿宋_GB2312"/>
          <w:sz w:val="32"/>
          <w:szCs w:val="32"/>
        </w:rPr>
        <w:t>万元，其中抚恤金</w:t>
      </w:r>
      <w:r>
        <w:rPr>
          <w:rFonts w:hint="eastAsia" w:ascii="仿宋_GB2312" w:eastAsia="仿宋_GB2312"/>
          <w:sz w:val="32"/>
          <w:szCs w:val="32"/>
          <w:lang w:val="en-US" w:eastAsia="zh-CN"/>
        </w:rPr>
        <w:t>4.83</w:t>
      </w:r>
      <w:r>
        <w:rPr>
          <w:rFonts w:hint="eastAsia" w:ascii="仿宋_GB2312" w:eastAsia="仿宋_GB2312"/>
          <w:sz w:val="32"/>
          <w:szCs w:val="32"/>
        </w:rPr>
        <w:t>万元、生活补助</w:t>
      </w:r>
      <w:r>
        <w:rPr>
          <w:rFonts w:hint="eastAsia" w:ascii="仿宋_GB2312" w:eastAsia="仿宋_GB2312"/>
          <w:sz w:val="32"/>
          <w:szCs w:val="32"/>
          <w:lang w:val="en-US" w:eastAsia="zh-CN"/>
        </w:rPr>
        <w:t>14.31</w:t>
      </w:r>
      <w:r>
        <w:rPr>
          <w:rFonts w:hint="eastAsia" w:ascii="仿宋_GB2312" w:eastAsia="仿宋_GB2312"/>
          <w:sz w:val="32"/>
          <w:szCs w:val="32"/>
        </w:rPr>
        <w:t>万元、其他对个人和家庭的补助</w:t>
      </w:r>
      <w:r>
        <w:rPr>
          <w:rFonts w:hint="eastAsia" w:ascii="仿宋_GB2312" w:eastAsia="仿宋_GB2312"/>
          <w:sz w:val="32"/>
          <w:szCs w:val="32"/>
          <w:lang w:val="en-US" w:eastAsia="zh-CN"/>
        </w:rPr>
        <w:t>1.49</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益阳市第十七中学202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资本性支出30.60元，其中专用设备购置30.60万元。</w:t>
      </w:r>
    </w:p>
    <w:p>
      <w:pPr>
        <w:numPr>
          <w:ilvl w:val="0"/>
          <w:numId w:val="4"/>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益阳市第十七中学2025年度一般公共预算财政拨款项目支出91.21万元,其中资本性支出91.21万元。资本性支出占项目支出的100%。</w:t>
      </w:r>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pPr>
        <w:spacing w:line="540" w:lineRule="exact"/>
        <w:ind w:firstLine="640" w:firstLineChars="200"/>
        <w:rPr>
          <w:rFonts w:hint="eastAsia" w:ascii="黑体" w:hAnsi="黑体" w:eastAsia="黑体"/>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1489</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1489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1489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bookmarkStart w:id="4" w:name="_GoBack"/>
      <w:bookmarkEnd w:id="4"/>
    </w:p>
    <w:p>
      <w:pPr>
        <w:numPr>
          <w:ilvl w:val="0"/>
          <w:numId w:val="5"/>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益阳市第十七中学</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pPr>
        <w:numPr>
          <w:ilvl w:val="0"/>
          <w:numId w:val="6"/>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pPr>
        <w:numPr>
          <w:ilvl w:val="0"/>
          <w:numId w:val="6"/>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pPr>
        <w:numPr>
          <w:ilvl w:val="0"/>
          <w:numId w:val="7"/>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pPr>
        <w:numPr>
          <w:ilvl w:val="0"/>
          <w:numId w:val="6"/>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益阳市第十七中学</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益阳市第十七中学</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pPr>
        <w:numPr>
          <w:ilvl w:val="0"/>
          <w:numId w:val="6"/>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pPr>
        <w:pStyle w:val="2"/>
      </w:pPr>
    </w:p>
    <w:p>
      <w:pPr>
        <w:pStyle w:val="12"/>
        <w:spacing w:line="600" w:lineRule="exact"/>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316562"/>
    <w:multiLevelType w:val="singleLevel"/>
    <w:tmpl w:val="87316562"/>
    <w:lvl w:ilvl="0" w:tentative="0">
      <w:start w:val="1"/>
      <w:numFmt w:val="chineseCounting"/>
      <w:suff w:val="nothing"/>
      <w:lvlText w:val="（%1）"/>
      <w:lvlJc w:val="left"/>
      <w:pPr>
        <w:ind w:left="0" w:firstLine="420"/>
      </w:pPr>
      <w:rPr>
        <w:rFonts w:hint="eastAsia"/>
      </w:rPr>
    </w:lvl>
  </w:abstractNum>
  <w:abstractNum w:abstractNumId="1">
    <w:nsid w:val="CF65111A"/>
    <w:multiLevelType w:val="singleLevel"/>
    <w:tmpl w:val="CF65111A"/>
    <w:lvl w:ilvl="0" w:tentative="0">
      <w:start w:val="1"/>
      <w:numFmt w:val="decimal"/>
      <w:lvlText w:val="%1."/>
      <w:lvlJc w:val="left"/>
      <w:pPr>
        <w:tabs>
          <w:tab w:val="left" w:pos="312"/>
        </w:tabs>
      </w:pPr>
    </w:lvl>
  </w:abstractNum>
  <w:abstractNum w:abstractNumId="2">
    <w:nsid w:val="EFDA9891"/>
    <w:multiLevelType w:val="singleLevel"/>
    <w:tmpl w:val="EFDA9891"/>
    <w:lvl w:ilvl="0" w:tentative="0">
      <w:start w:val="9"/>
      <w:numFmt w:val="chineseCounting"/>
      <w:suff w:val="nothing"/>
      <w:lvlText w:val="%1、"/>
      <w:lvlJc w:val="left"/>
      <w:pPr>
        <w:ind w:left="-10"/>
      </w:pPr>
      <w:rPr>
        <w:rFonts w:hint="eastAsia"/>
      </w:rPr>
    </w:lvl>
  </w:abstractNum>
  <w:abstractNum w:abstractNumId="3">
    <w:nsid w:val="32D1E1B7"/>
    <w:multiLevelType w:val="singleLevel"/>
    <w:tmpl w:val="32D1E1B7"/>
    <w:lvl w:ilvl="0" w:tentative="0">
      <w:start w:val="2"/>
      <w:numFmt w:val="chineseCounting"/>
      <w:suff w:val="nothing"/>
      <w:lvlText w:val="（%1）"/>
      <w:lvlJc w:val="left"/>
      <w:rPr>
        <w:rFonts w:hint="eastAsia"/>
      </w:rPr>
    </w:lvl>
  </w:abstractNum>
  <w:abstractNum w:abstractNumId="4">
    <w:nsid w:val="4D452EE6"/>
    <w:multiLevelType w:val="singleLevel"/>
    <w:tmpl w:val="4D452EE6"/>
    <w:lvl w:ilvl="0" w:tentative="0">
      <w:start w:val="1"/>
      <w:numFmt w:val="chineseCounting"/>
      <w:suff w:val="nothing"/>
      <w:lvlText w:val="%1、"/>
      <w:lvlJc w:val="left"/>
      <w:rPr>
        <w:rFonts w:hint="eastAsia"/>
      </w:rPr>
    </w:lvl>
  </w:abstractNum>
  <w:abstractNum w:abstractNumId="5">
    <w:nsid w:val="62FC3140"/>
    <w:multiLevelType w:val="singleLevel"/>
    <w:tmpl w:val="62FC3140"/>
    <w:lvl w:ilvl="0" w:tentative="0">
      <w:start w:val="4"/>
      <w:numFmt w:val="chineseCounting"/>
      <w:suff w:val="nothing"/>
      <w:lvlText w:val="%1、"/>
      <w:lvlJc w:val="left"/>
      <w:rPr>
        <w:rFonts w:hint="eastAsia"/>
      </w:rPr>
    </w:lvl>
  </w:abstractNum>
  <w:abstractNum w:abstractNumId="6">
    <w:nsid w:val="7879F838"/>
    <w:multiLevelType w:val="singleLevel"/>
    <w:tmpl w:val="7879F838"/>
    <w:lvl w:ilvl="0" w:tentative="0">
      <w:start w:val="7"/>
      <w:numFmt w:val="chineseCounting"/>
      <w:suff w:val="nothing"/>
      <w:lvlText w:val="%1、"/>
      <w:lvlJc w:val="left"/>
      <w:rPr>
        <w:rFonts w:hint="eastAsia"/>
      </w:rPr>
    </w:lvl>
  </w:abstractNum>
  <w:num w:numId="1">
    <w:abstractNumId w:val="0"/>
  </w:num>
  <w:num w:numId="2">
    <w:abstractNumId w:val="2"/>
  </w:num>
  <w:num w:numId="3">
    <w:abstractNumId w:val="4"/>
  </w:num>
  <w:num w:numId="4">
    <w:abstractNumId w:val="3"/>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8C6ADA"/>
    <w:rsid w:val="0E483FB4"/>
    <w:rsid w:val="1D97DEFF"/>
    <w:rsid w:val="1DFF72E5"/>
    <w:rsid w:val="1EFC6F07"/>
    <w:rsid w:val="21293760"/>
    <w:rsid w:val="2FDF85B8"/>
    <w:rsid w:val="2FFFEE04"/>
    <w:rsid w:val="34DF85B0"/>
    <w:rsid w:val="3B8F36BC"/>
    <w:rsid w:val="3E2B3D0C"/>
    <w:rsid w:val="40732E07"/>
    <w:rsid w:val="491FF225"/>
    <w:rsid w:val="4FFD214C"/>
    <w:rsid w:val="50F54B3B"/>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427</Words>
  <Characters>433</Characters>
  <Lines>69</Lines>
  <Paragraphs>19</Paragraphs>
  <TotalTime>2</TotalTime>
  <ScaleCrop>false</ScaleCrop>
  <LinksUpToDate>false</LinksUpToDate>
  <CharactersWithSpaces>440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就是脑袋疼</cp:lastModifiedBy>
  <cp:lastPrinted>2024-08-10T02:20:00Z</cp:lastPrinted>
  <dcterms:modified xsi:type="dcterms:W3CDTF">2026-09-03T04:48:23Z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2628D4CDBB3D458B93EDC0A4B05D94B1_13</vt:lpwstr>
  </property>
  <property fmtid="{D5CDD505-2E9C-101B-9397-08002B2CF9AE}" pid="4" name="KSOTemplateDocerSaveRecord">
    <vt:lpwstr>eyJoZGlkIjoiMWUyMzAwN2E3NTIzMWYxYjI3ZWYwZmExNDRhZjE1NzciLCJ1c2VySWQiOiIyNDc1NTIyIn0=</vt:lpwstr>
  </property>
</Properties>
</file>