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pPr>
        <w:pStyle w:val="12"/>
        <w:jc w:val="center"/>
        <w:rPr>
          <w:rFonts w:ascii="Times New Roman" w:hAnsi="Times New Roman" w:cs="Times New Roman"/>
          <w:sz w:val="56"/>
          <w:szCs w:val="56"/>
        </w:rPr>
      </w:pPr>
    </w:p>
    <w:p>
      <w:pPr>
        <w:pStyle w:val="12"/>
        <w:jc w:val="center"/>
        <w:rPr>
          <w:rFonts w:ascii="Times New Roman" w:hAnsi="Times New Roman" w:cs="Times New Roman"/>
          <w:sz w:val="84"/>
          <w:szCs w:val="84"/>
        </w:rPr>
      </w:pPr>
    </w:p>
    <w:p>
      <w:pPr>
        <w:pStyle w:val="12"/>
        <w:jc w:val="center"/>
        <w:rPr>
          <w:rFonts w:ascii="Times New Roman" w:hAnsi="Times New Roman" w:cs="Times New Roman"/>
          <w:sz w:val="84"/>
          <w:szCs w:val="84"/>
        </w:rPr>
      </w:pPr>
    </w:p>
    <w:p>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pPr>
        <w:pStyle w:val="12"/>
        <w:jc w:val="center"/>
        <w:rPr>
          <w:rFonts w:ascii="Times New Roman" w:hAnsi="Times New Roman" w:eastAsia="方正小标宋简体" w:cs="Times New Roman"/>
          <w:sz w:val="72"/>
          <w:szCs w:val="72"/>
        </w:rPr>
      </w:pPr>
      <w:r>
        <w:rPr>
          <w:rFonts w:hint="default" w:ascii="Times New Roman" w:hAnsi="Times New Roman" w:eastAsia="方正小标宋简体" w:cs="Times New Roman"/>
          <w:sz w:val="72"/>
          <w:szCs w:val="72"/>
          <w:lang w:val="en"/>
        </w:rPr>
        <w:t>益阳市赫山区教育局体育卫生保健所</w:t>
      </w:r>
      <w:r>
        <w:rPr>
          <w:rFonts w:hint="eastAsia" w:ascii="Times New Roman" w:hAnsi="Times New Roman" w:eastAsia="方正小标宋简体" w:cs="Times New Roman"/>
          <w:sz w:val="72"/>
          <w:szCs w:val="72"/>
        </w:rPr>
        <w:t>部门决算</w:t>
      </w:r>
    </w:p>
    <w:p>
      <w:pPr>
        <w:pStyle w:val="12"/>
        <w:jc w:val="center"/>
        <w:rPr>
          <w:rFonts w:ascii="Times New Roman" w:hAnsi="Times New Roman" w:eastAsia="方正小标宋_GBK" w:cs="Times New Roman"/>
          <w:sz w:val="56"/>
          <w:szCs w:val="56"/>
        </w:rPr>
      </w:pPr>
    </w:p>
    <w:p>
      <w:pPr>
        <w:pStyle w:val="12"/>
        <w:jc w:val="center"/>
        <w:rPr>
          <w:rFonts w:ascii="Times New Roman" w:hAnsi="Times New Roman" w:cs="Times New Roman"/>
          <w:sz w:val="56"/>
          <w:szCs w:val="56"/>
        </w:rPr>
      </w:pPr>
    </w:p>
    <w:p>
      <w:pPr>
        <w:pStyle w:val="12"/>
        <w:rPr>
          <w:rFonts w:ascii="Times New Roman" w:hAnsi="Times New Roman" w:cs="Times New Roman"/>
          <w:sz w:val="56"/>
          <w:szCs w:val="56"/>
        </w:rPr>
      </w:pPr>
    </w:p>
    <w:p>
      <w:pPr>
        <w:pStyle w:val="12"/>
        <w:jc w:val="center"/>
        <w:rPr>
          <w:rFonts w:ascii="Times New Roman" w:hAnsi="Times New Roman" w:cs="Times New Roman"/>
          <w:sz w:val="32"/>
          <w:szCs w:val="32"/>
        </w:rPr>
      </w:pPr>
    </w:p>
    <w:p>
      <w:pPr>
        <w:pStyle w:val="12"/>
        <w:spacing w:line="600" w:lineRule="exact"/>
        <w:jc w:val="center"/>
        <w:rPr>
          <w:rFonts w:ascii="Times New Roman" w:hAnsi="Times New Roman" w:cs="Times New Roman"/>
          <w:bCs/>
          <w:sz w:val="36"/>
          <w:szCs w:val="28"/>
        </w:rPr>
      </w:pPr>
    </w:p>
    <w:p>
      <w:pPr>
        <w:pStyle w:val="12"/>
        <w:spacing w:line="600" w:lineRule="exact"/>
        <w:jc w:val="center"/>
        <w:rPr>
          <w:rFonts w:ascii="Times New Roman" w:hAnsi="Times New Roman" w:cs="Times New Roman"/>
          <w:bCs/>
          <w:sz w:val="36"/>
          <w:szCs w:val="28"/>
        </w:rPr>
      </w:pPr>
    </w:p>
    <w:p>
      <w:pPr>
        <w:pStyle w:val="12"/>
        <w:spacing w:line="600" w:lineRule="exact"/>
        <w:jc w:val="center"/>
        <w:rPr>
          <w:rFonts w:ascii="Times New Roman" w:hAnsi="Times New Roman" w:cs="Times New Roman"/>
          <w:bCs/>
          <w:sz w:val="36"/>
          <w:szCs w:val="28"/>
        </w:rPr>
      </w:pPr>
    </w:p>
    <w:p>
      <w:pPr>
        <w:pStyle w:val="12"/>
        <w:spacing w:line="600" w:lineRule="exact"/>
        <w:jc w:val="center"/>
        <w:rPr>
          <w:rFonts w:ascii="Times New Roman" w:hAnsi="Times New Roman" w:cs="Times New Roman"/>
          <w:bCs/>
          <w:sz w:val="36"/>
          <w:szCs w:val="28"/>
        </w:rPr>
      </w:pPr>
    </w:p>
    <w:p>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2"/>
        <w:spacing w:line="600" w:lineRule="exact"/>
        <w:jc w:val="center"/>
        <w:rPr>
          <w:rFonts w:ascii="Times New Roman" w:hAnsi="Times New Roman" w:cs="Times New Roman"/>
          <w:b/>
          <w:sz w:val="36"/>
          <w:szCs w:val="28"/>
        </w:rPr>
      </w:pPr>
    </w:p>
    <w:p>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default" w:ascii="Times New Roman" w:hAnsi="Times New Roman" w:cs="Times New Roman"/>
          <w:bCs/>
          <w:sz w:val="32"/>
          <w:szCs w:val="32"/>
          <w:lang w:val="en" w:eastAsia="zh-CN"/>
        </w:rPr>
        <w:t>益阳市赫山区教育局体育卫生保健所</w:t>
      </w:r>
      <w:r>
        <w:rPr>
          <w:rFonts w:ascii="Times New Roman" w:hAnsi="Times New Roman" w:cs="Times New Roman"/>
          <w:bCs/>
          <w:sz w:val="32"/>
          <w:szCs w:val="32"/>
        </w:rPr>
        <w:t>概况</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2"/>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2"/>
        <w:rPr>
          <w:rFonts w:ascii="Times New Roman" w:hAnsi="Times New Roman" w:cs="Times New Roman"/>
        </w:rPr>
        <w:sectPr>
          <w:footerReference r:id="rId4"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pPr>
        <w:rPr>
          <w:rFonts w:ascii="Times New Roman" w:hAnsi="Times New Roman" w:eastAsia="方正小标宋_GBK"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2"/>
        <w:spacing w:line="360" w:lineRule="auto"/>
        <w:jc w:val="center"/>
        <w:rPr>
          <w:rFonts w:ascii="Times New Roman" w:hAnsi="Times New Roman" w:eastAsia="方正小标宋_GBK" w:cs="Times New Roman"/>
          <w:sz w:val="52"/>
          <w:szCs w:val="52"/>
        </w:rPr>
      </w:pPr>
      <w:r>
        <w:rPr>
          <w:rFonts w:hint="default" w:ascii="Times New Roman" w:hAnsi="Times New Roman" w:eastAsia="方正小标宋_GBK" w:cs="Times New Roman"/>
          <w:sz w:val="52"/>
          <w:szCs w:val="52"/>
          <w:lang w:val="en" w:eastAsia="zh-CN"/>
        </w:rPr>
        <w:t>益阳市赫山区教育局体育卫生保健所</w:t>
      </w:r>
      <w:r>
        <w:rPr>
          <w:rFonts w:ascii="Times New Roman" w:hAnsi="Times New Roman" w:eastAsia="方正小标宋_GBK" w:cs="Times New Roman"/>
          <w:sz w:val="52"/>
          <w:szCs w:val="52"/>
        </w:rPr>
        <w:t>概况</w:t>
      </w:r>
    </w:p>
    <w:p>
      <w:pPr>
        <w:pStyle w:val="3"/>
        <w:ind w:left="0" w:leftChars="0" w:firstLine="0" w:firstLineChars="0"/>
        <w:rPr>
          <w:rFonts w:ascii="Times New Roman" w:hAnsi="Times New Roman" w:cs="Times New Roman"/>
        </w:rPr>
      </w:pPr>
    </w:p>
    <w:p>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spacing w:line="600" w:lineRule="exact"/>
        <w:ind w:firstLine="800" w:firstLineChars="25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益阳市赫山区保健所的主要职责是负责全区各学校的体育器材和医务保健室器材购买的指导以及对全区各学校体育教师和医务保健室的工作人员的监督和考核，认真贯彻落实体育和卫生保健工作制度，负责检查全区各学校体育教师和卫生保健工作人员履行岗位职责情况，组织开展体育教育教学活动，保证全区体育教育教学质量，负责召开好全区中小学体育运动会，保障全区防疫仪器和防疫物资的供用，维护本单位职工利益，保障本单位职工合法权益，以本单位人生幸福和生命质量作为重点。</w:t>
      </w:r>
    </w:p>
    <w:p>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ind w:firstLine="560" w:firstLineChars="200"/>
        <w:jc w:val="left"/>
        <w:rPr>
          <w:rFonts w:hint="eastAsia" w:ascii="Times New Roman" w:hAnsi="Times New Roman" w:eastAsia="仿宋_GB2312" w:cs="Times New Roman"/>
          <w:sz w:val="28"/>
          <w:szCs w:val="32"/>
        </w:rPr>
      </w:pPr>
      <w:r>
        <w:rPr>
          <w:rFonts w:hint="eastAsia" w:ascii="Times New Roman" w:hAnsi="Times New Roman" w:eastAsia="仿宋_GB2312" w:cs="Times New Roman"/>
          <w:sz w:val="28"/>
          <w:szCs w:val="32"/>
        </w:rPr>
        <w:t>（一）内设机构设置。</w:t>
      </w:r>
    </w:p>
    <w:p>
      <w:pPr>
        <w:ind w:firstLine="560" w:firstLineChars="200"/>
        <w:jc w:val="left"/>
        <w:rPr>
          <w:rFonts w:hint="eastAsia" w:ascii="Times New Roman" w:hAnsi="Times New Roman" w:eastAsia="仿宋_GB2312" w:cs="Times New Roman"/>
          <w:sz w:val="28"/>
          <w:szCs w:val="32"/>
        </w:rPr>
      </w:pPr>
      <w:r>
        <w:rPr>
          <w:rFonts w:hint="eastAsia" w:ascii="Times New Roman" w:hAnsi="Times New Roman" w:eastAsia="仿宋_GB2312" w:cs="Times New Roman"/>
          <w:sz w:val="28"/>
          <w:szCs w:val="32"/>
        </w:rPr>
        <w:t>湖南省益阳市赫山区保健所内设机构包括：所长室、副所长室、办公室、财务室、工会办公室。</w:t>
      </w:r>
    </w:p>
    <w:p>
      <w:pPr>
        <w:ind w:firstLine="560" w:firstLineChars="200"/>
        <w:jc w:val="left"/>
        <w:rPr>
          <w:rFonts w:hint="eastAsia" w:ascii="Times New Roman" w:hAnsi="Times New Roman" w:eastAsia="仿宋_GB2312" w:cs="Times New Roman"/>
          <w:sz w:val="28"/>
          <w:szCs w:val="32"/>
        </w:rPr>
      </w:pPr>
      <w:r>
        <w:rPr>
          <w:rFonts w:hint="eastAsia" w:ascii="Times New Roman" w:hAnsi="Times New Roman" w:eastAsia="仿宋_GB2312" w:cs="Times New Roman"/>
          <w:sz w:val="28"/>
          <w:szCs w:val="32"/>
        </w:rPr>
        <w:t>（二）决算单位构成。</w:t>
      </w:r>
    </w:p>
    <w:p>
      <w:pPr>
        <w:ind w:firstLine="560" w:firstLineChars="200"/>
        <w:jc w:val="left"/>
        <w:rPr>
          <w:rFonts w:ascii="Times New Roman" w:hAnsi="Times New Roman" w:eastAsia="仿宋_GB2312" w:cs="Times New Roman"/>
          <w:sz w:val="28"/>
          <w:szCs w:val="32"/>
        </w:rPr>
      </w:pPr>
      <w:r>
        <w:rPr>
          <w:rFonts w:hint="eastAsia" w:ascii="Times New Roman" w:hAnsi="Times New Roman" w:eastAsia="仿宋_GB2312" w:cs="Times New Roman"/>
          <w:sz w:val="28"/>
          <w:szCs w:val="32"/>
        </w:rPr>
        <w:t>湖南省益阳市赫山区保健所202</w:t>
      </w:r>
      <w:r>
        <w:rPr>
          <w:rFonts w:hint="default" w:ascii="Times New Roman" w:hAnsi="Times New Roman" w:eastAsia="仿宋_GB2312" w:cs="Times New Roman"/>
          <w:sz w:val="28"/>
          <w:szCs w:val="32"/>
          <w:lang w:val="en"/>
        </w:rPr>
        <w:t>5</w:t>
      </w:r>
      <w:r>
        <w:rPr>
          <w:rFonts w:hint="eastAsia" w:ascii="Times New Roman" w:hAnsi="Times New Roman" w:eastAsia="仿宋_GB2312" w:cs="Times New Roman"/>
          <w:sz w:val="28"/>
          <w:szCs w:val="32"/>
        </w:rPr>
        <w:t>年部门决算汇总公开单位构成包括：湖南省益阳市赫山区保健所本级。</w:t>
      </w: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pStyle w:val="2"/>
        <w:rPr>
          <w:rFonts w:ascii="Times New Roman" w:hAnsi="Times New Roman" w:cs="Times New Roman"/>
        </w:rPr>
        <w:sectPr>
          <w:footerReference r:id="rId5"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0"/>
          <w:szCs w:val="20"/>
        </w:rPr>
        <w:t>公开0</w:t>
      </w:r>
      <w:r>
        <w:rPr>
          <w:rFonts w:hint="default" w:ascii="Times New Roman" w:hAnsi="Times New Roman" w:eastAsia="仿宋_GB2312" w:cs="Times New Roman"/>
          <w:color w:val="000000"/>
          <w:sz w:val="20"/>
          <w:szCs w:val="20"/>
          <w:lang w:val="en"/>
        </w:rPr>
        <w:t>1</w:t>
      </w:r>
      <w:r>
        <w:rPr>
          <w:rFonts w:ascii="Times New Roman" w:hAnsi="Times New Roman" w:eastAsia="仿宋_GB2312" w:cs="Times New Roman"/>
          <w:color w:val="000000"/>
          <w:sz w:val="20"/>
          <w:szCs w:val="20"/>
        </w:rPr>
        <w:t>表</w:t>
      </w:r>
    </w:p>
    <w:p>
      <w:pPr>
        <w:pStyle w:val="2"/>
        <w:jc w:val="right"/>
      </w:pPr>
      <w:r>
        <w:rPr>
          <w:rFonts w:ascii="Times New Roman" w:hAnsi="Times New Roman" w:eastAsia="仿宋_GB2312" w:cs="Times New Roman"/>
          <w:color w:val="000000"/>
          <w:sz w:val="20"/>
          <w:szCs w:val="20"/>
        </w:rPr>
        <w:t>单位：万元</w:t>
      </w:r>
    </w:p>
    <w:p>
      <w:pPr>
        <w:widowControl/>
        <w:tabs>
          <w:tab w:val="left" w:pos="4442"/>
          <w:tab w:val="left" w:pos="5045"/>
          <w:tab w:val="left" w:pos="6444"/>
          <w:tab w:val="left" w:pos="11477"/>
          <w:tab w:val="left" w:pos="13102"/>
        </w:tabs>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益阳市赫山区教育局体育卫生保健所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8"/>
        <w:tblpPr w:leftFromText="180" w:rightFromText="180" w:vertAnchor="text" w:horzAnchor="page" w:tblpXSpec="center" w:tblpY="341"/>
        <w:tblOverlap w:val="never"/>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Layout w:type="fixed"/>
        <w:tblCellMar>
          <w:top w:w="0" w:type="dxa"/>
          <w:left w:w="108" w:type="dxa"/>
          <w:bottom w:w="0" w:type="dxa"/>
          <w:right w:w="108" w:type="dxa"/>
        </w:tblCellMar>
      </w:tblPr>
      <w:tblGrid>
        <w:gridCol w:w="3736"/>
        <w:gridCol w:w="955"/>
        <w:gridCol w:w="1166"/>
        <w:gridCol w:w="2487"/>
        <w:gridCol w:w="997"/>
        <w:gridCol w:w="1300"/>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4" w:hRule="exact"/>
          <w:jc w:val="center"/>
        </w:trPr>
        <w:tc>
          <w:tcPr>
            <w:tcW w:w="5857" w:type="dxa"/>
            <w:gridSpan w:val="3"/>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收入</w:t>
            </w:r>
          </w:p>
        </w:tc>
        <w:tc>
          <w:tcPr>
            <w:tcW w:w="4784" w:type="dxa"/>
            <w:gridSpan w:val="3"/>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支出</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4" w:hRule="exact"/>
          <w:jc w:val="center"/>
        </w:trPr>
        <w:tc>
          <w:tcPr>
            <w:tcW w:w="373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项目</w:t>
            </w:r>
          </w:p>
        </w:tc>
        <w:tc>
          <w:tcPr>
            <w:tcW w:w="95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行次</w:t>
            </w:r>
          </w:p>
        </w:tc>
        <w:tc>
          <w:tcPr>
            <w:tcW w:w="11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决算数</w:t>
            </w:r>
          </w:p>
        </w:tc>
        <w:tc>
          <w:tcPr>
            <w:tcW w:w="2487"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项目</w:t>
            </w:r>
          </w:p>
        </w:tc>
        <w:tc>
          <w:tcPr>
            <w:tcW w:w="997"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行次</w:t>
            </w:r>
          </w:p>
        </w:tc>
        <w:tc>
          <w:tcPr>
            <w:tcW w:w="1300"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决算数</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4" w:hRule="exact"/>
          <w:jc w:val="center"/>
        </w:trPr>
        <w:tc>
          <w:tcPr>
            <w:tcW w:w="373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栏次</w:t>
            </w:r>
          </w:p>
        </w:tc>
        <w:tc>
          <w:tcPr>
            <w:tcW w:w="955" w:type="dxa"/>
            <w:tcBorders>
              <w:tl2br w:val="nil"/>
              <w:tr2bl w:val="nil"/>
            </w:tcBorders>
            <w:shd w:val="clear" w:color="auto" w:fill="auto"/>
            <w:noWrap/>
            <w:vAlign w:val="center"/>
          </w:tcPr>
          <w:p>
            <w:pPr>
              <w:jc w:val="center"/>
              <w:rPr>
                <w:rFonts w:hint="eastAsia" w:ascii="宋体" w:hAnsi="宋体" w:eastAsia="宋体" w:cs="宋体"/>
                <w:i w:val="0"/>
                <w:color w:val="auto"/>
                <w:sz w:val="22"/>
                <w:szCs w:val="22"/>
                <w:u w:val="none"/>
                <w:shd w:val="clear" w:color="auto" w:fill="auto"/>
              </w:rPr>
            </w:pPr>
          </w:p>
        </w:tc>
        <w:tc>
          <w:tcPr>
            <w:tcW w:w="11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1</w:t>
            </w:r>
          </w:p>
        </w:tc>
        <w:tc>
          <w:tcPr>
            <w:tcW w:w="2487"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栏次</w:t>
            </w:r>
          </w:p>
        </w:tc>
        <w:tc>
          <w:tcPr>
            <w:tcW w:w="997" w:type="dxa"/>
            <w:tcBorders>
              <w:tl2br w:val="nil"/>
              <w:tr2bl w:val="nil"/>
            </w:tcBorders>
            <w:shd w:val="clear" w:color="auto" w:fill="auto"/>
            <w:noWrap/>
            <w:vAlign w:val="center"/>
          </w:tcPr>
          <w:p>
            <w:pPr>
              <w:jc w:val="center"/>
              <w:rPr>
                <w:rFonts w:hint="eastAsia" w:ascii="宋体" w:hAnsi="宋体" w:eastAsia="宋体" w:cs="宋体"/>
                <w:i w:val="0"/>
                <w:color w:val="auto"/>
                <w:sz w:val="22"/>
                <w:szCs w:val="22"/>
                <w:u w:val="none"/>
                <w:shd w:val="clear" w:color="auto" w:fill="auto"/>
              </w:rPr>
            </w:pPr>
          </w:p>
        </w:tc>
        <w:tc>
          <w:tcPr>
            <w:tcW w:w="1300"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4" w:hRule="exact"/>
          <w:jc w:val="center"/>
        </w:trPr>
        <w:tc>
          <w:tcPr>
            <w:tcW w:w="373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一、一般公共预算财政拨款收入</w:t>
            </w:r>
          </w:p>
        </w:tc>
        <w:tc>
          <w:tcPr>
            <w:tcW w:w="95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1</w:t>
            </w:r>
          </w:p>
        </w:tc>
        <w:tc>
          <w:tcPr>
            <w:tcW w:w="11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408.72</w:t>
            </w:r>
          </w:p>
        </w:tc>
        <w:tc>
          <w:tcPr>
            <w:tcW w:w="2487"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一、一般公共服务支出</w:t>
            </w:r>
          </w:p>
        </w:tc>
        <w:tc>
          <w:tcPr>
            <w:tcW w:w="997" w:type="dxa"/>
            <w:tcBorders>
              <w:tl2br w:val="nil"/>
              <w:tr2bl w:val="nil"/>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auto"/>
                <w:sz w:val="22"/>
                <w:szCs w:val="22"/>
                <w:u w:val="none"/>
                <w:shd w:val="clear" w:color="auto" w:fill="auto"/>
                <w:lang w:val="en"/>
              </w:rPr>
            </w:pPr>
            <w:r>
              <w:rPr>
                <w:rFonts w:hint="default" w:ascii="宋体" w:hAnsi="宋体" w:eastAsia="宋体" w:cs="宋体"/>
                <w:i w:val="0"/>
                <w:color w:val="auto"/>
                <w:kern w:val="0"/>
                <w:sz w:val="22"/>
                <w:szCs w:val="22"/>
                <w:u w:val="none"/>
                <w:shd w:val="clear" w:color="auto" w:fill="auto"/>
                <w:lang w:val="en" w:eastAsia="zh-CN" w:bidi="ar"/>
              </w:rPr>
              <w:t>14</w:t>
            </w:r>
          </w:p>
        </w:tc>
        <w:tc>
          <w:tcPr>
            <w:tcW w:w="1300" w:type="dxa"/>
            <w:tcBorders>
              <w:tl2br w:val="nil"/>
              <w:tr2bl w:val="nil"/>
            </w:tcBorders>
            <w:shd w:val="clear" w:color="auto" w:fill="auto"/>
            <w:noWrap/>
            <w:vAlign w:val="center"/>
          </w:tcPr>
          <w:p>
            <w:pPr>
              <w:jc w:val="center"/>
              <w:rPr>
                <w:rFonts w:hint="eastAsia" w:ascii="宋体" w:hAnsi="宋体" w:eastAsia="宋体" w:cs="宋体"/>
                <w:i w:val="0"/>
                <w:color w:val="auto"/>
                <w:sz w:val="22"/>
                <w:szCs w:val="22"/>
                <w:u w:val="none"/>
                <w:shd w:val="clear" w:color="auto" w:fill="auto"/>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4" w:hRule="exact"/>
          <w:jc w:val="center"/>
        </w:trPr>
        <w:tc>
          <w:tcPr>
            <w:tcW w:w="373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二、政府性基金预算财政拨款收入</w:t>
            </w:r>
          </w:p>
        </w:tc>
        <w:tc>
          <w:tcPr>
            <w:tcW w:w="95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2</w:t>
            </w:r>
          </w:p>
        </w:tc>
        <w:tc>
          <w:tcPr>
            <w:tcW w:w="1166" w:type="dxa"/>
            <w:tcBorders>
              <w:tl2br w:val="nil"/>
              <w:tr2bl w:val="nil"/>
            </w:tcBorders>
            <w:shd w:val="clear" w:color="auto" w:fill="auto"/>
            <w:noWrap/>
            <w:vAlign w:val="center"/>
          </w:tcPr>
          <w:p>
            <w:pPr>
              <w:jc w:val="center"/>
              <w:rPr>
                <w:rFonts w:hint="eastAsia" w:ascii="宋体" w:hAnsi="宋体" w:eastAsia="宋体" w:cs="宋体"/>
                <w:i w:val="0"/>
                <w:color w:val="auto"/>
                <w:sz w:val="22"/>
                <w:szCs w:val="22"/>
                <w:u w:val="none"/>
                <w:shd w:val="clear" w:color="auto" w:fill="auto"/>
              </w:rPr>
            </w:pPr>
          </w:p>
        </w:tc>
        <w:tc>
          <w:tcPr>
            <w:tcW w:w="2487"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二、外交支出</w:t>
            </w:r>
          </w:p>
        </w:tc>
        <w:tc>
          <w:tcPr>
            <w:tcW w:w="997" w:type="dxa"/>
            <w:tcBorders>
              <w:tl2br w:val="nil"/>
              <w:tr2bl w:val="nil"/>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auto"/>
                <w:sz w:val="22"/>
                <w:szCs w:val="22"/>
                <w:u w:val="none"/>
                <w:shd w:val="clear" w:color="auto" w:fill="auto"/>
                <w:lang w:val="en"/>
              </w:rPr>
            </w:pPr>
            <w:r>
              <w:rPr>
                <w:rFonts w:hint="default" w:ascii="宋体" w:hAnsi="宋体" w:eastAsia="宋体" w:cs="宋体"/>
                <w:i w:val="0"/>
                <w:color w:val="auto"/>
                <w:kern w:val="0"/>
                <w:sz w:val="22"/>
                <w:szCs w:val="22"/>
                <w:u w:val="none"/>
                <w:shd w:val="clear" w:color="auto" w:fill="auto"/>
                <w:lang w:val="en" w:eastAsia="zh-CN" w:bidi="ar"/>
              </w:rPr>
              <w:t>15</w:t>
            </w:r>
          </w:p>
        </w:tc>
        <w:tc>
          <w:tcPr>
            <w:tcW w:w="1300" w:type="dxa"/>
            <w:tcBorders>
              <w:tl2br w:val="nil"/>
              <w:tr2bl w:val="nil"/>
            </w:tcBorders>
            <w:shd w:val="clear" w:color="auto" w:fill="auto"/>
            <w:noWrap/>
            <w:vAlign w:val="center"/>
          </w:tcPr>
          <w:p>
            <w:pPr>
              <w:jc w:val="center"/>
              <w:rPr>
                <w:rFonts w:hint="eastAsia" w:ascii="宋体" w:hAnsi="宋体" w:eastAsia="宋体" w:cs="宋体"/>
                <w:i w:val="0"/>
                <w:color w:val="auto"/>
                <w:sz w:val="22"/>
                <w:szCs w:val="22"/>
                <w:u w:val="none"/>
                <w:shd w:val="clear" w:color="auto" w:fill="auto"/>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4" w:hRule="exact"/>
          <w:jc w:val="center"/>
        </w:trPr>
        <w:tc>
          <w:tcPr>
            <w:tcW w:w="373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三、国有资本经营预算财政拨款收入</w:t>
            </w:r>
          </w:p>
        </w:tc>
        <w:tc>
          <w:tcPr>
            <w:tcW w:w="95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3</w:t>
            </w:r>
          </w:p>
        </w:tc>
        <w:tc>
          <w:tcPr>
            <w:tcW w:w="1166" w:type="dxa"/>
            <w:tcBorders>
              <w:tl2br w:val="nil"/>
              <w:tr2bl w:val="nil"/>
            </w:tcBorders>
            <w:shd w:val="clear" w:color="auto" w:fill="auto"/>
            <w:noWrap/>
            <w:vAlign w:val="center"/>
          </w:tcPr>
          <w:p>
            <w:pPr>
              <w:jc w:val="center"/>
              <w:rPr>
                <w:rFonts w:hint="eastAsia" w:ascii="宋体" w:hAnsi="宋体" w:eastAsia="宋体" w:cs="宋体"/>
                <w:i w:val="0"/>
                <w:color w:val="auto"/>
                <w:sz w:val="22"/>
                <w:szCs w:val="22"/>
                <w:u w:val="none"/>
                <w:shd w:val="clear" w:color="auto" w:fill="auto"/>
              </w:rPr>
            </w:pPr>
          </w:p>
        </w:tc>
        <w:tc>
          <w:tcPr>
            <w:tcW w:w="2487"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三、国防支出</w:t>
            </w:r>
          </w:p>
        </w:tc>
        <w:tc>
          <w:tcPr>
            <w:tcW w:w="997" w:type="dxa"/>
            <w:tcBorders>
              <w:tl2br w:val="nil"/>
              <w:tr2bl w:val="nil"/>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auto"/>
                <w:sz w:val="22"/>
                <w:szCs w:val="22"/>
                <w:u w:val="none"/>
                <w:shd w:val="clear" w:color="auto" w:fill="auto"/>
                <w:lang w:val="en"/>
              </w:rPr>
            </w:pPr>
            <w:r>
              <w:rPr>
                <w:rFonts w:hint="default" w:ascii="宋体" w:hAnsi="宋体" w:eastAsia="宋体" w:cs="宋体"/>
                <w:i w:val="0"/>
                <w:color w:val="auto"/>
                <w:kern w:val="0"/>
                <w:sz w:val="22"/>
                <w:szCs w:val="22"/>
                <w:u w:val="none"/>
                <w:shd w:val="clear" w:color="auto" w:fill="auto"/>
                <w:lang w:val="en" w:eastAsia="zh-CN" w:bidi="ar"/>
              </w:rPr>
              <w:t>16</w:t>
            </w:r>
          </w:p>
        </w:tc>
        <w:tc>
          <w:tcPr>
            <w:tcW w:w="1300" w:type="dxa"/>
            <w:tcBorders>
              <w:tl2br w:val="nil"/>
              <w:tr2bl w:val="nil"/>
            </w:tcBorders>
            <w:shd w:val="clear" w:color="auto" w:fill="auto"/>
            <w:noWrap/>
            <w:vAlign w:val="center"/>
          </w:tcPr>
          <w:p>
            <w:pPr>
              <w:jc w:val="center"/>
              <w:rPr>
                <w:rFonts w:hint="eastAsia" w:ascii="宋体" w:hAnsi="宋体" w:eastAsia="宋体" w:cs="宋体"/>
                <w:i w:val="0"/>
                <w:color w:val="auto"/>
                <w:sz w:val="22"/>
                <w:szCs w:val="22"/>
                <w:u w:val="none"/>
                <w:shd w:val="clear" w:color="auto" w:fill="auto"/>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4" w:hRule="exact"/>
          <w:jc w:val="center"/>
        </w:trPr>
        <w:tc>
          <w:tcPr>
            <w:tcW w:w="373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四、上级补助收入</w:t>
            </w:r>
          </w:p>
        </w:tc>
        <w:tc>
          <w:tcPr>
            <w:tcW w:w="95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4</w:t>
            </w:r>
          </w:p>
        </w:tc>
        <w:tc>
          <w:tcPr>
            <w:tcW w:w="1166" w:type="dxa"/>
            <w:tcBorders>
              <w:tl2br w:val="nil"/>
              <w:tr2bl w:val="nil"/>
            </w:tcBorders>
            <w:shd w:val="clear" w:color="auto" w:fill="auto"/>
            <w:noWrap/>
            <w:vAlign w:val="center"/>
          </w:tcPr>
          <w:p>
            <w:pPr>
              <w:jc w:val="center"/>
              <w:rPr>
                <w:rFonts w:hint="eastAsia" w:ascii="宋体" w:hAnsi="宋体" w:eastAsia="宋体" w:cs="宋体"/>
                <w:i w:val="0"/>
                <w:color w:val="auto"/>
                <w:sz w:val="22"/>
                <w:szCs w:val="22"/>
                <w:u w:val="none"/>
                <w:shd w:val="clear" w:color="auto" w:fill="auto"/>
              </w:rPr>
            </w:pPr>
          </w:p>
        </w:tc>
        <w:tc>
          <w:tcPr>
            <w:tcW w:w="2487"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四、公共安全支出</w:t>
            </w:r>
          </w:p>
        </w:tc>
        <w:tc>
          <w:tcPr>
            <w:tcW w:w="997" w:type="dxa"/>
            <w:tcBorders>
              <w:tl2br w:val="nil"/>
              <w:tr2bl w:val="nil"/>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auto"/>
                <w:sz w:val="22"/>
                <w:szCs w:val="22"/>
                <w:u w:val="none"/>
                <w:shd w:val="clear" w:color="auto" w:fill="auto"/>
                <w:lang w:val="en"/>
              </w:rPr>
            </w:pPr>
            <w:r>
              <w:rPr>
                <w:rFonts w:hint="default" w:ascii="宋体" w:hAnsi="宋体" w:eastAsia="宋体" w:cs="宋体"/>
                <w:i w:val="0"/>
                <w:color w:val="auto"/>
                <w:kern w:val="0"/>
                <w:sz w:val="22"/>
                <w:szCs w:val="22"/>
                <w:u w:val="none"/>
                <w:shd w:val="clear" w:color="auto" w:fill="auto"/>
                <w:lang w:val="en" w:eastAsia="zh-CN" w:bidi="ar"/>
              </w:rPr>
              <w:t>17</w:t>
            </w:r>
          </w:p>
        </w:tc>
        <w:tc>
          <w:tcPr>
            <w:tcW w:w="1300" w:type="dxa"/>
            <w:tcBorders>
              <w:tl2br w:val="nil"/>
              <w:tr2bl w:val="nil"/>
            </w:tcBorders>
            <w:shd w:val="clear" w:color="auto" w:fill="auto"/>
            <w:noWrap/>
            <w:vAlign w:val="center"/>
          </w:tcPr>
          <w:p>
            <w:pPr>
              <w:jc w:val="center"/>
              <w:rPr>
                <w:rFonts w:hint="eastAsia" w:ascii="宋体" w:hAnsi="宋体" w:eastAsia="宋体" w:cs="宋体"/>
                <w:i w:val="0"/>
                <w:color w:val="auto"/>
                <w:sz w:val="22"/>
                <w:szCs w:val="22"/>
                <w:u w:val="none"/>
                <w:shd w:val="clear" w:color="auto" w:fill="auto"/>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4" w:hRule="exact"/>
          <w:jc w:val="center"/>
        </w:trPr>
        <w:tc>
          <w:tcPr>
            <w:tcW w:w="373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五、事业收入</w:t>
            </w:r>
          </w:p>
        </w:tc>
        <w:tc>
          <w:tcPr>
            <w:tcW w:w="95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5</w:t>
            </w:r>
          </w:p>
        </w:tc>
        <w:tc>
          <w:tcPr>
            <w:tcW w:w="1166" w:type="dxa"/>
            <w:tcBorders>
              <w:tl2br w:val="nil"/>
              <w:tr2bl w:val="nil"/>
            </w:tcBorders>
            <w:shd w:val="clear" w:color="auto" w:fill="auto"/>
            <w:noWrap/>
            <w:vAlign w:val="center"/>
          </w:tcPr>
          <w:p>
            <w:pPr>
              <w:jc w:val="center"/>
              <w:rPr>
                <w:rFonts w:hint="eastAsia" w:ascii="宋体" w:hAnsi="宋体" w:eastAsia="宋体" w:cs="宋体"/>
                <w:i w:val="0"/>
                <w:color w:val="auto"/>
                <w:sz w:val="22"/>
                <w:szCs w:val="22"/>
                <w:u w:val="none"/>
                <w:shd w:val="clear" w:color="auto" w:fill="auto"/>
              </w:rPr>
            </w:pPr>
          </w:p>
        </w:tc>
        <w:tc>
          <w:tcPr>
            <w:tcW w:w="2487"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五、教育支出</w:t>
            </w:r>
          </w:p>
        </w:tc>
        <w:tc>
          <w:tcPr>
            <w:tcW w:w="997" w:type="dxa"/>
            <w:tcBorders>
              <w:tl2br w:val="nil"/>
              <w:tr2bl w:val="nil"/>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auto"/>
                <w:sz w:val="22"/>
                <w:szCs w:val="22"/>
                <w:u w:val="none"/>
                <w:shd w:val="clear" w:color="auto" w:fill="auto"/>
                <w:lang w:val="en"/>
              </w:rPr>
            </w:pPr>
            <w:r>
              <w:rPr>
                <w:rFonts w:hint="default" w:ascii="宋体" w:hAnsi="宋体" w:eastAsia="宋体" w:cs="宋体"/>
                <w:i w:val="0"/>
                <w:color w:val="auto"/>
                <w:kern w:val="0"/>
                <w:sz w:val="22"/>
                <w:szCs w:val="22"/>
                <w:u w:val="none"/>
                <w:shd w:val="clear" w:color="auto" w:fill="auto"/>
                <w:lang w:val="en" w:eastAsia="zh-CN" w:bidi="ar"/>
              </w:rPr>
              <w:t>18</w:t>
            </w:r>
          </w:p>
        </w:tc>
        <w:tc>
          <w:tcPr>
            <w:tcW w:w="1300"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408.72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4" w:hRule="exact"/>
          <w:jc w:val="center"/>
        </w:trPr>
        <w:tc>
          <w:tcPr>
            <w:tcW w:w="373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六、经营收入</w:t>
            </w:r>
          </w:p>
        </w:tc>
        <w:tc>
          <w:tcPr>
            <w:tcW w:w="95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6</w:t>
            </w:r>
          </w:p>
        </w:tc>
        <w:tc>
          <w:tcPr>
            <w:tcW w:w="1166" w:type="dxa"/>
            <w:tcBorders>
              <w:tl2br w:val="nil"/>
              <w:tr2bl w:val="nil"/>
            </w:tcBorders>
            <w:shd w:val="clear" w:color="auto" w:fill="auto"/>
            <w:noWrap/>
            <w:vAlign w:val="center"/>
          </w:tcPr>
          <w:p>
            <w:pPr>
              <w:jc w:val="center"/>
              <w:rPr>
                <w:rFonts w:hint="eastAsia" w:ascii="宋体" w:hAnsi="宋体" w:eastAsia="宋体" w:cs="宋体"/>
                <w:i w:val="0"/>
                <w:color w:val="auto"/>
                <w:sz w:val="22"/>
                <w:szCs w:val="22"/>
                <w:u w:val="none"/>
                <w:shd w:val="clear" w:color="auto" w:fill="auto"/>
              </w:rPr>
            </w:pPr>
          </w:p>
        </w:tc>
        <w:tc>
          <w:tcPr>
            <w:tcW w:w="2487"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六、科学技术支出</w:t>
            </w:r>
          </w:p>
        </w:tc>
        <w:tc>
          <w:tcPr>
            <w:tcW w:w="997" w:type="dxa"/>
            <w:tcBorders>
              <w:tl2br w:val="nil"/>
              <w:tr2bl w:val="nil"/>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auto"/>
                <w:sz w:val="22"/>
                <w:szCs w:val="22"/>
                <w:u w:val="none"/>
                <w:shd w:val="clear" w:color="auto" w:fill="auto"/>
                <w:lang w:val="en"/>
              </w:rPr>
            </w:pPr>
            <w:r>
              <w:rPr>
                <w:rFonts w:hint="default" w:ascii="宋体" w:hAnsi="宋体" w:eastAsia="宋体" w:cs="宋体"/>
                <w:i w:val="0"/>
                <w:color w:val="auto"/>
                <w:kern w:val="0"/>
                <w:sz w:val="22"/>
                <w:szCs w:val="22"/>
                <w:u w:val="none"/>
                <w:shd w:val="clear" w:color="auto" w:fill="auto"/>
                <w:lang w:val="en" w:eastAsia="zh-CN" w:bidi="ar"/>
              </w:rPr>
              <w:t>19</w:t>
            </w:r>
          </w:p>
        </w:tc>
        <w:tc>
          <w:tcPr>
            <w:tcW w:w="1300" w:type="dxa"/>
            <w:tcBorders>
              <w:tl2br w:val="nil"/>
              <w:tr2bl w:val="nil"/>
            </w:tcBorders>
            <w:shd w:val="clear" w:color="auto" w:fill="auto"/>
            <w:noWrap/>
            <w:vAlign w:val="center"/>
          </w:tcPr>
          <w:p>
            <w:pPr>
              <w:jc w:val="center"/>
              <w:rPr>
                <w:rFonts w:hint="eastAsia" w:ascii="宋体" w:hAnsi="宋体" w:eastAsia="宋体" w:cs="宋体"/>
                <w:i w:val="0"/>
                <w:color w:val="auto"/>
                <w:sz w:val="22"/>
                <w:szCs w:val="22"/>
                <w:u w:val="none"/>
                <w:shd w:val="clear" w:color="auto" w:fill="auto"/>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4" w:hRule="exact"/>
          <w:jc w:val="center"/>
        </w:trPr>
        <w:tc>
          <w:tcPr>
            <w:tcW w:w="373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七、附属单位上缴收入</w:t>
            </w:r>
          </w:p>
        </w:tc>
        <w:tc>
          <w:tcPr>
            <w:tcW w:w="95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7</w:t>
            </w:r>
          </w:p>
        </w:tc>
        <w:tc>
          <w:tcPr>
            <w:tcW w:w="1166" w:type="dxa"/>
            <w:tcBorders>
              <w:tl2br w:val="nil"/>
              <w:tr2bl w:val="nil"/>
            </w:tcBorders>
            <w:shd w:val="clear" w:color="auto" w:fill="auto"/>
            <w:noWrap/>
            <w:vAlign w:val="center"/>
          </w:tcPr>
          <w:p>
            <w:pPr>
              <w:jc w:val="center"/>
              <w:rPr>
                <w:rFonts w:hint="eastAsia" w:ascii="宋体" w:hAnsi="宋体" w:eastAsia="宋体" w:cs="宋体"/>
                <w:i w:val="0"/>
                <w:color w:val="auto"/>
                <w:sz w:val="22"/>
                <w:szCs w:val="22"/>
                <w:u w:val="none"/>
                <w:shd w:val="clear" w:color="auto" w:fill="auto"/>
              </w:rPr>
            </w:pPr>
          </w:p>
        </w:tc>
        <w:tc>
          <w:tcPr>
            <w:tcW w:w="2487"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七、文化旅游体育与传媒支出</w:t>
            </w:r>
          </w:p>
        </w:tc>
        <w:tc>
          <w:tcPr>
            <w:tcW w:w="997" w:type="dxa"/>
            <w:tcBorders>
              <w:tl2br w:val="nil"/>
              <w:tr2bl w:val="nil"/>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auto"/>
                <w:sz w:val="22"/>
                <w:szCs w:val="22"/>
                <w:u w:val="none"/>
                <w:shd w:val="clear" w:color="auto" w:fill="auto"/>
                <w:lang w:val="en"/>
              </w:rPr>
            </w:pPr>
            <w:r>
              <w:rPr>
                <w:rFonts w:hint="default" w:ascii="宋体" w:hAnsi="宋体" w:eastAsia="宋体" w:cs="宋体"/>
                <w:i w:val="0"/>
                <w:color w:val="auto"/>
                <w:sz w:val="22"/>
                <w:szCs w:val="22"/>
                <w:u w:val="none"/>
                <w:shd w:val="clear" w:color="auto" w:fill="auto"/>
                <w:lang w:val="en"/>
              </w:rPr>
              <w:t>20</w:t>
            </w:r>
          </w:p>
        </w:tc>
        <w:tc>
          <w:tcPr>
            <w:tcW w:w="1300" w:type="dxa"/>
            <w:tcBorders>
              <w:tl2br w:val="nil"/>
              <w:tr2bl w:val="nil"/>
            </w:tcBorders>
            <w:shd w:val="clear" w:color="auto" w:fill="auto"/>
            <w:noWrap/>
            <w:vAlign w:val="center"/>
          </w:tcPr>
          <w:p>
            <w:pPr>
              <w:jc w:val="center"/>
              <w:rPr>
                <w:rFonts w:hint="eastAsia" w:ascii="宋体" w:hAnsi="宋体" w:eastAsia="宋体" w:cs="宋体"/>
                <w:i w:val="0"/>
                <w:color w:val="auto"/>
                <w:sz w:val="22"/>
                <w:szCs w:val="22"/>
                <w:u w:val="none"/>
                <w:shd w:val="clear" w:color="auto" w:fill="auto"/>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4" w:hRule="exact"/>
          <w:jc w:val="center"/>
        </w:trPr>
        <w:tc>
          <w:tcPr>
            <w:tcW w:w="373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八、其他收入</w:t>
            </w:r>
          </w:p>
        </w:tc>
        <w:tc>
          <w:tcPr>
            <w:tcW w:w="95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8</w:t>
            </w:r>
          </w:p>
        </w:tc>
        <w:tc>
          <w:tcPr>
            <w:tcW w:w="1166" w:type="dxa"/>
            <w:tcBorders>
              <w:tl2br w:val="nil"/>
              <w:tr2bl w:val="nil"/>
            </w:tcBorders>
            <w:shd w:val="clear" w:color="auto" w:fill="auto"/>
            <w:noWrap/>
            <w:vAlign w:val="center"/>
          </w:tcPr>
          <w:p>
            <w:pPr>
              <w:jc w:val="center"/>
              <w:rPr>
                <w:rFonts w:hint="eastAsia" w:ascii="宋体" w:hAnsi="宋体" w:eastAsia="宋体" w:cs="宋体"/>
                <w:i w:val="0"/>
                <w:color w:val="auto"/>
                <w:sz w:val="22"/>
                <w:szCs w:val="22"/>
                <w:u w:val="none"/>
                <w:shd w:val="clear" w:color="auto" w:fill="auto"/>
              </w:rPr>
            </w:pPr>
          </w:p>
        </w:tc>
        <w:tc>
          <w:tcPr>
            <w:tcW w:w="2487"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八、社会保障和就业支出</w:t>
            </w:r>
          </w:p>
        </w:tc>
        <w:tc>
          <w:tcPr>
            <w:tcW w:w="997" w:type="dxa"/>
            <w:tcBorders>
              <w:tl2br w:val="nil"/>
              <w:tr2bl w:val="nil"/>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auto"/>
                <w:sz w:val="22"/>
                <w:szCs w:val="22"/>
                <w:u w:val="none"/>
                <w:shd w:val="clear" w:color="auto" w:fill="auto"/>
                <w:lang w:val="en"/>
              </w:rPr>
            </w:pPr>
            <w:r>
              <w:rPr>
                <w:rFonts w:hint="default" w:ascii="宋体" w:hAnsi="宋体" w:eastAsia="宋体" w:cs="宋体"/>
                <w:i w:val="0"/>
                <w:color w:val="auto"/>
                <w:kern w:val="0"/>
                <w:sz w:val="22"/>
                <w:szCs w:val="22"/>
                <w:u w:val="none"/>
                <w:shd w:val="clear" w:color="auto" w:fill="auto"/>
                <w:lang w:val="en" w:eastAsia="zh-CN" w:bidi="ar"/>
              </w:rPr>
              <w:t>21</w:t>
            </w:r>
          </w:p>
        </w:tc>
        <w:tc>
          <w:tcPr>
            <w:tcW w:w="1300" w:type="dxa"/>
            <w:tcBorders>
              <w:tl2br w:val="nil"/>
              <w:tr2bl w:val="nil"/>
            </w:tcBorders>
            <w:shd w:val="clear" w:color="auto" w:fill="auto"/>
            <w:noWrap/>
            <w:vAlign w:val="center"/>
          </w:tcPr>
          <w:p>
            <w:pPr>
              <w:jc w:val="center"/>
              <w:rPr>
                <w:rFonts w:hint="eastAsia" w:ascii="宋体" w:hAnsi="宋体" w:eastAsia="宋体" w:cs="宋体"/>
                <w:i w:val="0"/>
                <w:color w:val="auto"/>
                <w:sz w:val="22"/>
                <w:szCs w:val="22"/>
                <w:u w:val="none"/>
                <w:shd w:val="clear" w:color="auto" w:fill="auto"/>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4" w:hRule="exact"/>
          <w:jc w:val="center"/>
        </w:trPr>
        <w:tc>
          <w:tcPr>
            <w:tcW w:w="373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auto"/>
                <w:kern w:val="0"/>
                <w:sz w:val="22"/>
                <w:szCs w:val="22"/>
                <w:u w:val="none"/>
                <w:shd w:val="clear" w:color="auto" w:fill="auto"/>
                <w:lang w:val="en-US" w:eastAsia="zh-CN" w:bidi="ar"/>
              </w:rPr>
            </w:pPr>
          </w:p>
        </w:tc>
        <w:tc>
          <w:tcPr>
            <w:tcW w:w="955" w:type="dxa"/>
            <w:tcBorders>
              <w:tl2br w:val="nil"/>
              <w:tr2bl w:val="nil"/>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auto"/>
                <w:kern w:val="0"/>
                <w:sz w:val="22"/>
                <w:szCs w:val="22"/>
                <w:u w:val="none"/>
                <w:shd w:val="clear" w:color="auto" w:fill="auto"/>
                <w:lang w:val="en" w:eastAsia="zh-CN" w:bidi="ar"/>
              </w:rPr>
            </w:pPr>
            <w:r>
              <w:rPr>
                <w:rFonts w:hint="default" w:ascii="宋体" w:hAnsi="宋体" w:eastAsia="宋体" w:cs="宋体"/>
                <w:i w:val="0"/>
                <w:color w:val="auto"/>
                <w:kern w:val="0"/>
                <w:sz w:val="22"/>
                <w:szCs w:val="22"/>
                <w:u w:val="none"/>
                <w:shd w:val="clear" w:color="auto" w:fill="auto"/>
                <w:lang w:val="en" w:eastAsia="zh-CN" w:bidi="ar"/>
              </w:rPr>
              <w:t>9</w:t>
            </w:r>
          </w:p>
        </w:tc>
        <w:tc>
          <w:tcPr>
            <w:tcW w:w="11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kern w:val="0"/>
                <w:sz w:val="22"/>
                <w:szCs w:val="22"/>
                <w:u w:val="none"/>
                <w:shd w:val="clear" w:color="auto" w:fill="auto"/>
                <w:lang w:val="en-US" w:eastAsia="zh-CN" w:bidi="ar"/>
              </w:rPr>
            </w:pPr>
          </w:p>
        </w:tc>
        <w:tc>
          <w:tcPr>
            <w:tcW w:w="2487"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auto"/>
                <w:kern w:val="0"/>
                <w:sz w:val="22"/>
                <w:szCs w:val="22"/>
                <w:u w:val="none"/>
                <w:shd w:val="clear" w:color="auto" w:fill="auto"/>
                <w:lang w:val="en-US" w:eastAsia="zh-CN" w:bidi="ar"/>
              </w:rPr>
            </w:pPr>
          </w:p>
        </w:tc>
        <w:tc>
          <w:tcPr>
            <w:tcW w:w="997" w:type="dxa"/>
            <w:tcBorders>
              <w:tl2br w:val="nil"/>
              <w:tr2bl w:val="nil"/>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auto"/>
                <w:kern w:val="0"/>
                <w:sz w:val="22"/>
                <w:szCs w:val="22"/>
                <w:u w:val="none"/>
                <w:shd w:val="clear" w:color="auto" w:fill="auto"/>
                <w:lang w:val="en" w:eastAsia="zh-CN" w:bidi="ar"/>
              </w:rPr>
            </w:pPr>
            <w:r>
              <w:rPr>
                <w:rFonts w:hint="default" w:ascii="宋体" w:hAnsi="宋体" w:eastAsia="宋体" w:cs="宋体"/>
                <w:i w:val="0"/>
                <w:color w:val="auto"/>
                <w:kern w:val="0"/>
                <w:sz w:val="22"/>
                <w:szCs w:val="22"/>
                <w:u w:val="none"/>
                <w:shd w:val="clear" w:color="auto" w:fill="auto"/>
                <w:lang w:val="en" w:eastAsia="zh-CN" w:bidi="ar"/>
              </w:rPr>
              <w:t>22</w:t>
            </w:r>
          </w:p>
        </w:tc>
        <w:tc>
          <w:tcPr>
            <w:tcW w:w="1300"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kern w:val="0"/>
                <w:sz w:val="22"/>
                <w:szCs w:val="22"/>
                <w:u w:val="none"/>
                <w:shd w:val="clear" w:color="auto" w:fill="auto"/>
                <w:lang w:val="en-US" w:eastAsia="zh-CN" w:bidi="ar"/>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4" w:hRule="exact"/>
          <w:jc w:val="center"/>
        </w:trPr>
        <w:tc>
          <w:tcPr>
            <w:tcW w:w="373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auto"/>
                <w:sz w:val="22"/>
                <w:szCs w:val="22"/>
                <w:u w:val="none"/>
                <w:shd w:val="clear" w:color="auto" w:fill="auto"/>
              </w:rPr>
            </w:pPr>
            <w:r>
              <w:rPr>
                <w:rFonts w:hint="eastAsia" w:ascii="宋体" w:hAnsi="宋体" w:eastAsia="宋体" w:cs="宋体"/>
                <w:b/>
                <w:i w:val="0"/>
                <w:color w:val="auto"/>
                <w:kern w:val="0"/>
                <w:sz w:val="22"/>
                <w:szCs w:val="22"/>
                <w:u w:val="none"/>
                <w:shd w:val="clear" w:color="auto" w:fill="auto"/>
                <w:lang w:val="en-US" w:eastAsia="zh-CN" w:bidi="ar"/>
              </w:rPr>
              <w:t>本年收入合计</w:t>
            </w:r>
          </w:p>
        </w:tc>
        <w:tc>
          <w:tcPr>
            <w:tcW w:w="955" w:type="dxa"/>
            <w:tcBorders>
              <w:tl2br w:val="nil"/>
              <w:tr2bl w:val="nil"/>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auto"/>
                <w:sz w:val="22"/>
                <w:szCs w:val="22"/>
                <w:u w:val="none"/>
                <w:shd w:val="clear" w:color="auto" w:fill="auto"/>
                <w:lang w:val="en"/>
              </w:rPr>
            </w:pPr>
            <w:r>
              <w:rPr>
                <w:rFonts w:hint="default" w:ascii="宋体" w:hAnsi="宋体" w:eastAsia="宋体" w:cs="宋体"/>
                <w:i w:val="0"/>
                <w:color w:val="auto"/>
                <w:kern w:val="0"/>
                <w:sz w:val="22"/>
                <w:szCs w:val="22"/>
                <w:u w:val="none"/>
                <w:shd w:val="clear" w:color="auto" w:fill="auto"/>
                <w:lang w:val="en" w:eastAsia="zh-CN" w:bidi="ar"/>
              </w:rPr>
              <w:t>10</w:t>
            </w:r>
          </w:p>
        </w:tc>
        <w:tc>
          <w:tcPr>
            <w:tcW w:w="11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408.72</w:t>
            </w:r>
          </w:p>
        </w:tc>
        <w:tc>
          <w:tcPr>
            <w:tcW w:w="2487"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auto"/>
                <w:sz w:val="22"/>
                <w:szCs w:val="22"/>
                <w:u w:val="none"/>
                <w:shd w:val="clear" w:color="auto" w:fill="auto"/>
              </w:rPr>
            </w:pPr>
            <w:r>
              <w:rPr>
                <w:rFonts w:hint="eastAsia" w:ascii="宋体" w:hAnsi="宋体" w:eastAsia="宋体" w:cs="宋体"/>
                <w:b/>
                <w:i w:val="0"/>
                <w:color w:val="auto"/>
                <w:kern w:val="0"/>
                <w:sz w:val="22"/>
                <w:szCs w:val="22"/>
                <w:u w:val="none"/>
                <w:shd w:val="clear" w:color="auto" w:fill="auto"/>
                <w:lang w:val="en-US" w:eastAsia="zh-CN" w:bidi="ar"/>
              </w:rPr>
              <w:t>本年支出合计</w:t>
            </w:r>
          </w:p>
        </w:tc>
        <w:tc>
          <w:tcPr>
            <w:tcW w:w="997" w:type="dxa"/>
            <w:tcBorders>
              <w:tl2br w:val="nil"/>
              <w:tr2bl w:val="nil"/>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auto"/>
                <w:sz w:val="22"/>
                <w:szCs w:val="22"/>
                <w:u w:val="none"/>
                <w:shd w:val="clear" w:color="auto" w:fill="auto"/>
                <w:lang w:val="en"/>
              </w:rPr>
            </w:pPr>
            <w:r>
              <w:rPr>
                <w:rFonts w:hint="default" w:ascii="宋体" w:hAnsi="宋体" w:eastAsia="宋体" w:cs="宋体"/>
                <w:i w:val="0"/>
                <w:color w:val="auto"/>
                <w:kern w:val="0"/>
                <w:sz w:val="22"/>
                <w:szCs w:val="22"/>
                <w:u w:val="none"/>
                <w:shd w:val="clear" w:color="auto" w:fill="auto"/>
                <w:lang w:val="en" w:eastAsia="zh-CN" w:bidi="ar"/>
              </w:rPr>
              <w:t>23</w:t>
            </w:r>
          </w:p>
        </w:tc>
        <w:tc>
          <w:tcPr>
            <w:tcW w:w="1300"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408.72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4" w:hRule="exact"/>
          <w:jc w:val="center"/>
        </w:trPr>
        <w:tc>
          <w:tcPr>
            <w:tcW w:w="373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使用非财政拨款结余（含专用结余）</w:t>
            </w:r>
          </w:p>
        </w:tc>
        <w:tc>
          <w:tcPr>
            <w:tcW w:w="955" w:type="dxa"/>
            <w:tcBorders>
              <w:tl2br w:val="nil"/>
              <w:tr2bl w:val="nil"/>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auto"/>
                <w:sz w:val="22"/>
                <w:szCs w:val="22"/>
                <w:u w:val="none"/>
                <w:shd w:val="clear" w:color="auto" w:fill="auto"/>
                <w:lang w:val="en"/>
              </w:rPr>
            </w:pPr>
            <w:r>
              <w:rPr>
                <w:rFonts w:hint="default" w:ascii="宋体" w:hAnsi="宋体" w:eastAsia="宋体" w:cs="宋体"/>
                <w:i w:val="0"/>
                <w:color w:val="auto"/>
                <w:kern w:val="0"/>
                <w:sz w:val="22"/>
                <w:szCs w:val="22"/>
                <w:u w:val="none"/>
                <w:shd w:val="clear" w:color="auto" w:fill="auto"/>
                <w:lang w:val="en" w:eastAsia="zh-CN" w:bidi="ar"/>
              </w:rPr>
              <w:t>11</w:t>
            </w:r>
          </w:p>
        </w:tc>
        <w:tc>
          <w:tcPr>
            <w:tcW w:w="1166" w:type="dxa"/>
            <w:tcBorders>
              <w:tl2br w:val="nil"/>
              <w:tr2bl w:val="nil"/>
            </w:tcBorders>
            <w:shd w:val="clear" w:color="auto" w:fill="auto"/>
            <w:noWrap/>
            <w:vAlign w:val="center"/>
          </w:tcPr>
          <w:p>
            <w:pPr>
              <w:jc w:val="center"/>
              <w:rPr>
                <w:rFonts w:hint="eastAsia" w:ascii="宋体" w:hAnsi="宋体" w:eastAsia="宋体" w:cs="宋体"/>
                <w:i w:val="0"/>
                <w:color w:val="auto"/>
                <w:sz w:val="22"/>
                <w:szCs w:val="22"/>
                <w:u w:val="none"/>
                <w:shd w:val="clear" w:color="auto" w:fill="auto"/>
              </w:rPr>
            </w:pPr>
          </w:p>
        </w:tc>
        <w:tc>
          <w:tcPr>
            <w:tcW w:w="2487"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结余分配</w:t>
            </w:r>
          </w:p>
        </w:tc>
        <w:tc>
          <w:tcPr>
            <w:tcW w:w="997" w:type="dxa"/>
            <w:tcBorders>
              <w:tl2br w:val="nil"/>
              <w:tr2bl w:val="nil"/>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auto"/>
                <w:sz w:val="22"/>
                <w:szCs w:val="22"/>
                <w:u w:val="none"/>
                <w:shd w:val="clear" w:color="auto" w:fill="auto"/>
                <w:lang w:val="en"/>
              </w:rPr>
            </w:pPr>
            <w:r>
              <w:rPr>
                <w:rFonts w:hint="default" w:ascii="宋体" w:hAnsi="宋体" w:eastAsia="宋体" w:cs="宋体"/>
                <w:i w:val="0"/>
                <w:color w:val="auto"/>
                <w:kern w:val="0"/>
                <w:sz w:val="22"/>
                <w:szCs w:val="22"/>
                <w:u w:val="none"/>
                <w:shd w:val="clear" w:color="auto" w:fill="auto"/>
                <w:lang w:val="en" w:eastAsia="zh-CN" w:bidi="ar"/>
              </w:rPr>
              <w:t>24</w:t>
            </w:r>
          </w:p>
        </w:tc>
        <w:tc>
          <w:tcPr>
            <w:tcW w:w="1300" w:type="dxa"/>
            <w:tcBorders>
              <w:tl2br w:val="nil"/>
              <w:tr2bl w:val="nil"/>
            </w:tcBorders>
            <w:shd w:val="clear" w:color="auto" w:fill="auto"/>
            <w:noWrap/>
            <w:vAlign w:val="center"/>
          </w:tcPr>
          <w:p>
            <w:pPr>
              <w:jc w:val="center"/>
              <w:rPr>
                <w:rFonts w:hint="eastAsia" w:ascii="宋体" w:hAnsi="宋体" w:eastAsia="宋体" w:cs="宋体"/>
                <w:i w:val="0"/>
                <w:color w:val="auto"/>
                <w:sz w:val="22"/>
                <w:szCs w:val="22"/>
                <w:u w:val="none"/>
                <w:shd w:val="clear" w:color="auto" w:fill="auto"/>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4" w:hRule="exact"/>
          <w:jc w:val="center"/>
        </w:trPr>
        <w:tc>
          <w:tcPr>
            <w:tcW w:w="373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年初结转和结余</w:t>
            </w:r>
          </w:p>
        </w:tc>
        <w:tc>
          <w:tcPr>
            <w:tcW w:w="955" w:type="dxa"/>
            <w:tcBorders>
              <w:tl2br w:val="nil"/>
              <w:tr2bl w:val="nil"/>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auto"/>
                <w:sz w:val="22"/>
                <w:szCs w:val="22"/>
                <w:u w:val="none"/>
                <w:shd w:val="clear" w:color="auto" w:fill="auto"/>
                <w:lang w:val="en"/>
              </w:rPr>
            </w:pPr>
            <w:r>
              <w:rPr>
                <w:rFonts w:hint="default" w:ascii="宋体" w:hAnsi="宋体" w:eastAsia="宋体" w:cs="宋体"/>
                <w:i w:val="0"/>
                <w:color w:val="auto"/>
                <w:kern w:val="0"/>
                <w:sz w:val="22"/>
                <w:szCs w:val="22"/>
                <w:u w:val="none"/>
                <w:shd w:val="clear" w:color="auto" w:fill="auto"/>
                <w:lang w:val="en" w:eastAsia="zh-CN" w:bidi="ar"/>
              </w:rPr>
              <w:t>12</w:t>
            </w:r>
          </w:p>
        </w:tc>
        <w:tc>
          <w:tcPr>
            <w:tcW w:w="1166" w:type="dxa"/>
            <w:tcBorders>
              <w:tl2br w:val="nil"/>
              <w:tr2bl w:val="nil"/>
            </w:tcBorders>
            <w:shd w:val="clear" w:color="auto" w:fill="auto"/>
            <w:noWrap/>
            <w:vAlign w:val="center"/>
          </w:tcPr>
          <w:p>
            <w:pPr>
              <w:jc w:val="center"/>
              <w:rPr>
                <w:rFonts w:hint="eastAsia" w:ascii="宋体" w:hAnsi="宋体" w:eastAsia="宋体" w:cs="宋体"/>
                <w:i w:val="0"/>
                <w:color w:val="auto"/>
                <w:sz w:val="22"/>
                <w:szCs w:val="22"/>
                <w:u w:val="none"/>
                <w:shd w:val="clear" w:color="auto" w:fill="auto"/>
              </w:rPr>
            </w:pPr>
          </w:p>
        </w:tc>
        <w:tc>
          <w:tcPr>
            <w:tcW w:w="2487"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年末结转和结余</w:t>
            </w:r>
          </w:p>
        </w:tc>
        <w:tc>
          <w:tcPr>
            <w:tcW w:w="997" w:type="dxa"/>
            <w:tcBorders>
              <w:tl2br w:val="nil"/>
              <w:tr2bl w:val="nil"/>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auto"/>
                <w:sz w:val="22"/>
                <w:szCs w:val="22"/>
                <w:u w:val="none"/>
                <w:shd w:val="clear" w:color="auto" w:fill="auto"/>
                <w:lang w:val="en"/>
              </w:rPr>
            </w:pPr>
            <w:r>
              <w:rPr>
                <w:rFonts w:hint="default" w:ascii="宋体" w:hAnsi="宋体" w:eastAsia="宋体" w:cs="宋体"/>
                <w:i w:val="0"/>
                <w:color w:val="auto"/>
                <w:kern w:val="0"/>
                <w:sz w:val="22"/>
                <w:szCs w:val="22"/>
                <w:u w:val="none"/>
                <w:shd w:val="clear" w:color="auto" w:fill="auto"/>
                <w:lang w:val="en" w:eastAsia="zh-CN" w:bidi="ar"/>
              </w:rPr>
              <w:t>25</w:t>
            </w:r>
          </w:p>
        </w:tc>
        <w:tc>
          <w:tcPr>
            <w:tcW w:w="1300"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4" w:hRule="exact"/>
          <w:jc w:val="center"/>
        </w:trPr>
        <w:tc>
          <w:tcPr>
            <w:tcW w:w="373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auto"/>
                <w:sz w:val="22"/>
                <w:szCs w:val="22"/>
                <w:u w:val="none"/>
                <w:shd w:val="clear" w:color="auto" w:fill="auto"/>
              </w:rPr>
            </w:pPr>
            <w:r>
              <w:rPr>
                <w:rFonts w:hint="eastAsia" w:ascii="宋体" w:hAnsi="宋体" w:eastAsia="宋体" w:cs="宋体"/>
                <w:b/>
                <w:i w:val="0"/>
                <w:color w:val="auto"/>
                <w:kern w:val="0"/>
                <w:sz w:val="22"/>
                <w:szCs w:val="22"/>
                <w:u w:val="none"/>
                <w:shd w:val="clear" w:color="auto" w:fill="auto"/>
                <w:lang w:val="en-US" w:eastAsia="zh-CN" w:bidi="ar"/>
              </w:rPr>
              <w:t>总计</w:t>
            </w:r>
          </w:p>
        </w:tc>
        <w:tc>
          <w:tcPr>
            <w:tcW w:w="955" w:type="dxa"/>
            <w:tcBorders>
              <w:tl2br w:val="nil"/>
              <w:tr2bl w:val="nil"/>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auto"/>
                <w:sz w:val="22"/>
                <w:szCs w:val="22"/>
                <w:u w:val="none"/>
                <w:shd w:val="clear" w:color="auto" w:fill="auto"/>
                <w:lang w:val="en"/>
              </w:rPr>
            </w:pPr>
            <w:r>
              <w:rPr>
                <w:rFonts w:hint="default" w:ascii="宋体" w:hAnsi="宋体" w:eastAsia="宋体" w:cs="宋体"/>
                <w:i w:val="0"/>
                <w:color w:val="auto"/>
                <w:kern w:val="0"/>
                <w:sz w:val="22"/>
                <w:szCs w:val="22"/>
                <w:u w:val="none"/>
                <w:shd w:val="clear" w:color="auto" w:fill="auto"/>
                <w:lang w:val="en" w:eastAsia="zh-CN" w:bidi="ar"/>
              </w:rPr>
              <w:t>13</w:t>
            </w:r>
          </w:p>
        </w:tc>
        <w:tc>
          <w:tcPr>
            <w:tcW w:w="11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408.72</w:t>
            </w:r>
          </w:p>
        </w:tc>
        <w:tc>
          <w:tcPr>
            <w:tcW w:w="2487"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auto"/>
                <w:sz w:val="22"/>
                <w:szCs w:val="22"/>
                <w:u w:val="none"/>
                <w:shd w:val="clear" w:color="auto" w:fill="auto"/>
              </w:rPr>
            </w:pPr>
            <w:r>
              <w:rPr>
                <w:rFonts w:hint="eastAsia" w:ascii="宋体" w:hAnsi="宋体" w:eastAsia="宋体" w:cs="宋体"/>
                <w:b/>
                <w:i w:val="0"/>
                <w:color w:val="auto"/>
                <w:kern w:val="0"/>
                <w:sz w:val="22"/>
                <w:szCs w:val="22"/>
                <w:u w:val="none"/>
                <w:shd w:val="clear" w:color="auto" w:fill="auto"/>
                <w:lang w:val="en-US" w:eastAsia="zh-CN" w:bidi="ar"/>
              </w:rPr>
              <w:t>总计</w:t>
            </w:r>
          </w:p>
        </w:tc>
        <w:tc>
          <w:tcPr>
            <w:tcW w:w="997" w:type="dxa"/>
            <w:tcBorders>
              <w:tl2br w:val="nil"/>
              <w:tr2bl w:val="nil"/>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auto"/>
                <w:sz w:val="22"/>
                <w:szCs w:val="22"/>
                <w:u w:val="none"/>
                <w:shd w:val="clear" w:color="auto" w:fill="auto"/>
                <w:lang w:val="en"/>
              </w:rPr>
            </w:pPr>
            <w:r>
              <w:rPr>
                <w:rFonts w:hint="default" w:ascii="宋体" w:hAnsi="宋体" w:eastAsia="宋体" w:cs="宋体"/>
                <w:i w:val="0"/>
                <w:color w:val="auto"/>
                <w:kern w:val="0"/>
                <w:sz w:val="22"/>
                <w:szCs w:val="22"/>
                <w:u w:val="none"/>
                <w:shd w:val="clear" w:color="auto" w:fill="auto"/>
                <w:lang w:val="en" w:eastAsia="zh-CN" w:bidi="ar"/>
              </w:rPr>
              <w:t>26</w:t>
            </w:r>
          </w:p>
        </w:tc>
        <w:tc>
          <w:tcPr>
            <w:tcW w:w="1300"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2"/>
                <w:szCs w:val="22"/>
                <w:u w:val="none"/>
                <w:shd w:val="clear" w:color="auto" w:fill="auto"/>
              </w:rPr>
            </w:pPr>
            <w:r>
              <w:rPr>
                <w:rFonts w:hint="eastAsia" w:ascii="宋体" w:hAnsi="宋体" w:eastAsia="宋体" w:cs="宋体"/>
                <w:i w:val="0"/>
                <w:color w:val="auto"/>
                <w:kern w:val="0"/>
                <w:sz w:val="22"/>
                <w:szCs w:val="22"/>
                <w:u w:val="none"/>
                <w:shd w:val="clear" w:color="auto" w:fill="auto"/>
                <w:lang w:val="en-US" w:eastAsia="zh-CN" w:bidi="ar"/>
              </w:rPr>
              <w:t>408.72</w:t>
            </w:r>
          </w:p>
        </w:tc>
      </w:tr>
    </w:tbl>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pPr>
        <w:rPr>
          <w:rFonts w:ascii="Times New Roman" w:hAnsi="Times New Roman" w:eastAsia="华文中宋" w:cs="Times New Roman"/>
          <w:color w:val="000000"/>
          <w:sz w:val="32"/>
          <w:szCs w:val="32"/>
        </w:rPr>
        <w:sectPr>
          <w:pgSz w:w="11906" w:h="16838"/>
          <w:pgMar w:top="1417" w:right="1134" w:bottom="1417" w:left="1134"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eastAsia="华文中宋" w:cs="Times New Roman"/>
          <w:color w:val="000000"/>
          <w:sz w:val="32"/>
          <w:szCs w:val="32"/>
        </w:rPr>
        <w:br w:type="page"/>
      </w: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w:t>
      </w:r>
      <w:r>
        <w:rPr>
          <w:rFonts w:hint="default" w:ascii="Times New Roman" w:hAnsi="Times New Roman" w:eastAsia="仿宋_GB2312" w:cs="Times New Roman"/>
          <w:color w:val="000000"/>
          <w:sz w:val="20"/>
          <w:szCs w:val="20"/>
          <w:lang w:val="en"/>
        </w:rPr>
        <w:t>2</w:t>
      </w:r>
      <w:r>
        <w:rPr>
          <w:rFonts w:ascii="Times New Roman" w:hAnsi="Times New Roman" w:eastAsia="仿宋_GB2312" w:cs="Times New Roman"/>
          <w:color w:val="000000"/>
          <w:sz w:val="20"/>
          <w:szCs w:val="20"/>
        </w:rPr>
        <w:t>表</w:t>
      </w:r>
    </w:p>
    <w:p>
      <w:pPr>
        <w:pStyle w:val="2"/>
        <w:jc w:val="right"/>
      </w:pPr>
      <w:r>
        <w:rPr>
          <w:rFonts w:ascii="Times New Roman" w:hAnsi="Times New Roman" w:eastAsia="仿宋_GB2312" w:cs="Times New Roman"/>
          <w:color w:val="000000"/>
          <w:sz w:val="20"/>
          <w:szCs w:val="20"/>
        </w:rPr>
        <w:t>单位：万元</w:t>
      </w:r>
    </w:p>
    <w:p>
      <w:pPr>
        <w:tabs>
          <w:tab w:val="left" w:pos="630"/>
          <w:tab w:val="left" w:pos="2100"/>
          <w:tab w:val="left" w:pos="3895"/>
          <w:tab w:val="left" w:pos="5690"/>
          <w:tab w:val="left" w:pos="7485"/>
          <w:tab w:val="left" w:pos="9280"/>
          <w:tab w:val="left" w:pos="11075"/>
          <w:tab w:val="left" w:pos="12870"/>
        </w:tabs>
        <w:jc w:val="both"/>
        <w:rPr>
          <w:rFonts w:ascii="Times New Roman" w:hAnsi="Times New Roman" w:eastAsia="仿宋_GB2312" w:cs="Times New Roman"/>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益阳市赫山区教育局体育卫生保健所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p>
    <w:tbl>
      <w:tblPr>
        <w:tblStyle w:val="8"/>
        <w:tblpPr w:leftFromText="180" w:rightFromText="180" w:vertAnchor="text" w:horzAnchor="page" w:tblpXSpec="center" w:tblpY="313"/>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096"/>
        <w:gridCol w:w="1976"/>
        <w:gridCol w:w="1536"/>
        <w:gridCol w:w="1536"/>
        <w:gridCol w:w="1536"/>
        <w:gridCol w:w="1096"/>
        <w:gridCol w:w="1096"/>
        <w:gridCol w:w="1976"/>
        <w:gridCol w:w="10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0" w:type="auto"/>
            <w:gridSpan w:val="2"/>
            <w:tcBorders>
              <w:top w:val="single" w:color="auto" w:sz="4" w:space="0"/>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w:t>
            </w:r>
          </w:p>
        </w:tc>
        <w:tc>
          <w:tcPr>
            <w:tcW w:w="0" w:type="auto"/>
            <w:vMerge w:val="restart"/>
            <w:tcBorders>
              <w:top w:val="single" w:color="auto" w:sz="4" w:space="0"/>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本年收入合计</w:t>
            </w:r>
          </w:p>
        </w:tc>
        <w:tc>
          <w:tcPr>
            <w:tcW w:w="0" w:type="auto"/>
            <w:vMerge w:val="restart"/>
            <w:tcBorders>
              <w:top w:val="single" w:color="auto" w:sz="4" w:space="0"/>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财政拨款收入</w:t>
            </w:r>
          </w:p>
        </w:tc>
        <w:tc>
          <w:tcPr>
            <w:tcW w:w="0" w:type="auto"/>
            <w:vMerge w:val="restart"/>
            <w:tcBorders>
              <w:top w:val="single" w:color="auto" w:sz="4" w:space="0"/>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上级补助收入</w:t>
            </w:r>
          </w:p>
        </w:tc>
        <w:tc>
          <w:tcPr>
            <w:tcW w:w="0" w:type="auto"/>
            <w:vMerge w:val="restart"/>
            <w:tcBorders>
              <w:top w:val="single" w:color="auto" w:sz="4" w:space="0"/>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事业收入</w:t>
            </w:r>
          </w:p>
        </w:tc>
        <w:tc>
          <w:tcPr>
            <w:tcW w:w="0" w:type="auto"/>
            <w:vMerge w:val="restart"/>
            <w:tcBorders>
              <w:top w:val="single" w:color="auto" w:sz="4" w:space="0"/>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经营收入</w:t>
            </w:r>
          </w:p>
        </w:tc>
        <w:tc>
          <w:tcPr>
            <w:tcW w:w="0" w:type="auto"/>
            <w:vMerge w:val="restart"/>
            <w:tcBorders>
              <w:top w:val="single" w:color="auto" w:sz="4" w:space="0"/>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附属单位上缴收入</w:t>
            </w:r>
          </w:p>
        </w:tc>
        <w:tc>
          <w:tcPr>
            <w:tcW w:w="0" w:type="auto"/>
            <w:vMerge w:val="restart"/>
            <w:tcBorders>
              <w:top w:val="single" w:color="auto" w:sz="4" w:space="0"/>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其他收入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0" w:type="auto"/>
            <w:vMerge w:val="restart"/>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科目代码</w:t>
            </w:r>
          </w:p>
        </w:tc>
        <w:tc>
          <w:tcPr>
            <w:tcW w:w="0" w:type="auto"/>
            <w:vMerge w:val="restart"/>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科目名称</w:t>
            </w:r>
          </w:p>
        </w:tc>
        <w:tc>
          <w:tcPr>
            <w:tcW w:w="0" w:type="auto"/>
            <w:vMerge w:val="continue"/>
            <w:tcBorders>
              <w:tl2br w:val="nil"/>
              <w:tr2bl w:val="nil"/>
            </w:tcBorders>
            <w:shd w:val="clear" w:color="auto" w:fill="auto"/>
            <w:vAlign w:val="center"/>
          </w:tcPr>
          <w:p>
            <w:pPr>
              <w:jc w:val="center"/>
              <w:rPr>
                <w:rFonts w:hint="eastAsia" w:ascii="宋体" w:hAnsi="宋体" w:eastAsia="宋体" w:cs="宋体"/>
                <w:i w:val="0"/>
                <w:color w:val="000000"/>
                <w:sz w:val="22"/>
                <w:szCs w:val="22"/>
                <w:u w:val="none"/>
              </w:rPr>
            </w:pPr>
          </w:p>
        </w:tc>
        <w:tc>
          <w:tcPr>
            <w:tcW w:w="0" w:type="auto"/>
            <w:vMerge w:val="continue"/>
            <w:tcBorders>
              <w:tl2br w:val="nil"/>
              <w:tr2bl w:val="nil"/>
            </w:tcBorders>
            <w:shd w:val="clear" w:color="auto" w:fill="auto"/>
            <w:vAlign w:val="center"/>
          </w:tcPr>
          <w:p>
            <w:pPr>
              <w:jc w:val="center"/>
              <w:rPr>
                <w:rFonts w:hint="eastAsia" w:ascii="宋体" w:hAnsi="宋体" w:eastAsia="宋体" w:cs="宋体"/>
                <w:i w:val="0"/>
                <w:color w:val="000000"/>
                <w:sz w:val="22"/>
                <w:szCs w:val="22"/>
                <w:u w:val="none"/>
              </w:rPr>
            </w:pPr>
          </w:p>
        </w:tc>
        <w:tc>
          <w:tcPr>
            <w:tcW w:w="0" w:type="auto"/>
            <w:vMerge w:val="continue"/>
            <w:tcBorders>
              <w:tl2br w:val="nil"/>
              <w:tr2bl w:val="nil"/>
            </w:tcBorders>
            <w:shd w:val="clear" w:color="auto" w:fill="auto"/>
            <w:vAlign w:val="center"/>
          </w:tcPr>
          <w:p>
            <w:pPr>
              <w:jc w:val="center"/>
              <w:rPr>
                <w:rFonts w:hint="eastAsia" w:ascii="宋体" w:hAnsi="宋体" w:eastAsia="宋体" w:cs="宋体"/>
                <w:i w:val="0"/>
                <w:color w:val="000000"/>
                <w:sz w:val="22"/>
                <w:szCs w:val="22"/>
                <w:u w:val="none"/>
              </w:rPr>
            </w:pPr>
          </w:p>
        </w:tc>
        <w:tc>
          <w:tcPr>
            <w:tcW w:w="0" w:type="auto"/>
            <w:vMerge w:val="continue"/>
            <w:tcBorders>
              <w:tl2br w:val="nil"/>
              <w:tr2bl w:val="nil"/>
            </w:tcBorders>
            <w:shd w:val="clear" w:color="auto" w:fill="auto"/>
            <w:vAlign w:val="center"/>
          </w:tcPr>
          <w:p>
            <w:pPr>
              <w:jc w:val="center"/>
              <w:rPr>
                <w:rFonts w:hint="eastAsia" w:ascii="宋体" w:hAnsi="宋体" w:eastAsia="宋体" w:cs="宋体"/>
                <w:i w:val="0"/>
                <w:color w:val="000000"/>
                <w:sz w:val="22"/>
                <w:szCs w:val="22"/>
                <w:u w:val="none"/>
              </w:rPr>
            </w:pPr>
          </w:p>
        </w:tc>
        <w:tc>
          <w:tcPr>
            <w:tcW w:w="0" w:type="auto"/>
            <w:vMerge w:val="continue"/>
            <w:tcBorders>
              <w:tl2br w:val="nil"/>
              <w:tr2bl w:val="nil"/>
            </w:tcBorders>
            <w:shd w:val="clear" w:color="auto" w:fill="auto"/>
            <w:vAlign w:val="center"/>
          </w:tcPr>
          <w:p>
            <w:pPr>
              <w:jc w:val="center"/>
              <w:rPr>
                <w:rFonts w:hint="eastAsia" w:ascii="宋体" w:hAnsi="宋体" w:eastAsia="宋体" w:cs="宋体"/>
                <w:i w:val="0"/>
                <w:color w:val="000000"/>
                <w:sz w:val="22"/>
                <w:szCs w:val="22"/>
                <w:u w:val="none"/>
              </w:rPr>
            </w:pPr>
          </w:p>
        </w:tc>
        <w:tc>
          <w:tcPr>
            <w:tcW w:w="0" w:type="auto"/>
            <w:vMerge w:val="continue"/>
            <w:tcBorders>
              <w:tl2br w:val="nil"/>
              <w:tr2bl w:val="nil"/>
            </w:tcBorders>
            <w:shd w:val="clear" w:color="auto" w:fill="auto"/>
            <w:vAlign w:val="center"/>
          </w:tcPr>
          <w:p>
            <w:pPr>
              <w:jc w:val="center"/>
              <w:rPr>
                <w:rFonts w:hint="eastAsia" w:ascii="宋体" w:hAnsi="宋体" w:eastAsia="宋体" w:cs="宋体"/>
                <w:i w:val="0"/>
                <w:color w:val="000000"/>
                <w:sz w:val="22"/>
                <w:szCs w:val="22"/>
                <w:u w:val="none"/>
              </w:rPr>
            </w:pPr>
          </w:p>
        </w:tc>
        <w:tc>
          <w:tcPr>
            <w:tcW w:w="0" w:type="auto"/>
            <w:vMerge w:val="continue"/>
            <w:tcBorders>
              <w:tl2br w:val="nil"/>
              <w:tr2bl w:val="nil"/>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0" w:type="auto"/>
            <w:vMerge w:val="continue"/>
            <w:tcBorders>
              <w:tl2br w:val="nil"/>
              <w:tr2bl w:val="nil"/>
            </w:tcBorders>
            <w:shd w:val="clear" w:color="auto" w:fill="auto"/>
            <w:vAlign w:val="center"/>
          </w:tcPr>
          <w:p>
            <w:pPr>
              <w:jc w:val="center"/>
              <w:rPr>
                <w:rFonts w:hint="eastAsia" w:ascii="宋体" w:hAnsi="宋体" w:eastAsia="宋体" w:cs="宋体"/>
                <w:i w:val="0"/>
                <w:color w:val="000000"/>
                <w:sz w:val="22"/>
                <w:szCs w:val="22"/>
                <w:u w:val="none"/>
              </w:rPr>
            </w:pPr>
          </w:p>
        </w:tc>
        <w:tc>
          <w:tcPr>
            <w:tcW w:w="0" w:type="auto"/>
            <w:vMerge w:val="continue"/>
            <w:tcBorders>
              <w:tl2br w:val="nil"/>
              <w:tr2bl w:val="nil"/>
            </w:tcBorders>
            <w:shd w:val="clear" w:color="auto" w:fill="auto"/>
            <w:noWrap/>
            <w:vAlign w:val="center"/>
          </w:tcPr>
          <w:p>
            <w:pPr>
              <w:jc w:val="center"/>
              <w:rPr>
                <w:rFonts w:hint="eastAsia" w:ascii="宋体" w:hAnsi="宋体" w:eastAsia="宋体" w:cs="宋体"/>
                <w:i w:val="0"/>
                <w:color w:val="000000"/>
                <w:sz w:val="22"/>
                <w:szCs w:val="22"/>
                <w:u w:val="none"/>
              </w:rPr>
            </w:pPr>
          </w:p>
        </w:tc>
        <w:tc>
          <w:tcPr>
            <w:tcW w:w="0" w:type="auto"/>
            <w:vMerge w:val="continue"/>
            <w:tcBorders>
              <w:tl2br w:val="nil"/>
              <w:tr2bl w:val="nil"/>
            </w:tcBorders>
            <w:shd w:val="clear" w:color="auto" w:fill="auto"/>
            <w:vAlign w:val="center"/>
          </w:tcPr>
          <w:p>
            <w:pPr>
              <w:jc w:val="center"/>
              <w:rPr>
                <w:rFonts w:hint="eastAsia" w:ascii="宋体" w:hAnsi="宋体" w:eastAsia="宋体" w:cs="宋体"/>
                <w:i w:val="0"/>
                <w:color w:val="000000"/>
                <w:sz w:val="22"/>
                <w:szCs w:val="22"/>
                <w:u w:val="none"/>
              </w:rPr>
            </w:pPr>
          </w:p>
        </w:tc>
        <w:tc>
          <w:tcPr>
            <w:tcW w:w="0" w:type="auto"/>
            <w:vMerge w:val="continue"/>
            <w:tcBorders>
              <w:tl2br w:val="nil"/>
              <w:tr2bl w:val="nil"/>
            </w:tcBorders>
            <w:shd w:val="clear" w:color="auto" w:fill="auto"/>
            <w:vAlign w:val="center"/>
          </w:tcPr>
          <w:p>
            <w:pPr>
              <w:jc w:val="center"/>
              <w:rPr>
                <w:rFonts w:hint="eastAsia" w:ascii="宋体" w:hAnsi="宋体" w:eastAsia="宋体" w:cs="宋体"/>
                <w:i w:val="0"/>
                <w:color w:val="000000"/>
                <w:sz w:val="22"/>
                <w:szCs w:val="22"/>
                <w:u w:val="none"/>
              </w:rPr>
            </w:pPr>
          </w:p>
        </w:tc>
        <w:tc>
          <w:tcPr>
            <w:tcW w:w="0" w:type="auto"/>
            <w:vMerge w:val="continue"/>
            <w:tcBorders>
              <w:tl2br w:val="nil"/>
              <w:tr2bl w:val="nil"/>
            </w:tcBorders>
            <w:shd w:val="clear" w:color="auto" w:fill="auto"/>
            <w:vAlign w:val="center"/>
          </w:tcPr>
          <w:p>
            <w:pPr>
              <w:jc w:val="center"/>
              <w:rPr>
                <w:rFonts w:hint="eastAsia" w:ascii="宋体" w:hAnsi="宋体" w:eastAsia="宋体" w:cs="宋体"/>
                <w:i w:val="0"/>
                <w:color w:val="000000"/>
                <w:sz w:val="22"/>
                <w:szCs w:val="22"/>
                <w:u w:val="none"/>
              </w:rPr>
            </w:pPr>
          </w:p>
        </w:tc>
        <w:tc>
          <w:tcPr>
            <w:tcW w:w="0" w:type="auto"/>
            <w:vMerge w:val="continue"/>
            <w:tcBorders>
              <w:tl2br w:val="nil"/>
              <w:tr2bl w:val="nil"/>
            </w:tcBorders>
            <w:shd w:val="clear" w:color="auto" w:fill="auto"/>
            <w:vAlign w:val="center"/>
          </w:tcPr>
          <w:p>
            <w:pPr>
              <w:jc w:val="center"/>
              <w:rPr>
                <w:rFonts w:hint="eastAsia" w:ascii="宋体" w:hAnsi="宋体" w:eastAsia="宋体" w:cs="宋体"/>
                <w:i w:val="0"/>
                <w:color w:val="000000"/>
                <w:sz w:val="22"/>
                <w:szCs w:val="22"/>
                <w:u w:val="none"/>
              </w:rPr>
            </w:pPr>
          </w:p>
        </w:tc>
        <w:tc>
          <w:tcPr>
            <w:tcW w:w="0" w:type="auto"/>
            <w:vMerge w:val="continue"/>
            <w:tcBorders>
              <w:tl2br w:val="nil"/>
              <w:tr2bl w:val="nil"/>
            </w:tcBorders>
            <w:shd w:val="clear" w:color="auto" w:fill="auto"/>
            <w:vAlign w:val="center"/>
          </w:tcPr>
          <w:p>
            <w:pPr>
              <w:jc w:val="center"/>
              <w:rPr>
                <w:rFonts w:hint="eastAsia" w:ascii="宋体" w:hAnsi="宋体" w:eastAsia="宋体" w:cs="宋体"/>
                <w:i w:val="0"/>
                <w:color w:val="000000"/>
                <w:sz w:val="22"/>
                <w:szCs w:val="22"/>
                <w:u w:val="none"/>
              </w:rPr>
            </w:pPr>
          </w:p>
        </w:tc>
        <w:tc>
          <w:tcPr>
            <w:tcW w:w="0" w:type="auto"/>
            <w:vMerge w:val="continue"/>
            <w:tcBorders>
              <w:tl2br w:val="nil"/>
              <w:tr2bl w:val="nil"/>
            </w:tcBorders>
            <w:shd w:val="clear" w:color="auto" w:fill="auto"/>
            <w:vAlign w:val="center"/>
          </w:tcPr>
          <w:p>
            <w:pPr>
              <w:jc w:val="center"/>
              <w:rPr>
                <w:rFonts w:hint="eastAsia" w:ascii="宋体" w:hAnsi="宋体" w:eastAsia="宋体" w:cs="宋体"/>
                <w:i w:val="0"/>
                <w:color w:val="000000"/>
                <w:sz w:val="22"/>
                <w:szCs w:val="22"/>
                <w:u w:val="none"/>
              </w:rPr>
            </w:pPr>
          </w:p>
        </w:tc>
        <w:tc>
          <w:tcPr>
            <w:tcW w:w="0" w:type="auto"/>
            <w:vMerge w:val="continue"/>
            <w:tcBorders>
              <w:tl2br w:val="nil"/>
              <w:tr2bl w:val="nil"/>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0" w:type="auto"/>
            <w:vMerge w:val="continue"/>
            <w:tcBorders>
              <w:tl2br w:val="nil"/>
              <w:tr2bl w:val="nil"/>
            </w:tcBorders>
            <w:shd w:val="clear" w:color="auto" w:fill="auto"/>
            <w:vAlign w:val="center"/>
          </w:tcPr>
          <w:p>
            <w:pPr>
              <w:jc w:val="center"/>
              <w:rPr>
                <w:rFonts w:hint="eastAsia" w:ascii="宋体" w:hAnsi="宋体" w:eastAsia="宋体" w:cs="宋体"/>
                <w:i w:val="0"/>
                <w:color w:val="000000"/>
                <w:sz w:val="22"/>
                <w:szCs w:val="22"/>
                <w:u w:val="none"/>
              </w:rPr>
            </w:pPr>
          </w:p>
        </w:tc>
        <w:tc>
          <w:tcPr>
            <w:tcW w:w="0" w:type="auto"/>
            <w:vMerge w:val="continue"/>
            <w:tcBorders>
              <w:tl2br w:val="nil"/>
              <w:tr2bl w:val="nil"/>
            </w:tcBorders>
            <w:shd w:val="clear" w:color="auto" w:fill="auto"/>
            <w:noWrap/>
            <w:vAlign w:val="center"/>
          </w:tcPr>
          <w:p>
            <w:pPr>
              <w:jc w:val="center"/>
              <w:rPr>
                <w:rFonts w:hint="eastAsia" w:ascii="宋体" w:hAnsi="宋体" w:eastAsia="宋体" w:cs="宋体"/>
                <w:i w:val="0"/>
                <w:color w:val="000000"/>
                <w:sz w:val="22"/>
                <w:szCs w:val="22"/>
                <w:u w:val="none"/>
              </w:rPr>
            </w:pPr>
          </w:p>
        </w:tc>
        <w:tc>
          <w:tcPr>
            <w:tcW w:w="0" w:type="auto"/>
            <w:vMerge w:val="continue"/>
            <w:tcBorders>
              <w:tl2br w:val="nil"/>
              <w:tr2bl w:val="nil"/>
            </w:tcBorders>
            <w:shd w:val="clear" w:color="auto" w:fill="auto"/>
            <w:vAlign w:val="center"/>
          </w:tcPr>
          <w:p>
            <w:pPr>
              <w:jc w:val="center"/>
              <w:rPr>
                <w:rFonts w:hint="eastAsia" w:ascii="宋体" w:hAnsi="宋体" w:eastAsia="宋体" w:cs="宋体"/>
                <w:i w:val="0"/>
                <w:color w:val="000000"/>
                <w:sz w:val="22"/>
                <w:szCs w:val="22"/>
                <w:u w:val="none"/>
              </w:rPr>
            </w:pPr>
          </w:p>
        </w:tc>
        <w:tc>
          <w:tcPr>
            <w:tcW w:w="0" w:type="auto"/>
            <w:vMerge w:val="continue"/>
            <w:tcBorders>
              <w:tl2br w:val="nil"/>
              <w:tr2bl w:val="nil"/>
            </w:tcBorders>
            <w:shd w:val="clear" w:color="auto" w:fill="auto"/>
            <w:vAlign w:val="center"/>
          </w:tcPr>
          <w:p>
            <w:pPr>
              <w:jc w:val="center"/>
              <w:rPr>
                <w:rFonts w:hint="eastAsia" w:ascii="宋体" w:hAnsi="宋体" w:eastAsia="宋体" w:cs="宋体"/>
                <w:i w:val="0"/>
                <w:color w:val="000000"/>
                <w:sz w:val="22"/>
                <w:szCs w:val="22"/>
                <w:u w:val="none"/>
              </w:rPr>
            </w:pPr>
          </w:p>
        </w:tc>
        <w:tc>
          <w:tcPr>
            <w:tcW w:w="0" w:type="auto"/>
            <w:vMerge w:val="continue"/>
            <w:tcBorders>
              <w:tl2br w:val="nil"/>
              <w:tr2bl w:val="nil"/>
            </w:tcBorders>
            <w:shd w:val="clear" w:color="auto" w:fill="auto"/>
            <w:vAlign w:val="center"/>
          </w:tcPr>
          <w:p>
            <w:pPr>
              <w:jc w:val="center"/>
              <w:rPr>
                <w:rFonts w:hint="eastAsia" w:ascii="宋体" w:hAnsi="宋体" w:eastAsia="宋体" w:cs="宋体"/>
                <w:i w:val="0"/>
                <w:color w:val="000000"/>
                <w:sz w:val="22"/>
                <w:szCs w:val="22"/>
                <w:u w:val="none"/>
              </w:rPr>
            </w:pPr>
          </w:p>
        </w:tc>
        <w:tc>
          <w:tcPr>
            <w:tcW w:w="0" w:type="auto"/>
            <w:vMerge w:val="continue"/>
            <w:tcBorders>
              <w:tl2br w:val="nil"/>
              <w:tr2bl w:val="nil"/>
            </w:tcBorders>
            <w:shd w:val="clear" w:color="auto" w:fill="auto"/>
            <w:vAlign w:val="center"/>
          </w:tcPr>
          <w:p>
            <w:pPr>
              <w:jc w:val="center"/>
              <w:rPr>
                <w:rFonts w:hint="eastAsia" w:ascii="宋体" w:hAnsi="宋体" w:eastAsia="宋体" w:cs="宋体"/>
                <w:i w:val="0"/>
                <w:color w:val="000000"/>
                <w:sz w:val="22"/>
                <w:szCs w:val="22"/>
                <w:u w:val="none"/>
              </w:rPr>
            </w:pPr>
          </w:p>
        </w:tc>
        <w:tc>
          <w:tcPr>
            <w:tcW w:w="0" w:type="auto"/>
            <w:vMerge w:val="continue"/>
            <w:tcBorders>
              <w:tl2br w:val="nil"/>
              <w:tr2bl w:val="nil"/>
            </w:tcBorders>
            <w:shd w:val="clear" w:color="auto" w:fill="auto"/>
            <w:vAlign w:val="center"/>
          </w:tcPr>
          <w:p>
            <w:pPr>
              <w:jc w:val="center"/>
              <w:rPr>
                <w:rFonts w:hint="eastAsia" w:ascii="宋体" w:hAnsi="宋体" w:eastAsia="宋体" w:cs="宋体"/>
                <w:i w:val="0"/>
                <w:color w:val="000000"/>
                <w:sz w:val="22"/>
                <w:szCs w:val="22"/>
                <w:u w:val="none"/>
              </w:rPr>
            </w:pPr>
          </w:p>
        </w:tc>
        <w:tc>
          <w:tcPr>
            <w:tcW w:w="0" w:type="auto"/>
            <w:vMerge w:val="continue"/>
            <w:tcBorders>
              <w:tl2br w:val="nil"/>
              <w:tr2bl w:val="nil"/>
            </w:tcBorders>
            <w:shd w:val="clear" w:color="auto" w:fill="auto"/>
            <w:vAlign w:val="center"/>
          </w:tcPr>
          <w:p>
            <w:pPr>
              <w:jc w:val="center"/>
              <w:rPr>
                <w:rFonts w:hint="eastAsia" w:ascii="宋体" w:hAnsi="宋体" w:eastAsia="宋体" w:cs="宋体"/>
                <w:i w:val="0"/>
                <w:color w:val="000000"/>
                <w:sz w:val="22"/>
                <w:szCs w:val="22"/>
                <w:u w:val="none"/>
              </w:rPr>
            </w:pPr>
          </w:p>
        </w:tc>
        <w:tc>
          <w:tcPr>
            <w:tcW w:w="0" w:type="auto"/>
            <w:vMerge w:val="continue"/>
            <w:tcBorders>
              <w:tl2br w:val="nil"/>
              <w:tr2bl w:val="nil"/>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0" w:type="auto"/>
            <w:gridSpan w:val="2"/>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栏次</w:t>
            </w:r>
          </w:p>
        </w:tc>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0" w:type="auto"/>
            <w:gridSpan w:val="2"/>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0" w:type="auto"/>
            <w:tcBorders>
              <w:tl2br w:val="nil"/>
              <w:tr2bl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 xml:space="preserve">408.72 </w:t>
            </w:r>
          </w:p>
        </w:tc>
        <w:tc>
          <w:tcPr>
            <w:tcW w:w="0" w:type="auto"/>
            <w:tcBorders>
              <w:tl2br w:val="nil"/>
              <w:tr2bl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 xml:space="preserve">408.72 </w:t>
            </w:r>
          </w:p>
        </w:tc>
        <w:tc>
          <w:tcPr>
            <w:tcW w:w="0" w:type="auto"/>
            <w:tcBorders>
              <w:tl2br w:val="nil"/>
              <w:tr2bl w:val="nil"/>
            </w:tcBorders>
            <w:shd w:val="clear" w:color="auto" w:fill="auto"/>
            <w:noWrap/>
            <w:vAlign w:val="center"/>
          </w:tcPr>
          <w:p>
            <w:pPr>
              <w:jc w:val="right"/>
              <w:rPr>
                <w:rFonts w:hint="eastAsia" w:ascii="宋体" w:hAnsi="宋体" w:eastAsia="宋体" w:cs="宋体"/>
                <w:b/>
                <w:i w:val="0"/>
                <w:color w:val="000000"/>
                <w:sz w:val="22"/>
                <w:szCs w:val="22"/>
                <w:u w:val="none"/>
              </w:rPr>
            </w:pPr>
          </w:p>
        </w:tc>
        <w:tc>
          <w:tcPr>
            <w:tcW w:w="0" w:type="auto"/>
            <w:tcBorders>
              <w:tl2br w:val="nil"/>
              <w:tr2bl w:val="nil"/>
            </w:tcBorders>
            <w:shd w:val="clear" w:color="auto" w:fill="auto"/>
            <w:noWrap/>
            <w:vAlign w:val="center"/>
          </w:tcPr>
          <w:p>
            <w:pPr>
              <w:jc w:val="right"/>
              <w:rPr>
                <w:rFonts w:hint="eastAsia" w:ascii="宋体" w:hAnsi="宋体" w:eastAsia="宋体" w:cs="宋体"/>
                <w:b/>
                <w:i w:val="0"/>
                <w:color w:val="000000"/>
                <w:sz w:val="22"/>
                <w:szCs w:val="22"/>
                <w:u w:val="none"/>
              </w:rPr>
            </w:pPr>
          </w:p>
        </w:tc>
        <w:tc>
          <w:tcPr>
            <w:tcW w:w="0" w:type="auto"/>
            <w:tcBorders>
              <w:tl2br w:val="nil"/>
              <w:tr2bl w:val="nil"/>
            </w:tcBorders>
            <w:shd w:val="clear" w:color="auto" w:fill="auto"/>
            <w:noWrap/>
            <w:vAlign w:val="center"/>
          </w:tcPr>
          <w:p>
            <w:pPr>
              <w:jc w:val="right"/>
              <w:rPr>
                <w:rFonts w:hint="eastAsia" w:ascii="宋体" w:hAnsi="宋体" w:eastAsia="宋体" w:cs="宋体"/>
                <w:b/>
                <w:i w:val="0"/>
                <w:color w:val="000000"/>
                <w:sz w:val="22"/>
                <w:szCs w:val="22"/>
                <w:u w:val="none"/>
              </w:rPr>
            </w:pPr>
          </w:p>
        </w:tc>
        <w:tc>
          <w:tcPr>
            <w:tcW w:w="0" w:type="auto"/>
            <w:tcBorders>
              <w:tl2br w:val="nil"/>
              <w:tr2bl w:val="nil"/>
            </w:tcBorders>
            <w:shd w:val="clear" w:color="auto" w:fill="auto"/>
            <w:noWrap/>
            <w:vAlign w:val="center"/>
          </w:tcPr>
          <w:p>
            <w:pPr>
              <w:jc w:val="right"/>
              <w:rPr>
                <w:rFonts w:hint="eastAsia" w:ascii="宋体" w:hAnsi="宋体" w:eastAsia="宋体" w:cs="宋体"/>
                <w:b/>
                <w:i w:val="0"/>
                <w:color w:val="000000"/>
                <w:sz w:val="22"/>
                <w:szCs w:val="22"/>
                <w:u w:val="none"/>
              </w:rPr>
            </w:pPr>
          </w:p>
        </w:tc>
        <w:tc>
          <w:tcPr>
            <w:tcW w:w="0" w:type="auto"/>
            <w:tcBorders>
              <w:tl2br w:val="nil"/>
              <w:tr2bl w:val="nil"/>
            </w:tcBorders>
            <w:shd w:val="clear" w:color="auto" w:fill="auto"/>
            <w:noWrap/>
            <w:vAlign w:val="center"/>
          </w:tcPr>
          <w:p>
            <w:pPr>
              <w:jc w:val="right"/>
              <w:rPr>
                <w:rFonts w:hint="eastAsia" w:ascii="宋体" w:hAnsi="宋体" w:eastAsia="宋体" w:cs="宋体"/>
                <w:b/>
                <w:i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0" w:type="auto"/>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2050299</w:t>
            </w:r>
          </w:p>
        </w:tc>
        <w:tc>
          <w:tcPr>
            <w:tcW w:w="0" w:type="auto"/>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其他普通教育支出</w:t>
            </w:r>
          </w:p>
        </w:tc>
        <w:tc>
          <w:tcPr>
            <w:tcW w:w="0" w:type="auto"/>
            <w:tcBorders>
              <w:tl2br w:val="nil"/>
              <w:tr2bl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408.72 </w:t>
            </w:r>
          </w:p>
        </w:tc>
        <w:tc>
          <w:tcPr>
            <w:tcW w:w="0" w:type="auto"/>
            <w:tcBorders>
              <w:tl2br w:val="nil"/>
              <w:tr2bl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408.72 </w:t>
            </w:r>
          </w:p>
        </w:tc>
        <w:tc>
          <w:tcPr>
            <w:tcW w:w="0" w:type="auto"/>
            <w:tcBorders>
              <w:tl2br w:val="nil"/>
              <w:tr2bl w:val="nil"/>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l2br w:val="nil"/>
              <w:tr2bl w:val="nil"/>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l2br w:val="nil"/>
              <w:tr2bl w:val="nil"/>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l2br w:val="nil"/>
              <w:tr2bl w:val="nil"/>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l2br w:val="nil"/>
              <w:tr2bl w:val="nil"/>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0" w:type="auto"/>
            <w:gridSpan w:val="9"/>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注：本表反映部门本年度取得的各项收入情况。</w:t>
            </w:r>
          </w:p>
        </w:tc>
      </w:tr>
    </w:tbl>
    <w:p>
      <w:pPr>
        <w:tabs>
          <w:tab w:val="left" w:pos="630"/>
          <w:tab w:val="left" w:pos="2100"/>
          <w:tab w:val="left" w:pos="3895"/>
          <w:tab w:val="left" w:pos="5690"/>
          <w:tab w:val="left" w:pos="7485"/>
          <w:tab w:val="left" w:pos="9280"/>
          <w:tab w:val="left" w:pos="11075"/>
          <w:tab w:val="left" w:pos="12870"/>
        </w:tabs>
        <w:jc w:val="both"/>
        <w:rPr>
          <w:rFonts w:ascii="Times New Roman" w:hAnsi="Times New Roman" w:eastAsia="仿宋_GB2312" w:cs="Times New Roman"/>
        </w:rPr>
      </w:pPr>
    </w:p>
    <w:p>
      <w:pPr>
        <w:tabs>
          <w:tab w:val="left" w:pos="630"/>
          <w:tab w:val="left" w:pos="2100"/>
          <w:tab w:val="left" w:pos="3895"/>
          <w:tab w:val="left" w:pos="5690"/>
          <w:tab w:val="left" w:pos="7485"/>
          <w:tab w:val="left" w:pos="9280"/>
          <w:tab w:val="left" w:pos="11075"/>
          <w:tab w:val="left" w:pos="12870"/>
        </w:tabs>
        <w:jc w:val="left"/>
        <w:rPr>
          <w:rFonts w:ascii="Times New Roman" w:hAnsi="Times New Roman" w:eastAsia="仿宋_GB2312" w:cs="Times New Roman"/>
        </w:rPr>
      </w:pPr>
    </w:p>
    <w:p>
      <w:pPr>
        <w:tabs>
          <w:tab w:val="left" w:pos="630"/>
          <w:tab w:val="left" w:pos="2100"/>
          <w:tab w:val="left" w:pos="3895"/>
          <w:tab w:val="left" w:pos="5690"/>
          <w:tab w:val="left" w:pos="7485"/>
          <w:tab w:val="left" w:pos="9280"/>
          <w:tab w:val="left" w:pos="11075"/>
          <w:tab w:val="left" w:pos="12870"/>
        </w:tabs>
        <w:jc w:val="left"/>
        <w:rPr>
          <w:rFonts w:ascii="Times New Roman" w:hAnsi="Times New Roman" w:eastAsia="仿宋_GB2312" w:cs="Times New Roman"/>
        </w:rPr>
      </w:pPr>
    </w:p>
    <w:p>
      <w:pPr>
        <w:tabs>
          <w:tab w:val="left" w:pos="630"/>
          <w:tab w:val="left" w:pos="2100"/>
          <w:tab w:val="left" w:pos="3895"/>
          <w:tab w:val="left" w:pos="5690"/>
          <w:tab w:val="left" w:pos="7485"/>
          <w:tab w:val="left" w:pos="9280"/>
          <w:tab w:val="left" w:pos="11075"/>
          <w:tab w:val="left" w:pos="12870"/>
        </w:tabs>
        <w:jc w:val="left"/>
        <w:rPr>
          <w:rFonts w:ascii="Times New Roman" w:hAnsi="Times New Roman" w:eastAsia="仿宋_GB2312" w:cs="Times New Roman"/>
          <w:color w:val="000000"/>
          <w:sz w:val="20"/>
          <w:szCs w:val="20"/>
        </w:rPr>
      </w:pP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p>
    <w:p>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923"/>
          <w:tab w:val="left" w:pos="8914"/>
          <w:tab w:val="left" w:pos="10905"/>
          <w:tab w:val="left" w:pos="12896"/>
        </w:tabs>
        <w:jc w:val="both"/>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益阳市赫山区教育局体育卫生保健所</w:t>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hint="default" w:ascii="Times New Roman" w:hAnsi="Times New Roman" w:eastAsia="仿宋_GB2312" w:cs="Times New Roman"/>
          <w:color w:val="000000"/>
          <w:kern w:val="0"/>
          <w:sz w:val="20"/>
          <w:szCs w:val="20"/>
          <w:lang w:val="en"/>
        </w:rPr>
        <w:t xml:space="preserve">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lang w:val="en"/>
        </w:rPr>
        <w:t xml:space="preserve">                                </w:t>
      </w:r>
      <w:r>
        <w:rPr>
          <w:rFonts w:ascii="Times New Roman" w:hAnsi="Times New Roman" w:eastAsia="仿宋_GB2312" w:cs="Times New Roman"/>
          <w:color w:val="000000"/>
          <w:kern w:val="0"/>
          <w:sz w:val="20"/>
          <w:szCs w:val="20"/>
        </w:rPr>
        <w:t>单位：万元</w:t>
      </w:r>
    </w:p>
    <w:p>
      <w:pPr>
        <w:pStyle w:val="2"/>
      </w:pPr>
    </w:p>
    <w:tbl>
      <w:tblPr>
        <w:tblStyle w:val="8"/>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Layout w:type="autofit"/>
        <w:tblCellMar>
          <w:top w:w="0" w:type="dxa"/>
          <w:left w:w="108" w:type="dxa"/>
          <w:bottom w:w="0" w:type="dxa"/>
          <w:right w:w="108" w:type="dxa"/>
        </w:tblCellMar>
      </w:tblPr>
      <w:tblGrid>
        <w:gridCol w:w="1096"/>
        <w:gridCol w:w="1976"/>
        <w:gridCol w:w="1536"/>
        <w:gridCol w:w="1096"/>
        <w:gridCol w:w="1096"/>
        <w:gridCol w:w="1536"/>
        <w:gridCol w:w="1096"/>
        <w:gridCol w:w="2196"/>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00" w:hRule="atLeast"/>
          <w:jc w:val="center"/>
        </w:trPr>
        <w:tc>
          <w:tcPr>
            <w:tcW w:w="0" w:type="auto"/>
            <w:gridSpan w:val="2"/>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w:t>
            </w:r>
          </w:p>
        </w:tc>
        <w:tc>
          <w:tcPr>
            <w:tcW w:w="0" w:type="auto"/>
            <w:vMerge w:val="restart"/>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本年支出合计</w:t>
            </w:r>
          </w:p>
        </w:tc>
        <w:tc>
          <w:tcPr>
            <w:tcW w:w="0" w:type="auto"/>
            <w:vMerge w:val="restart"/>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基本支出</w:t>
            </w:r>
          </w:p>
        </w:tc>
        <w:tc>
          <w:tcPr>
            <w:tcW w:w="0" w:type="auto"/>
            <w:vMerge w:val="restart"/>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项目支出</w:t>
            </w:r>
          </w:p>
        </w:tc>
        <w:tc>
          <w:tcPr>
            <w:tcW w:w="0" w:type="auto"/>
            <w:vMerge w:val="restart"/>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上缴上级支出</w:t>
            </w:r>
          </w:p>
        </w:tc>
        <w:tc>
          <w:tcPr>
            <w:tcW w:w="0" w:type="auto"/>
            <w:vMerge w:val="restart"/>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经营支出</w:t>
            </w:r>
          </w:p>
        </w:tc>
        <w:tc>
          <w:tcPr>
            <w:tcW w:w="0" w:type="auto"/>
            <w:vMerge w:val="restart"/>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对附属单位补助支出</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00" w:hRule="atLeast"/>
          <w:jc w:val="center"/>
        </w:trPr>
        <w:tc>
          <w:tcPr>
            <w:tcW w:w="0" w:type="auto"/>
            <w:vMerge w:val="restart"/>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科目代码</w:t>
            </w:r>
          </w:p>
        </w:tc>
        <w:tc>
          <w:tcPr>
            <w:tcW w:w="0" w:type="auto"/>
            <w:vMerge w:val="restart"/>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科目名称</w:t>
            </w:r>
          </w:p>
        </w:tc>
        <w:tc>
          <w:tcPr>
            <w:tcW w:w="0" w:type="auto"/>
            <w:vMerge w:val="continue"/>
            <w:tcBorders>
              <w:tl2br w:val="nil"/>
              <w:tr2bl w:val="nil"/>
            </w:tcBorders>
            <w:shd w:val="clear" w:color="auto" w:fill="auto"/>
            <w:vAlign w:val="center"/>
          </w:tcPr>
          <w:p>
            <w:pPr>
              <w:jc w:val="center"/>
              <w:rPr>
                <w:rFonts w:hint="eastAsia" w:ascii="宋体" w:hAnsi="宋体" w:eastAsia="宋体" w:cs="宋体"/>
                <w:i w:val="0"/>
                <w:color w:val="000000"/>
                <w:sz w:val="22"/>
                <w:szCs w:val="22"/>
                <w:u w:val="none"/>
              </w:rPr>
            </w:pPr>
          </w:p>
        </w:tc>
        <w:tc>
          <w:tcPr>
            <w:tcW w:w="0" w:type="auto"/>
            <w:vMerge w:val="continue"/>
            <w:tcBorders>
              <w:tl2br w:val="nil"/>
              <w:tr2bl w:val="nil"/>
            </w:tcBorders>
            <w:shd w:val="clear" w:color="auto" w:fill="auto"/>
            <w:vAlign w:val="center"/>
          </w:tcPr>
          <w:p>
            <w:pPr>
              <w:jc w:val="center"/>
              <w:rPr>
                <w:rFonts w:hint="eastAsia" w:ascii="宋体" w:hAnsi="宋体" w:eastAsia="宋体" w:cs="宋体"/>
                <w:i w:val="0"/>
                <w:color w:val="000000"/>
                <w:sz w:val="22"/>
                <w:szCs w:val="22"/>
                <w:u w:val="none"/>
              </w:rPr>
            </w:pPr>
          </w:p>
        </w:tc>
        <w:tc>
          <w:tcPr>
            <w:tcW w:w="0" w:type="auto"/>
            <w:vMerge w:val="continue"/>
            <w:tcBorders>
              <w:tl2br w:val="nil"/>
              <w:tr2bl w:val="nil"/>
            </w:tcBorders>
            <w:shd w:val="clear" w:color="auto" w:fill="auto"/>
            <w:vAlign w:val="center"/>
          </w:tcPr>
          <w:p>
            <w:pPr>
              <w:jc w:val="center"/>
              <w:rPr>
                <w:rFonts w:hint="eastAsia" w:ascii="宋体" w:hAnsi="宋体" w:eastAsia="宋体" w:cs="宋体"/>
                <w:i w:val="0"/>
                <w:color w:val="000000"/>
                <w:sz w:val="22"/>
                <w:szCs w:val="22"/>
                <w:u w:val="none"/>
              </w:rPr>
            </w:pPr>
          </w:p>
        </w:tc>
        <w:tc>
          <w:tcPr>
            <w:tcW w:w="0" w:type="auto"/>
            <w:vMerge w:val="continue"/>
            <w:tcBorders>
              <w:tl2br w:val="nil"/>
              <w:tr2bl w:val="nil"/>
            </w:tcBorders>
            <w:shd w:val="clear" w:color="auto" w:fill="auto"/>
            <w:vAlign w:val="center"/>
          </w:tcPr>
          <w:p>
            <w:pPr>
              <w:jc w:val="center"/>
              <w:rPr>
                <w:rFonts w:hint="eastAsia" w:ascii="宋体" w:hAnsi="宋体" w:eastAsia="宋体" w:cs="宋体"/>
                <w:i w:val="0"/>
                <w:color w:val="000000"/>
                <w:sz w:val="22"/>
                <w:szCs w:val="22"/>
                <w:u w:val="none"/>
              </w:rPr>
            </w:pPr>
          </w:p>
        </w:tc>
        <w:tc>
          <w:tcPr>
            <w:tcW w:w="0" w:type="auto"/>
            <w:vMerge w:val="continue"/>
            <w:tcBorders>
              <w:tl2br w:val="nil"/>
              <w:tr2bl w:val="nil"/>
            </w:tcBorders>
            <w:shd w:val="clear" w:color="auto" w:fill="auto"/>
            <w:vAlign w:val="center"/>
          </w:tcPr>
          <w:p>
            <w:pPr>
              <w:jc w:val="center"/>
              <w:rPr>
                <w:rFonts w:hint="eastAsia" w:ascii="宋体" w:hAnsi="宋体" w:eastAsia="宋体" w:cs="宋体"/>
                <w:i w:val="0"/>
                <w:color w:val="000000"/>
                <w:sz w:val="22"/>
                <w:szCs w:val="22"/>
                <w:u w:val="none"/>
              </w:rPr>
            </w:pPr>
          </w:p>
        </w:tc>
        <w:tc>
          <w:tcPr>
            <w:tcW w:w="0" w:type="auto"/>
            <w:vMerge w:val="continue"/>
            <w:tcBorders>
              <w:tl2br w:val="nil"/>
              <w:tr2bl w:val="nil"/>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00" w:hRule="atLeast"/>
          <w:jc w:val="center"/>
        </w:trPr>
        <w:tc>
          <w:tcPr>
            <w:tcW w:w="0" w:type="auto"/>
            <w:vMerge w:val="continue"/>
            <w:tcBorders>
              <w:tl2br w:val="nil"/>
              <w:tr2bl w:val="nil"/>
            </w:tcBorders>
            <w:shd w:val="clear" w:color="auto" w:fill="auto"/>
            <w:vAlign w:val="center"/>
          </w:tcPr>
          <w:p>
            <w:pPr>
              <w:jc w:val="center"/>
              <w:rPr>
                <w:rFonts w:hint="eastAsia" w:ascii="宋体" w:hAnsi="宋体" w:eastAsia="宋体" w:cs="宋体"/>
                <w:i w:val="0"/>
                <w:color w:val="000000"/>
                <w:sz w:val="22"/>
                <w:szCs w:val="22"/>
                <w:u w:val="none"/>
              </w:rPr>
            </w:pPr>
          </w:p>
        </w:tc>
        <w:tc>
          <w:tcPr>
            <w:tcW w:w="0" w:type="auto"/>
            <w:vMerge w:val="continue"/>
            <w:tcBorders>
              <w:tl2br w:val="nil"/>
              <w:tr2bl w:val="nil"/>
            </w:tcBorders>
            <w:shd w:val="clear" w:color="auto" w:fill="auto"/>
            <w:noWrap/>
            <w:vAlign w:val="center"/>
          </w:tcPr>
          <w:p>
            <w:pPr>
              <w:jc w:val="center"/>
              <w:rPr>
                <w:rFonts w:hint="eastAsia" w:ascii="宋体" w:hAnsi="宋体" w:eastAsia="宋体" w:cs="宋体"/>
                <w:i w:val="0"/>
                <w:color w:val="000000"/>
                <w:sz w:val="22"/>
                <w:szCs w:val="22"/>
                <w:u w:val="none"/>
              </w:rPr>
            </w:pPr>
          </w:p>
        </w:tc>
        <w:tc>
          <w:tcPr>
            <w:tcW w:w="0" w:type="auto"/>
            <w:vMerge w:val="continue"/>
            <w:tcBorders>
              <w:tl2br w:val="nil"/>
              <w:tr2bl w:val="nil"/>
            </w:tcBorders>
            <w:shd w:val="clear" w:color="auto" w:fill="auto"/>
            <w:vAlign w:val="center"/>
          </w:tcPr>
          <w:p>
            <w:pPr>
              <w:jc w:val="center"/>
              <w:rPr>
                <w:rFonts w:hint="eastAsia" w:ascii="宋体" w:hAnsi="宋体" w:eastAsia="宋体" w:cs="宋体"/>
                <w:i w:val="0"/>
                <w:color w:val="000000"/>
                <w:sz w:val="22"/>
                <w:szCs w:val="22"/>
                <w:u w:val="none"/>
              </w:rPr>
            </w:pPr>
          </w:p>
        </w:tc>
        <w:tc>
          <w:tcPr>
            <w:tcW w:w="0" w:type="auto"/>
            <w:vMerge w:val="continue"/>
            <w:tcBorders>
              <w:tl2br w:val="nil"/>
              <w:tr2bl w:val="nil"/>
            </w:tcBorders>
            <w:shd w:val="clear" w:color="auto" w:fill="auto"/>
            <w:vAlign w:val="center"/>
          </w:tcPr>
          <w:p>
            <w:pPr>
              <w:jc w:val="center"/>
              <w:rPr>
                <w:rFonts w:hint="eastAsia" w:ascii="宋体" w:hAnsi="宋体" w:eastAsia="宋体" w:cs="宋体"/>
                <w:i w:val="0"/>
                <w:color w:val="000000"/>
                <w:sz w:val="22"/>
                <w:szCs w:val="22"/>
                <w:u w:val="none"/>
              </w:rPr>
            </w:pPr>
          </w:p>
        </w:tc>
        <w:tc>
          <w:tcPr>
            <w:tcW w:w="0" w:type="auto"/>
            <w:vMerge w:val="continue"/>
            <w:tcBorders>
              <w:tl2br w:val="nil"/>
              <w:tr2bl w:val="nil"/>
            </w:tcBorders>
            <w:shd w:val="clear" w:color="auto" w:fill="auto"/>
            <w:vAlign w:val="center"/>
          </w:tcPr>
          <w:p>
            <w:pPr>
              <w:jc w:val="center"/>
              <w:rPr>
                <w:rFonts w:hint="eastAsia" w:ascii="宋体" w:hAnsi="宋体" w:eastAsia="宋体" w:cs="宋体"/>
                <w:i w:val="0"/>
                <w:color w:val="000000"/>
                <w:sz w:val="22"/>
                <w:szCs w:val="22"/>
                <w:u w:val="none"/>
              </w:rPr>
            </w:pPr>
          </w:p>
        </w:tc>
        <w:tc>
          <w:tcPr>
            <w:tcW w:w="0" w:type="auto"/>
            <w:vMerge w:val="continue"/>
            <w:tcBorders>
              <w:tl2br w:val="nil"/>
              <w:tr2bl w:val="nil"/>
            </w:tcBorders>
            <w:shd w:val="clear" w:color="auto" w:fill="auto"/>
            <w:vAlign w:val="center"/>
          </w:tcPr>
          <w:p>
            <w:pPr>
              <w:jc w:val="center"/>
              <w:rPr>
                <w:rFonts w:hint="eastAsia" w:ascii="宋体" w:hAnsi="宋体" w:eastAsia="宋体" w:cs="宋体"/>
                <w:i w:val="0"/>
                <w:color w:val="000000"/>
                <w:sz w:val="22"/>
                <w:szCs w:val="22"/>
                <w:u w:val="none"/>
              </w:rPr>
            </w:pPr>
          </w:p>
        </w:tc>
        <w:tc>
          <w:tcPr>
            <w:tcW w:w="0" w:type="auto"/>
            <w:vMerge w:val="continue"/>
            <w:tcBorders>
              <w:tl2br w:val="nil"/>
              <w:tr2bl w:val="nil"/>
            </w:tcBorders>
            <w:shd w:val="clear" w:color="auto" w:fill="auto"/>
            <w:vAlign w:val="center"/>
          </w:tcPr>
          <w:p>
            <w:pPr>
              <w:jc w:val="center"/>
              <w:rPr>
                <w:rFonts w:hint="eastAsia" w:ascii="宋体" w:hAnsi="宋体" w:eastAsia="宋体" w:cs="宋体"/>
                <w:i w:val="0"/>
                <w:color w:val="000000"/>
                <w:sz w:val="22"/>
                <w:szCs w:val="22"/>
                <w:u w:val="none"/>
              </w:rPr>
            </w:pPr>
          </w:p>
        </w:tc>
        <w:tc>
          <w:tcPr>
            <w:tcW w:w="0" w:type="auto"/>
            <w:vMerge w:val="continue"/>
            <w:tcBorders>
              <w:tl2br w:val="nil"/>
              <w:tr2bl w:val="nil"/>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00" w:hRule="atLeast"/>
          <w:jc w:val="center"/>
        </w:trPr>
        <w:tc>
          <w:tcPr>
            <w:tcW w:w="0" w:type="auto"/>
            <w:vMerge w:val="continue"/>
            <w:tcBorders>
              <w:tl2br w:val="nil"/>
              <w:tr2bl w:val="nil"/>
            </w:tcBorders>
            <w:shd w:val="clear" w:color="auto" w:fill="auto"/>
            <w:vAlign w:val="center"/>
          </w:tcPr>
          <w:p>
            <w:pPr>
              <w:jc w:val="center"/>
              <w:rPr>
                <w:rFonts w:hint="eastAsia" w:ascii="宋体" w:hAnsi="宋体" w:eastAsia="宋体" w:cs="宋体"/>
                <w:i w:val="0"/>
                <w:color w:val="000000"/>
                <w:sz w:val="22"/>
                <w:szCs w:val="22"/>
                <w:u w:val="none"/>
              </w:rPr>
            </w:pPr>
          </w:p>
        </w:tc>
        <w:tc>
          <w:tcPr>
            <w:tcW w:w="0" w:type="auto"/>
            <w:vMerge w:val="continue"/>
            <w:tcBorders>
              <w:tl2br w:val="nil"/>
              <w:tr2bl w:val="nil"/>
            </w:tcBorders>
            <w:shd w:val="clear" w:color="auto" w:fill="auto"/>
            <w:noWrap/>
            <w:vAlign w:val="center"/>
          </w:tcPr>
          <w:p>
            <w:pPr>
              <w:jc w:val="center"/>
              <w:rPr>
                <w:rFonts w:hint="eastAsia" w:ascii="宋体" w:hAnsi="宋体" w:eastAsia="宋体" w:cs="宋体"/>
                <w:i w:val="0"/>
                <w:color w:val="000000"/>
                <w:sz w:val="22"/>
                <w:szCs w:val="22"/>
                <w:u w:val="none"/>
              </w:rPr>
            </w:pPr>
          </w:p>
        </w:tc>
        <w:tc>
          <w:tcPr>
            <w:tcW w:w="0" w:type="auto"/>
            <w:vMerge w:val="continue"/>
            <w:tcBorders>
              <w:tl2br w:val="nil"/>
              <w:tr2bl w:val="nil"/>
            </w:tcBorders>
            <w:shd w:val="clear" w:color="auto" w:fill="auto"/>
            <w:vAlign w:val="center"/>
          </w:tcPr>
          <w:p>
            <w:pPr>
              <w:jc w:val="center"/>
              <w:rPr>
                <w:rFonts w:hint="eastAsia" w:ascii="宋体" w:hAnsi="宋体" w:eastAsia="宋体" w:cs="宋体"/>
                <w:i w:val="0"/>
                <w:color w:val="000000"/>
                <w:sz w:val="22"/>
                <w:szCs w:val="22"/>
                <w:u w:val="none"/>
              </w:rPr>
            </w:pPr>
          </w:p>
        </w:tc>
        <w:tc>
          <w:tcPr>
            <w:tcW w:w="0" w:type="auto"/>
            <w:vMerge w:val="continue"/>
            <w:tcBorders>
              <w:tl2br w:val="nil"/>
              <w:tr2bl w:val="nil"/>
            </w:tcBorders>
            <w:shd w:val="clear" w:color="auto" w:fill="auto"/>
            <w:vAlign w:val="center"/>
          </w:tcPr>
          <w:p>
            <w:pPr>
              <w:jc w:val="center"/>
              <w:rPr>
                <w:rFonts w:hint="eastAsia" w:ascii="宋体" w:hAnsi="宋体" w:eastAsia="宋体" w:cs="宋体"/>
                <w:i w:val="0"/>
                <w:color w:val="000000"/>
                <w:sz w:val="22"/>
                <w:szCs w:val="22"/>
                <w:u w:val="none"/>
              </w:rPr>
            </w:pPr>
          </w:p>
        </w:tc>
        <w:tc>
          <w:tcPr>
            <w:tcW w:w="0" w:type="auto"/>
            <w:vMerge w:val="continue"/>
            <w:tcBorders>
              <w:tl2br w:val="nil"/>
              <w:tr2bl w:val="nil"/>
            </w:tcBorders>
            <w:shd w:val="clear" w:color="auto" w:fill="auto"/>
            <w:vAlign w:val="center"/>
          </w:tcPr>
          <w:p>
            <w:pPr>
              <w:jc w:val="center"/>
              <w:rPr>
                <w:rFonts w:hint="eastAsia" w:ascii="宋体" w:hAnsi="宋体" w:eastAsia="宋体" w:cs="宋体"/>
                <w:i w:val="0"/>
                <w:color w:val="000000"/>
                <w:sz w:val="22"/>
                <w:szCs w:val="22"/>
                <w:u w:val="none"/>
              </w:rPr>
            </w:pPr>
          </w:p>
        </w:tc>
        <w:tc>
          <w:tcPr>
            <w:tcW w:w="0" w:type="auto"/>
            <w:vMerge w:val="continue"/>
            <w:tcBorders>
              <w:tl2br w:val="nil"/>
              <w:tr2bl w:val="nil"/>
            </w:tcBorders>
            <w:shd w:val="clear" w:color="auto" w:fill="auto"/>
            <w:vAlign w:val="center"/>
          </w:tcPr>
          <w:p>
            <w:pPr>
              <w:jc w:val="center"/>
              <w:rPr>
                <w:rFonts w:hint="eastAsia" w:ascii="宋体" w:hAnsi="宋体" w:eastAsia="宋体" w:cs="宋体"/>
                <w:i w:val="0"/>
                <w:color w:val="000000"/>
                <w:sz w:val="22"/>
                <w:szCs w:val="22"/>
                <w:u w:val="none"/>
              </w:rPr>
            </w:pPr>
          </w:p>
        </w:tc>
        <w:tc>
          <w:tcPr>
            <w:tcW w:w="0" w:type="auto"/>
            <w:vMerge w:val="continue"/>
            <w:tcBorders>
              <w:tl2br w:val="nil"/>
              <w:tr2bl w:val="nil"/>
            </w:tcBorders>
            <w:shd w:val="clear" w:color="auto" w:fill="auto"/>
            <w:vAlign w:val="center"/>
          </w:tcPr>
          <w:p>
            <w:pPr>
              <w:jc w:val="center"/>
              <w:rPr>
                <w:rFonts w:hint="eastAsia" w:ascii="宋体" w:hAnsi="宋体" w:eastAsia="宋体" w:cs="宋体"/>
                <w:i w:val="0"/>
                <w:color w:val="000000"/>
                <w:sz w:val="22"/>
                <w:szCs w:val="22"/>
                <w:u w:val="none"/>
              </w:rPr>
            </w:pPr>
          </w:p>
        </w:tc>
        <w:tc>
          <w:tcPr>
            <w:tcW w:w="0" w:type="auto"/>
            <w:vMerge w:val="continue"/>
            <w:tcBorders>
              <w:tl2br w:val="nil"/>
              <w:tr2bl w:val="nil"/>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00" w:hRule="atLeast"/>
          <w:jc w:val="center"/>
        </w:trPr>
        <w:tc>
          <w:tcPr>
            <w:tcW w:w="0" w:type="auto"/>
            <w:gridSpan w:val="2"/>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栏次</w:t>
            </w:r>
          </w:p>
        </w:tc>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00" w:hRule="atLeast"/>
          <w:jc w:val="center"/>
        </w:trPr>
        <w:tc>
          <w:tcPr>
            <w:tcW w:w="0" w:type="auto"/>
            <w:gridSpan w:val="2"/>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0" w:type="auto"/>
            <w:tcBorders>
              <w:tl2br w:val="nil"/>
              <w:tr2bl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 xml:space="preserve">408.72 </w:t>
            </w:r>
          </w:p>
        </w:tc>
        <w:tc>
          <w:tcPr>
            <w:tcW w:w="0" w:type="auto"/>
            <w:tcBorders>
              <w:tl2br w:val="nil"/>
              <w:tr2bl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 xml:space="preserve">408.72 </w:t>
            </w:r>
          </w:p>
        </w:tc>
        <w:tc>
          <w:tcPr>
            <w:tcW w:w="0" w:type="auto"/>
            <w:tcBorders>
              <w:tl2br w:val="nil"/>
              <w:tr2bl w:val="nil"/>
            </w:tcBorders>
            <w:shd w:val="clear" w:color="auto" w:fill="auto"/>
            <w:noWrap/>
            <w:vAlign w:val="center"/>
          </w:tcPr>
          <w:p>
            <w:pPr>
              <w:jc w:val="right"/>
              <w:rPr>
                <w:rFonts w:hint="eastAsia" w:ascii="宋体" w:hAnsi="宋体" w:eastAsia="宋体" w:cs="宋体"/>
                <w:b/>
                <w:i w:val="0"/>
                <w:color w:val="000000"/>
                <w:sz w:val="22"/>
                <w:szCs w:val="22"/>
                <w:u w:val="none"/>
              </w:rPr>
            </w:pPr>
          </w:p>
        </w:tc>
        <w:tc>
          <w:tcPr>
            <w:tcW w:w="0" w:type="auto"/>
            <w:tcBorders>
              <w:tl2br w:val="nil"/>
              <w:tr2bl w:val="nil"/>
            </w:tcBorders>
            <w:shd w:val="clear" w:color="auto" w:fill="auto"/>
            <w:noWrap/>
            <w:vAlign w:val="center"/>
          </w:tcPr>
          <w:p>
            <w:pPr>
              <w:jc w:val="right"/>
              <w:rPr>
                <w:rFonts w:hint="eastAsia" w:ascii="宋体" w:hAnsi="宋体" w:eastAsia="宋体" w:cs="宋体"/>
                <w:b/>
                <w:i w:val="0"/>
                <w:color w:val="000000"/>
                <w:sz w:val="22"/>
                <w:szCs w:val="22"/>
                <w:u w:val="none"/>
              </w:rPr>
            </w:pPr>
          </w:p>
        </w:tc>
        <w:tc>
          <w:tcPr>
            <w:tcW w:w="0" w:type="auto"/>
            <w:tcBorders>
              <w:tl2br w:val="nil"/>
              <w:tr2bl w:val="nil"/>
            </w:tcBorders>
            <w:shd w:val="clear" w:color="auto" w:fill="auto"/>
            <w:noWrap/>
            <w:vAlign w:val="center"/>
          </w:tcPr>
          <w:p>
            <w:pPr>
              <w:jc w:val="right"/>
              <w:rPr>
                <w:rFonts w:hint="eastAsia" w:ascii="宋体" w:hAnsi="宋体" w:eastAsia="宋体" w:cs="宋体"/>
                <w:b/>
                <w:i w:val="0"/>
                <w:color w:val="000000"/>
                <w:sz w:val="22"/>
                <w:szCs w:val="22"/>
                <w:u w:val="none"/>
              </w:rPr>
            </w:pPr>
          </w:p>
        </w:tc>
        <w:tc>
          <w:tcPr>
            <w:tcW w:w="0" w:type="auto"/>
            <w:tcBorders>
              <w:tl2br w:val="nil"/>
              <w:tr2bl w:val="nil"/>
            </w:tcBorders>
            <w:shd w:val="clear" w:color="auto" w:fill="auto"/>
            <w:noWrap/>
            <w:vAlign w:val="center"/>
          </w:tcPr>
          <w:p>
            <w:pPr>
              <w:jc w:val="right"/>
              <w:rPr>
                <w:rFonts w:hint="eastAsia" w:ascii="宋体" w:hAnsi="宋体" w:eastAsia="宋体" w:cs="宋体"/>
                <w:b/>
                <w:i w:val="0"/>
                <w:color w:val="000000"/>
                <w:sz w:val="22"/>
                <w:szCs w:val="22"/>
                <w:u w:val="none"/>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00" w:hRule="atLeast"/>
          <w:jc w:val="center"/>
        </w:trPr>
        <w:tc>
          <w:tcPr>
            <w:tcW w:w="0" w:type="auto"/>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2050299</w:t>
            </w:r>
          </w:p>
        </w:tc>
        <w:tc>
          <w:tcPr>
            <w:tcW w:w="0" w:type="auto"/>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其他普通教育支出</w:t>
            </w:r>
          </w:p>
        </w:tc>
        <w:tc>
          <w:tcPr>
            <w:tcW w:w="0" w:type="auto"/>
            <w:tcBorders>
              <w:tl2br w:val="nil"/>
              <w:tr2bl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408.72 </w:t>
            </w:r>
          </w:p>
        </w:tc>
        <w:tc>
          <w:tcPr>
            <w:tcW w:w="0" w:type="auto"/>
            <w:tcBorders>
              <w:tl2br w:val="nil"/>
              <w:tr2bl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408.72 </w:t>
            </w:r>
          </w:p>
        </w:tc>
        <w:tc>
          <w:tcPr>
            <w:tcW w:w="0" w:type="auto"/>
            <w:tcBorders>
              <w:tl2br w:val="nil"/>
              <w:tr2bl w:val="nil"/>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l2br w:val="nil"/>
              <w:tr2bl w:val="nil"/>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l2br w:val="nil"/>
              <w:tr2bl w:val="nil"/>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l2br w:val="nil"/>
              <w:tr2bl w:val="nil"/>
            </w:tcBorders>
            <w:shd w:val="clear" w:color="auto" w:fill="auto"/>
            <w:noWrap/>
            <w:vAlign w:val="center"/>
          </w:tcPr>
          <w:p>
            <w:pPr>
              <w:jc w:val="right"/>
              <w:rPr>
                <w:rFonts w:hint="eastAsia" w:ascii="宋体" w:hAnsi="宋体" w:eastAsia="宋体" w:cs="宋体"/>
                <w:i w:val="0"/>
                <w:color w:val="000000"/>
                <w:sz w:val="22"/>
                <w:szCs w:val="22"/>
                <w:u w:val="none"/>
              </w:rPr>
            </w:pPr>
          </w:p>
        </w:tc>
      </w:tr>
    </w:tbl>
    <w:p>
      <w:pPr>
        <w:widowControl/>
        <w:spacing w:before="120"/>
        <w:jc w:val="left"/>
        <w:rPr>
          <w:rFonts w:ascii="Times New Roman" w:hAnsi="Times New Roman" w:eastAsia="仿宋_GB2312" w:cs="Times New Roman"/>
          <w:kern w:val="0"/>
          <w:sz w:val="24"/>
          <w:szCs w:val="24"/>
        </w:rPr>
      </w:pPr>
    </w:p>
    <w:p>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br w:type="page"/>
      </w: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益阳市赫山区教育局体育卫生保健所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406"/>
        <w:gridCol w:w="549"/>
        <w:gridCol w:w="821"/>
        <w:gridCol w:w="3076"/>
        <w:gridCol w:w="550"/>
        <w:gridCol w:w="821"/>
        <w:gridCol w:w="1645"/>
        <w:gridCol w:w="1573"/>
        <w:gridCol w:w="16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收入</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行次</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金额</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行次</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一般公共预算财政拨款</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政府性基金预算财政拨款</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408.72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二、政府性基金预算财政拨款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三、国有资本经营预算财政拨款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408.72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408.72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408.72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408.72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408.72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年初财政拨款结转和结余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年末财政拨款结转和结余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一般公共预算财政拨款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政府性基金预算财政拨款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国有资本经营预算财政拨款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408.72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408.72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408.72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bl>
    <w:p>
      <w:pPr>
        <w:widowControl/>
        <w:jc w:val="left"/>
        <w:rPr>
          <w:rFonts w:ascii="Times New Roman" w:hAnsi="Times New Roman" w:eastAsia="仿宋_GB2312" w:cs="Times New Roman"/>
          <w:kern w:val="0"/>
          <w:sz w:val="24"/>
          <w:szCs w:val="24"/>
        </w:rPr>
      </w:pPr>
    </w:p>
    <w:p>
      <w:pPr>
        <w:widowControl/>
        <w:jc w:val="left"/>
        <w:rPr>
          <w:rFonts w:ascii="Times New Roman" w:hAnsi="Times New Roman" w:eastAsia="仿宋_GB2312" w:cs="Times New Roman"/>
          <w:kern w:val="0"/>
          <w:sz w:val="24"/>
          <w:szCs w:val="24"/>
        </w:rPr>
      </w:pPr>
    </w:p>
    <w:p>
      <w:pPr>
        <w:widowControl/>
        <w:jc w:val="left"/>
        <w:rPr>
          <w:rFonts w:ascii="Times New Roman" w:hAnsi="Times New Roman" w:eastAsia="仿宋_GB2312" w:cs="Times New Roman"/>
          <w:kern w:val="0"/>
          <w:sz w:val="24"/>
          <w:szCs w:val="24"/>
        </w:rPr>
      </w:pPr>
    </w:p>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jc w:val="center"/>
        <w:rPr>
          <w:rFonts w:ascii="Times New Roman" w:hAnsi="Times New Roman" w:eastAsia="方正小标宋_GBK" w:cs="Times New Roman"/>
          <w:kern w:val="0"/>
          <w:sz w:val="36"/>
          <w:szCs w:val="36"/>
        </w:rPr>
      </w:pPr>
    </w:p>
    <w:p>
      <w:pP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br w:type="page"/>
      </w: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kern w:val="0"/>
          <w:szCs w:val="21"/>
        </w:rPr>
        <w:t>益阳市赫山区教育局体育卫生保健所</w:t>
      </w:r>
      <w:r>
        <w:rPr>
          <w:rFonts w:ascii="Times New Roman" w:hAnsi="Times New Roman" w:eastAsia="仿宋_GB2312" w:cs="Times New Roman"/>
          <w:color w:val="000000"/>
          <w:kern w:val="0"/>
          <w:szCs w:val="21"/>
        </w:rPr>
        <w:t xml:space="preserve">                                                   </w:t>
      </w:r>
      <w:r>
        <w:rPr>
          <w:rFonts w:hint="default" w:ascii="Times New Roman" w:hAnsi="Times New Roman" w:eastAsia="仿宋_GB2312" w:cs="Times New Roman"/>
          <w:color w:val="000000"/>
          <w:kern w:val="0"/>
          <w:szCs w:val="21"/>
          <w:lang w:val="en"/>
        </w:rPr>
        <w:t xml:space="preserve">     </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8"/>
        <w:tblW w:w="499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557"/>
        <w:gridCol w:w="4613"/>
        <w:gridCol w:w="1928"/>
        <w:gridCol w:w="2557"/>
        <w:gridCol w:w="256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52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w:t>
            </w:r>
          </w:p>
        </w:tc>
        <w:tc>
          <w:tcPr>
            <w:tcW w:w="247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8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科目代码</w:t>
            </w:r>
          </w:p>
        </w:tc>
        <w:tc>
          <w:tcPr>
            <w:tcW w:w="162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科目名称</w:t>
            </w:r>
          </w:p>
        </w:tc>
        <w:tc>
          <w:tcPr>
            <w:tcW w:w="67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8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基本支出</w:t>
            </w:r>
          </w:p>
        </w:tc>
        <w:tc>
          <w:tcPr>
            <w:tcW w:w="90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8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6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c>
          <w:tcPr>
            <w:tcW w:w="6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8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9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8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6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c>
          <w:tcPr>
            <w:tcW w:w="6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8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9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52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栏次</w:t>
            </w:r>
          </w:p>
        </w:tc>
        <w:tc>
          <w:tcPr>
            <w:tcW w:w="6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9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52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6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 xml:space="preserve">408.72 </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 xml:space="preserve">408.72 </w:t>
            </w:r>
          </w:p>
        </w:tc>
        <w:tc>
          <w:tcPr>
            <w:tcW w:w="9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2050299</w:t>
            </w:r>
          </w:p>
        </w:tc>
        <w:tc>
          <w:tcPr>
            <w:tcW w:w="16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其他普通教育支出</w:t>
            </w:r>
          </w:p>
        </w:tc>
        <w:tc>
          <w:tcPr>
            <w:tcW w:w="6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408.72 </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408.72 </w:t>
            </w:r>
          </w:p>
        </w:tc>
        <w:tc>
          <w:tcPr>
            <w:tcW w:w="9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bl>
    <w:p>
      <w:pPr>
        <w:widowControl/>
        <w:spacing w:before="120"/>
        <w:jc w:val="left"/>
        <w:rPr>
          <w:rFonts w:ascii="Times New Roman" w:hAnsi="Times New Roman" w:eastAsia="仿宋_GB2312" w:cs="Times New Roman"/>
          <w:kern w:val="0"/>
          <w:szCs w:val="21"/>
        </w:rPr>
      </w:pPr>
    </w:p>
    <w:p>
      <w:pPr>
        <w:widowControl/>
        <w:spacing w:before="120"/>
        <w:jc w:val="left"/>
        <w:rPr>
          <w:rFonts w:ascii="Times New Roman" w:hAnsi="Times New Roman" w:eastAsia="仿宋_GB2312" w:cs="Times New Roman"/>
          <w:kern w:val="0"/>
          <w:szCs w:val="21"/>
        </w:rPr>
      </w:pPr>
    </w:p>
    <w:p>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pPr w:leftFromText="180" w:rightFromText="180" w:vertAnchor="text" w:horzAnchor="page" w:tblpXSpec="center" w:tblpY="235"/>
        <w:tblOverlap w:val="never"/>
        <w:tblW w:w="512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9"/>
        <w:gridCol w:w="3296"/>
        <w:gridCol w:w="1167"/>
        <w:gridCol w:w="867"/>
        <w:gridCol w:w="1746"/>
        <w:gridCol w:w="781"/>
        <w:gridCol w:w="729"/>
        <w:gridCol w:w="4124"/>
        <w:gridCol w:w="112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25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科目代码</w:t>
            </w:r>
          </w:p>
        </w:tc>
        <w:tc>
          <w:tcPr>
            <w:tcW w:w="113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科目名称</w:t>
            </w:r>
          </w:p>
        </w:tc>
        <w:tc>
          <w:tcPr>
            <w:tcW w:w="40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决算数</w:t>
            </w:r>
          </w:p>
        </w:tc>
        <w:tc>
          <w:tcPr>
            <w:tcW w:w="29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科目代码</w:t>
            </w:r>
          </w:p>
        </w:tc>
        <w:tc>
          <w:tcPr>
            <w:tcW w:w="5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科目名称</w:t>
            </w:r>
          </w:p>
        </w:tc>
        <w:tc>
          <w:tcPr>
            <w:tcW w:w="2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决算数</w:t>
            </w:r>
          </w:p>
        </w:tc>
        <w:tc>
          <w:tcPr>
            <w:tcW w:w="25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科目代码</w:t>
            </w:r>
          </w:p>
        </w:tc>
        <w:tc>
          <w:tcPr>
            <w:tcW w:w="141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科目名称</w:t>
            </w:r>
          </w:p>
        </w:tc>
        <w:tc>
          <w:tcPr>
            <w:tcW w:w="38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2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1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4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2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2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2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4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3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301</w:t>
            </w:r>
          </w:p>
        </w:tc>
        <w:tc>
          <w:tcPr>
            <w:tcW w:w="11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工资福利支出</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165.18 </w:t>
            </w:r>
          </w:p>
        </w:tc>
        <w:tc>
          <w:tcPr>
            <w:tcW w:w="2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商品和服务支出</w:t>
            </w:r>
          </w:p>
        </w:tc>
        <w:tc>
          <w:tcPr>
            <w:tcW w:w="2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237.37 </w:t>
            </w:r>
          </w:p>
        </w:tc>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307</w:t>
            </w:r>
          </w:p>
        </w:tc>
        <w:tc>
          <w:tcPr>
            <w:tcW w:w="1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债务利息及费用支出</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30101</w:t>
            </w:r>
          </w:p>
        </w:tc>
        <w:tc>
          <w:tcPr>
            <w:tcW w:w="11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基本工资</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76.14 </w:t>
            </w:r>
          </w:p>
        </w:tc>
        <w:tc>
          <w:tcPr>
            <w:tcW w:w="2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30201</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办公费</w:t>
            </w:r>
          </w:p>
        </w:tc>
        <w:tc>
          <w:tcPr>
            <w:tcW w:w="2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47.47 </w:t>
            </w:r>
          </w:p>
        </w:tc>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30701</w:t>
            </w:r>
          </w:p>
        </w:tc>
        <w:tc>
          <w:tcPr>
            <w:tcW w:w="1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国内债务付息</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30102</w:t>
            </w:r>
          </w:p>
        </w:tc>
        <w:tc>
          <w:tcPr>
            <w:tcW w:w="11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津贴补贴</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2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30202</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印刷费</w:t>
            </w:r>
          </w:p>
        </w:tc>
        <w:tc>
          <w:tcPr>
            <w:tcW w:w="2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47.47 </w:t>
            </w:r>
          </w:p>
        </w:tc>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30702</w:t>
            </w:r>
          </w:p>
        </w:tc>
        <w:tc>
          <w:tcPr>
            <w:tcW w:w="1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国外债务付息</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30103</w:t>
            </w:r>
          </w:p>
        </w:tc>
        <w:tc>
          <w:tcPr>
            <w:tcW w:w="11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奖金</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30.73 </w:t>
            </w:r>
          </w:p>
        </w:tc>
        <w:tc>
          <w:tcPr>
            <w:tcW w:w="2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30204</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手续费</w:t>
            </w:r>
          </w:p>
        </w:tc>
        <w:tc>
          <w:tcPr>
            <w:tcW w:w="2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310</w:t>
            </w:r>
          </w:p>
        </w:tc>
        <w:tc>
          <w:tcPr>
            <w:tcW w:w="1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资本性支出</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30106</w:t>
            </w:r>
          </w:p>
        </w:tc>
        <w:tc>
          <w:tcPr>
            <w:tcW w:w="11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伙食补助费</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2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30205</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水费</w:t>
            </w:r>
          </w:p>
        </w:tc>
        <w:tc>
          <w:tcPr>
            <w:tcW w:w="2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23.74 </w:t>
            </w:r>
          </w:p>
        </w:tc>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31001</w:t>
            </w:r>
          </w:p>
        </w:tc>
        <w:tc>
          <w:tcPr>
            <w:tcW w:w="1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房屋建筑物购建</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30107</w:t>
            </w:r>
          </w:p>
        </w:tc>
        <w:tc>
          <w:tcPr>
            <w:tcW w:w="11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绩效工资</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24.29 </w:t>
            </w:r>
          </w:p>
        </w:tc>
        <w:tc>
          <w:tcPr>
            <w:tcW w:w="2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30206</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电费</w:t>
            </w:r>
          </w:p>
        </w:tc>
        <w:tc>
          <w:tcPr>
            <w:tcW w:w="2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23.74 </w:t>
            </w:r>
          </w:p>
        </w:tc>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31002</w:t>
            </w:r>
          </w:p>
        </w:tc>
        <w:tc>
          <w:tcPr>
            <w:tcW w:w="1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办公设备购置</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30108</w:t>
            </w:r>
          </w:p>
        </w:tc>
        <w:tc>
          <w:tcPr>
            <w:tcW w:w="11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机关事业单位基本养老保险缴费</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7.99 </w:t>
            </w:r>
          </w:p>
        </w:tc>
        <w:tc>
          <w:tcPr>
            <w:tcW w:w="2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30207</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邮电费</w:t>
            </w:r>
          </w:p>
        </w:tc>
        <w:tc>
          <w:tcPr>
            <w:tcW w:w="2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2.37 </w:t>
            </w:r>
          </w:p>
        </w:tc>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31003</w:t>
            </w:r>
          </w:p>
        </w:tc>
        <w:tc>
          <w:tcPr>
            <w:tcW w:w="1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专用设备购置</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30109</w:t>
            </w:r>
          </w:p>
        </w:tc>
        <w:tc>
          <w:tcPr>
            <w:tcW w:w="11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职业年金缴费</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5.95 </w:t>
            </w:r>
          </w:p>
        </w:tc>
        <w:tc>
          <w:tcPr>
            <w:tcW w:w="2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30208</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取暖费</w:t>
            </w:r>
          </w:p>
        </w:tc>
        <w:tc>
          <w:tcPr>
            <w:tcW w:w="2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31005</w:t>
            </w:r>
          </w:p>
        </w:tc>
        <w:tc>
          <w:tcPr>
            <w:tcW w:w="1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基础设施建设</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30110</w:t>
            </w:r>
          </w:p>
        </w:tc>
        <w:tc>
          <w:tcPr>
            <w:tcW w:w="11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职工基本医疗保险缴费</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4.86 </w:t>
            </w:r>
          </w:p>
        </w:tc>
        <w:tc>
          <w:tcPr>
            <w:tcW w:w="2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30209</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物业管理费</w:t>
            </w:r>
          </w:p>
        </w:tc>
        <w:tc>
          <w:tcPr>
            <w:tcW w:w="2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31006</w:t>
            </w:r>
          </w:p>
        </w:tc>
        <w:tc>
          <w:tcPr>
            <w:tcW w:w="1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大型修缮</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30111</w:t>
            </w:r>
          </w:p>
        </w:tc>
        <w:tc>
          <w:tcPr>
            <w:tcW w:w="11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公务员医疗补助缴费</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2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30211</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差旅费</w:t>
            </w:r>
          </w:p>
        </w:tc>
        <w:tc>
          <w:tcPr>
            <w:tcW w:w="2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7.12 </w:t>
            </w:r>
          </w:p>
        </w:tc>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31007</w:t>
            </w:r>
          </w:p>
        </w:tc>
        <w:tc>
          <w:tcPr>
            <w:tcW w:w="1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信息网络及软件购置更新</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30112</w:t>
            </w:r>
          </w:p>
        </w:tc>
        <w:tc>
          <w:tcPr>
            <w:tcW w:w="11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其他社会保障缴费</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3.58 </w:t>
            </w:r>
          </w:p>
        </w:tc>
        <w:tc>
          <w:tcPr>
            <w:tcW w:w="2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30212</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因公出国（境）费用</w:t>
            </w:r>
          </w:p>
        </w:tc>
        <w:tc>
          <w:tcPr>
            <w:tcW w:w="2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31008</w:t>
            </w:r>
          </w:p>
        </w:tc>
        <w:tc>
          <w:tcPr>
            <w:tcW w:w="1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物资储备</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30113</w:t>
            </w:r>
          </w:p>
        </w:tc>
        <w:tc>
          <w:tcPr>
            <w:tcW w:w="11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住房公积金</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11.63 </w:t>
            </w:r>
          </w:p>
        </w:tc>
        <w:tc>
          <w:tcPr>
            <w:tcW w:w="2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30213</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维修（护）费</w:t>
            </w:r>
          </w:p>
        </w:tc>
        <w:tc>
          <w:tcPr>
            <w:tcW w:w="2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7.12 </w:t>
            </w:r>
          </w:p>
        </w:tc>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31009</w:t>
            </w:r>
          </w:p>
        </w:tc>
        <w:tc>
          <w:tcPr>
            <w:tcW w:w="1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土地补偿</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30114</w:t>
            </w:r>
          </w:p>
        </w:tc>
        <w:tc>
          <w:tcPr>
            <w:tcW w:w="11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医疗费</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2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30214</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租赁费</w:t>
            </w:r>
          </w:p>
        </w:tc>
        <w:tc>
          <w:tcPr>
            <w:tcW w:w="2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31010</w:t>
            </w:r>
          </w:p>
        </w:tc>
        <w:tc>
          <w:tcPr>
            <w:tcW w:w="1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安置补助</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30199</w:t>
            </w:r>
          </w:p>
        </w:tc>
        <w:tc>
          <w:tcPr>
            <w:tcW w:w="11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其他工资福利支出</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2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30215</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会议费</w:t>
            </w:r>
          </w:p>
        </w:tc>
        <w:tc>
          <w:tcPr>
            <w:tcW w:w="2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2.37 </w:t>
            </w:r>
          </w:p>
        </w:tc>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31011</w:t>
            </w:r>
          </w:p>
        </w:tc>
        <w:tc>
          <w:tcPr>
            <w:tcW w:w="1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地上附着物和青苗补偿</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303</w:t>
            </w:r>
          </w:p>
        </w:tc>
        <w:tc>
          <w:tcPr>
            <w:tcW w:w="11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对个人和家庭的补助</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6.17 </w:t>
            </w:r>
          </w:p>
        </w:tc>
        <w:tc>
          <w:tcPr>
            <w:tcW w:w="2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30216</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培训费</w:t>
            </w:r>
          </w:p>
        </w:tc>
        <w:tc>
          <w:tcPr>
            <w:tcW w:w="2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7.12 </w:t>
            </w:r>
          </w:p>
        </w:tc>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31012</w:t>
            </w:r>
          </w:p>
        </w:tc>
        <w:tc>
          <w:tcPr>
            <w:tcW w:w="1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拆迁补偿</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30301</w:t>
            </w:r>
          </w:p>
        </w:tc>
        <w:tc>
          <w:tcPr>
            <w:tcW w:w="11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离休费</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2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30217</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公务接待费</w:t>
            </w:r>
          </w:p>
        </w:tc>
        <w:tc>
          <w:tcPr>
            <w:tcW w:w="2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31013</w:t>
            </w:r>
          </w:p>
        </w:tc>
        <w:tc>
          <w:tcPr>
            <w:tcW w:w="1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公务用车购置</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30302</w:t>
            </w:r>
          </w:p>
        </w:tc>
        <w:tc>
          <w:tcPr>
            <w:tcW w:w="11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退休费</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2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30218</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专用材料费</w:t>
            </w:r>
          </w:p>
        </w:tc>
        <w:tc>
          <w:tcPr>
            <w:tcW w:w="2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31019</w:t>
            </w:r>
          </w:p>
        </w:tc>
        <w:tc>
          <w:tcPr>
            <w:tcW w:w="1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其他交通工具购置</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30303</w:t>
            </w:r>
          </w:p>
        </w:tc>
        <w:tc>
          <w:tcPr>
            <w:tcW w:w="11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退职（役）费</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2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30224</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被装购置费</w:t>
            </w:r>
          </w:p>
        </w:tc>
        <w:tc>
          <w:tcPr>
            <w:tcW w:w="2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31021</w:t>
            </w:r>
          </w:p>
        </w:tc>
        <w:tc>
          <w:tcPr>
            <w:tcW w:w="1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文物和陈列品购置</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30304</w:t>
            </w:r>
          </w:p>
        </w:tc>
        <w:tc>
          <w:tcPr>
            <w:tcW w:w="11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抚恤金</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2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30225</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专用燃料费</w:t>
            </w:r>
          </w:p>
        </w:tc>
        <w:tc>
          <w:tcPr>
            <w:tcW w:w="2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31022</w:t>
            </w:r>
          </w:p>
        </w:tc>
        <w:tc>
          <w:tcPr>
            <w:tcW w:w="1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无形资产购置</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30305</w:t>
            </w:r>
          </w:p>
        </w:tc>
        <w:tc>
          <w:tcPr>
            <w:tcW w:w="11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生活补助</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6.17 </w:t>
            </w:r>
          </w:p>
        </w:tc>
        <w:tc>
          <w:tcPr>
            <w:tcW w:w="2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30226</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劳务费</w:t>
            </w:r>
          </w:p>
        </w:tc>
        <w:tc>
          <w:tcPr>
            <w:tcW w:w="2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23.74 </w:t>
            </w:r>
          </w:p>
        </w:tc>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31099</w:t>
            </w:r>
          </w:p>
        </w:tc>
        <w:tc>
          <w:tcPr>
            <w:tcW w:w="1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其他资本性支出</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30306</w:t>
            </w:r>
          </w:p>
        </w:tc>
        <w:tc>
          <w:tcPr>
            <w:tcW w:w="11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救济费</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2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30227</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委托业务费</w:t>
            </w:r>
          </w:p>
        </w:tc>
        <w:tc>
          <w:tcPr>
            <w:tcW w:w="2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399</w:t>
            </w:r>
          </w:p>
        </w:tc>
        <w:tc>
          <w:tcPr>
            <w:tcW w:w="1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其他支出</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30307</w:t>
            </w:r>
          </w:p>
        </w:tc>
        <w:tc>
          <w:tcPr>
            <w:tcW w:w="11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医疗费补助</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2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30228</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工会经费</w:t>
            </w:r>
          </w:p>
        </w:tc>
        <w:tc>
          <w:tcPr>
            <w:tcW w:w="2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18.99 </w:t>
            </w:r>
          </w:p>
        </w:tc>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39907</w:t>
            </w:r>
          </w:p>
        </w:tc>
        <w:tc>
          <w:tcPr>
            <w:tcW w:w="1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国家赔偿费用支出</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30308</w:t>
            </w:r>
          </w:p>
        </w:tc>
        <w:tc>
          <w:tcPr>
            <w:tcW w:w="11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助学金</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2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30229</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福利费</w:t>
            </w:r>
          </w:p>
        </w:tc>
        <w:tc>
          <w:tcPr>
            <w:tcW w:w="2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39908</w:t>
            </w:r>
          </w:p>
        </w:tc>
        <w:tc>
          <w:tcPr>
            <w:tcW w:w="1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对民间非营利组织和群众性自治组织补贴</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30309</w:t>
            </w:r>
          </w:p>
        </w:tc>
        <w:tc>
          <w:tcPr>
            <w:tcW w:w="11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奖励金</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2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30231</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公务用车运行维护费</w:t>
            </w:r>
          </w:p>
        </w:tc>
        <w:tc>
          <w:tcPr>
            <w:tcW w:w="2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39909</w:t>
            </w:r>
          </w:p>
        </w:tc>
        <w:tc>
          <w:tcPr>
            <w:tcW w:w="1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经常性赠与</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30310</w:t>
            </w:r>
          </w:p>
        </w:tc>
        <w:tc>
          <w:tcPr>
            <w:tcW w:w="11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个人农业生产补贴</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2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30239</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其他交通费用</w:t>
            </w:r>
          </w:p>
        </w:tc>
        <w:tc>
          <w:tcPr>
            <w:tcW w:w="2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39910</w:t>
            </w:r>
          </w:p>
        </w:tc>
        <w:tc>
          <w:tcPr>
            <w:tcW w:w="1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资本性赠与</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30311</w:t>
            </w:r>
          </w:p>
        </w:tc>
        <w:tc>
          <w:tcPr>
            <w:tcW w:w="11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代缴社会保险费</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2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30240</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税金及附加费用</w:t>
            </w:r>
          </w:p>
        </w:tc>
        <w:tc>
          <w:tcPr>
            <w:tcW w:w="2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39999</w:t>
            </w:r>
          </w:p>
        </w:tc>
        <w:tc>
          <w:tcPr>
            <w:tcW w:w="1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其他支出</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30399</w:t>
            </w:r>
          </w:p>
        </w:tc>
        <w:tc>
          <w:tcPr>
            <w:tcW w:w="11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其他对个人和家庭的补助</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2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30299</w:t>
            </w:r>
          </w:p>
        </w:tc>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其他商品和服务支出</w:t>
            </w:r>
          </w:p>
        </w:tc>
        <w:tc>
          <w:tcPr>
            <w:tcW w:w="2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26.11 </w:t>
            </w:r>
          </w:p>
        </w:tc>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color w:val="000000"/>
                <w:sz w:val="22"/>
                <w:szCs w:val="22"/>
                <w:u w:val="none"/>
              </w:rPr>
            </w:pPr>
          </w:p>
        </w:tc>
        <w:tc>
          <w:tcPr>
            <w:tcW w:w="1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color w:val="000000"/>
                <w:sz w:val="22"/>
                <w:szCs w:val="22"/>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138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人员经费合计</w:t>
            </w:r>
          </w:p>
        </w:tc>
        <w:tc>
          <w:tcPr>
            <w:tcW w:w="4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171.35 </w:t>
            </w:r>
          </w:p>
        </w:tc>
        <w:tc>
          <w:tcPr>
            <w:tcW w:w="283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公用经费合计</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237.37 </w:t>
            </w:r>
          </w:p>
        </w:tc>
      </w:tr>
    </w:tbl>
    <w:p>
      <w:pPr>
        <w:widowControl/>
        <w:shd w:val="clear"/>
        <w:jc w:val="left"/>
        <w:rPr>
          <w:rFonts w:ascii="Times New Roman" w:hAnsi="Times New Roman" w:eastAsia="仿宋_GB2312" w:cs="Times New Roman"/>
          <w:color w:val="000000"/>
          <w:kern w:val="0"/>
          <w:szCs w:val="24"/>
        </w:rPr>
      </w:pPr>
    </w:p>
    <w:p>
      <w:pPr>
        <w:widowControl/>
        <w:jc w:val="left"/>
        <w:rPr>
          <w:rFonts w:ascii="Times New Roman" w:hAnsi="Times New Roman" w:eastAsia="仿宋_GB2312" w:cs="Times New Roman"/>
          <w:color w:val="000000"/>
          <w:kern w:val="0"/>
          <w:szCs w:val="24"/>
        </w:rPr>
      </w:pPr>
    </w:p>
    <w:p>
      <w:pPr>
        <w:widowControl/>
        <w:jc w:val="left"/>
        <w:rPr>
          <w:rFonts w:ascii="Times New Roman" w:hAnsi="Times New Roman" w:eastAsia="仿宋_GB2312" w:cs="Times New Roman"/>
          <w:color w:val="000000"/>
          <w:kern w:val="0"/>
          <w:szCs w:val="24"/>
        </w:rPr>
      </w:pPr>
    </w:p>
    <w:p>
      <w:pPr>
        <w:widowControl/>
        <w:jc w:val="left"/>
        <w:rPr>
          <w:rFonts w:ascii="Times New Roman" w:hAnsi="Times New Roman" w:eastAsia="仿宋_GB2312" w:cs="Times New Roman"/>
          <w:color w:val="000000"/>
          <w:kern w:val="0"/>
          <w:szCs w:val="24"/>
        </w:rPr>
      </w:pPr>
    </w:p>
    <w:p>
      <w:pPr>
        <w:widowControl/>
        <w:jc w:val="left"/>
        <w:rPr>
          <w:rFonts w:ascii="Times New Roman" w:hAnsi="Times New Roman" w:eastAsia="仿宋_GB2312" w:cs="Times New Roman"/>
          <w:color w:val="000000"/>
          <w:kern w:val="0"/>
          <w:szCs w:val="24"/>
        </w:rPr>
      </w:pPr>
    </w:p>
    <w:p>
      <w:pPr>
        <w:widowControl/>
        <w:jc w:val="left"/>
        <w:rPr>
          <w:rFonts w:ascii="Times New Roman" w:hAnsi="Times New Roman" w:eastAsia="仿宋_GB2312" w:cs="Times New Roman"/>
          <w:color w:val="000000"/>
          <w:kern w:val="0"/>
          <w:szCs w:val="24"/>
        </w:rPr>
      </w:pPr>
    </w:p>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line="400" w:lineRule="exact"/>
        <w:jc w:val="center"/>
        <w:textAlignment w:val="center"/>
        <w:rPr>
          <w:rFonts w:ascii="Times New Roman" w:hAnsi="Times New Roman" w:eastAsia="仿宋_GB2312" w:cs="Times New Roman"/>
          <w:color w:val="000000"/>
          <w:kern w:val="0"/>
          <w:sz w:val="32"/>
          <w:szCs w:val="32"/>
          <w:lang w:bidi="ar"/>
        </w:rPr>
      </w:pPr>
    </w:p>
    <w:p>
      <w:pP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br w:type="page"/>
      </w: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5"/>
                <w:rFonts w:hint="default" w:ascii="Times New Roman" w:hAnsi="Times New Roman" w:eastAsia="仿宋_GB2312" w:cs="Times New Roman"/>
                <w:b/>
                <w:bCs/>
                <w:lang w:bidi="ar"/>
              </w:rPr>
              <w:t xml:space="preserve">   </w:t>
            </w:r>
            <w:r>
              <w:rPr>
                <w:rStyle w:val="16"/>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w:t>
      </w:r>
    </w:p>
    <w:p>
      <w:pPr>
        <w:widowControl/>
        <w:spacing w:line="400" w:lineRule="exact"/>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7"/>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pPr>
        <w:widowControl/>
        <w:jc w:val="center"/>
        <w:rPr>
          <w:rFonts w:ascii="Times New Roman" w:hAnsi="Times New Roman" w:eastAsia="方正小标宋_GBK" w:cs="Times New Roman"/>
          <w:color w:val="000000"/>
          <w:kern w:val="0"/>
          <w:sz w:val="36"/>
          <w:szCs w:val="36"/>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8"/>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r>
        <w:rPr>
          <w:rFonts w:ascii="Times New Roman" w:hAnsi="Times New Roman" w:eastAsia="楷体_GB2312" w:cs="Times New Roman"/>
          <w:b/>
          <w:bCs/>
          <w:kern w:val="0"/>
          <w:sz w:val="24"/>
          <w:szCs w:val="24"/>
          <w:lang w:bidi="ar"/>
        </w:rPr>
        <w:t>说明：我单位没有“三公”经费支出，故本表无数据。</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1134" w:right="1417" w:bottom="1134" w:left="1417"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eastAsia="黑体" w:cs="Times New Roman"/>
          <w:szCs w:val="21"/>
        </w:rPr>
        <w:br w:type="page"/>
      </w:r>
    </w:p>
    <w:p>
      <w:pPr>
        <w:pStyle w:val="12"/>
        <w:rPr>
          <w:rFonts w:ascii="Times New Roman" w:hAnsi="Times New Roman" w:cs="Times New Roman"/>
          <w:sz w:val="72"/>
          <w:szCs w:val="72"/>
        </w:rPr>
      </w:pPr>
    </w:p>
    <w:p>
      <w:pPr>
        <w:pStyle w:val="12"/>
        <w:rPr>
          <w:rFonts w:ascii="Times New Roman" w:hAnsi="Times New Roman" w:cs="Times New Roman"/>
          <w:sz w:val="72"/>
          <w:szCs w:val="72"/>
        </w:rPr>
      </w:pPr>
    </w:p>
    <w:p>
      <w:pPr>
        <w:pStyle w:val="12"/>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eastAsia="方正小标宋_GBK"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w:t>
      </w:r>
      <w:r>
        <w:rPr>
          <w:rFonts w:hint="eastAsia" w:ascii="Times New Roman" w:hAnsi="Times New Roman" w:eastAsia="仿宋_GB2312" w:cs="Times New Roman"/>
          <w:sz w:val="32"/>
          <w:szCs w:val="32"/>
          <w:lang w:val="en-US" w:eastAsia="zh-CN"/>
        </w:rPr>
        <w:t>入总计408.72万元</w:t>
      </w:r>
      <w:r>
        <w:rPr>
          <w:rFonts w:ascii="Times New Roman" w:hAnsi="Times New Roman" w:eastAsia="仿宋_GB2312" w:cs="Times New Roman"/>
          <w:sz w:val="32"/>
          <w:szCs w:val="32"/>
        </w:rPr>
        <w:t>、支</w:t>
      </w:r>
      <w:r>
        <w:rPr>
          <w:rFonts w:hint="eastAsia" w:ascii="Times New Roman" w:hAnsi="Times New Roman" w:eastAsia="仿宋_GB2312" w:cs="Times New Roman"/>
          <w:sz w:val="32"/>
          <w:szCs w:val="32"/>
          <w:lang w:val="en-US" w:eastAsia="zh-CN"/>
        </w:rPr>
        <w:t>出</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rPr>
        <w:t>408.72</w:t>
      </w:r>
      <w:r>
        <w:rPr>
          <w:rFonts w:ascii="Times New Roman" w:hAnsi="Times New Roman" w:eastAsia="仿宋_GB2312" w:cs="Times New Roman"/>
          <w:sz w:val="32"/>
          <w:szCs w:val="32"/>
        </w:rPr>
        <w:t>万元。与上年相比，减少</w:t>
      </w:r>
      <w:r>
        <w:rPr>
          <w:rFonts w:hint="default" w:ascii="Times New Roman" w:hAnsi="Times New Roman" w:eastAsia="仿宋_GB2312" w:cs="Times New Roman"/>
          <w:sz w:val="32"/>
          <w:szCs w:val="32"/>
          <w:lang w:val="en" w:eastAsia="zh-CN"/>
        </w:rPr>
        <w:t>11.19</w:t>
      </w:r>
      <w:r>
        <w:rPr>
          <w:rFonts w:ascii="Times New Roman" w:hAnsi="Times New Roman" w:eastAsia="仿宋_GB2312" w:cs="Times New Roman"/>
          <w:sz w:val="32"/>
          <w:szCs w:val="32"/>
        </w:rPr>
        <w:t>万元，降低</w:t>
      </w:r>
      <w:r>
        <w:rPr>
          <w:rFonts w:hint="default" w:ascii="Times New Roman" w:hAnsi="Times New Roman" w:eastAsia="仿宋_GB2312" w:cs="Times New Roman"/>
          <w:sz w:val="32"/>
          <w:szCs w:val="32"/>
          <w:lang w:val="en"/>
        </w:rPr>
        <w:t>2.7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主要是因为业务活动费用减少和办公经费减少。</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408.72</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408.72</w:t>
      </w:r>
      <w:r>
        <w:rPr>
          <w:rFonts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 w:eastAsia="zh-CN"/>
        </w:rPr>
        <w:t>100</w:t>
      </w:r>
      <w:r>
        <w:rPr>
          <w:rFonts w:ascii="Times New Roman" w:hAnsi="Times New Roman" w:eastAsia="仿宋_GB2312" w:cs="Times New Roman"/>
          <w:sz w:val="32"/>
          <w:szCs w:val="32"/>
        </w:rPr>
        <w:t>%；事业收入</w:t>
      </w:r>
      <w:r>
        <w:rPr>
          <w:rFonts w:hint="default" w:ascii="Times New Roman" w:hAnsi="Times New Roman" w:eastAsia="仿宋_GB2312" w:cs="Times New Roman"/>
          <w:sz w:val="32"/>
          <w:szCs w:val="32"/>
          <w:lang w:val="en" w:eastAsia="zh-CN"/>
        </w:rPr>
        <w:t>0</w:t>
      </w:r>
      <w:r>
        <w:rPr>
          <w:rFonts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 w:eastAsia="zh-CN"/>
        </w:rPr>
        <w:t>0</w:t>
      </w:r>
      <w:r>
        <w:rPr>
          <w:rFonts w:ascii="Times New Roman" w:hAnsi="Times New Roman" w:eastAsia="仿宋_GB2312" w:cs="Times New Roman"/>
          <w:sz w:val="32"/>
          <w:szCs w:val="32"/>
        </w:rPr>
        <w:t>%；其他收入</w:t>
      </w:r>
      <w:r>
        <w:rPr>
          <w:rFonts w:hint="default" w:ascii="Times New Roman" w:hAnsi="Times New Roman" w:eastAsia="仿宋_GB2312" w:cs="Times New Roman"/>
          <w:sz w:val="32"/>
          <w:szCs w:val="32"/>
          <w:lang w:val="en" w:eastAsia="zh-CN"/>
        </w:rPr>
        <w:t>0</w:t>
      </w:r>
      <w:r>
        <w:rPr>
          <w:rFonts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 w:eastAsia="zh-CN"/>
        </w:rPr>
        <w:t>0</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408.72</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408.72</w:t>
      </w:r>
      <w:r>
        <w:rPr>
          <w:rFonts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 w:eastAsia="zh-CN"/>
        </w:rPr>
        <w:t>100</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w:t>
      </w:r>
      <w:r>
        <w:rPr>
          <w:rFonts w:hint="eastAsia" w:ascii="Times New Roman" w:hAnsi="Times New Roman" w:eastAsia="仿宋_GB2312" w:cs="Times New Roman"/>
          <w:sz w:val="32"/>
          <w:szCs w:val="32"/>
          <w:lang w:val="en-US" w:eastAsia="zh-CN"/>
        </w:rPr>
        <w:t>入总计408.72万元</w:t>
      </w:r>
      <w:r>
        <w:rPr>
          <w:rFonts w:ascii="Times New Roman" w:hAnsi="Times New Roman" w:eastAsia="仿宋_GB2312" w:cs="Times New Roman"/>
          <w:sz w:val="32"/>
          <w:szCs w:val="32"/>
        </w:rPr>
        <w:t>、支</w:t>
      </w:r>
      <w:r>
        <w:rPr>
          <w:rFonts w:hint="eastAsia" w:ascii="Times New Roman" w:hAnsi="Times New Roman" w:eastAsia="仿宋_GB2312" w:cs="Times New Roman"/>
          <w:sz w:val="32"/>
          <w:szCs w:val="32"/>
          <w:lang w:val="en-US" w:eastAsia="zh-CN"/>
        </w:rPr>
        <w:t>出</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lang w:val="en-US" w:eastAsia="zh-CN"/>
        </w:rPr>
        <w:t>408.72</w:t>
      </w:r>
      <w:r>
        <w:rPr>
          <w:rFonts w:ascii="Times New Roman" w:hAnsi="Times New Roman" w:eastAsia="仿宋_GB2312" w:cs="Times New Roman"/>
          <w:sz w:val="32"/>
          <w:szCs w:val="32"/>
        </w:rPr>
        <w:t>万元，与上年相比，减少</w:t>
      </w:r>
      <w:r>
        <w:rPr>
          <w:rFonts w:hint="default" w:ascii="Times New Roman" w:hAnsi="Times New Roman" w:eastAsia="仿宋_GB2312" w:cs="Times New Roman"/>
          <w:sz w:val="32"/>
          <w:szCs w:val="32"/>
          <w:lang w:val="en" w:eastAsia="zh-CN"/>
        </w:rPr>
        <w:t>2.19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0.5</w:t>
      </w:r>
      <w:r>
        <w:rPr>
          <w:rFonts w:hint="default" w:ascii="Times New Roman" w:hAnsi="Times New Roman" w:eastAsia="仿宋_GB2312" w:cs="Times New Roman"/>
          <w:sz w:val="32"/>
          <w:szCs w:val="32"/>
          <w:lang w:val="en" w:eastAsia="zh-CN"/>
        </w:rPr>
        <w:t>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主要是因为业务活动费用减少和办公经费减少。</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408.72</w:t>
      </w:r>
      <w:r>
        <w:rPr>
          <w:rFonts w:ascii="Times New Roman" w:hAnsi="Times New Roman" w:eastAsia="仿宋_GB2312" w:cs="Times New Roman"/>
          <w:sz w:val="32"/>
          <w:szCs w:val="32"/>
        </w:rPr>
        <w:t>万元，占本年支出合计的</w:t>
      </w:r>
      <w:r>
        <w:rPr>
          <w:rFonts w:hint="default" w:ascii="Times New Roman" w:hAnsi="Times New Roman" w:eastAsia="仿宋_GB2312" w:cs="Times New Roman"/>
          <w:sz w:val="32"/>
          <w:szCs w:val="32"/>
          <w:lang w:val="en" w:eastAsia="zh-CN"/>
        </w:rPr>
        <w:t>100</w:t>
      </w:r>
      <w:r>
        <w:rPr>
          <w:rFonts w:ascii="Times New Roman" w:hAnsi="Times New Roman" w:eastAsia="仿宋_GB2312" w:cs="Times New Roman"/>
          <w:sz w:val="32"/>
          <w:szCs w:val="32"/>
        </w:rPr>
        <w:t>%，与上年相比，财政拨款支出减少</w:t>
      </w:r>
      <w:r>
        <w:rPr>
          <w:rFonts w:hint="default" w:ascii="Times New Roman" w:hAnsi="Times New Roman" w:eastAsia="仿宋_GB2312" w:cs="Times New Roman"/>
          <w:sz w:val="32"/>
          <w:szCs w:val="32"/>
          <w:lang w:val="en" w:eastAsia="zh-CN"/>
        </w:rPr>
        <w:t>2.19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0.5</w:t>
      </w:r>
      <w:r>
        <w:rPr>
          <w:rFonts w:hint="default" w:ascii="Times New Roman" w:hAnsi="Times New Roman" w:eastAsia="仿宋_GB2312" w:cs="Times New Roman"/>
          <w:sz w:val="32"/>
          <w:szCs w:val="32"/>
          <w:lang w:val="en" w:eastAsia="zh-CN"/>
        </w:rPr>
        <w:t>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主要是因为业务活动费用减少和办公经费减少。</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408.72</w:t>
      </w:r>
      <w:r>
        <w:rPr>
          <w:rFonts w:ascii="Times New Roman" w:hAnsi="Times New Roman" w:eastAsia="仿宋_GB2312" w:cs="Times New Roman"/>
          <w:sz w:val="32"/>
          <w:szCs w:val="32"/>
        </w:rPr>
        <w:t>万元，主要用于以下方面：教育（类）支出</w:t>
      </w:r>
      <w:r>
        <w:rPr>
          <w:rFonts w:hint="eastAsia" w:ascii="Times New Roman" w:hAnsi="Times New Roman" w:eastAsia="仿宋_GB2312" w:cs="Times New Roman"/>
          <w:sz w:val="32"/>
          <w:szCs w:val="32"/>
          <w:lang w:val="en-US" w:eastAsia="zh-CN"/>
        </w:rPr>
        <w:t>408.72</w:t>
      </w:r>
      <w:r>
        <w:rPr>
          <w:rFonts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default" w:ascii="Times New Roman" w:hAnsi="Times New Roman" w:eastAsia="仿宋_GB2312" w:cs="Times New Roman"/>
          <w:sz w:val="32"/>
          <w:szCs w:val="32"/>
          <w:lang w:val="en" w:eastAsia="zh-CN"/>
        </w:rPr>
        <w:t>222.53</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rPr>
        <w:t>408.72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lang w:val="en" w:eastAsia="zh-CN"/>
        </w:rPr>
        <w:t>83.67</w:t>
      </w:r>
      <w:r>
        <w:rPr>
          <w:rFonts w:ascii="Times New Roman" w:hAnsi="Times New Roman" w:eastAsia="仿宋_GB2312" w:cs="Times New Roman"/>
          <w:sz w:val="32"/>
          <w:szCs w:val="32"/>
        </w:rPr>
        <w:t>%，其中：</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default" w:ascii="Times New Roman" w:hAnsi="Times New Roman" w:eastAsia="仿宋_GB2312" w:cs="Times New Roman"/>
          <w:sz w:val="32"/>
          <w:szCs w:val="32"/>
          <w:lang w:val="en"/>
        </w:rPr>
        <w:t>1</w:t>
      </w:r>
      <w:r>
        <w:rPr>
          <w:rFonts w:hint="eastAsia" w:ascii="Times New Roman" w:hAnsi="Times New Roman" w:eastAsia="仿宋_GB2312" w:cs="Times New Roman"/>
          <w:sz w:val="32"/>
          <w:szCs w:val="32"/>
        </w:rPr>
        <w:t>.教育支出（类）普通教育（款）其他普通教育支出（项）</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default" w:ascii="Times New Roman" w:hAnsi="Times New Roman" w:eastAsia="仿宋_GB2312" w:cs="Times New Roman"/>
          <w:sz w:val="32"/>
          <w:szCs w:val="32"/>
          <w:lang w:val="en" w:eastAsia="zh-CN"/>
        </w:rPr>
        <w:t>222.53</w:t>
      </w:r>
      <w:r>
        <w:rPr>
          <w:rFonts w:hint="eastAsia" w:ascii="Times New Roman" w:hAnsi="Times New Roman" w:eastAsia="仿宋_GB2312" w:cs="Times New Roman"/>
          <w:sz w:val="32"/>
          <w:szCs w:val="32"/>
        </w:rPr>
        <w:t>万元，支出决算数为408.72万元。决算数大于预算数主要是因为</w:t>
      </w:r>
      <w:r>
        <w:rPr>
          <w:rFonts w:hint="eastAsia" w:ascii="Times New Roman" w:hAnsi="Times New Roman" w:eastAsia="仿宋_GB2312" w:cs="Times New Roman"/>
          <w:sz w:val="32"/>
          <w:szCs w:val="32"/>
          <w:lang w:eastAsia="zh-CN"/>
        </w:rPr>
        <w:t>当年业务活动费用增加，无法预算</w:t>
      </w:r>
      <w:r>
        <w:rPr>
          <w:rFonts w:hint="eastAsia"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rPr>
        <w:t>408.72</w:t>
      </w:r>
      <w:r>
        <w:rPr>
          <w:rFonts w:ascii="Times New Roman" w:hAnsi="Times New Roman" w:eastAsia="仿宋_GB2312" w:cs="Times New Roman"/>
          <w:sz w:val="32"/>
          <w:szCs w:val="32"/>
        </w:rPr>
        <w:t>万元，其中：</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171.35</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41.92</w:t>
      </w:r>
      <w:r>
        <w:rPr>
          <w:rFonts w:ascii="Times New Roman" w:hAnsi="Times New Roman" w:eastAsia="仿宋_GB2312" w:cs="Times New Roman"/>
          <w:sz w:val="32"/>
          <w:szCs w:val="32"/>
        </w:rPr>
        <w:t>%,主要包括基本工资、津贴补贴、奖金、</w:t>
      </w:r>
      <w:r>
        <w:rPr>
          <w:rFonts w:hint="eastAsia" w:ascii="Times New Roman" w:hAnsi="Times New Roman" w:eastAsia="仿宋_GB2312" w:cs="Times New Roman"/>
          <w:sz w:val="32"/>
          <w:szCs w:val="32"/>
          <w:lang w:val="en-US" w:eastAsia="zh-CN"/>
        </w:rPr>
        <w:t>机关养老保险、绩效工资、住房公积金等</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237.37</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58.08</w:t>
      </w:r>
      <w:r>
        <w:rPr>
          <w:rFonts w:ascii="Times New Roman" w:hAnsi="Times New Roman" w:eastAsia="仿宋_GB2312" w:cs="Times New Roman"/>
          <w:sz w:val="32"/>
          <w:szCs w:val="32"/>
        </w:rPr>
        <w:t>%，主要包括办公费、印刷费、</w:t>
      </w:r>
      <w:r>
        <w:rPr>
          <w:rFonts w:hint="eastAsia" w:ascii="Times New Roman" w:hAnsi="Times New Roman" w:eastAsia="仿宋_GB2312" w:cs="Times New Roman"/>
          <w:sz w:val="32"/>
          <w:szCs w:val="32"/>
          <w:lang w:val="en-US" w:eastAsia="zh-CN"/>
        </w:rPr>
        <w:t>水电费、培训费、工会经费、培训费等</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2"/>
        <w:overflowPunct w:val="0"/>
        <w:autoSpaceDE/>
        <w:autoSpaceDN/>
        <w:spacing w:line="600" w:lineRule="exact"/>
        <w:ind w:firstLine="640" w:firstLineChars="200"/>
        <w:jc w:val="both"/>
        <w:rPr>
          <w:rFonts w:ascii="Times New Roman" w:hAnsi="Times New Roman" w:eastAsia="仿宋_GB2312" w:cs="Times New Roman"/>
          <w:b/>
          <w:bCs/>
          <w:i/>
          <w:color w:val="auto"/>
          <w:sz w:val="32"/>
          <w:szCs w:val="32"/>
        </w:rPr>
      </w:pPr>
      <w:r>
        <w:rPr>
          <w:rFonts w:ascii="Times New Roman" w:hAnsi="Times New Roman" w:eastAsia="仿宋_GB2312" w:cs="Times New Roman"/>
          <w:sz w:val="32"/>
          <w:szCs w:val="32"/>
        </w:rPr>
        <w:t>1.因公出国（境）费</w:t>
      </w:r>
      <w:r>
        <w:rPr>
          <w:rFonts w:hint="eastAsia" w:ascii="Times New Roman" w:hAnsi="Times New Roman" w:eastAsia="仿宋_GB2312" w:cs="Times New Roman"/>
          <w:sz w:val="32"/>
          <w:szCs w:val="32"/>
        </w:rPr>
        <w:t>出预算为0万元，支出决算为0万元，与上年持平。</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2.公务用车购置费及运行维护费出预算为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w:t>
      </w:r>
      <w:r>
        <w:rPr>
          <w:rFonts w:hint="eastAsia" w:ascii="Times New Roman" w:hAnsi="Times New Roman" w:eastAsia="仿宋_GB2312" w:cs="Times New Roman"/>
          <w:sz w:val="32"/>
          <w:szCs w:val="32"/>
        </w:rPr>
        <w:t>出预算为0万元，支出决算为0万元，与上年持平。</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楷体_GB2312" w:cs="Times New Roman"/>
          <w:b/>
          <w:bCs/>
          <w:i/>
          <w:color w:val="auto"/>
          <w:sz w:val="32"/>
          <w:szCs w:val="32"/>
        </w:rPr>
        <w:t>（与部门决算中行政单位和参照公务员法管理事业单位财政拨款基本支出中公用经费之和一致）</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2.37</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val="en-US" w:eastAsia="zh-CN"/>
        </w:rPr>
        <w:t>各种活动、年初工作部署、财务工作等</w:t>
      </w:r>
      <w:r>
        <w:rPr>
          <w:rFonts w:ascii="Times New Roman" w:hAnsi="Times New Roman" w:eastAsia="仿宋_GB2312" w:cs="Times New Roman"/>
          <w:sz w:val="32"/>
          <w:szCs w:val="32"/>
        </w:rPr>
        <w:t>会议，</w:t>
      </w:r>
      <w:r>
        <w:rPr>
          <w:rFonts w:hint="eastAsia" w:ascii="Times New Roman" w:hAnsi="Times New Roman" w:eastAsia="仿宋_GB2312" w:cs="Times New Roman"/>
          <w:sz w:val="32"/>
          <w:szCs w:val="32"/>
        </w:rPr>
        <w:t>内容为</w:t>
      </w:r>
      <w:r>
        <w:rPr>
          <w:rFonts w:hint="eastAsia" w:ascii="Times New Roman" w:hAnsi="Times New Roman" w:eastAsia="仿宋_GB2312" w:cs="Times New Roman"/>
          <w:sz w:val="32"/>
          <w:szCs w:val="32"/>
          <w:lang w:eastAsia="zh-CN"/>
        </w:rPr>
        <w:t>落实体育课、大课间</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排查阴阳课表、体育中考、校园三大球等</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7.12</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eastAsia="zh-CN"/>
        </w:rPr>
        <w:t>体育中考、校园三大球活动、比赛训练场地的租赁等</w:t>
      </w:r>
      <w:r>
        <w:rPr>
          <w:rFonts w:hint="eastAsia" w:ascii="Times New Roman" w:hAnsi="Times New Roman" w:eastAsia="仿宋_GB2312" w:cs="Times New Roman"/>
          <w:sz w:val="32"/>
          <w:szCs w:val="32"/>
          <w:lang w:val="en-US" w:eastAsia="zh-CN"/>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w:t>
      </w:r>
    </w:p>
    <w:p>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年度本部门（单位）整体支出开展绩效自评，共涉及资金</w:t>
      </w:r>
      <w:r>
        <w:rPr>
          <w:rFonts w:hint="eastAsia" w:ascii="Times New Roman" w:hAnsi="Times New Roman" w:eastAsia="仿宋_GB2312" w:cs="Times New Roman"/>
          <w:sz w:val="32"/>
          <w:szCs w:val="32"/>
          <w:lang w:val="en-US" w:eastAsia="zh-CN"/>
        </w:rPr>
        <w:t>408.72</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sz w:val="32"/>
          <w:szCs w:val="32"/>
          <w:lang w:val="en-US" w:eastAsia="zh-CN"/>
        </w:rPr>
        <w:t>408.72</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p>
    <w:p>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417.88</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rPr>
        <w:t>408.72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97.81</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97</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优秀</w:t>
      </w:r>
      <w:r>
        <w:rPr>
          <w:rFonts w:ascii="Times New Roman" w:hAnsi="Times New Roman" w:eastAsia="仿宋_GB2312" w:cs="Times New Roman"/>
          <w:sz w:val="32"/>
          <w:szCs w:val="32"/>
        </w:rPr>
        <w:t>”。绩效目标完成情况：一是</w:t>
      </w:r>
      <w:r>
        <w:rPr>
          <w:rFonts w:hint="eastAsia" w:ascii="Times New Roman" w:hAnsi="Times New Roman" w:eastAsia="仿宋_GB2312" w:cs="Times New Roman"/>
          <w:sz w:val="32"/>
          <w:szCs w:val="32"/>
          <w:lang w:eastAsia="zh-CN"/>
        </w:rPr>
        <w:t>满足了教职工工资等人员经费</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lang w:eastAsia="zh-CN"/>
        </w:rPr>
        <w:t>使用好了</w:t>
      </w:r>
      <w:r>
        <w:rPr>
          <w:rFonts w:hint="eastAsia" w:ascii="Times New Roman" w:hAnsi="Times New Roman" w:eastAsia="仿宋_GB2312" w:cs="Times New Roman"/>
          <w:sz w:val="32"/>
          <w:szCs w:val="32"/>
          <w:lang w:val="en-US" w:eastAsia="zh-CN"/>
        </w:rPr>
        <w:t>单位的</w:t>
      </w:r>
      <w:r>
        <w:rPr>
          <w:rFonts w:hint="eastAsia" w:ascii="Times New Roman" w:hAnsi="Times New Roman" w:eastAsia="仿宋_GB2312" w:cs="Times New Roman"/>
          <w:sz w:val="32"/>
          <w:szCs w:val="32"/>
          <w:lang w:eastAsia="zh-CN"/>
        </w:rPr>
        <w:t>公用经费</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lang w:eastAsia="zh-CN"/>
        </w:rPr>
        <w:t>固定资产管理不规范</w:t>
      </w:r>
      <w:r>
        <w:rPr>
          <w:rFonts w:ascii="Times New Roman" w:hAnsi="Times New Roman" w:eastAsia="仿宋_GB2312" w:cs="Times New Roman"/>
          <w:sz w:val="32"/>
          <w:szCs w:val="32"/>
        </w:rPr>
        <w:t>。下一步改进措施：一是</w:t>
      </w:r>
      <w:r>
        <w:rPr>
          <w:rFonts w:hint="eastAsia" w:ascii="Times New Roman" w:hAnsi="Times New Roman" w:eastAsia="仿宋_GB2312" w:cs="Times New Roman"/>
          <w:sz w:val="32"/>
          <w:szCs w:val="32"/>
          <w:lang w:eastAsia="zh-CN"/>
        </w:rPr>
        <w:t>摸清底数，及时处置资产</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lang w:eastAsia="zh-CN"/>
        </w:rPr>
        <w:t>加强固定资产管理人员责任</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sz w:val="32"/>
          <w:szCs w:val="32"/>
        </w:rPr>
        <w:t>优化教育经费使用效率，向</w:t>
      </w:r>
      <w:r>
        <w:rPr>
          <w:rFonts w:hint="eastAsia" w:ascii="Times New Roman" w:hAnsi="Times New Roman" w:eastAsia="仿宋_GB2312" w:cs="Times New Roman"/>
          <w:color w:val="auto"/>
          <w:sz w:val="32"/>
          <w:szCs w:val="32"/>
          <w:lang w:eastAsia="zh-CN"/>
        </w:rPr>
        <w:t>比赛活动等</w:t>
      </w:r>
      <w:r>
        <w:rPr>
          <w:rFonts w:hint="eastAsia" w:ascii="Times New Roman" w:hAnsi="Times New Roman" w:eastAsia="仿宋_GB2312" w:cs="Times New Roman"/>
          <w:color w:val="auto"/>
          <w:sz w:val="32"/>
          <w:szCs w:val="32"/>
        </w:rPr>
        <w:t>一线</w:t>
      </w:r>
      <w:r>
        <w:rPr>
          <w:rFonts w:hint="eastAsia" w:ascii="Times New Roman" w:hAnsi="Times New Roman" w:eastAsia="仿宋_GB2312" w:cs="Times New Roman"/>
          <w:color w:val="auto"/>
          <w:sz w:val="32"/>
          <w:szCs w:val="32"/>
          <w:lang w:eastAsia="zh-CN"/>
        </w:rPr>
        <w:t>工作</w:t>
      </w:r>
      <w:r>
        <w:rPr>
          <w:rFonts w:hint="eastAsia" w:ascii="Times New Roman" w:hAnsi="Times New Roman" w:eastAsia="仿宋_GB2312" w:cs="Times New Roman"/>
          <w:color w:val="auto"/>
          <w:sz w:val="32"/>
          <w:szCs w:val="32"/>
        </w:rPr>
        <w:t>和薄弱环节倾斜，压减办公费、水电费等支出，加大教师培训力度，提高培训费；强化预算执行与绩效挂钩，提升资金使用透明度；细化预算编制、执行与监督流程；202</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rPr>
        <w:t>年预算安排需以“精准化、绩效化、法治化”为核心；进一步加强绩效评价，让经费投入取得的效益最大化。</w:t>
      </w: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pPr>
        <w:widowControl/>
        <w:jc w:val="left"/>
        <w:rPr>
          <w:rFonts w:ascii="Times New Roman" w:hAnsi="Times New Roman" w:cs="Times New Roman"/>
          <w:color w:val="000000"/>
          <w:kern w:val="0"/>
          <w:sz w:val="32"/>
          <w:szCs w:val="32"/>
        </w:rPr>
      </w:pPr>
    </w:p>
    <w:p>
      <w:pPr>
        <w:pStyle w:val="2"/>
        <w:rPr>
          <w:rFonts w:ascii="Times New Roman" w:hAnsi="Times New Roman" w:cs="Times New Roman"/>
          <w:color w:val="000000"/>
          <w:kern w:val="0"/>
          <w:sz w:val="32"/>
          <w:szCs w:val="32"/>
        </w:rPr>
      </w:pPr>
    </w:p>
    <w:p>
      <w:pPr>
        <w:pStyle w:val="3"/>
        <w:rPr>
          <w:rFonts w:ascii="Times New Roman" w:hAnsi="Times New Roman" w:cs="Times New Roman"/>
          <w:color w:val="000000"/>
          <w:kern w:val="0"/>
          <w:sz w:val="32"/>
          <w:szCs w:val="32"/>
        </w:rPr>
      </w:pPr>
    </w:p>
    <w:p>
      <w:pPr>
        <w:rPr>
          <w:rFonts w:ascii="Times New Roman" w:hAnsi="Times New Roman" w:cs="Times New Roman"/>
          <w:color w:val="000000"/>
          <w:kern w:val="0"/>
          <w:sz w:val="32"/>
          <w:szCs w:val="32"/>
        </w:rPr>
      </w:pPr>
    </w:p>
    <w:p>
      <w:pPr>
        <w:pStyle w:val="2"/>
        <w:rPr>
          <w:rFonts w:ascii="Times New Roman" w:hAnsi="Times New Roman" w:cs="Times New Roman"/>
          <w:color w:val="000000"/>
          <w:kern w:val="0"/>
          <w:sz w:val="32"/>
          <w:szCs w:val="32"/>
        </w:rPr>
      </w:pPr>
    </w:p>
    <w:p>
      <w:pPr>
        <w:pStyle w:val="3"/>
        <w:rPr>
          <w:rFonts w:ascii="Times New Roman" w:hAnsi="Times New Roman" w:cs="Times New Roman"/>
          <w:color w:val="000000"/>
          <w:kern w:val="0"/>
          <w:sz w:val="32"/>
          <w:szCs w:val="32"/>
        </w:rPr>
      </w:pPr>
    </w:p>
    <w:p>
      <w:pPr>
        <w:rPr>
          <w:rFonts w:ascii="Times New Roman" w:hAnsi="Times New Roman" w:cs="Times New Roman"/>
          <w:color w:val="000000"/>
          <w:kern w:val="0"/>
          <w:sz w:val="32"/>
          <w:szCs w:val="32"/>
        </w:rPr>
      </w:pPr>
    </w:p>
    <w:p>
      <w:pPr>
        <w:pStyle w:val="2"/>
        <w:rPr>
          <w:rFonts w:ascii="Times New Roman" w:hAnsi="Times New Roman" w:cs="Times New Roman"/>
          <w:color w:val="000000"/>
          <w:kern w:val="0"/>
          <w:sz w:val="32"/>
          <w:szCs w:val="32"/>
        </w:rPr>
      </w:pPr>
    </w:p>
    <w:p>
      <w:pPr>
        <w:pStyle w:val="3"/>
        <w:rPr>
          <w:rFonts w:ascii="Times New Roman" w:hAnsi="Times New Roman" w:cs="Times New Roman"/>
          <w:color w:val="000000"/>
          <w:kern w:val="0"/>
          <w:sz w:val="32"/>
          <w:szCs w:val="32"/>
        </w:rPr>
      </w:pPr>
    </w:p>
    <w:p>
      <w:pPr>
        <w:pStyle w:val="2"/>
      </w:pP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一、财政拨款收入：指本级财政当年拨付的资金。</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二、政府性基金预算财政拨款收入：指本级财政当年拨付的政府性基金预算资金。</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三、事业收入：指事业单位开展专业业务活动及辅助活动所取得的收入。</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四、其他收入：指除上述“财政拨款收入”、“上级补助收入”、“事业收入”、“经营收入”、“附属单位上缴收入”等以外的收入。</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五、上年结转和结余：指以前年度尚未完成、结转到本年按有关规定继续使用的资金。</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六、教育支出（类）：是指用于政府教育事务支出，包括保障机构正常运转、完成日常和特定的工作任务或事业发展目标的支出。</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七、基本支出：指保障机构正常运转、完成支日常工作任务而发生的人员支出和公用支出。</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八、项目支出：指在基本支出之外为完成特定行政任务和事业发展目标所发生的支出。</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九、“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十、政府采购 ：是指国家各级政府为从事日常的政务活动或为了满足公共服务的目的，利用国家财政性资金和政府借款购买货物、工程和服务的行为。政府采购不仅是指具体的采购过程，而且是采购政策、采购程序、采购过程及采购管理的总称，是一种对公共采购管理的制度。</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一、机关运行经费：指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十二、教育支出（类）普通教育（款）学前教育（项）：指幼儿园用于保障机构正常运行、开展日常工作的基本支出。</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十三、教育支出（类）普通教育（款）小学教育（项）：指小学学校用于保障机构正常运行、开展日常工作的基本支出。</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十四、教育支出（类）普通教育（款）初中教育（项）：指初中学校用于保障机构正常运行、开展日常工作的基本支出。</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十五、教育支出（类）其他教育支出（款）其他教育支出（项）：指为用于学校正常运转、开展日常工作的其他支出。</w:t>
      </w:r>
    </w:p>
    <w:p>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十六、社会保障和就业支出（类）人力资源和社会保障管理事务（款）引进人才费用（项）：</w:t>
      </w:r>
      <w:r>
        <w:rPr>
          <w:rFonts w:hint="eastAsia" w:ascii="仿宋" w:hAnsi="仿宋" w:eastAsia="仿宋" w:cs="仿宋"/>
          <w:color w:val="000000"/>
          <w:kern w:val="0"/>
          <w:sz w:val="32"/>
          <w:szCs w:val="32"/>
          <w:lang w:val="en-US" w:eastAsia="zh-CN"/>
        </w:rPr>
        <w:t>用于引进外国专家、引智成果推广以及其他相关人才引进工作的专项经费支出。包括用于引进人才的租房补贴和生活补助等</w:t>
      </w:r>
      <w:r>
        <w:rPr>
          <w:rFonts w:hint="eastAsia" w:ascii="仿宋" w:hAnsi="仿宋" w:eastAsia="仿宋" w:cs="仿宋"/>
          <w:color w:val="000000"/>
          <w:kern w:val="0"/>
          <w:sz w:val="32"/>
          <w:szCs w:val="32"/>
        </w:rPr>
        <w:t>。</w:t>
      </w: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pPr>
        <w:pStyle w:val="2"/>
      </w:pPr>
    </w:p>
    <w:p>
      <w:pPr>
        <w:pStyle w:val="12"/>
        <w:spacing w:line="600" w:lineRule="exact"/>
        <w:ind w:firstLine="640" w:firstLineChars="200"/>
        <w:rPr>
          <w:rFonts w:ascii="Times New Roman" w:hAnsi="Times New Roman" w:eastAsia="仿宋_GB2312" w:cs="Times New Roman"/>
          <w:sz w:val="32"/>
          <w:szCs w:val="32"/>
        </w:rPr>
      </w:pPr>
    </w:p>
    <w:p>
      <w:pPr>
        <w:pStyle w:val="12"/>
        <w:spacing w:line="600" w:lineRule="exact"/>
        <w:ind w:firstLine="640" w:firstLineChars="200"/>
        <w:rPr>
          <w:rFonts w:ascii="Times New Roman" w:hAnsi="Times New Roman" w:eastAsia="仿宋_GB2312" w:cs="Times New Roman"/>
          <w:sz w:val="32"/>
          <w:szCs w:val="3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jc w:val="left"/>
        <w:rPr>
          <w:rFonts w:ascii="Times New Roman" w:hAnsi="Times New Roman" w:cs="Times New Roman"/>
          <w:color w:val="000000"/>
          <w:kern w:val="0"/>
          <w:sz w:val="32"/>
          <w:szCs w:val="32"/>
        </w:rPr>
      </w:pPr>
    </w:p>
    <w:p>
      <w:pPr>
        <w:pStyle w:val="2"/>
        <w:rPr>
          <w:rFonts w:ascii="Times New Roman" w:hAnsi="Times New Roman" w:cs="Times New Roman"/>
          <w:color w:val="000000"/>
          <w:kern w:val="0"/>
          <w:sz w:val="32"/>
          <w:szCs w:val="32"/>
        </w:rPr>
      </w:pPr>
    </w:p>
    <w:p>
      <w:pPr>
        <w:pStyle w:val="3"/>
        <w:rPr>
          <w:rFonts w:ascii="Times New Roman" w:hAnsi="Times New Roman" w:cs="Times New Roman"/>
          <w:color w:val="000000"/>
          <w:kern w:val="0"/>
          <w:sz w:val="32"/>
          <w:szCs w:val="32"/>
        </w:rPr>
      </w:pPr>
    </w:p>
    <w:p>
      <w:pPr>
        <w:rPr>
          <w:rFonts w:ascii="Times New Roman" w:hAnsi="Times New Roman" w:cs="Times New Roman"/>
          <w:color w:val="000000"/>
          <w:kern w:val="0"/>
          <w:sz w:val="32"/>
          <w:szCs w:val="32"/>
        </w:rPr>
      </w:pPr>
    </w:p>
    <w:p>
      <w:pPr>
        <w:pStyle w:val="2"/>
        <w:rPr>
          <w:rFonts w:ascii="Times New Roman" w:hAnsi="Times New Roman" w:cs="Times New Roman"/>
          <w:color w:val="000000"/>
          <w:kern w:val="0"/>
          <w:sz w:val="32"/>
          <w:szCs w:val="32"/>
        </w:rPr>
      </w:pPr>
    </w:p>
    <w:p>
      <w:pPr>
        <w:pStyle w:val="3"/>
        <w:rPr>
          <w:rFonts w:ascii="Times New Roman" w:hAnsi="Times New Roman" w:cs="Times New Roman"/>
          <w:color w:val="000000"/>
          <w:kern w:val="0"/>
          <w:sz w:val="32"/>
          <w:szCs w:val="32"/>
        </w:rPr>
      </w:pPr>
    </w:p>
    <w:p>
      <w:pPr>
        <w:rPr>
          <w:rFonts w:ascii="Times New Roman" w:hAnsi="Times New Roman" w:cs="Times New Roman"/>
          <w:color w:val="000000"/>
          <w:kern w:val="0"/>
          <w:sz w:val="32"/>
          <w:szCs w:val="32"/>
        </w:rPr>
      </w:pPr>
    </w:p>
    <w:p>
      <w:pPr>
        <w:spacing w:line="540" w:lineRule="exact"/>
        <w:jc w:val="center"/>
        <w:rPr>
          <w:rFonts w:hint="default" w:ascii="方正小标宋简体" w:eastAsia="方正小标宋简体"/>
          <w:sz w:val="44"/>
          <w:szCs w:val="44"/>
          <w:lang w:val="en" w:eastAsia="zh-CN"/>
        </w:rPr>
      </w:pPr>
      <w:r>
        <w:rPr>
          <w:rFonts w:hint="eastAsia" w:ascii="方正小标宋简体" w:eastAsia="方正小标宋简体"/>
          <w:sz w:val="44"/>
          <w:szCs w:val="44"/>
        </w:rPr>
        <w:t>2025年度</w:t>
      </w:r>
      <w:r>
        <w:rPr>
          <w:rFonts w:hint="default" w:ascii="方正小标宋简体" w:eastAsia="方正小标宋简体"/>
          <w:sz w:val="44"/>
          <w:szCs w:val="44"/>
          <w:lang w:val="en" w:eastAsia="zh-CN"/>
        </w:rPr>
        <w:t>益阳市赫山区教育局体育卫生保健所</w:t>
      </w:r>
    </w:p>
    <w:p>
      <w:pPr>
        <w:spacing w:line="540" w:lineRule="exact"/>
        <w:jc w:val="center"/>
        <w:rPr>
          <w:rFonts w:hint="eastAsia" w:ascii="方正小标宋简体" w:eastAsia="方正小标宋简体"/>
          <w:sz w:val="44"/>
          <w:szCs w:val="44"/>
        </w:rPr>
      </w:pPr>
      <w:r>
        <w:rPr>
          <w:rFonts w:hint="eastAsia" w:ascii="方正小标宋简体" w:eastAsia="方正小标宋简体"/>
          <w:sz w:val="44"/>
          <w:szCs w:val="44"/>
        </w:rPr>
        <w:t>整体支出绩效自评报告</w:t>
      </w:r>
    </w:p>
    <w:p>
      <w:pPr>
        <w:spacing w:line="540" w:lineRule="exact"/>
        <w:jc w:val="center"/>
        <w:rPr>
          <w:rFonts w:hint="eastAsia" w:ascii="方正小标宋简体" w:eastAsia="方正小标宋简体"/>
          <w:sz w:val="44"/>
          <w:szCs w:val="44"/>
        </w:rPr>
      </w:pPr>
    </w:p>
    <w:p>
      <w:pPr>
        <w:numPr>
          <w:ilvl w:val="0"/>
          <w:numId w:val="1"/>
        </w:num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部门（单位）基本情况</w:t>
      </w:r>
    </w:p>
    <w:p>
      <w:pPr>
        <w:spacing w:line="54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益阳市赫山区保健所的主要职责是负责全区各学校的体育器材和医务保健室器材购买的指导以及对全区各学校体育教师和医务保健室的工作人员的监督和考核，认真贯彻落实体育和卫生保健工作制度，负责检查全区各学校体育教师和卫生保健工作人员履行岗位职责情况，组织开展体育教育教学活动，保证全区体育教育教学质量，负责召开好全区中小学体育运动会，保障全区防疫仪器和防疫物资的供用，维护本单位职工利益，保障本单位职工合法权益，以本单位人生幸福和生命质量作为重点。</w:t>
      </w:r>
    </w:p>
    <w:p>
      <w:pPr>
        <w:spacing w:line="540" w:lineRule="exact"/>
        <w:ind w:firstLine="640" w:firstLineChars="200"/>
        <w:rPr>
          <w:rFonts w:hint="eastAsia" w:ascii="仿宋_GB2312" w:eastAsia="仿宋_GB2312"/>
          <w:sz w:val="32"/>
          <w:szCs w:val="32"/>
        </w:rPr>
      </w:pPr>
      <w:r>
        <w:rPr>
          <w:rFonts w:hint="eastAsia" w:ascii="楷体_GB2312" w:eastAsia="楷体_GB2312"/>
          <w:sz w:val="32"/>
          <w:szCs w:val="32"/>
        </w:rPr>
        <w:t>（二）部门决算单位构成</w:t>
      </w:r>
    </w:p>
    <w:p>
      <w:pPr>
        <w:ind w:firstLine="560" w:firstLineChars="200"/>
        <w:jc w:val="left"/>
        <w:rPr>
          <w:rFonts w:ascii="Times New Roman" w:hAnsi="Times New Roman" w:eastAsia="仿宋_GB2312" w:cs="Times New Roman"/>
          <w:sz w:val="28"/>
          <w:szCs w:val="32"/>
        </w:rPr>
      </w:pPr>
      <w:r>
        <w:rPr>
          <w:rFonts w:hint="eastAsia" w:ascii="Times New Roman" w:hAnsi="Times New Roman" w:eastAsia="仿宋_GB2312" w:cs="Times New Roman"/>
          <w:sz w:val="28"/>
          <w:szCs w:val="32"/>
        </w:rPr>
        <w:t>湖南省益阳市赫山区保健所202</w:t>
      </w:r>
      <w:r>
        <w:rPr>
          <w:rFonts w:hint="default" w:ascii="Times New Roman" w:hAnsi="Times New Roman" w:eastAsia="仿宋_GB2312" w:cs="Times New Roman"/>
          <w:sz w:val="28"/>
          <w:szCs w:val="32"/>
          <w:lang w:val="en"/>
        </w:rPr>
        <w:t>5</w:t>
      </w:r>
      <w:r>
        <w:rPr>
          <w:rFonts w:hint="eastAsia" w:ascii="Times New Roman" w:hAnsi="Times New Roman" w:eastAsia="仿宋_GB2312" w:cs="Times New Roman"/>
          <w:sz w:val="28"/>
          <w:szCs w:val="32"/>
        </w:rPr>
        <w:t>年部门决算汇总公开单位构成包括：湖南省益阳市赫山区保健所本级。</w:t>
      </w:r>
    </w:p>
    <w:p>
      <w:pPr>
        <w:spacing w:line="540" w:lineRule="exact"/>
        <w:ind w:firstLine="640" w:firstLineChars="200"/>
        <w:rPr>
          <w:rFonts w:ascii="黑体" w:hAnsi="黑体" w:eastAsia="黑体"/>
          <w:sz w:val="32"/>
          <w:szCs w:val="32"/>
        </w:rPr>
      </w:pPr>
      <w:r>
        <w:rPr>
          <w:rFonts w:hint="eastAsia" w:ascii="黑体" w:hAnsi="黑体" w:eastAsia="黑体"/>
          <w:sz w:val="32"/>
          <w:szCs w:val="32"/>
        </w:rPr>
        <w:t>二、一般公共预算支出情况</w:t>
      </w:r>
    </w:p>
    <w:p>
      <w:p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（一）基本支出情况</w:t>
      </w:r>
    </w:p>
    <w:p>
      <w:pPr>
        <w:spacing w:line="540" w:lineRule="exact"/>
        <w:ind w:firstLine="640" w:firstLineChars="200"/>
        <w:rPr>
          <w:rFonts w:hint="eastAsia" w:ascii="仿宋_GB2312" w:eastAsia="仿宋_GB2312"/>
          <w:sz w:val="32"/>
          <w:szCs w:val="32"/>
        </w:rPr>
      </w:pPr>
      <w:r>
        <w:rPr>
          <w:rFonts w:hint="default" w:ascii="仿宋_GB2312" w:eastAsia="仿宋_GB2312"/>
          <w:sz w:val="32"/>
          <w:szCs w:val="32"/>
          <w:lang w:val="en" w:eastAsia="zh-CN"/>
        </w:rPr>
        <w:t>益阳市赫山区教育局体育卫生保健所</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w:t>
      </w:r>
      <w:r>
        <w:rPr>
          <w:rFonts w:hint="eastAsia" w:ascii="仿宋_GB2312" w:eastAsia="仿宋_GB2312"/>
          <w:sz w:val="32"/>
          <w:szCs w:val="32"/>
          <w:lang w:val="en-US" w:eastAsia="zh-CN"/>
        </w:rPr>
        <w:t>408.72</w:t>
      </w:r>
      <w:r>
        <w:rPr>
          <w:rFonts w:hint="eastAsia" w:ascii="仿宋_GB2312" w:eastAsia="仿宋_GB2312"/>
          <w:sz w:val="32"/>
          <w:szCs w:val="32"/>
        </w:rPr>
        <w:t>万元,其中工资福利支出</w:t>
      </w:r>
      <w:r>
        <w:rPr>
          <w:rFonts w:hint="eastAsia" w:ascii="仿宋_GB2312" w:eastAsia="仿宋_GB2312"/>
          <w:sz w:val="32"/>
          <w:szCs w:val="32"/>
          <w:lang w:val="en-US" w:eastAsia="zh-CN"/>
        </w:rPr>
        <w:t>165.18</w:t>
      </w:r>
      <w:r>
        <w:rPr>
          <w:rFonts w:hint="eastAsia" w:ascii="仿宋_GB2312" w:eastAsia="仿宋_GB2312"/>
          <w:sz w:val="32"/>
          <w:szCs w:val="32"/>
        </w:rPr>
        <w:t>万元，对个人和家庭的补助支出</w:t>
      </w:r>
      <w:r>
        <w:rPr>
          <w:rFonts w:hint="eastAsia" w:ascii="仿宋_GB2312" w:eastAsia="仿宋_GB2312"/>
          <w:sz w:val="32"/>
          <w:szCs w:val="32"/>
          <w:lang w:val="en-US" w:eastAsia="zh-CN"/>
        </w:rPr>
        <w:t>6.17</w:t>
      </w:r>
      <w:r>
        <w:rPr>
          <w:rFonts w:hint="eastAsia" w:ascii="仿宋_GB2312" w:eastAsia="仿宋_GB2312"/>
          <w:sz w:val="32"/>
          <w:szCs w:val="32"/>
        </w:rPr>
        <w:t>万元，商品和服务支出</w:t>
      </w:r>
      <w:r>
        <w:rPr>
          <w:rFonts w:hint="eastAsia" w:ascii="仿宋_GB2312" w:eastAsia="仿宋_GB2312"/>
          <w:sz w:val="32"/>
          <w:szCs w:val="32"/>
          <w:lang w:val="en-US" w:eastAsia="zh-CN"/>
        </w:rPr>
        <w:t>237.37</w:t>
      </w:r>
      <w:r>
        <w:rPr>
          <w:rFonts w:hint="eastAsia" w:ascii="仿宋_GB2312" w:eastAsia="仿宋_GB2312"/>
          <w:sz w:val="32"/>
          <w:szCs w:val="32"/>
        </w:rPr>
        <w:t>万元。</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1.工资福利支出</w:t>
      </w:r>
    </w:p>
    <w:p>
      <w:pPr>
        <w:spacing w:line="540" w:lineRule="exact"/>
        <w:ind w:firstLine="640" w:firstLineChars="200"/>
        <w:rPr>
          <w:rFonts w:hint="eastAsia" w:ascii="仿宋_GB2312" w:eastAsia="仿宋_GB2312"/>
          <w:sz w:val="32"/>
          <w:szCs w:val="32"/>
        </w:rPr>
      </w:pPr>
      <w:r>
        <w:rPr>
          <w:rFonts w:hint="default" w:ascii="仿宋_GB2312" w:eastAsia="仿宋_GB2312"/>
          <w:sz w:val="32"/>
          <w:szCs w:val="32"/>
          <w:lang w:val="en" w:eastAsia="zh-CN"/>
        </w:rPr>
        <w:t>益阳市赫山区教育局体育卫生保健所</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年度一般公共预算财政拨款基本支出工资福利支出</w:t>
      </w:r>
      <w:r>
        <w:rPr>
          <w:rFonts w:hint="eastAsia" w:ascii="仿宋_GB2312" w:eastAsia="仿宋_GB2312"/>
          <w:sz w:val="32"/>
          <w:szCs w:val="32"/>
          <w:lang w:val="en-US" w:eastAsia="zh-CN"/>
        </w:rPr>
        <w:t>165.18</w:t>
      </w:r>
      <w:r>
        <w:rPr>
          <w:rFonts w:hint="eastAsia" w:ascii="仿宋_GB2312" w:eastAsia="仿宋_GB2312"/>
          <w:sz w:val="32"/>
          <w:szCs w:val="32"/>
        </w:rPr>
        <w:t>万元，其中基本工资</w:t>
      </w:r>
      <w:r>
        <w:rPr>
          <w:rFonts w:hint="eastAsia" w:ascii="仿宋_GB2312" w:eastAsia="仿宋_GB2312"/>
          <w:sz w:val="32"/>
          <w:szCs w:val="32"/>
          <w:lang w:val="en-US" w:eastAsia="zh-CN"/>
        </w:rPr>
        <w:t>76.14</w:t>
      </w:r>
      <w:r>
        <w:rPr>
          <w:rFonts w:hint="eastAsia" w:ascii="仿宋_GB2312" w:eastAsia="仿宋_GB2312"/>
          <w:sz w:val="32"/>
          <w:szCs w:val="32"/>
        </w:rPr>
        <w:t>万元、</w:t>
      </w:r>
      <w:r>
        <w:rPr>
          <w:rFonts w:hint="eastAsia" w:ascii="仿宋_GB2312" w:eastAsia="仿宋_GB2312"/>
          <w:sz w:val="32"/>
          <w:szCs w:val="32"/>
          <w:lang w:eastAsia="zh-CN"/>
        </w:rPr>
        <w:t>奖金</w:t>
      </w:r>
      <w:r>
        <w:rPr>
          <w:rFonts w:hint="eastAsia" w:ascii="仿宋_GB2312" w:eastAsia="仿宋_GB2312"/>
          <w:sz w:val="32"/>
          <w:szCs w:val="32"/>
          <w:lang w:val="en-US" w:eastAsia="zh-CN"/>
        </w:rPr>
        <w:t>30.73</w:t>
      </w:r>
      <w:r>
        <w:rPr>
          <w:rFonts w:hint="eastAsia" w:ascii="仿宋_GB2312" w:eastAsia="仿宋_GB2312"/>
          <w:sz w:val="32"/>
          <w:szCs w:val="32"/>
        </w:rPr>
        <w:t>万元、绩效工资</w:t>
      </w:r>
      <w:r>
        <w:rPr>
          <w:rFonts w:hint="eastAsia" w:ascii="仿宋_GB2312" w:eastAsia="仿宋_GB2312"/>
          <w:sz w:val="32"/>
          <w:szCs w:val="32"/>
          <w:lang w:val="en-US" w:eastAsia="zh-CN"/>
        </w:rPr>
        <w:t>24.29</w:t>
      </w:r>
      <w:r>
        <w:rPr>
          <w:rFonts w:hint="eastAsia" w:ascii="仿宋_GB2312" w:eastAsia="仿宋_GB2312"/>
          <w:sz w:val="32"/>
          <w:szCs w:val="32"/>
        </w:rPr>
        <w:t>万元、机关事业单位基本养老保险缴费</w:t>
      </w:r>
      <w:r>
        <w:rPr>
          <w:rFonts w:hint="eastAsia" w:ascii="仿宋_GB2312" w:eastAsia="仿宋_GB2312"/>
          <w:sz w:val="32"/>
          <w:szCs w:val="32"/>
          <w:lang w:val="en-US" w:eastAsia="zh-CN"/>
        </w:rPr>
        <w:t>7.99</w:t>
      </w:r>
      <w:r>
        <w:rPr>
          <w:rFonts w:hint="eastAsia" w:ascii="仿宋_GB2312" w:eastAsia="仿宋_GB2312"/>
          <w:sz w:val="32"/>
          <w:szCs w:val="32"/>
        </w:rPr>
        <w:t>万元、职业年金缴费</w:t>
      </w:r>
      <w:r>
        <w:rPr>
          <w:rFonts w:hint="eastAsia" w:ascii="仿宋_GB2312" w:eastAsia="仿宋_GB2312"/>
          <w:sz w:val="32"/>
          <w:szCs w:val="32"/>
          <w:lang w:val="en-US" w:eastAsia="zh-CN"/>
        </w:rPr>
        <w:t>5.95</w:t>
      </w:r>
      <w:r>
        <w:rPr>
          <w:rFonts w:hint="eastAsia" w:ascii="仿宋_GB2312" w:eastAsia="仿宋_GB2312"/>
          <w:sz w:val="32"/>
          <w:szCs w:val="32"/>
        </w:rPr>
        <w:t>万元、职工基本医疗保险缴费</w:t>
      </w:r>
      <w:r>
        <w:rPr>
          <w:rFonts w:hint="eastAsia" w:ascii="仿宋_GB2312" w:eastAsia="仿宋_GB2312"/>
          <w:sz w:val="32"/>
          <w:szCs w:val="32"/>
          <w:lang w:val="en-US" w:eastAsia="zh-CN"/>
        </w:rPr>
        <w:t>4.86</w:t>
      </w:r>
      <w:r>
        <w:rPr>
          <w:rFonts w:hint="eastAsia" w:ascii="仿宋_GB2312" w:eastAsia="仿宋_GB2312"/>
          <w:sz w:val="32"/>
          <w:szCs w:val="32"/>
        </w:rPr>
        <w:t>万元、  其他社会保障缴费3.58</w:t>
      </w:r>
      <w:r>
        <w:rPr>
          <w:rFonts w:hint="eastAsia" w:ascii="仿宋_GB2312" w:eastAsia="仿宋_GB2312"/>
          <w:sz w:val="32"/>
          <w:szCs w:val="32"/>
          <w:lang w:eastAsia="zh-CN"/>
        </w:rPr>
        <w:t>万元、</w:t>
      </w:r>
      <w:r>
        <w:rPr>
          <w:rFonts w:hint="eastAsia" w:ascii="仿宋_GB2312" w:eastAsia="仿宋_GB2312"/>
          <w:sz w:val="32"/>
          <w:szCs w:val="32"/>
        </w:rPr>
        <w:t>住房公积金</w:t>
      </w:r>
      <w:r>
        <w:rPr>
          <w:rFonts w:hint="eastAsia" w:ascii="仿宋_GB2312" w:eastAsia="仿宋_GB2312"/>
          <w:sz w:val="32"/>
          <w:szCs w:val="32"/>
          <w:lang w:val="en-US" w:eastAsia="zh-CN"/>
        </w:rPr>
        <w:t>11.63</w:t>
      </w:r>
      <w:r>
        <w:rPr>
          <w:rFonts w:hint="eastAsia" w:ascii="仿宋_GB2312" w:eastAsia="仿宋_GB2312"/>
          <w:sz w:val="32"/>
          <w:szCs w:val="32"/>
        </w:rPr>
        <w:t xml:space="preserve">万元。 </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2.商品服务支出</w:t>
      </w:r>
    </w:p>
    <w:p>
      <w:pPr>
        <w:spacing w:line="540" w:lineRule="exact"/>
        <w:ind w:firstLine="640" w:firstLineChars="200"/>
        <w:rPr>
          <w:rFonts w:hint="eastAsia" w:ascii="仿宋_GB2312" w:eastAsia="仿宋_GB2312"/>
          <w:sz w:val="32"/>
          <w:szCs w:val="32"/>
        </w:rPr>
      </w:pPr>
      <w:r>
        <w:rPr>
          <w:rFonts w:hint="default" w:ascii="仿宋_GB2312" w:eastAsia="仿宋_GB2312"/>
          <w:sz w:val="32"/>
          <w:szCs w:val="32"/>
          <w:lang w:val="en" w:eastAsia="zh-CN"/>
        </w:rPr>
        <w:t>益阳市赫山区教育局体育卫生保健所</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年度一般公共预算财政拨款基本支出商品服务支出</w:t>
      </w:r>
      <w:r>
        <w:rPr>
          <w:rFonts w:hint="eastAsia" w:ascii="仿宋_GB2312" w:eastAsia="仿宋_GB2312"/>
          <w:sz w:val="32"/>
          <w:szCs w:val="32"/>
          <w:lang w:val="en-US" w:eastAsia="zh-CN"/>
        </w:rPr>
        <w:t>237.37</w:t>
      </w:r>
      <w:r>
        <w:rPr>
          <w:rFonts w:hint="eastAsia" w:ascii="仿宋_GB2312" w:eastAsia="仿宋_GB2312"/>
          <w:sz w:val="32"/>
          <w:szCs w:val="32"/>
        </w:rPr>
        <w:t>万元，其中办公费</w:t>
      </w:r>
      <w:r>
        <w:rPr>
          <w:rFonts w:hint="eastAsia" w:ascii="仿宋_GB2312" w:eastAsia="仿宋_GB2312"/>
          <w:sz w:val="32"/>
          <w:szCs w:val="32"/>
          <w:lang w:val="en-US" w:eastAsia="zh-CN"/>
        </w:rPr>
        <w:t>47.47</w:t>
      </w:r>
      <w:r>
        <w:rPr>
          <w:rFonts w:hint="eastAsia" w:ascii="仿宋_GB2312" w:eastAsia="仿宋_GB2312"/>
          <w:sz w:val="32"/>
          <w:szCs w:val="32"/>
        </w:rPr>
        <w:t>万元、印刷费</w:t>
      </w:r>
      <w:r>
        <w:rPr>
          <w:rFonts w:hint="eastAsia" w:ascii="仿宋_GB2312" w:eastAsia="仿宋_GB2312"/>
          <w:sz w:val="32"/>
          <w:szCs w:val="32"/>
          <w:lang w:val="en-US" w:eastAsia="zh-CN"/>
        </w:rPr>
        <w:t>47.47</w:t>
      </w:r>
      <w:r>
        <w:rPr>
          <w:rFonts w:hint="eastAsia" w:ascii="仿宋_GB2312" w:eastAsia="仿宋_GB2312"/>
          <w:sz w:val="32"/>
          <w:szCs w:val="32"/>
        </w:rPr>
        <w:t>万元、水费</w:t>
      </w:r>
      <w:r>
        <w:rPr>
          <w:rFonts w:hint="eastAsia" w:ascii="仿宋_GB2312" w:eastAsia="仿宋_GB2312"/>
          <w:sz w:val="32"/>
          <w:szCs w:val="32"/>
          <w:lang w:val="en-US" w:eastAsia="zh-CN"/>
        </w:rPr>
        <w:t>23.74</w:t>
      </w:r>
      <w:r>
        <w:rPr>
          <w:rFonts w:hint="eastAsia" w:ascii="仿宋_GB2312" w:eastAsia="仿宋_GB2312"/>
          <w:sz w:val="32"/>
          <w:szCs w:val="32"/>
        </w:rPr>
        <w:t>万元、电费</w:t>
      </w:r>
      <w:r>
        <w:rPr>
          <w:rFonts w:hint="eastAsia" w:ascii="仿宋_GB2312" w:eastAsia="仿宋_GB2312"/>
          <w:sz w:val="32"/>
          <w:szCs w:val="32"/>
          <w:lang w:val="en-US" w:eastAsia="zh-CN"/>
        </w:rPr>
        <w:t>23.74</w:t>
      </w:r>
      <w:r>
        <w:rPr>
          <w:rFonts w:hint="eastAsia" w:ascii="仿宋_GB2312" w:eastAsia="仿宋_GB2312"/>
          <w:sz w:val="32"/>
          <w:szCs w:val="32"/>
        </w:rPr>
        <w:t>万元、  邮电费2.37</w:t>
      </w:r>
      <w:r>
        <w:rPr>
          <w:rFonts w:hint="eastAsia" w:ascii="仿宋_GB2312" w:eastAsia="仿宋_GB2312"/>
          <w:sz w:val="32"/>
          <w:szCs w:val="32"/>
          <w:lang w:eastAsia="zh-CN"/>
        </w:rPr>
        <w:t>万元、</w:t>
      </w:r>
      <w:r>
        <w:rPr>
          <w:rFonts w:hint="eastAsia" w:ascii="仿宋_GB2312" w:eastAsia="仿宋_GB2312"/>
          <w:sz w:val="32"/>
          <w:szCs w:val="32"/>
        </w:rPr>
        <w:t>差旅费</w:t>
      </w:r>
      <w:r>
        <w:rPr>
          <w:rFonts w:hint="eastAsia" w:ascii="仿宋_GB2312" w:eastAsia="仿宋_GB2312"/>
          <w:sz w:val="32"/>
          <w:szCs w:val="32"/>
          <w:lang w:val="en-US" w:eastAsia="zh-CN"/>
        </w:rPr>
        <w:t>7.12</w:t>
      </w:r>
      <w:r>
        <w:rPr>
          <w:rFonts w:hint="eastAsia" w:ascii="仿宋_GB2312" w:eastAsia="仿宋_GB2312"/>
          <w:sz w:val="32"/>
          <w:szCs w:val="32"/>
        </w:rPr>
        <w:t>万元、维修（护）费</w:t>
      </w:r>
      <w:r>
        <w:rPr>
          <w:rFonts w:hint="eastAsia" w:ascii="仿宋_GB2312" w:eastAsia="仿宋_GB2312"/>
          <w:sz w:val="32"/>
          <w:szCs w:val="32"/>
          <w:lang w:val="en-US" w:eastAsia="zh-CN"/>
        </w:rPr>
        <w:t>7.12</w:t>
      </w:r>
      <w:r>
        <w:rPr>
          <w:rFonts w:hint="eastAsia" w:ascii="仿宋_GB2312" w:eastAsia="仿宋_GB2312"/>
          <w:sz w:val="32"/>
          <w:szCs w:val="32"/>
        </w:rPr>
        <w:t>万元、会议费</w:t>
      </w:r>
      <w:r>
        <w:rPr>
          <w:rFonts w:hint="eastAsia" w:ascii="仿宋_GB2312" w:eastAsia="仿宋_GB2312"/>
          <w:sz w:val="32"/>
          <w:szCs w:val="32"/>
          <w:lang w:val="en-US" w:eastAsia="zh-CN"/>
        </w:rPr>
        <w:t>2.37</w:t>
      </w:r>
      <w:r>
        <w:rPr>
          <w:rFonts w:hint="eastAsia" w:ascii="仿宋_GB2312" w:eastAsia="仿宋_GB2312"/>
          <w:sz w:val="32"/>
          <w:szCs w:val="32"/>
        </w:rPr>
        <w:t>万元、培训费</w:t>
      </w:r>
      <w:r>
        <w:rPr>
          <w:rFonts w:hint="eastAsia" w:ascii="仿宋_GB2312" w:eastAsia="仿宋_GB2312"/>
          <w:sz w:val="32"/>
          <w:szCs w:val="32"/>
          <w:lang w:val="en-US" w:eastAsia="zh-CN"/>
        </w:rPr>
        <w:t>7.12</w:t>
      </w:r>
      <w:r>
        <w:rPr>
          <w:rFonts w:hint="eastAsia" w:ascii="仿宋_GB2312" w:eastAsia="仿宋_GB2312"/>
          <w:sz w:val="32"/>
          <w:szCs w:val="32"/>
        </w:rPr>
        <w:t>元、  劳务费</w:t>
      </w:r>
      <w:r>
        <w:rPr>
          <w:rFonts w:hint="eastAsia" w:ascii="仿宋_GB2312" w:eastAsia="仿宋_GB2312"/>
          <w:sz w:val="32"/>
          <w:szCs w:val="32"/>
          <w:lang w:val="en-US" w:eastAsia="zh-CN"/>
        </w:rPr>
        <w:t>23.74</w:t>
      </w:r>
      <w:r>
        <w:rPr>
          <w:rFonts w:hint="eastAsia" w:ascii="仿宋_GB2312" w:eastAsia="仿宋_GB2312"/>
          <w:sz w:val="32"/>
          <w:szCs w:val="32"/>
        </w:rPr>
        <w:t>万元</w:t>
      </w:r>
      <w:r>
        <w:rPr>
          <w:rFonts w:hint="eastAsia" w:ascii="仿宋_GB2312" w:eastAsia="仿宋_GB2312"/>
          <w:sz w:val="32"/>
          <w:szCs w:val="32"/>
          <w:lang w:eastAsia="zh-CN"/>
        </w:rPr>
        <w:t>、</w:t>
      </w:r>
      <w:r>
        <w:rPr>
          <w:rFonts w:hint="eastAsia" w:ascii="仿宋_GB2312" w:eastAsia="仿宋_GB2312"/>
          <w:sz w:val="32"/>
          <w:szCs w:val="32"/>
        </w:rPr>
        <w:t>工会经费</w:t>
      </w:r>
      <w:r>
        <w:rPr>
          <w:rFonts w:hint="eastAsia" w:ascii="仿宋_GB2312" w:eastAsia="仿宋_GB2312"/>
          <w:sz w:val="32"/>
          <w:szCs w:val="32"/>
          <w:lang w:val="en-US" w:eastAsia="zh-CN"/>
        </w:rPr>
        <w:t>18.99</w:t>
      </w:r>
      <w:r>
        <w:rPr>
          <w:rFonts w:hint="eastAsia" w:ascii="仿宋_GB2312" w:eastAsia="仿宋_GB2312"/>
          <w:sz w:val="32"/>
          <w:szCs w:val="32"/>
        </w:rPr>
        <w:t>万元、其他商品和服务支出</w:t>
      </w:r>
      <w:r>
        <w:rPr>
          <w:rFonts w:hint="eastAsia" w:ascii="仿宋_GB2312" w:eastAsia="仿宋_GB2312"/>
          <w:sz w:val="32"/>
          <w:szCs w:val="32"/>
          <w:lang w:val="en-US" w:eastAsia="zh-CN"/>
        </w:rPr>
        <w:t>26.11</w:t>
      </w:r>
      <w:r>
        <w:rPr>
          <w:rFonts w:hint="eastAsia" w:ascii="仿宋_GB2312" w:eastAsia="仿宋_GB2312"/>
          <w:sz w:val="32"/>
          <w:szCs w:val="32"/>
        </w:rPr>
        <w:t>万元。</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3.对个人和家庭和补助支出</w:t>
      </w:r>
    </w:p>
    <w:p>
      <w:pPr>
        <w:spacing w:line="540" w:lineRule="exact"/>
        <w:ind w:firstLine="640" w:firstLineChars="200"/>
        <w:rPr>
          <w:rFonts w:hint="eastAsia" w:ascii="仿宋_GB2312" w:eastAsia="仿宋_GB2312"/>
          <w:sz w:val="32"/>
          <w:szCs w:val="32"/>
        </w:rPr>
      </w:pPr>
      <w:r>
        <w:rPr>
          <w:rFonts w:hint="default" w:ascii="仿宋_GB2312" w:eastAsia="仿宋_GB2312"/>
          <w:sz w:val="32"/>
          <w:szCs w:val="32"/>
          <w:lang w:val="en" w:eastAsia="zh-CN"/>
        </w:rPr>
        <w:t>益阳市赫山区教育局体育卫生保健所</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年度一般公共预算财政拨款基本支出对个人和家庭和补助支出</w:t>
      </w:r>
      <w:r>
        <w:rPr>
          <w:rFonts w:hint="eastAsia" w:ascii="仿宋_GB2312" w:eastAsia="仿宋_GB2312"/>
          <w:sz w:val="32"/>
          <w:szCs w:val="32"/>
          <w:lang w:val="en-US" w:eastAsia="zh-CN"/>
        </w:rPr>
        <w:t>6.17</w:t>
      </w:r>
      <w:r>
        <w:rPr>
          <w:rFonts w:hint="eastAsia" w:ascii="仿宋_GB2312" w:eastAsia="仿宋_GB2312"/>
          <w:sz w:val="32"/>
          <w:szCs w:val="32"/>
        </w:rPr>
        <w:t>万元，其中生活补助</w:t>
      </w:r>
      <w:r>
        <w:rPr>
          <w:rFonts w:hint="eastAsia" w:ascii="仿宋_GB2312" w:eastAsia="仿宋_GB2312"/>
          <w:sz w:val="32"/>
          <w:szCs w:val="32"/>
          <w:lang w:val="en-US" w:eastAsia="zh-CN"/>
        </w:rPr>
        <w:t>6.17</w:t>
      </w:r>
      <w:r>
        <w:rPr>
          <w:rFonts w:hint="eastAsia" w:ascii="仿宋_GB2312" w:eastAsia="仿宋_GB2312"/>
          <w:sz w:val="32"/>
          <w:szCs w:val="32"/>
        </w:rPr>
        <w:t>万元。</w:t>
      </w:r>
    </w:p>
    <w:p>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4.资本性支出</w:t>
      </w:r>
    </w:p>
    <w:p>
      <w:pPr>
        <w:spacing w:line="540" w:lineRule="exact"/>
        <w:ind w:firstLine="640" w:firstLineChars="200"/>
        <w:rPr>
          <w:rFonts w:hint="eastAsia" w:ascii="楷体_GB2312" w:eastAsia="楷体_GB2312"/>
          <w:sz w:val="32"/>
          <w:szCs w:val="32"/>
        </w:rPr>
      </w:pPr>
      <w:r>
        <w:rPr>
          <w:rFonts w:hint="default" w:ascii="仿宋_GB2312" w:eastAsia="仿宋_GB2312"/>
          <w:sz w:val="32"/>
          <w:szCs w:val="32"/>
          <w:lang w:val="en" w:eastAsia="zh-CN"/>
        </w:rPr>
        <w:t>益阳市赫山区教育局体育卫生保健所</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w:t>
      </w:r>
      <w:r>
        <w:rPr>
          <w:rFonts w:hint="eastAsia" w:ascii="仿宋_GB2312" w:eastAsia="仿宋_GB2312"/>
          <w:sz w:val="32"/>
          <w:szCs w:val="32"/>
          <w:lang w:val="en-US" w:eastAsia="zh-CN"/>
        </w:rPr>
        <w:t>资本性支出0元，其中大型修缮0万元。</w:t>
      </w:r>
    </w:p>
    <w:p>
      <w:pPr>
        <w:numPr>
          <w:ilvl w:val="0"/>
          <w:numId w:val="2"/>
        </w:num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项目支出情况</w:t>
      </w:r>
    </w:p>
    <w:p>
      <w:pPr>
        <w:spacing w:line="540" w:lineRule="exact"/>
        <w:ind w:firstLine="640" w:firstLineChars="200"/>
        <w:rPr>
          <w:rFonts w:hint="eastAsia" w:ascii="仿宋_GB2312" w:eastAsia="仿宋_GB2312"/>
          <w:sz w:val="32"/>
          <w:szCs w:val="32"/>
          <w:lang w:val="en-US" w:eastAsia="zh-CN"/>
        </w:rPr>
      </w:pPr>
      <w:r>
        <w:rPr>
          <w:rFonts w:hint="default" w:ascii="仿宋_GB2312" w:eastAsia="仿宋_GB2312"/>
          <w:sz w:val="32"/>
          <w:szCs w:val="32"/>
          <w:lang w:val="en" w:eastAsia="zh-CN"/>
        </w:rPr>
        <w:t>益阳市赫山区教育局体育卫生保健所</w:t>
      </w:r>
      <w:r>
        <w:rPr>
          <w:rFonts w:hint="eastAsia" w:ascii="仿宋_GB2312" w:eastAsia="仿宋_GB2312"/>
          <w:sz w:val="32"/>
          <w:szCs w:val="32"/>
          <w:lang w:val="en-US" w:eastAsia="zh-CN"/>
        </w:rPr>
        <w:t>2025年度一般公共预算财政拨款项目支出0万元,其中资本性支出0万元。0\</w:t>
      </w:r>
    </w:p>
    <w:p>
      <w:p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三、政府性基金预算支出情况</w:t>
      </w:r>
    </w:p>
    <w:p>
      <w:pPr>
        <w:spacing w:line="540" w:lineRule="exact"/>
        <w:ind w:firstLine="640" w:firstLineChars="200"/>
        <w:rPr>
          <w:rFonts w:hint="eastAsia" w:ascii="黑体" w:hAnsi="黑体" w:eastAsia="黑体"/>
          <w:sz w:val="32"/>
          <w:szCs w:val="32"/>
          <w:lang w:eastAsia="zh-CN"/>
        </w:rPr>
      </w:pPr>
      <w:r>
        <w:rPr>
          <w:rFonts w:hint="default" w:ascii="仿宋_GB2312" w:eastAsia="仿宋_GB2312"/>
          <w:sz w:val="32"/>
          <w:szCs w:val="32"/>
          <w:lang w:val="en" w:eastAsia="zh-CN"/>
        </w:rPr>
        <w:t>益阳市赫山区教育局体育卫生保健所</w:t>
      </w:r>
      <w:r>
        <w:rPr>
          <w:rFonts w:hint="eastAsia" w:ascii="仿宋_GB2312" w:eastAsia="仿宋_GB2312"/>
          <w:sz w:val="32"/>
          <w:szCs w:val="32"/>
          <w:lang w:val="en-US" w:eastAsia="zh-CN"/>
        </w:rPr>
        <w:t>2025年度无政府性基金支出。</w:t>
      </w:r>
    </w:p>
    <w:p>
      <w:pPr>
        <w:numPr>
          <w:ilvl w:val="0"/>
          <w:numId w:val="3"/>
        </w:num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国有资本经营预算支出情况</w:t>
      </w:r>
    </w:p>
    <w:p>
      <w:pPr>
        <w:numPr>
          <w:ilvl w:val="0"/>
          <w:numId w:val="0"/>
        </w:numPr>
        <w:spacing w:line="540" w:lineRule="exact"/>
        <w:ind w:firstLine="640" w:firstLineChars="200"/>
        <w:rPr>
          <w:rFonts w:ascii="黑体" w:hAnsi="黑体" w:eastAsia="黑体"/>
          <w:sz w:val="32"/>
          <w:szCs w:val="32"/>
        </w:rPr>
      </w:pPr>
      <w:r>
        <w:rPr>
          <w:rFonts w:hint="eastAsia" w:ascii="仿宋_GB2312" w:eastAsia="仿宋_GB2312"/>
          <w:sz w:val="32"/>
          <w:szCs w:val="32"/>
          <w:lang w:val="en-US" w:eastAsia="zh-CN"/>
        </w:rPr>
        <w:t>本单位本年度无国有资本经营预算支出。</w:t>
      </w:r>
    </w:p>
    <w:p>
      <w:pPr>
        <w:numPr>
          <w:ilvl w:val="0"/>
          <w:numId w:val="3"/>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社会保险基金预算支出情况</w:t>
      </w:r>
    </w:p>
    <w:p>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本单位本年度无社会保险基金预算支出。</w:t>
      </w:r>
    </w:p>
    <w:p>
      <w:pPr>
        <w:spacing w:line="540" w:lineRule="exact"/>
        <w:ind w:firstLine="640" w:firstLineChars="200"/>
        <w:rPr>
          <w:rFonts w:ascii="黑体" w:hAnsi="黑体" w:eastAsia="黑体"/>
          <w:sz w:val="32"/>
          <w:szCs w:val="32"/>
        </w:rPr>
      </w:pPr>
      <w:r>
        <w:rPr>
          <w:rFonts w:hint="eastAsia" w:ascii="黑体" w:hAnsi="黑体" w:eastAsia="黑体"/>
          <w:sz w:val="32"/>
          <w:szCs w:val="32"/>
        </w:rPr>
        <w:t>六、部门整体支出绩效情况</w:t>
      </w:r>
    </w:p>
    <w:p>
      <w:pPr>
        <w:spacing w:line="540" w:lineRule="exact"/>
        <w:ind w:firstLine="640" w:firstLineChars="200"/>
        <w:rPr>
          <w:rFonts w:hint="eastAsia" w:ascii="仿宋_GB2312" w:eastAsia="仿宋_GB2312"/>
          <w:sz w:val="32"/>
          <w:szCs w:val="32"/>
        </w:rPr>
      </w:pPr>
      <w:r>
        <w:rPr>
          <w:rFonts w:hint="default" w:ascii="仿宋_GB2312" w:eastAsia="仿宋_GB2312"/>
          <w:sz w:val="32"/>
          <w:szCs w:val="32"/>
          <w:lang w:val="en" w:eastAsia="zh-CN"/>
        </w:rPr>
        <w:t>益阳市赫山区教育局体育卫生保健所</w:t>
      </w:r>
      <w:r>
        <w:rPr>
          <w:rFonts w:hint="eastAsia" w:ascii="仿宋_GB2312" w:eastAsia="仿宋_GB2312"/>
          <w:sz w:val="32"/>
          <w:szCs w:val="32"/>
        </w:rPr>
        <w:t>严格执行《预算法》，强化支出责任，不断提高资金使用效益，根据绩效评价相关制度规定对</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年度部门整体支出开展绩效评价，认真制定绩效自评工作方案，坚持客观公正和有效性原则，按照设定的指标体系，</w:t>
      </w:r>
      <w:r>
        <w:rPr>
          <w:rFonts w:hint="eastAsia" w:ascii="仿宋_GB2312" w:eastAsia="仿宋_GB2312"/>
          <w:sz w:val="32"/>
          <w:szCs w:val="32"/>
          <w:lang w:eastAsia="zh-CN"/>
        </w:rPr>
        <w:t>认真</w:t>
      </w:r>
      <w:r>
        <w:rPr>
          <w:rFonts w:hint="eastAsia" w:ascii="仿宋_GB2312" w:eastAsia="仿宋_GB2312"/>
          <w:sz w:val="32"/>
          <w:szCs w:val="32"/>
        </w:rPr>
        <w:t>对各类项目资金开展预算资金绩效自评。</w:t>
      </w:r>
    </w:p>
    <w:p>
      <w:p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（一）绩效评价工作情况</w:t>
      </w:r>
    </w:p>
    <w:p>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val="en-US" w:eastAsia="zh-CN"/>
        </w:rPr>
        <w:t>1、</w:t>
      </w:r>
      <w:r>
        <w:rPr>
          <w:rFonts w:hint="eastAsia" w:ascii="仿宋_GB2312" w:eastAsia="仿宋_GB2312"/>
          <w:sz w:val="32"/>
          <w:szCs w:val="32"/>
          <w:lang w:eastAsia="zh-CN"/>
        </w:rPr>
        <w:t>绩效评价目的</w:t>
      </w:r>
    </w:p>
    <w:p>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本次绩效评价的目的是为了全面分析和综合评价我单位本级财政预算资金的使用管理情况，为切实提高财政资金使用效益，强化预算支出的责任和效率提供参考依据。</w:t>
      </w:r>
    </w:p>
    <w:p>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val="en-US" w:eastAsia="zh-CN"/>
        </w:rPr>
        <w:t>2、</w:t>
      </w:r>
      <w:r>
        <w:rPr>
          <w:rFonts w:hint="eastAsia" w:ascii="仿宋_GB2312" w:eastAsia="仿宋_GB2312"/>
          <w:sz w:val="32"/>
          <w:szCs w:val="32"/>
          <w:lang w:eastAsia="zh-CN"/>
        </w:rPr>
        <w:t>绩效评价工作过程</w:t>
      </w:r>
    </w:p>
    <w:p>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w:t>
      </w:r>
      <w:r>
        <w:rPr>
          <w:rFonts w:hint="eastAsia" w:ascii="仿宋_GB2312" w:eastAsia="仿宋_GB2312"/>
          <w:sz w:val="32"/>
          <w:szCs w:val="32"/>
          <w:lang w:val="en-US" w:eastAsia="zh-CN"/>
        </w:rPr>
        <w:t>1</w:t>
      </w:r>
      <w:r>
        <w:rPr>
          <w:rFonts w:hint="eastAsia" w:ascii="仿宋_GB2312" w:eastAsia="仿宋_GB2312"/>
          <w:sz w:val="32"/>
          <w:szCs w:val="32"/>
          <w:lang w:eastAsia="zh-CN"/>
        </w:rPr>
        <w:t>）前期准备。按照绩效自评工作要求，成立了以党总支书记为组长的绩效评价工作小组，于</w:t>
      </w:r>
      <w:r>
        <w:rPr>
          <w:rFonts w:hint="eastAsia" w:ascii="仿宋_GB2312" w:eastAsia="仿宋_GB2312"/>
          <w:sz w:val="32"/>
          <w:szCs w:val="32"/>
          <w:lang w:val="en-US" w:eastAsia="zh-CN"/>
        </w:rPr>
        <w:t>8</w:t>
      </w:r>
      <w:r>
        <w:rPr>
          <w:rFonts w:hint="eastAsia" w:ascii="仿宋_GB2312" w:eastAsia="仿宋_GB2312"/>
          <w:sz w:val="32"/>
          <w:szCs w:val="32"/>
          <w:lang w:eastAsia="zh-CN"/>
        </w:rPr>
        <w:t>月31日前完成现场评价工作。</w:t>
      </w:r>
    </w:p>
    <w:p>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w:t>
      </w:r>
      <w:r>
        <w:rPr>
          <w:rFonts w:hint="eastAsia" w:ascii="仿宋_GB2312" w:eastAsia="仿宋_GB2312"/>
          <w:sz w:val="32"/>
          <w:szCs w:val="32"/>
          <w:lang w:val="en-US" w:eastAsia="zh-CN"/>
        </w:rPr>
        <w:t>2</w:t>
      </w:r>
      <w:r>
        <w:rPr>
          <w:rFonts w:hint="eastAsia" w:ascii="仿宋_GB2312" w:eastAsia="仿宋_GB2312"/>
          <w:sz w:val="32"/>
          <w:szCs w:val="32"/>
          <w:lang w:eastAsia="zh-CN"/>
        </w:rPr>
        <w:t>）核实数据。对202</w:t>
      </w:r>
      <w:r>
        <w:rPr>
          <w:rFonts w:hint="eastAsia" w:ascii="仿宋_GB2312" w:eastAsia="仿宋_GB2312"/>
          <w:sz w:val="32"/>
          <w:szCs w:val="32"/>
          <w:lang w:val="en-US" w:eastAsia="zh-CN"/>
        </w:rPr>
        <w:t>5</w:t>
      </w:r>
      <w:r>
        <w:rPr>
          <w:rFonts w:hint="eastAsia" w:ascii="仿宋_GB2312" w:eastAsia="仿宋_GB2312"/>
          <w:sz w:val="32"/>
          <w:szCs w:val="32"/>
          <w:lang w:eastAsia="zh-CN"/>
        </w:rPr>
        <w:t>年度部门整体支出数据的准确性、真实性进行核实，将202</w:t>
      </w:r>
      <w:r>
        <w:rPr>
          <w:rFonts w:hint="eastAsia" w:ascii="仿宋_GB2312" w:eastAsia="仿宋_GB2312"/>
          <w:sz w:val="32"/>
          <w:szCs w:val="32"/>
          <w:lang w:val="en-US" w:eastAsia="zh-CN"/>
        </w:rPr>
        <w:t>5</w:t>
      </w:r>
      <w:r>
        <w:rPr>
          <w:rFonts w:hint="eastAsia" w:ascii="仿宋_GB2312" w:eastAsia="仿宋_GB2312"/>
          <w:sz w:val="32"/>
          <w:szCs w:val="32"/>
          <w:lang w:eastAsia="zh-CN"/>
        </w:rPr>
        <w:t>年度和202</w:t>
      </w:r>
      <w:r>
        <w:rPr>
          <w:rFonts w:hint="eastAsia" w:ascii="仿宋_GB2312" w:eastAsia="仿宋_GB2312"/>
          <w:sz w:val="32"/>
          <w:szCs w:val="32"/>
          <w:lang w:val="en-US" w:eastAsia="zh-CN"/>
        </w:rPr>
        <w:t>4</w:t>
      </w:r>
      <w:r>
        <w:rPr>
          <w:rFonts w:hint="eastAsia" w:ascii="仿宋_GB2312" w:eastAsia="仿宋_GB2312"/>
          <w:sz w:val="32"/>
          <w:szCs w:val="32"/>
          <w:lang w:eastAsia="zh-CN"/>
        </w:rPr>
        <w:t>年度部门整体支出情况进行比较分析。</w:t>
      </w:r>
    </w:p>
    <w:p>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w:t>
      </w:r>
      <w:r>
        <w:rPr>
          <w:rFonts w:hint="eastAsia" w:ascii="仿宋_GB2312" w:eastAsia="仿宋_GB2312"/>
          <w:sz w:val="32"/>
          <w:szCs w:val="32"/>
          <w:lang w:val="en-US" w:eastAsia="zh-CN"/>
        </w:rPr>
        <w:t>3</w:t>
      </w:r>
      <w:r>
        <w:rPr>
          <w:rFonts w:hint="eastAsia" w:ascii="仿宋_GB2312" w:eastAsia="仿宋_GB2312"/>
          <w:sz w:val="32"/>
          <w:szCs w:val="32"/>
          <w:lang w:eastAsia="zh-CN"/>
        </w:rPr>
        <w:t>）查阅资料。查阅202</w:t>
      </w:r>
      <w:r>
        <w:rPr>
          <w:rFonts w:hint="eastAsia" w:ascii="仿宋_GB2312" w:eastAsia="仿宋_GB2312"/>
          <w:sz w:val="32"/>
          <w:szCs w:val="32"/>
          <w:lang w:val="en-US" w:eastAsia="zh-CN"/>
        </w:rPr>
        <w:t>5</w:t>
      </w:r>
      <w:r>
        <w:rPr>
          <w:rFonts w:hint="eastAsia" w:ascii="仿宋_GB2312" w:eastAsia="仿宋_GB2312"/>
          <w:sz w:val="32"/>
          <w:szCs w:val="32"/>
          <w:lang w:eastAsia="zh-CN"/>
        </w:rPr>
        <w:t>年度预算安排、非税收入、预算追加、资金管理、经费支出、资产管理等相关文件资料和财</w:t>
      </w:r>
      <w:bookmarkStart w:id="3" w:name="_GoBack"/>
      <w:bookmarkEnd w:id="3"/>
      <w:r>
        <w:rPr>
          <w:rFonts w:hint="eastAsia" w:ascii="仿宋_GB2312" w:eastAsia="仿宋_GB2312"/>
          <w:sz w:val="32"/>
          <w:szCs w:val="32"/>
          <w:lang w:eastAsia="zh-CN"/>
        </w:rPr>
        <w:t>务凭证。</w:t>
      </w:r>
    </w:p>
    <w:p>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w:t>
      </w:r>
      <w:r>
        <w:rPr>
          <w:rFonts w:hint="eastAsia" w:ascii="仿宋_GB2312" w:eastAsia="仿宋_GB2312"/>
          <w:sz w:val="32"/>
          <w:szCs w:val="32"/>
          <w:lang w:val="en-US" w:eastAsia="zh-CN"/>
        </w:rPr>
        <w:t>4</w:t>
      </w:r>
      <w:r>
        <w:rPr>
          <w:rFonts w:hint="eastAsia" w:ascii="仿宋_GB2312" w:eastAsia="仿宋_GB2312"/>
          <w:sz w:val="32"/>
          <w:szCs w:val="32"/>
          <w:lang w:eastAsia="zh-CN"/>
        </w:rPr>
        <w:t>）实地查看。现场查看实物资产等。</w:t>
      </w:r>
    </w:p>
    <w:p>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w:t>
      </w:r>
      <w:r>
        <w:rPr>
          <w:rFonts w:hint="eastAsia" w:ascii="仿宋_GB2312" w:eastAsia="仿宋_GB2312"/>
          <w:sz w:val="32"/>
          <w:szCs w:val="32"/>
          <w:lang w:val="en-US" w:eastAsia="zh-CN"/>
        </w:rPr>
        <w:t>5</w:t>
      </w:r>
      <w:r>
        <w:rPr>
          <w:rFonts w:hint="eastAsia" w:ascii="仿宋_GB2312" w:eastAsia="仿宋_GB2312"/>
          <w:sz w:val="32"/>
          <w:szCs w:val="32"/>
          <w:lang w:eastAsia="zh-CN"/>
        </w:rPr>
        <w:t>）发放调查问卷。对部门履行职责情况的公众满意度进行调查。</w:t>
      </w:r>
    </w:p>
    <w:p>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w:t>
      </w:r>
      <w:r>
        <w:rPr>
          <w:rFonts w:hint="eastAsia" w:ascii="仿宋_GB2312" w:eastAsia="仿宋_GB2312"/>
          <w:sz w:val="32"/>
          <w:szCs w:val="32"/>
          <w:lang w:val="en-US" w:eastAsia="zh-CN"/>
        </w:rPr>
        <w:t>6</w:t>
      </w:r>
      <w:r>
        <w:rPr>
          <w:rFonts w:hint="eastAsia" w:ascii="仿宋_GB2312" w:eastAsia="仿宋_GB2312"/>
          <w:sz w:val="32"/>
          <w:szCs w:val="32"/>
          <w:lang w:eastAsia="zh-CN"/>
        </w:rPr>
        <w:t>）归纳汇总。对提供的材料及自评报告，结合现场评价情况进行综合分析、归纳汇总。</w:t>
      </w:r>
    </w:p>
    <w:p>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w:t>
      </w:r>
      <w:r>
        <w:rPr>
          <w:rFonts w:hint="eastAsia" w:ascii="仿宋_GB2312" w:eastAsia="仿宋_GB2312"/>
          <w:sz w:val="32"/>
          <w:szCs w:val="32"/>
          <w:lang w:val="en-US" w:eastAsia="zh-CN"/>
        </w:rPr>
        <w:t>7</w:t>
      </w:r>
      <w:r>
        <w:rPr>
          <w:rFonts w:hint="eastAsia" w:ascii="仿宋_GB2312" w:eastAsia="仿宋_GB2312"/>
          <w:sz w:val="32"/>
          <w:szCs w:val="32"/>
          <w:lang w:eastAsia="zh-CN"/>
        </w:rPr>
        <w:t>）评价组对各项评价指标进行分析讨论。</w:t>
      </w:r>
    </w:p>
    <w:p>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w:t>
      </w:r>
      <w:r>
        <w:rPr>
          <w:rFonts w:hint="eastAsia" w:ascii="仿宋_GB2312" w:eastAsia="仿宋_GB2312"/>
          <w:sz w:val="32"/>
          <w:szCs w:val="32"/>
          <w:lang w:val="en-US" w:eastAsia="zh-CN"/>
        </w:rPr>
        <w:t>8</w:t>
      </w:r>
      <w:r>
        <w:rPr>
          <w:rFonts w:hint="eastAsia" w:ascii="仿宋_GB2312" w:eastAsia="仿宋_GB2312"/>
          <w:sz w:val="32"/>
          <w:szCs w:val="32"/>
          <w:lang w:eastAsia="zh-CN"/>
        </w:rPr>
        <w:t>）形成绩效评价报告。</w:t>
      </w:r>
    </w:p>
    <w:p>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（二）部门整体支出主要绩效及评价结论</w:t>
      </w:r>
    </w:p>
    <w:p>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1.单位预算编制科学，民主理财、公开理财氛围浓厚，重大财务事项经由集体研究决策，财务制度健全。</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2.预算执行方面。我校经费开支严格按预算执行，基本支出的日常财务管理工作由单位财务实行统一核算和统一管理，经费开支按用途使用合理，做到专帐专管,专款专用，不铺张浪</w:t>
      </w:r>
      <w:r>
        <w:rPr>
          <w:rFonts w:hint="eastAsia" w:ascii="仿宋_GB2312" w:eastAsia="仿宋_GB2312"/>
          <w:sz w:val="32"/>
          <w:szCs w:val="32"/>
        </w:rPr>
        <w:t>费，开源节流。 无“三公”经费支出。</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3.预算管理方面。我校制定了切实有效的内部管理制度和经费支出控制方案，有较强的内控风险管理意识、各项经费支出得到了有效控制。</w:t>
      </w:r>
    </w:p>
    <w:p>
      <w:pPr>
        <w:numPr>
          <w:ilvl w:val="0"/>
          <w:numId w:val="4"/>
        </w:num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存在的问题及原因分析</w:t>
      </w:r>
    </w:p>
    <w:p>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（一）因部分工作是年中或年末根据区局相关要求开展，未纳入年初预算，另外还有部分不可预见经费的追加，无法纳入预算，导致预算执行存在偏差。</w:t>
      </w:r>
    </w:p>
    <w:p>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（二）固定资产管理有待进一步规范。</w:t>
      </w:r>
      <w:r>
        <w:rPr>
          <w:rFonts w:hint="eastAsia" w:ascii="仿宋" w:hAnsi="仿宋" w:eastAsia="仿宋" w:cs="仿宋"/>
          <w:b w:val="0"/>
          <w:bCs w:val="0"/>
          <w:sz w:val="32"/>
          <w:szCs w:val="32"/>
          <w:lang w:val="en-US" w:eastAsia="zh-CN"/>
        </w:rPr>
        <w:t>单位</w:t>
      </w:r>
      <w:r>
        <w:rPr>
          <w:rFonts w:hint="eastAsia" w:ascii="仿宋" w:hAnsi="仿宋" w:eastAsia="仿宋" w:cs="仿宋"/>
          <w:b w:val="0"/>
          <w:bCs w:val="0"/>
          <w:sz w:val="32"/>
          <w:szCs w:val="32"/>
        </w:rPr>
        <w:t>校固定资产管理</w:t>
      </w:r>
      <w:r>
        <w:rPr>
          <w:rFonts w:hint="eastAsia" w:ascii="仿宋" w:hAnsi="仿宋" w:eastAsia="仿宋" w:cs="仿宋"/>
          <w:b w:val="0"/>
          <w:bCs w:val="0"/>
          <w:sz w:val="32"/>
          <w:szCs w:val="32"/>
          <w:lang w:val="en-US" w:eastAsia="zh-CN"/>
        </w:rPr>
        <w:t>有</w:t>
      </w:r>
      <w:r>
        <w:rPr>
          <w:rFonts w:hint="eastAsia" w:ascii="仿宋" w:hAnsi="仿宋" w:eastAsia="仿宋" w:cs="仿宋"/>
          <w:b w:val="0"/>
          <w:bCs w:val="0"/>
          <w:sz w:val="32"/>
          <w:szCs w:val="32"/>
        </w:rPr>
        <w:t>专人负责，</w:t>
      </w:r>
      <w:r>
        <w:rPr>
          <w:rFonts w:hint="eastAsia" w:ascii="仿宋" w:hAnsi="仿宋" w:eastAsia="仿宋" w:cs="仿宋"/>
          <w:b w:val="0"/>
          <w:bCs w:val="0"/>
          <w:sz w:val="32"/>
          <w:szCs w:val="32"/>
          <w:lang w:val="en-US" w:eastAsia="zh-CN"/>
        </w:rPr>
        <w:t>但台账更新不及时，</w:t>
      </w:r>
      <w:r>
        <w:rPr>
          <w:rFonts w:hint="eastAsia" w:ascii="仿宋" w:hAnsi="仿宋" w:eastAsia="仿宋" w:cs="仿宋"/>
          <w:b w:val="0"/>
          <w:bCs w:val="0"/>
          <w:sz w:val="32"/>
          <w:szCs w:val="32"/>
        </w:rPr>
        <w:t>有些房屋建筑物尚未办理房屋产权证。</w:t>
      </w:r>
    </w:p>
    <w:p>
      <w:pPr>
        <w:numPr>
          <w:ilvl w:val="0"/>
          <w:numId w:val="4"/>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下一步改进措施</w:t>
      </w:r>
    </w:p>
    <w:p>
      <w:pPr>
        <w:numPr>
          <w:ilvl w:val="0"/>
          <w:numId w:val="5"/>
        </w:num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rPr>
        <w:t>强化预算编制的科学性与前瞻性，结合上年度资金使用情况合理测算；加强项目事前事中调度，加快资金执行进度。</w:t>
      </w:r>
      <w:r>
        <w:rPr>
          <w:rFonts w:hint="eastAsia" w:ascii="仿宋_GB2312" w:eastAsia="仿宋_GB2312"/>
          <w:sz w:val="32"/>
          <w:szCs w:val="32"/>
          <w:lang w:val="en-US" w:eastAsia="zh-CN"/>
        </w:rPr>
        <w:t xml:space="preserve">    </w:t>
      </w:r>
    </w:p>
    <w:p>
      <w:pPr>
        <w:numPr>
          <w:ilvl w:val="0"/>
          <w:numId w:val="0"/>
        </w:numPr>
        <w:spacing w:line="540" w:lineRule="exact"/>
        <w:ind w:firstLine="640" w:firstLineChars="200"/>
        <w:rPr>
          <w:rFonts w:hint="eastAsia" w:ascii="黑体" w:hAnsi="黑体" w:eastAsia="黑体"/>
          <w:sz w:val="32"/>
          <w:szCs w:val="32"/>
        </w:rPr>
      </w:pPr>
      <w:r>
        <w:rPr>
          <w:rFonts w:hint="eastAsia" w:ascii="仿宋_GB2312" w:eastAsia="仿宋_GB2312"/>
          <w:sz w:val="32"/>
          <w:szCs w:val="32"/>
        </w:rPr>
        <w:t>2.健全绩效目标精准编制与全过程动态监控机制，强化绩效评价结果的实际应用，将其作为下一年度预算安排的重要依据。</w:t>
      </w:r>
    </w:p>
    <w:p>
      <w:pPr>
        <w:numPr>
          <w:ilvl w:val="0"/>
          <w:numId w:val="4"/>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绩效自评结果拟应用和公开情况</w:t>
      </w:r>
    </w:p>
    <w:p>
      <w:pPr>
        <w:spacing w:line="540" w:lineRule="exact"/>
        <w:ind w:firstLine="640" w:firstLineChars="200"/>
        <w:rPr>
          <w:rFonts w:hint="eastAsia" w:ascii="黑体" w:hAnsi="黑体" w:eastAsia="黑体"/>
          <w:sz w:val="32"/>
          <w:szCs w:val="32"/>
        </w:rPr>
      </w:pPr>
      <w:r>
        <w:rPr>
          <w:rFonts w:hint="eastAsia" w:ascii="仿宋_GB2312" w:eastAsia="仿宋_GB2312"/>
          <w:sz w:val="32"/>
          <w:szCs w:val="32"/>
        </w:rPr>
        <w:t>根据财政部门要求，</w:t>
      </w:r>
      <w:r>
        <w:rPr>
          <w:rFonts w:hint="default" w:ascii="仿宋_GB2312" w:eastAsia="仿宋_GB2312"/>
          <w:sz w:val="32"/>
          <w:szCs w:val="32"/>
          <w:lang w:val="en" w:eastAsia="zh-CN"/>
        </w:rPr>
        <w:t>益阳市赫山区教育局体育卫生保健所</w:t>
      </w:r>
      <w:r>
        <w:rPr>
          <w:rFonts w:hint="eastAsia" w:ascii="仿宋_GB2312" w:eastAsia="仿宋_GB2312"/>
          <w:sz w:val="32"/>
          <w:szCs w:val="32"/>
        </w:rPr>
        <w:t>认真组织开展了</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年度预决算，对预算执行情况进行了部门整体支出绩效评价，根据财政部门要求在政府门户网站进行公开，公开内容包括</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w:t>
      </w:r>
      <w:r>
        <w:rPr>
          <w:rFonts w:hint="default" w:ascii="仿宋_GB2312" w:eastAsia="仿宋_GB2312"/>
          <w:sz w:val="32"/>
          <w:szCs w:val="32"/>
          <w:lang w:val="en" w:eastAsia="zh-CN"/>
        </w:rPr>
        <w:t>益阳市赫山区教育局体育卫生保健所</w:t>
      </w:r>
      <w:r>
        <w:rPr>
          <w:rFonts w:hint="eastAsia" w:ascii="仿宋_GB2312" w:eastAsia="仿宋_GB2312"/>
          <w:sz w:val="32"/>
          <w:szCs w:val="32"/>
        </w:rPr>
        <w:t>整体支出绩效自评报告和</w:t>
      </w:r>
      <w:r>
        <w:rPr>
          <w:rFonts w:hint="eastAsia" w:ascii="仿宋_GB2312" w:eastAsia="仿宋_GB2312"/>
          <w:sz w:val="32"/>
          <w:szCs w:val="32"/>
          <w:lang w:val="en-US" w:eastAsia="zh-CN"/>
        </w:rPr>
        <w:t>基础表、</w:t>
      </w:r>
      <w:r>
        <w:rPr>
          <w:rFonts w:hint="eastAsia" w:ascii="仿宋_GB2312" w:eastAsia="仿宋_GB2312"/>
          <w:sz w:val="32"/>
          <w:szCs w:val="32"/>
        </w:rPr>
        <w:t>自评表。</w:t>
      </w:r>
    </w:p>
    <w:p>
      <w:pPr>
        <w:numPr>
          <w:ilvl w:val="0"/>
          <w:numId w:val="4"/>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其他需要说明的情况</w:t>
      </w:r>
    </w:p>
    <w:p>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无。</w:t>
      </w:r>
    </w:p>
    <w:p>
      <w:pPr>
        <w:pStyle w:val="2"/>
      </w:pPr>
    </w:p>
    <w:sectPr>
      <w:pgSz w:w="11906" w:h="16838"/>
      <w:pgMar w:top="1417" w:right="1588" w:bottom="1417" w:left="1588" w:header="851" w:footer="992" w:gutter="0"/>
      <w:pgBorders>
        <w:top w:val="none" w:sz="0" w:space="0"/>
        <w:left w:val="none" w:sz="0" w:space="0"/>
        <w:bottom w:val="none" w:sz="0" w:space="0"/>
        <w:right w:val="none" w:sz="0" w:space="0"/>
      </w:pgBorders>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roman"/>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楷体_GB2312">
    <w:altName w:val="方正楷体_GBK"/>
    <w:panose1 w:val="02010609030101010101"/>
    <w:charset w:val="86"/>
    <w:family w:val="modern"/>
    <w:pitch w:val="default"/>
    <w:sig w:usb0="00000000" w:usb1="00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AnWxrOFQIAABkEAAAOAAAAAAAAAAEAIAAAADUBAABkcnMvZTJvRG9jLnhtbFBLBQYAAAAABgAG&#10;AFkBAAC8BQ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111A"/>
    <w:multiLevelType w:val="singleLevel"/>
    <w:tmpl w:val="CF65111A"/>
    <w:lvl w:ilvl="0" w:tentative="0">
      <w:start w:val="1"/>
      <w:numFmt w:val="decimal"/>
      <w:lvlText w:val="%1."/>
      <w:lvlJc w:val="left"/>
      <w:pPr>
        <w:tabs>
          <w:tab w:val="left" w:pos="312"/>
        </w:tabs>
      </w:pPr>
    </w:lvl>
  </w:abstractNum>
  <w:abstractNum w:abstractNumId="1">
    <w:nsid w:val="32D1E1B7"/>
    <w:multiLevelType w:val="singleLevel"/>
    <w:tmpl w:val="32D1E1B7"/>
    <w:lvl w:ilvl="0" w:tentative="0">
      <w:start w:val="2"/>
      <w:numFmt w:val="chineseCounting"/>
      <w:suff w:val="nothing"/>
      <w:lvlText w:val="（%1）"/>
      <w:lvlJc w:val="left"/>
      <w:rPr>
        <w:rFonts w:hint="eastAsia"/>
      </w:rPr>
    </w:lvl>
  </w:abstractNum>
  <w:abstractNum w:abstractNumId="2">
    <w:nsid w:val="4D452EE6"/>
    <w:multiLevelType w:val="singleLevel"/>
    <w:tmpl w:val="4D452EE6"/>
    <w:lvl w:ilvl="0" w:tentative="0">
      <w:start w:val="1"/>
      <w:numFmt w:val="chineseCounting"/>
      <w:suff w:val="nothing"/>
      <w:lvlText w:val="%1、"/>
      <w:lvlJc w:val="left"/>
      <w:rPr>
        <w:rFonts w:hint="eastAsia"/>
      </w:rPr>
    </w:lvl>
  </w:abstractNum>
  <w:abstractNum w:abstractNumId="3">
    <w:nsid w:val="62FC3140"/>
    <w:multiLevelType w:val="singleLevel"/>
    <w:tmpl w:val="62FC3140"/>
    <w:lvl w:ilvl="0" w:tentative="0">
      <w:start w:val="4"/>
      <w:numFmt w:val="chineseCounting"/>
      <w:suff w:val="nothing"/>
      <w:lvlText w:val="%1、"/>
      <w:lvlJc w:val="left"/>
      <w:rPr>
        <w:rFonts w:hint="eastAsia"/>
      </w:rPr>
    </w:lvl>
  </w:abstractNum>
  <w:abstractNum w:abstractNumId="4">
    <w:nsid w:val="7879F838"/>
    <w:multiLevelType w:val="singleLevel"/>
    <w:tmpl w:val="7879F838"/>
    <w:lvl w:ilvl="0" w:tentative="0">
      <w:start w:val="7"/>
      <w:numFmt w:val="chineseCounting"/>
      <w:suff w:val="nothing"/>
      <w:lvlText w:val="%1、"/>
      <w:lvlJc w:val="left"/>
      <w:rPr>
        <w:rFonts w:hint="eastAsia"/>
      </w:r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true"/>
  <w:bordersDoNotSurroundHeader w:val="false"/>
  <w:bordersDoNotSurroundFooter w:val="false"/>
  <w:documentProtection w:enforcement="0"/>
  <w:defaultTabStop w:val="420"/>
  <w:drawingGridHorizontalSpacing w:val="105"/>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36C71"/>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B15286"/>
    <w:rsid w:val="01D408F4"/>
    <w:rsid w:val="03065EF4"/>
    <w:rsid w:val="040A684F"/>
    <w:rsid w:val="06F6018B"/>
    <w:rsid w:val="0708246E"/>
    <w:rsid w:val="08BB636A"/>
    <w:rsid w:val="09A82D92"/>
    <w:rsid w:val="09E30D12"/>
    <w:rsid w:val="0B1D50BA"/>
    <w:rsid w:val="0B4D7F8C"/>
    <w:rsid w:val="0D1171B2"/>
    <w:rsid w:val="0D421DD9"/>
    <w:rsid w:val="0D9532AB"/>
    <w:rsid w:val="113F222E"/>
    <w:rsid w:val="12FA386A"/>
    <w:rsid w:val="195E16BF"/>
    <w:rsid w:val="1A7F5449"/>
    <w:rsid w:val="1B1C713C"/>
    <w:rsid w:val="1B334486"/>
    <w:rsid w:val="1D34378C"/>
    <w:rsid w:val="1D97DEFF"/>
    <w:rsid w:val="1DE97868"/>
    <w:rsid w:val="1DFF72E5"/>
    <w:rsid w:val="1ECC695D"/>
    <w:rsid w:val="1EFC6F07"/>
    <w:rsid w:val="20653333"/>
    <w:rsid w:val="24CF245B"/>
    <w:rsid w:val="26093F35"/>
    <w:rsid w:val="271B488C"/>
    <w:rsid w:val="27F33914"/>
    <w:rsid w:val="2A310F21"/>
    <w:rsid w:val="2E4C168F"/>
    <w:rsid w:val="2FDF85B8"/>
    <w:rsid w:val="2FFC690A"/>
    <w:rsid w:val="2FFFEE04"/>
    <w:rsid w:val="34DF85B0"/>
    <w:rsid w:val="371C2474"/>
    <w:rsid w:val="37863E63"/>
    <w:rsid w:val="39DE4C98"/>
    <w:rsid w:val="3A91674F"/>
    <w:rsid w:val="3B8F36BC"/>
    <w:rsid w:val="3C5A766D"/>
    <w:rsid w:val="3D8F33AD"/>
    <w:rsid w:val="407C28A5"/>
    <w:rsid w:val="455F1926"/>
    <w:rsid w:val="46884147"/>
    <w:rsid w:val="491FF225"/>
    <w:rsid w:val="4AF73F53"/>
    <w:rsid w:val="4BD31AF3"/>
    <w:rsid w:val="4F6C0C2D"/>
    <w:rsid w:val="4FFD214C"/>
    <w:rsid w:val="505E72D4"/>
    <w:rsid w:val="50F54B3B"/>
    <w:rsid w:val="51942920"/>
    <w:rsid w:val="53353DD9"/>
    <w:rsid w:val="53A5521A"/>
    <w:rsid w:val="5719079F"/>
    <w:rsid w:val="5777D4F5"/>
    <w:rsid w:val="57D9066D"/>
    <w:rsid w:val="58810003"/>
    <w:rsid w:val="59B63CDD"/>
    <w:rsid w:val="59DD8326"/>
    <w:rsid w:val="5B0F5D9A"/>
    <w:rsid w:val="5B8F6EDB"/>
    <w:rsid w:val="5BA5225B"/>
    <w:rsid w:val="5DEF592A"/>
    <w:rsid w:val="5E3D1B0F"/>
    <w:rsid w:val="5FC6BB1E"/>
    <w:rsid w:val="5FF720F1"/>
    <w:rsid w:val="60E1122D"/>
    <w:rsid w:val="63A81F60"/>
    <w:rsid w:val="642D031A"/>
    <w:rsid w:val="658C7FE7"/>
    <w:rsid w:val="67FF5C0B"/>
    <w:rsid w:val="68C55224"/>
    <w:rsid w:val="6968585F"/>
    <w:rsid w:val="69D65CD5"/>
    <w:rsid w:val="6DE5081F"/>
    <w:rsid w:val="6EFC0924"/>
    <w:rsid w:val="6FB74722"/>
    <w:rsid w:val="6FEF8B7E"/>
    <w:rsid w:val="70FD2C81"/>
    <w:rsid w:val="718D5813"/>
    <w:rsid w:val="71A6591B"/>
    <w:rsid w:val="73540864"/>
    <w:rsid w:val="737D59BA"/>
    <w:rsid w:val="75AF0A47"/>
    <w:rsid w:val="77C37683"/>
    <w:rsid w:val="79D19834"/>
    <w:rsid w:val="79FF515B"/>
    <w:rsid w:val="7BF549BF"/>
    <w:rsid w:val="7E9E1962"/>
    <w:rsid w:val="7E9F11B4"/>
    <w:rsid w:val="7EB44FEF"/>
    <w:rsid w:val="7F37EC1E"/>
    <w:rsid w:val="7F7DCD9D"/>
    <w:rsid w:val="7F970A6F"/>
    <w:rsid w:val="7FBC409A"/>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B578E7"/>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semiHidden/>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5"/>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 w:type="paragraph" w:customStyle="1" w:styleId="18">
    <w:name w:val="正文-公1"/>
    <w:basedOn w:val="19"/>
    <w:next w:val="1"/>
    <w:qFormat/>
    <w:uiPriority w:val="0"/>
    <w:pPr>
      <w:ind w:firstLine="200" w:firstLineChars="200"/>
    </w:pPr>
  </w:style>
  <w:style w:type="paragraph" w:customStyle="1" w:styleId="19">
    <w:name w:val="正文 New New New New New New New New New New New New New New New New New New New New New New New New New New New New New New New New New New New New New New New New New New New New New New New New New New New New New New New New New New New New New New Ne"/>
    <w:next w:val="18"/>
    <w:qFormat/>
    <w:uiPriority w:val="0"/>
    <w:pPr>
      <w:widowControl w:val="0"/>
      <w:jc w:val="both"/>
    </w:pPr>
    <w:rPr>
      <w:rFonts w:ascii="Times New Roman" w:hAnsi="Times New Roman" w:eastAsia="宋体" w:cs="Times New Roman"/>
      <w:kern w:val="2"/>
      <w:sz w:val="21"/>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32</Pages>
  <Words>7229</Words>
  <Characters>8479</Characters>
  <Lines>69</Lines>
  <Paragraphs>19</Paragraphs>
  <TotalTime>1</TotalTime>
  <ScaleCrop>false</ScaleCrop>
  <LinksUpToDate>false</LinksUpToDate>
  <CharactersWithSpaces>9727</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2025-08-20T10:17:00Z</dcterms:created>
  <dc:creator>李航 null</dc:creator>
  <cp:lastModifiedBy>lenovo</cp:lastModifiedBy>
  <cp:lastPrinted>2024-08-10T18:20:00Z</cp:lastPrinted>
  <dcterms:modified xsi:type="dcterms:W3CDTF">2026-08-30T16:40:55Z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9E3BDAD195464D89936CB480D273D870_13</vt:lpwstr>
  </property>
  <property fmtid="{D5CDD505-2E9C-101B-9397-08002B2CF9AE}" pid="4" name="KSOTemplateDocerSaveRecord">
    <vt:lpwstr>eyJoZGlkIjoiM2UwMWU2NzdiNjM0OWY5NjhlMTUyYjMxYWQ1OTA2ZWIiLCJ1c2VySWQiOiIzMDczMTI1OTcifQ==</vt:lpwstr>
  </property>
</Properties>
</file>