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2"/>
        <w:jc w:val="center"/>
        <w:rPr>
          <w:rFonts w:ascii="Times New Roman" w:hAnsi="Times New Roman" w:cs="Times New Roman"/>
          <w:sz w:val="56"/>
          <w:szCs w:val="56"/>
        </w:rPr>
      </w:pPr>
    </w:p>
    <w:p>
      <w:pPr>
        <w:pStyle w:val="12"/>
        <w:jc w:val="center"/>
        <w:rPr>
          <w:rFonts w:ascii="Times New Roman" w:hAnsi="Times New Roman" w:cs="Times New Roman"/>
          <w:sz w:val="84"/>
          <w:szCs w:val="84"/>
        </w:rPr>
      </w:pPr>
    </w:p>
    <w:p>
      <w:pPr>
        <w:pStyle w:val="12"/>
        <w:jc w:val="center"/>
        <w:rPr>
          <w:rFonts w:ascii="Times New Roman" w:hAnsi="Times New Roman" w:cs="Times New Roman"/>
          <w:sz w:val="84"/>
          <w:szCs w:val="84"/>
        </w:rPr>
      </w:pPr>
    </w:p>
    <w:p>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2"/>
        <w:jc w:val="center"/>
        <w:rPr>
          <w:rFonts w:ascii="Times New Roman" w:hAnsi="Times New Roman" w:eastAsia="方正小标宋简体" w:cs="Times New Roman"/>
          <w:sz w:val="72"/>
          <w:szCs w:val="72"/>
        </w:rPr>
      </w:pPr>
      <w:r>
        <w:rPr>
          <w:rFonts w:hint="default" w:ascii="Times New Roman" w:hAnsi="Times New Roman" w:eastAsia="方正小标宋简体" w:cs="Times New Roman"/>
          <w:sz w:val="72"/>
          <w:szCs w:val="72"/>
          <w:lang w:val="en"/>
        </w:rPr>
        <w:t>益阳市赫山区仪器电教站</w:t>
      </w:r>
      <w:r>
        <w:rPr>
          <w:rFonts w:hint="eastAsia" w:ascii="Times New Roman" w:hAnsi="Times New Roman" w:eastAsia="方正小标宋简体" w:cs="Times New Roman"/>
          <w:sz w:val="72"/>
          <w:szCs w:val="72"/>
        </w:rPr>
        <w:t>部门决算</w:t>
      </w:r>
    </w:p>
    <w:p>
      <w:pPr>
        <w:pStyle w:val="12"/>
        <w:jc w:val="center"/>
        <w:rPr>
          <w:rFonts w:ascii="Times New Roman" w:hAnsi="Times New Roman" w:eastAsia="方正小标宋_GBK" w:cs="Times New Roman"/>
          <w:sz w:val="56"/>
          <w:szCs w:val="56"/>
        </w:rPr>
      </w:pPr>
    </w:p>
    <w:p>
      <w:pPr>
        <w:pStyle w:val="12"/>
        <w:jc w:val="center"/>
        <w:rPr>
          <w:rFonts w:ascii="Times New Roman" w:hAnsi="Times New Roman" w:cs="Times New Roman"/>
          <w:sz w:val="56"/>
          <w:szCs w:val="56"/>
        </w:rPr>
      </w:pPr>
    </w:p>
    <w:p>
      <w:pPr>
        <w:pStyle w:val="12"/>
        <w:rPr>
          <w:rFonts w:ascii="Times New Roman" w:hAnsi="Times New Roman" w:cs="Times New Roman"/>
          <w:sz w:val="56"/>
          <w:szCs w:val="56"/>
        </w:rPr>
      </w:pPr>
    </w:p>
    <w:p>
      <w:pPr>
        <w:pStyle w:val="12"/>
        <w:jc w:val="center"/>
        <w:rPr>
          <w:rFonts w:ascii="Times New Roman" w:hAnsi="Times New Roman" w:cs="Times New Roman"/>
          <w:sz w:val="32"/>
          <w:szCs w:val="32"/>
        </w:rPr>
      </w:pPr>
    </w:p>
    <w:p>
      <w:pPr>
        <w:pStyle w:val="12"/>
        <w:spacing w:line="600" w:lineRule="exact"/>
        <w:jc w:val="center"/>
        <w:rPr>
          <w:rFonts w:ascii="Times New Roman" w:hAnsi="Times New Roman" w:cs="Times New Roman"/>
          <w:bCs/>
          <w:sz w:val="36"/>
          <w:szCs w:val="28"/>
        </w:rPr>
      </w:pPr>
    </w:p>
    <w:p>
      <w:pPr>
        <w:pStyle w:val="12"/>
        <w:spacing w:line="600" w:lineRule="exact"/>
        <w:jc w:val="center"/>
        <w:rPr>
          <w:rFonts w:ascii="Times New Roman" w:hAnsi="Times New Roman" w:cs="Times New Roman"/>
          <w:bCs/>
          <w:sz w:val="36"/>
          <w:szCs w:val="28"/>
        </w:rPr>
      </w:pPr>
    </w:p>
    <w:p>
      <w:pPr>
        <w:pStyle w:val="12"/>
        <w:spacing w:line="600" w:lineRule="exact"/>
        <w:jc w:val="center"/>
        <w:rPr>
          <w:rFonts w:ascii="Times New Roman" w:hAnsi="Times New Roman" w:cs="Times New Roman"/>
          <w:bCs/>
          <w:sz w:val="36"/>
          <w:szCs w:val="28"/>
        </w:rPr>
      </w:pPr>
    </w:p>
    <w:p>
      <w:pPr>
        <w:pStyle w:val="12"/>
        <w:spacing w:line="600" w:lineRule="exact"/>
        <w:jc w:val="center"/>
        <w:rPr>
          <w:rFonts w:ascii="Times New Roman" w:hAnsi="Times New Roman" w:cs="Times New Roman"/>
          <w:bCs/>
          <w:sz w:val="36"/>
          <w:szCs w:val="28"/>
        </w:rPr>
      </w:pPr>
    </w:p>
    <w:p>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2"/>
        <w:spacing w:line="600" w:lineRule="exact"/>
        <w:jc w:val="center"/>
        <w:rPr>
          <w:rFonts w:ascii="Times New Roman" w:hAnsi="Times New Roman" w:cs="Times New Roman"/>
          <w:b/>
          <w:sz w:val="36"/>
          <w:szCs w:val="28"/>
        </w:rPr>
      </w:pPr>
    </w:p>
    <w:p>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default" w:ascii="Times New Roman" w:hAnsi="Times New Roman" w:cs="Times New Roman"/>
          <w:bCs/>
          <w:sz w:val="32"/>
          <w:szCs w:val="32"/>
          <w:lang w:val="en" w:eastAsia="zh-CN"/>
        </w:rPr>
        <w:t>益阳市赫山区仪器电教站</w:t>
      </w:r>
      <w:r>
        <w:rPr>
          <w:rFonts w:ascii="Times New Roman" w:hAnsi="Times New Roman" w:cs="Times New Roman"/>
          <w:bCs/>
          <w:sz w:val="32"/>
          <w:szCs w:val="32"/>
        </w:rPr>
        <w:t>概况</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2"/>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2"/>
        <w:rPr>
          <w:rFonts w:ascii="Times New Roman" w:hAnsi="Times New Roman" w:cs="Times New Roman"/>
        </w:rPr>
        <w:sectPr>
          <w:footerReference r:id="rId4"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rPr>
          <w:rFonts w:ascii="Times New Roman" w:hAnsi="Times New Roman" w:eastAsia="方正小标宋_GBK"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2"/>
        <w:spacing w:line="360" w:lineRule="auto"/>
        <w:jc w:val="center"/>
        <w:rPr>
          <w:rFonts w:ascii="Times New Roman" w:hAnsi="Times New Roman" w:eastAsia="方正小标宋_GBK" w:cs="Times New Roman"/>
          <w:sz w:val="52"/>
          <w:szCs w:val="52"/>
        </w:rPr>
      </w:pPr>
      <w:r>
        <w:rPr>
          <w:rFonts w:hint="default" w:ascii="Times New Roman" w:hAnsi="Times New Roman" w:eastAsia="方正小标宋_GBK" w:cs="Times New Roman"/>
          <w:sz w:val="52"/>
          <w:szCs w:val="52"/>
          <w:lang w:val="en" w:eastAsia="zh-CN"/>
        </w:rPr>
        <w:t>益阳市赫山区仪器电教站</w:t>
      </w:r>
      <w:r>
        <w:rPr>
          <w:rFonts w:ascii="Times New Roman" w:hAnsi="Times New Roman" w:eastAsia="方正小标宋_GBK" w:cs="Times New Roman"/>
          <w:sz w:val="52"/>
          <w:szCs w:val="52"/>
        </w:rPr>
        <w:t>概况</w:t>
      </w:r>
    </w:p>
    <w:p>
      <w:pPr>
        <w:pStyle w:val="3"/>
        <w:ind w:left="0" w:leftChars="0" w:firstLine="0" w:firstLineChars="0"/>
        <w:rPr>
          <w:rFonts w:ascii="Times New Roman" w:hAnsi="Times New Roman" w:cs="Times New Roman"/>
        </w:rPr>
      </w:pPr>
    </w:p>
    <w:p>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益阳市赫山区仪器电教站是隶属于于益阳市赫山区教育局的二级机构。</w:t>
      </w:r>
    </w:p>
    <w:p>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本单位负责全区各级各类学校电教、仪器装备管理工作。主要职责是：</w:t>
      </w:r>
    </w:p>
    <w:p>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（一）负责制定全市中小学校实验教学、信息技术教育发展计划；</w:t>
      </w:r>
    </w:p>
    <w:p>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（二）负责实验教学、信息技术教育考核评估，对中小学仪器、电教设备的装备及评估工作；</w:t>
      </w:r>
    </w:p>
    <w:p>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（三）负责全市教育网络中心建设和维护管理，全面推进中小学远程教育工程的实施；</w:t>
      </w:r>
    </w:p>
    <w:p>
      <w:pPr>
        <w:widowControl/>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（四）负责对中学理化生实验课教师和小学自然教师、信息技术教育教师进行岗位培训等工作。</w:t>
      </w: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widowControl/>
        <w:numPr>
          <w:ilvl w:val="0"/>
          <w:numId w:val="0"/>
        </w:numPr>
        <w:spacing w:line="600" w:lineRule="exact"/>
        <w:ind w:firstLine="640" w:firstLineChars="200"/>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（一）内设机构设置。</w:t>
      </w:r>
    </w:p>
    <w:p>
      <w:pPr>
        <w:widowControl/>
        <w:numPr>
          <w:ilvl w:val="0"/>
          <w:numId w:val="0"/>
        </w:numPr>
        <w:spacing w:line="600" w:lineRule="exact"/>
        <w:ind w:firstLine="640" w:firstLineChars="200"/>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益阳市赫山区仪器电教站单位内设职能办公室包括：办公室、总务室、工会、党建办等。</w:t>
      </w:r>
    </w:p>
    <w:p>
      <w:pPr>
        <w:widowControl/>
        <w:numPr>
          <w:ilvl w:val="0"/>
          <w:numId w:val="0"/>
        </w:numPr>
        <w:spacing w:line="600" w:lineRule="exact"/>
        <w:ind w:firstLine="640" w:firstLineChars="200"/>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（二）决算单位构成。</w:t>
      </w:r>
    </w:p>
    <w:p>
      <w:pPr>
        <w:widowControl/>
        <w:numPr>
          <w:ilvl w:val="0"/>
          <w:numId w:val="0"/>
        </w:numPr>
        <w:spacing w:line="600" w:lineRule="exact"/>
        <w:ind w:firstLine="640" w:firstLineChars="200"/>
        <w:rPr>
          <w:rFonts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益阳市赫山区仪器电教站202</w:t>
      </w:r>
      <w:r>
        <w:rPr>
          <w:rFonts w:hint="eastAsia" w:ascii="Times New Roman" w:hAnsi="Times New Roman" w:eastAsia="仿宋_GB2312" w:cs="Times New Roman"/>
          <w:bCs/>
          <w:kern w:val="0"/>
          <w:sz w:val="32"/>
          <w:szCs w:val="32"/>
          <w:lang w:val="en-US" w:eastAsia="zh-CN"/>
        </w:rPr>
        <w:t>5</w:t>
      </w:r>
      <w:r>
        <w:rPr>
          <w:rFonts w:hint="eastAsia" w:ascii="Times New Roman" w:hAnsi="Times New Roman" w:eastAsia="仿宋_GB2312" w:cs="Times New Roman"/>
          <w:bCs/>
          <w:kern w:val="0"/>
          <w:sz w:val="32"/>
          <w:szCs w:val="32"/>
        </w:rPr>
        <w:t>年部门决算汇总公开单位构成包括：只有益阳市赫山区仪器电教站</w:t>
      </w:r>
    </w:p>
    <w:p>
      <w:pPr>
        <w:ind w:firstLine="560" w:firstLineChars="200"/>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2"/>
        <w:rPr>
          <w:rFonts w:ascii="Times New Roman" w:hAnsi="Times New Roman" w:cs="Times New Roman"/>
        </w:rPr>
        <w:sectPr>
          <w:footerReference r:id="rId5"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0"/>
          <w:szCs w:val="20"/>
        </w:rPr>
        <w:t>公开0</w:t>
      </w:r>
      <w:r>
        <w:rPr>
          <w:rFonts w:hint="default" w:ascii="Times New Roman" w:hAnsi="Times New Roman" w:eastAsia="仿宋_GB2312" w:cs="Times New Roman"/>
          <w:color w:val="000000"/>
          <w:sz w:val="20"/>
          <w:szCs w:val="20"/>
          <w:lang w:val="en"/>
        </w:rPr>
        <w:t>1</w:t>
      </w:r>
      <w:r>
        <w:rPr>
          <w:rFonts w:ascii="Times New Roman" w:hAnsi="Times New Roman" w:eastAsia="仿宋_GB2312" w:cs="Times New Roman"/>
          <w:color w:val="000000"/>
          <w:sz w:val="20"/>
          <w:szCs w:val="20"/>
        </w:rPr>
        <w:t>表</w:t>
      </w:r>
    </w:p>
    <w:p>
      <w:pPr>
        <w:pStyle w:val="2"/>
        <w:jc w:val="right"/>
      </w:pPr>
      <w:r>
        <w:rPr>
          <w:rFonts w:ascii="Times New Roman" w:hAnsi="Times New Roman" w:eastAsia="仿宋_GB2312" w:cs="Times New Roman"/>
          <w:color w:val="000000"/>
          <w:sz w:val="20"/>
          <w:szCs w:val="20"/>
        </w:rPr>
        <w:t>单位：万元</w:t>
      </w:r>
    </w:p>
    <w:p>
      <w:pPr>
        <w:widowControl/>
        <w:tabs>
          <w:tab w:val="left" w:pos="4442"/>
          <w:tab w:val="left" w:pos="5045"/>
          <w:tab w:val="left" w:pos="6444"/>
          <w:tab w:val="left" w:pos="11477"/>
          <w:tab w:val="left" w:pos="13102"/>
        </w:tabs>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default" w:ascii="Times New Roman" w:hAnsi="Times New Roman" w:eastAsia="仿宋_GB2312" w:cs="Times New Roman"/>
          <w:color w:val="000000"/>
          <w:kern w:val="0"/>
          <w:sz w:val="20"/>
          <w:szCs w:val="20"/>
          <w:lang w:val="en" w:bidi="ar"/>
        </w:rPr>
        <w:t>益阳市赫山区仪器电教站</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pPr w:leftFromText="180" w:rightFromText="180" w:vertAnchor="text" w:horzAnchor="page" w:tblpXSpec="center" w:tblpY="341"/>
        <w:tblOverlap w:val="never"/>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Layout w:type="fixed"/>
        <w:tblCellMar>
          <w:top w:w="0" w:type="dxa"/>
          <w:left w:w="108" w:type="dxa"/>
          <w:bottom w:w="0" w:type="dxa"/>
          <w:right w:w="108" w:type="dxa"/>
        </w:tblCellMar>
      </w:tblPr>
      <w:tblGrid>
        <w:gridCol w:w="3736"/>
        <w:gridCol w:w="955"/>
        <w:gridCol w:w="1166"/>
        <w:gridCol w:w="2487"/>
        <w:gridCol w:w="997"/>
        <w:gridCol w:w="1300"/>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exact"/>
          <w:jc w:val="center"/>
        </w:trPr>
        <w:tc>
          <w:tcPr>
            <w:tcW w:w="5857" w:type="dxa"/>
            <w:gridSpan w:val="3"/>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收入</w:t>
            </w:r>
          </w:p>
        </w:tc>
        <w:tc>
          <w:tcPr>
            <w:tcW w:w="4784" w:type="dxa"/>
            <w:gridSpan w:val="3"/>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支出</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exact"/>
          <w:jc w:val="center"/>
        </w:trPr>
        <w:tc>
          <w:tcPr>
            <w:tcW w:w="373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项目</w:t>
            </w:r>
          </w:p>
        </w:tc>
        <w:tc>
          <w:tcPr>
            <w:tcW w:w="95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行次</w:t>
            </w:r>
          </w:p>
        </w:tc>
        <w:tc>
          <w:tcPr>
            <w:tcW w:w="11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决算数</w:t>
            </w:r>
          </w:p>
        </w:tc>
        <w:tc>
          <w:tcPr>
            <w:tcW w:w="2487"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项目</w:t>
            </w:r>
          </w:p>
        </w:tc>
        <w:tc>
          <w:tcPr>
            <w:tcW w:w="997"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行次</w:t>
            </w:r>
          </w:p>
        </w:tc>
        <w:tc>
          <w:tcPr>
            <w:tcW w:w="1300"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决算数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exact"/>
          <w:jc w:val="center"/>
        </w:trPr>
        <w:tc>
          <w:tcPr>
            <w:tcW w:w="373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栏次</w:t>
            </w:r>
          </w:p>
        </w:tc>
        <w:tc>
          <w:tcPr>
            <w:tcW w:w="955" w:type="dxa"/>
            <w:tcBorders>
              <w:tl2br w:val="nil"/>
              <w:tr2bl w:val="nil"/>
            </w:tcBorders>
            <w:shd w:val="clear" w:color="auto" w:fill="auto"/>
            <w:noWrap/>
            <w:vAlign w:val="center"/>
          </w:tcPr>
          <w:p>
            <w:pPr>
              <w:jc w:val="center"/>
              <w:rPr>
                <w:rFonts w:hint="eastAsia" w:ascii="宋体" w:hAnsi="宋体" w:eastAsia="宋体" w:cs="宋体"/>
                <w:i w:val="0"/>
                <w:color w:val="auto"/>
                <w:sz w:val="22"/>
                <w:szCs w:val="22"/>
                <w:u w:val="none"/>
                <w:shd w:val="clear" w:color="auto" w:fill="auto"/>
              </w:rPr>
            </w:pPr>
          </w:p>
        </w:tc>
        <w:tc>
          <w:tcPr>
            <w:tcW w:w="11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1</w:t>
            </w:r>
          </w:p>
        </w:tc>
        <w:tc>
          <w:tcPr>
            <w:tcW w:w="2487"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栏次</w:t>
            </w:r>
          </w:p>
        </w:tc>
        <w:tc>
          <w:tcPr>
            <w:tcW w:w="997" w:type="dxa"/>
            <w:tcBorders>
              <w:tl2br w:val="nil"/>
              <w:tr2bl w:val="nil"/>
            </w:tcBorders>
            <w:shd w:val="clear" w:color="auto" w:fill="auto"/>
            <w:noWrap/>
            <w:vAlign w:val="center"/>
          </w:tcPr>
          <w:p>
            <w:pPr>
              <w:jc w:val="center"/>
              <w:rPr>
                <w:rFonts w:hint="eastAsia" w:ascii="宋体" w:hAnsi="宋体" w:eastAsia="宋体" w:cs="宋体"/>
                <w:i w:val="0"/>
                <w:color w:val="auto"/>
                <w:sz w:val="22"/>
                <w:szCs w:val="22"/>
                <w:u w:val="none"/>
                <w:shd w:val="clear" w:color="auto" w:fill="auto"/>
              </w:rPr>
            </w:pPr>
          </w:p>
        </w:tc>
        <w:tc>
          <w:tcPr>
            <w:tcW w:w="1300"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exact"/>
          <w:jc w:val="center"/>
        </w:trPr>
        <w:tc>
          <w:tcPr>
            <w:tcW w:w="373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一、一般公共预算财政拨款收入</w:t>
            </w:r>
          </w:p>
        </w:tc>
        <w:tc>
          <w:tcPr>
            <w:tcW w:w="95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1</w:t>
            </w:r>
          </w:p>
        </w:tc>
        <w:tc>
          <w:tcPr>
            <w:tcW w:w="11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577.92</w:t>
            </w:r>
          </w:p>
        </w:tc>
        <w:tc>
          <w:tcPr>
            <w:tcW w:w="2487"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一、一般公共服务支出</w:t>
            </w:r>
          </w:p>
        </w:tc>
        <w:tc>
          <w:tcPr>
            <w:tcW w:w="997" w:type="dxa"/>
            <w:tcBorders>
              <w:tl2br w:val="nil"/>
              <w:tr2bl w:val="nil"/>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auto"/>
                <w:sz w:val="22"/>
                <w:szCs w:val="22"/>
                <w:u w:val="none"/>
                <w:shd w:val="clear" w:color="auto" w:fill="auto"/>
                <w:lang w:val="en"/>
              </w:rPr>
            </w:pPr>
            <w:r>
              <w:rPr>
                <w:rFonts w:hint="default" w:ascii="宋体" w:hAnsi="宋体" w:eastAsia="宋体" w:cs="宋体"/>
                <w:i w:val="0"/>
                <w:color w:val="auto"/>
                <w:kern w:val="0"/>
                <w:sz w:val="22"/>
                <w:szCs w:val="22"/>
                <w:u w:val="none"/>
                <w:shd w:val="clear" w:color="auto" w:fill="auto"/>
                <w:lang w:val="en" w:eastAsia="zh-CN" w:bidi="ar"/>
              </w:rPr>
              <w:t>14</w:t>
            </w:r>
          </w:p>
        </w:tc>
        <w:tc>
          <w:tcPr>
            <w:tcW w:w="1300" w:type="dxa"/>
            <w:tcBorders>
              <w:tl2br w:val="nil"/>
              <w:tr2bl w:val="nil"/>
            </w:tcBorders>
            <w:shd w:val="clear" w:color="auto" w:fill="auto"/>
            <w:noWrap/>
            <w:vAlign w:val="center"/>
          </w:tcPr>
          <w:p>
            <w:pPr>
              <w:jc w:val="center"/>
              <w:rPr>
                <w:rFonts w:hint="eastAsia" w:ascii="宋体" w:hAnsi="宋体" w:eastAsia="宋体" w:cs="宋体"/>
                <w:i w:val="0"/>
                <w:color w:val="auto"/>
                <w:sz w:val="22"/>
                <w:szCs w:val="22"/>
                <w:u w:val="none"/>
                <w:shd w:val="clear" w:color="auto" w:fill="auto"/>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exact"/>
          <w:jc w:val="center"/>
        </w:trPr>
        <w:tc>
          <w:tcPr>
            <w:tcW w:w="373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二、政府性基金预算财政拨款收入</w:t>
            </w:r>
          </w:p>
        </w:tc>
        <w:tc>
          <w:tcPr>
            <w:tcW w:w="95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2</w:t>
            </w:r>
          </w:p>
        </w:tc>
        <w:tc>
          <w:tcPr>
            <w:tcW w:w="1166" w:type="dxa"/>
            <w:tcBorders>
              <w:tl2br w:val="nil"/>
              <w:tr2bl w:val="nil"/>
            </w:tcBorders>
            <w:shd w:val="clear" w:color="auto" w:fill="auto"/>
            <w:noWrap/>
            <w:vAlign w:val="center"/>
          </w:tcPr>
          <w:p>
            <w:pPr>
              <w:jc w:val="center"/>
              <w:rPr>
                <w:rFonts w:hint="eastAsia" w:ascii="宋体" w:hAnsi="宋体" w:eastAsia="宋体" w:cs="宋体"/>
                <w:i w:val="0"/>
                <w:color w:val="auto"/>
                <w:sz w:val="22"/>
                <w:szCs w:val="22"/>
                <w:u w:val="none"/>
                <w:shd w:val="clear" w:color="auto" w:fill="auto"/>
              </w:rPr>
            </w:pPr>
          </w:p>
        </w:tc>
        <w:tc>
          <w:tcPr>
            <w:tcW w:w="2487"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二、外交支出</w:t>
            </w:r>
          </w:p>
        </w:tc>
        <w:tc>
          <w:tcPr>
            <w:tcW w:w="997" w:type="dxa"/>
            <w:tcBorders>
              <w:tl2br w:val="nil"/>
              <w:tr2bl w:val="nil"/>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auto"/>
                <w:sz w:val="22"/>
                <w:szCs w:val="22"/>
                <w:u w:val="none"/>
                <w:shd w:val="clear" w:color="auto" w:fill="auto"/>
                <w:lang w:val="en"/>
              </w:rPr>
            </w:pPr>
            <w:r>
              <w:rPr>
                <w:rFonts w:hint="default" w:ascii="宋体" w:hAnsi="宋体" w:eastAsia="宋体" w:cs="宋体"/>
                <w:i w:val="0"/>
                <w:color w:val="auto"/>
                <w:kern w:val="0"/>
                <w:sz w:val="22"/>
                <w:szCs w:val="22"/>
                <w:u w:val="none"/>
                <w:shd w:val="clear" w:color="auto" w:fill="auto"/>
                <w:lang w:val="en" w:eastAsia="zh-CN" w:bidi="ar"/>
              </w:rPr>
              <w:t>15</w:t>
            </w:r>
          </w:p>
        </w:tc>
        <w:tc>
          <w:tcPr>
            <w:tcW w:w="1300" w:type="dxa"/>
            <w:tcBorders>
              <w:tl2br w:val="nil"/>
              <w:tr2bl w:val="nil"/>
            </w:tcBorders>
            <w:shd w:val="clear" w:color="auto" w:fill="auto"/>
            <w:noWrap/>
            <w:vAlign w:val="center"/>
          </w:tcPr>
          <w:p>
            <w:pPr>
              <w:jc w:val="center"/>
              <w:rPr>
                <w:rFonts w:hint="eastAsia" w:ascii="宋体" w:hAnsi="宋体" w:eastAsia="宋体" w:cs="宋体"/>
                <w:i w:val="0"/>
                <w:color w:val="auto"/>
                <w:sz w:val="22"/>
                <w:szCs w:val="22"/>
                <w:u w:val="none"/>
                <w:shd w:val="clear" w:color="auto" w:fill="auto"/>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exact"/>
          <w:jc w:val="center"/>
        </w:trPr>
        <w:tc>
          <w:tcPr>
            <w:tcW w:w="373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三、国有资本经营预算财政拨款收入</w:t>
            </w:r>
          </w:p>
        </w:tc>
        <w:tc>
          <w:tcPr>
            <w:tcW w:w="95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3</w:t>
            </w:r>
          </w:p>
        </w:tc>
        <w:tc>
          <w:tcPr>
            <w:tcW w:w="1166" w:type="dxa"/>
            <w:tcBorders>
              <w:tl2br w:val="nil"/>
              <w:tr2bl w:val="nil"/>
            </w:tcBorders>
            <w:shd w:val="clear" w:color="auto" w:fill="auto"/>
            <w:noWrap/>
            <w:vAlign w:val="center"/>
          </w:tcPr>
          <w:p>
            <w:pPr>
              <w:jc w:val="center"/>
              <w:rPr>
                <w:rFonts w:hint="eastAsia" w:ascii="宋体" w:hAnsi="宋体" w:eastAsia="宋体" w:cs="宋体"/>
                <w:i w:val="0"/>
                <w:color w:val="auto"/>
                <w:sz w:val="22"/>
                <w:szCs w:val="22"/>
                <w:u w:val="none"/>
                <w:shd w:val="clear" w:color="auto" w:fill="auto"/>
              </w:rPr>
            </w:pPr>
          </w:p>
        </w:tc>
        <w:tc>
          <w:tcPr>
            <w:tcW w:w="2487"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三、国防支出</w:t>
            </w:r>
          </w:p>
        </w:tc>
        <w:tc>
          <w:tcPr>
            <w:tcW w:w="997" w:type="dxa"/>
            <w:tcBorders>
              <w:tl2br w:val="nil"/>
              <w:tr2bl w:val="nil"/>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auto"/>
                <w:sz w:val="22"/>
                <w:szCs w:val="22"/>
                <w:u w:val="none"/>
                <w:shd w:val="clear" w:color="auto" w:fill="auto"/>
                <w:lang w:val="en"/>
              </w:rPr>
            </w:pPr>
            <w:r>
              <w:rPr>
                <w:rFonts w:hint="default" w:ascii="宋体" w:hAnsi="宋体" w:eastAsia="宋体" w:cs="宋体"/>
                <w:i w:val="0"/>
                <w:color w:val="auto"/>
                <w:kern w:val="0"/>
                <w:sz w:val="22"/>
                <w:szCs w:val="22"/>
                <w:u w:val="none"/>
                <w:shd w:val="clear" w:color="auto" w:fill="auto"/>
                <w:lang w:val="en" w:eastAsia="zh-CN" w:bidi="ar"/>
              </w:rPr>
              <w:t>16</w:t>
            </w:r>
          </w:p>
        </w:tc>
        <w:tc>
          <w:tcPr>
            <w:tcW w:w="1300" w:type="dxa"/>
            <w:tcBorders>
              <w:tl2br w:val="nil"/>
              <w:tr2bl w:val="nil"/>
            </w:tcBorders>
            <w:shd w:val="clear" w:color="auto" w:fill="auto"/>
            <w:noWrap/>
            <w:vAlign w:val="center"/>
          </w:tcPr>
          <w:p>
            <w:pPr>
              <w:jc w:val="center"/>
              <w:rPr>
                <w:rFonts w:hint="eastAsia" w:ascii="宋体" w:hAnsi="宋体" w:eastAsia="宋体" w:cs="宋体"/>
                <w:i w:val="0"/>
                <w:color w:val="auto"/>
                <w:sz w:val="22"/>
                <w:szCs w:val="22"/>
                <w:u w:val="none"/>
                <w:shd w:val="clear" w:color="auto" w:fill="auto"/>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exact"/>
          <w:jc w:val="center"/>
        </w:trPr>
        <w:tc>
          <w:tcPr>
            <w:tcW w:w="373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四、上级补助收入</w:t>
            </w:r>
          </w:p>
        </w:tc>
        <w:tc>
          <w:tcPr>
            <w:tcW w:w="95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4</w:t>
            </w:r>
          </w:p>
        </w:tc>
        <w:tc>
          <w:tcPr>
            <w:tcW w:w="1166" w:type="dxa"/>
            <w:tcBorders>
              <w:tl2br w:val="nil"/>
              <w:tr2bl w:val="nil"/>
            </w:tcBorders>
            <w:shd w:val="clear" w:color="auto" w:fill="auto"/>
            <w:noWrap/>
            <w:vAlign w:val="center"/>
          </w:tcPr>
          <w:p>
            <w:pPr>
              <w:jc w:val="center"/>
              <w:rPr>
                <w:rFonts w:hint="eastAsia" w:ascii="宋体" w:hAnsi="宋体" w:eastAsia="宋体" w:cs="宋体"/>
                <w:i w:val="0"/>
                <w:color w:val="auto"/>
                <w:sz w:val="22"/>
                <w:szCs w:val="22"/>
                <w:u w:val="none"/>
                <w:shd w:val="clear" w:color="auto" w:fill="auto"/>
              </w:rPr>
            </w:pPr>
          </w:p>
        </w:tc>
        <w:tc>
          <w:tcPr>
            <w:tcW w:w="2487"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四、公共安全支出</w:t>
            </w:r>
          </w:p>
        </w:tc>
        <w:tc>
          <w:tcPr>
            <w:tcW w:w="997" w:type="dxa"/>
            <w:tcBorders>
              <w:tl2br w:val="nil"/>
              <w:tr2bl w:val="nil"/>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auto"/>
                <w:sz w:val="22"/>
                <w:szCs w:val="22"/>
                <w:u w:val="none"/>
                <w:shd w:val="clear" w:color="auto" w:fill="auto"/>
                <w:lang w:val="en"/>
              </w:rPr>
            </w:pPr>
            <w:r>
              <w:rPr>
                <w:rFonts w:hint="default" w:ascii="宋体" w:hAnsi="宋体" w:eastAsia="宋体" w:cs="宋体"/>
                <w:i w:val="0"/>
                <w:color w:val="auto"/>
                <w:kern w:val="0"/>
                <w:sz w:val="22"/>
                <w:szCs w:val="22"/>
                <w:u w:val="none"/>
                <w:shd w:val="clear" w:color="auto" w:fill="auto"/>
                <w:lang w:val="en" w:eastAsia="zh-CN" w:bidi="ar"/>
              </w:rPr>
              <w:t>17</w:t>
            </w:r>
          </w:p>
        </w:tc>
        <w:tc>
          <w:tcPr>
            <w:tcW w:w="1300" w:type="dxa"/>
            <w:tcBorders>
              <w:tl2br w:val="nil"/>
              <w:tr2bl w:val="nil"/>
            </w:tcBorders>
            <w:shd w:val="clear" w:color="auto" w:fill="auto"/>
            <w:noWrap/>
            <w:vAlign w:val="center"/>
          </w:tcPr>
          <w:p>
            <w:pPr>
              <w:jc w:val="center"/>
              <w:rPr>
                <w:rFonts w:hint="eastAsia" w:ascii="宋体" w:hAnsi="宋体" w:eastAsia="宋体" w:cs="宋体"/>
                <w:i w:val="0"/>
                <w:color w:val="auto"/>
                <w:sz w:val="22"/>
                <w:szCs w:val="22"/>
                <w:u w:val="none"/>
                <w:shd w:val="clear" w:color="auto" w:fill="auto"/>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exact"/>
          <w:jc w:val="center"/>
        </w:trPr>
        <w:tc>
          <w:tcPr>
            <w:tcW w:w="373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五、事业收入</w:t>
            </w:r>
          </w:p>
        </w:tc>
        <w:tc>
          <w:tcPr>
            <w:tcW w:w="95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5</w:t>
            </w:r>
          </w:p>
        </w:tc>
        <w:tc>
          <w:tcPr>
            <w:tcW w:w="1166" w:type="dxa"/>
            <w:tcBorders>
              <w:tl2br w:val="nil"/>
              <w:tr2bl w:val="nil"/>
            </w:tcBorders>
            <w:shd w:val="clear" w:color="auto" w:fill="auto"/>
            <w:noWrap/>
            <w:vAlign w:val="center"/>
          </w:tcPr>
          <w:p>
            <w:pPr>
              <w:jc w:val="center"/>
              <w:rPr>
                <w:rFonts w:hint="eastAsia" w:ascii="宋体" w:hAnsi="宋体" w:eastAsia="宋体" w:cs="宋体"/>
                <w:i w:val="0"/>
                <w:color w:val="auto"/>
                <w:sz w:val="22"/>
                <w:szCs w:val="22"/>
                <w:u w:val="none"/>
                <w:shd w:val="clear" w:color="auto" w:fill="auto"/>
              </w:rPr>
            </w:pPr>
          </w:p>
        </w:tc>
        <w:tc>
          <w:tcPr>
            <w:tcW w:w="2487"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五、教育支出</w:t>
            </w:r>
          </w:p>
        </w:tc>
        <w:tc>
          <w:tcPr>
            <w:tcW w:w="997" w:type="dxa"/>
            <w:tcBorders>
              <w:tl2br w:val="nil"/>
              <w:tr2bl w:val="nil"/>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auto"/>
                <w:sz w:val="22"/>
                <w:szCs w:val="22"/>
                <w:u w:val="none"/>
                <w:shd w:val="clear" w:color="auto" w:fill="auto"/>
                <w:lang w:val="en"/>
              </w:rPr>
            </w:pPr>
            <w:r>
              <w:rPr>
                <w:rFonts w:hint="default" w:ascii="宋体" w:hAnsi="宋体" w:eastAsia="宋体" w:cs="宋体"/>
                <w:i w:val="0"/>
                <w:color w:val="auto"/>
                <w:kern w:val="0"/>
                <w:sz w:val="22"/>
                <w:szCs w:val="22"/>
                <w:u w:val="none"/>
                <w:shd w:val="clear" w:color="auto" w:fill="auto"/>
                <w:lang w:val="en" w:eastAsia="zh-CN" w:bidi="ar"/>
              </w:rPr>
              <w:t>18</w:t>
            </w:r>
          </w:p>
        </w:tc>
        <w:tc>
          <w:tcPr>
            <w:tcW w:w="1300"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577.92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exact"/>
          <w:jc w:val="center"/>
        </w:trPr>
        <w:tc>
          <w:tcPr>
            <w:tcW w:w="373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六、经营收入</w:t>
            </w:r>
          </w:p>
        </w:tc>
        <w:tc>
          <w:tcPr>
            <w:tcW w:w="95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6</w:t>
            </w:r>
          </w:p>
        </w:tc>
        <w:tc>
          <w:tcPr>
            <w:tcW w:w="1166" w:type="dxa"/>
            <w:tcBorders>
              <w:tl2br w:val="nil"/>
              <w:tr2bl w:val="nil"/>
            </w:tcBorders>
            <w:shd w:val="clear" w:color="auto" w:fill="auto"/>
            <w:noWrap/>
            <w:vAlign w:val="center"/>
          </w:tcPr>
          <w:p>
            <w:pPr>
              <w:jc w:val="center"/>
              <w:rPr>
                <w:rFonts w:hint="eastAsia" w:ascii="宋体" w:hAnsi="宋体" w:eastAsia="宋体" w:cs="宋体"/>
                <w:i w:val="0"/>
                <w:color w:val="auto"/>
                <w:sz w:val="22"/>
                <w:szCs w:val="22"/>
                <w:u w:val="none"/>
                <w:shd w:val="clear" w:color="auto" w:fill="auto"/>
              </w:rPr>
            </w:pPr>
          </w:p>
        </w:tc>
        <w:tc>
          <w:tcPr>
            <w:tcW w:w="2487"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六、科学技术支出</w:t>
            </w:r>
          </w:p>
        </w:tc>
        <w:tc>
          <w:tcPr>
            <w:tcW w:w="997" w:type="dxa"/>
            <w:tcBorders>
              <w:tl2br w:val="nil"/>
              <w:tr2bl w:val="nil"/>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auto"/>
                <w:sz w:val="22"/>
                <w:szCs w:val="22"/>
                <w:u w:val="none"/>
                <w:shd w:val="clear" w:color="auto" w:fill="auto"/>
                <w:lang w:val="en"/>
              </w:rPr>
            </w:pPr>
            <w:r>
              <w:rPr>
                <w:rFonts w:hint="default" w:ascii="宋体" w:hAnsi="宋体" w:eastAsia="宋体" w:cs="宋体"/>
                <w:i w:val="0"/>
                <w:color w:val="auto"/>
                <w:kern w:val="0"/>
                <w:sz w:val="22"/>
                <w:szCs w:val="22"/>
                <w:u w:val="none"/>
                <w:shd w:val="clear" w:color="auto" w:fill="auto"/>
                <w:lang w:val="en" w:eastAsia="zh-CN" w:bidi="ar"/>
              </w:rPr>
              <w:t>19</w:t>
            </w:r>
          </w:p>
        </w:tc>
        <w:tc>
          <w:tcPr>
            <w:tcW w:w="1300" w:type="dxa"/>
            <w:tcBorders>
              <w:tl2br w:val="nil"/>
              <w:tr2bl w:val="nil"/>
            </w:tcBorders>
            <w:shd w:val="clear" w:color="auto" w:fill="auto"/>
            <w:noWrap/>
            <w:vAlign w:val="center"/>
          </w:tcPr>
          <w:p>
            <w:pPr>
              <w:jc w:val="center"/>
              <w:rPr>
                <w:rFonts w:hint="eastAsia" w:ascii="宋体" w:hAnsi="宋体" w:eastAsia="宋体" w:cs="宋体"/>
                <w:i w:val="0"/>
                <w:color w:val="auto"/>
                <w:sz w:val="22"/>
                <w:szCs w:val="22"/>
                <w:u w:val="none"/>
                <w:shd w:val="clear" w:color="auto" w:fill="auto"/>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exact"/>
          <w:jc w:val="center"/>
        </w:trPr>
        <w:tc>
          <w:tcPr>
            <w:tcW w:w="373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七、附属单位上缴收入</w:t>
            </w:r>
          </w:p>
        </w:tc>
        <w:tc>
          <w:tcPr>
            <w:tcW w:w="95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7</w:t>
            </w:r>
          </w:p>
        </w:tc>
        <w:tc>
          <w:tcPr>
            <w:tcW w:w="1166" w:type="dxa"/>
            <w:tcBorders>
              <w:tl2br w:val="nil"/>
              <w:tr2bl w:val="nil"/>
            </w:tcBorders>
            <w:shd w:val="clear" w:color="auto" w:fill="auto"/>
            <w:noWrap/>
            <w:vAlign w:val="center"/>
          </w:tcPr>
          <w:p>
            <w:pPr>
              <w:jc w:val="center"/>
              <w:rPr>
                <w:rFonts w:hint="eastAsia" w:ascii="宋体" w:hAnsi="宋体" w:eastAsia="宋体" w:cs="宋体"/>
                <w:i w:val="0"/>
                <w:color w:val="auto"/>
                <w:sz w:val="22"/>
                <w:szCs w:val="22"/>
                <w:u w:val="none"/>
                <w:shd w:val="clear" w:color="auto" w:fill="auto"/>
              </w:rPr>
            </w:pPr>
          </w:p>
        </w:tc>
        <w:tc>
          <w:tcPr>
            <w:tcW w:w="2487"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七、文化旅游体育与传媒支出</w:t>
            </w:r>
          </w:p>
        </w:tc>
        <w:tc>
          <w:tcPr>
            <w:tcW w:w="997" w:type="dxa"/>
            <w:tcBorders>
              <w:tl2br w:val="nil"/>
              <w:tr2bl w:val="nil"/>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auto"/>
                <w:sz w:val="22"/>
                <w:szCs w:val="22"/>
                <w:u w:val="none"/>
                <w:shd w:val="clear" w:color="auto" w:fill="auto"/>
                <w:lang w:val="en"/>
              </w:rPr>
            </w:pPr>
            <w:r>
              <w:rPr>
                <w:rFonts w:hint="default" w:ascii="宋体" w:hAnsi="宋体" w:eastAsia="宋体" w:cs="宋体"/>
                <w:i w:val="0"/>
                <w:color w:val="auto"/>
                <w:sz w:val="22"/>
                <w:szCs w:val="22"/>
                <w:u w:val="none"/>
                <w:shd w:val="clear" w:color="auto" w:fill="auto"/>
                <w:lang w:val="en"/>
              </w:rPr>
              <w:t>20</w:t>
            </w:r>
          </w:p>
        </w:tc>
        <w:tc>
          <w:tcPr>
            <w:tcW w:w="1300" w:type="dxa"/>
            <w:tcBorders>
              <w:tl2br w:val="nil"/>
              <w:tr2bl w:val="nil"/>
            </w:tcBorders>
            <w:shd w:val="clear" w:color="auto" w:fill="auto"/>
            <w:noWrap/>
            <w:vAlign w:val="center"/>
          </w:tcPr>
          <w:p>
            <w:pPr>
              <w:jc w:val="center"/>
              <w:rPr>
                <w:rFonts w:hint="eastAsia" w:ascii="宋体" w:hAnsi="宋体" w:eastAsia="宋体" w:cs="宋体"/>
                <w:i w:val="0"/>
                <w:color w:val="auto"/>
                <w:sz w:val="22"/>
                <w:szCs w:val="22"/>
                <w:u w:val="none"/>
                <w:shd w:val="clear" w:color="auto" w:fill="auto"/>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exact"/>
          <w:jc w:val="center"/>
        </w:trPr>
        <w:tc>
          <w:tcPr>
            <w:tcW w:w="373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八、其他收入</w:t>
            </w:r>
          </w:p>
        </w:tc>
        <w:tc>
          <w:tcPr>
            <w:tcW w:w="95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8</w:t>
            </w:r>
          </w:p>
        </w:tc>
        <w:tc>
          <w:tcPr>
            <w:tcW w:w="1166" w:type="dxa"/>
            <w:tcBorders>
              <w:tl2br w:val="nil"/>
              <w:tr2bl w:val="nil"/>
            </w:tcBorders>
            <w:shd w:val="clear" w:color="auto" w:fill="auto"/>
            <w:noWrap/>
            <w:vAlign w:val="center"/>
          </w:tcPr>
          <w:p>
            <w:pPr>
              <w:jc w:val="center"/>
              <w:rPr>
                <w:rFonts w:hint="eastAsia" w:ascii="宋体" w:hAnsi="宋体" w:eastAsia="宋体" w:cs="宋体"/>
                <w:i w:val="0"/>
                <w:color w:val="auto"/>
                <w:sz w:val="22"/>
                <w:szCs w:val="22"/>
                <w:u w:val="none"/>
                <w:shd w:val="clear" w:color="auto" w:fill="auto"/>
              </w:rPr>
            </w:pPr>
          </w:p>
        </w:tc>
        <w:tc>
          <w:tcPr>
            <w:tcW w:w="2487"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八、社会保障和就业支出</w:t>
            </w:r>
          </w:p>
        </w:tc>
        <w:tc>
          <w:tcPr>
            <w:tcW w:w="997" w:type="dxa"/>
            <w:tcBorders>
              <w:tl2br w:val="nil"/>
              <w:tr2bl w:val="nil"/>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auto"/>
                <w:sz w:val="22"/>
                <w:szCs w:val="22"/>
                <w:u w:val="none"/>
                <w:shd w:val="clear" w:color="auto" w:fill="auto"/>
                <w:lang w:val="en"/>
              </w:rPr>
            </w:pPr>
            <w:r>
              <w:rPr>
                <w:rFonts w:hint="default" w:ascii="宋体" w:hAnsi="宋体" w:eastAsia="宋体" w:cs="宋体"/>
                <w:i w:val="0"/>
                <w:color w:val="auto"/>
                <w:kern w:val="0"/>
                <w:sz w:val="22"/>
                <w:szCs w:val="22"/>
                <w:u w:val="none"/>
                <w:shd w:val="clear" w:color="auto" w:fill="auto"/>
                <w:lang w:val="en" w:eastAsia="zh-CN" w:bidi="ar"/>
              </w:rPr>
              <w:t>21</w:t>
            </w:r>
          </w:p>
        </w:tc>
        <w:tc>
          <w:tcPr>
            <w:tcW w:w="1300" w:type="dxa"/>
            <w:tcBorders>
              <w:tl2br w:val="nil"/>
              <w:tr2bl w:val="nil"/>
            </w:tcBorders>
            <w:shd w:val="clear" w:color="auto" w:fill="auto"/>
            <w:noWrap/>
            <w:vAlign w:val="center"/>
          </w:tcPr>
          <w:p>
            <w:pPr>
              <w:jc w:val="center"/>
              <w:rPr>
                <w:rFonts w:hint="eastAsia" w:ascii="宋体" w:hAnsi="宋体" w:eastAsia="宋体" w:cs="宋体"/>
                <w:i w:val="0"/>
                <w:color w:val="auto"/>
                <w:sz w:val="22"/>
                <w:szCs w:val="22"/>
                <w:u w:val="none"/>
                <w:shd w:val="clear" w:color="auto" w:fill="auto"/>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exact"/>
          <w:jc w:val="center"/>
        </w:trPr>
        <w:tc>
          <w:tcPr>
            <w:tcW w:w="373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auto"/>
                <w:kern w:val="0"/>
                <w:sz w:val="22"/>
                <w:szCs w:val="22"/>
                <w:u w:val="none"/>
                <w:shd w:val="clear" w:color="auto" w:fill="auto"/>
                <w:lang w:val="en-US" w:eastAsia="zh-CN" w:bidi="ar"/>
              </w:rPr>
            </w:pPr>
          </w:p>
        </w:tc>
        <w:tc>
          <w:tcPr>
            <w:tcW w:w="955" w:type="dxa"/>
            <w:tcBorders>
              <w:tl2br w:val="nil"/>
              <w:tr2bl w:val="nil"/>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auto"/>
                <w:kern w:val="0"/>
                <w:sz w:val="22"/>
                <w:szCs w:val="22"/>
                <w:u w:val="none"/>
                <w:shd w:val="clear" w:color="auto" w:fill="auto"/>
                <w:lang w:val="en" w:eastAsia="zh-CN" w:bidi="ar"/>
              </w:rPr>
            </w:pPr>
            <w:r>
              <w:rPr>
                <w:rFonts w:hint="default" w:ascii="宋体" w:hAnsi="宋体" w:eastAsia="宋体" w:cs="宋体"/>
                <w:i w:val="0"/>
                <w:color w:val="auto"/>
                <w:kern w:val="0"/>
                <w:sz w:val="22"/>
                <w:szCs w:val="22"/>
                <w:u w:val="none"/>
                <w:shd w:val="clear" w:color="auto" w:fill="auto"/>
                <w:lang w:val="en" w:eastAsia="zh-CN" w:bidi="ar"/>
              </w:rPr>
              <w:t>9</w:t>
            </w:r>
          </w:p>
        </w:tc>
        <w:tc>
          <w:tcPr>
            <w:tcW w:w="11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kern w:val="0"/>
                <w:sz w:val="22"/>
                <w:szCs w:val="22"/>
                <w:u w:val="none"/>
                <w:shd w:val="clear" w:color="auto" w:fill="auto"/>
                <w:lang w:val="en-US" w:eastAsia="zh-CN" w:bidi="ar"/>
              </w:rPr>
            </w:pPr>
          </w:p>
        </w:tc>
        <w:tc>
          <w:tcPr>
            <w:tcW w:w="2487"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auto"/>
                <w:kern w:val="0"/>
                <w:sz w:val="22"/>
                <w:szCs w:val="22"/>
                <w:u w:val="none"/>
                <w:shd w:val="clear" w:color="auto" w:fill="auto"/>
                <w:lang w:val="en-US" w:eastAsia="zh-CN" w:bidi="ar"/>
              </w:rPr>
            </w:pPr>
          </w:p>
        </w:tc>
        <w:tc>
          <w:tcPr>
            <w:tcW w:w="997" w:type="dxa"/>
            <w:tcBorders>
              <w:tl2br w:val="nil"/>
              <w:tr2bl w:val="nil"/>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auto"/>
                <w:kern w:val="0"/>
                <w:sz w:val="22"/>
                <w:szCs w:val="22"/>
                <w:u w:val="none"/>
                <w:shd w:val="clear" w:color="auto" w:fill="auto"/>
                <w:lang w:val="en" w:eastAsia="zh-CN" w:bidi="ar"/>
              </w:rPr>
            </w:pPr>
            <w:r>
              <w:rPr>
                <w:rFonts w:hint="default" w:ascii="宋体" w:hAnsi="宋体" w:eastAsia="宋体" w:cs="宋体"/>
                <w:i w:val="0"/>
                <w:color w:val="auto"/>
                <w:kern w:val="0"/>
                <w:sz w:val="22"/>
                <w:szCs w:val="22"/>
                <w:u w:val="none"/>
                <w:shd w:val="clear" w:color="auto" w:fill="auto"/>
                <w:lang w:val="en" w:eastAsia="zh-CN" w:bidi="ar"/>
              </w:rPr>
              <w:t>22</w:t>
            </w:r>
          </w:p>
        </w:tc>
        <w:tc>
          <w:tcPr>
            <w:tcW w:w="1300"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kern w:val="0"/>
                <w:sz w:val="22"/>
                <w:szCs w:val="22"/>
                <w:u w:val="none"/>
                <w:shd w:val="clear" w:color="auto" w:fill="auto"/>
                <w:lang w:val="en-US" w:eastAsia="zh-CN" w:bidi="ar"/>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exact"/>
          <w:jc w:val="center"/>
        </w:trPr>
        <w:tc>
          <w:tcPr>
            <w:tcW w:w="373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auto"/>
                <w:sz w:val="22"/>
                <w:szCs w:val="22"/>
                <w:u w:val="none"/>
                <w:shd w:val="clear" w:color="auto" w:fill="auto"/>
              </w:rPr>
            </w:pPr>
            <w:r>
              <w:rPr>
                <w:rFonts w:hint="eastAsia" w:ascii="宋体" w:hAnsi="宋体" w:eastAsia="宋体" w:cs="宋体"/>
                <w:b/>
                <w:i w:val="0"/>
                <w:color w:val="auto"/>
                <w:kern w:val="0"/>
                <w:sz w:val="22"/>
                <w:szCs w:val="22"/>
                <w:u w:val="none"/>
                <w:shd w:val="clear" w:color="auto" w:fill="auto"/>
                <w:lang w:val="en-US" w:eastAsia="zh-CN" w:bidi="ar"/>
              </w:rPr>
              <w:t>本年收入合计</w:t>
            </w:r>
          </w:p>
        </w:tc>
        <w:tc>
          <w:tcPr>
            <w:tcW w:w="955" w:type="dxa"/>
            <w:tcBorders>
              <w:tl2br w:val="nil"/>
              <w:tr2bl w:val="nil"/>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auto"/>
                <w:sz w:val="22"/>
                <w:szCs w:val="22"/>
                <w:u w:val="none"/>
                <w:shd w:val="clear" w:color="auto" w:fill="auto"/>
                <w:lang w:val="en"/>
              </w:rPr>
            </w:pPr>
            <w:r>
              <w:rPr>
                <w:rFonts w:hint="default" w:ascii="宋体" w:hAnsi="宋体" w:eastAsia="宋体" w:cs="宋体"/>
                <w:i w:val="0"/>
                <w:color w:val="auto"/>
                <w:kern w:val="0"/>
                <w:sz w:val="22"/>
                <w:szCs w:val="22"/>
                <w:u w:val="none"/>
                <w:shd w:val="clear" w:color="auto" w:fill="auto"/>
                <w:lang w:val="en" w:eastAsia="zh-CN" w:bidi="ar"/>
              </w:rPr>
              <w:t>10</w:t>
            </w:r>
          </w:p>
        </w:tc>
        <w:tc>
          <w:tcPr>
            <w:tcW w:w="11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577.92</w:t>
            </w:r>
          </w:p>
        </w:tc>
        <w:tc>
          <w:tcPr>
            <w:tcW w:w="2487"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auto"/>
                <w:sz w:val="22"/>
                <w:szCs w:val="22"/>
                <w:u w:val="none"/>
                <w:shd w:val="clear" w:color="auto" w:fill="auto"/>
              </w:rPr>
            </w:pPr>
            <w:r>
              <w:rPr>
                <w:rFonts w:hint="eastAsia" w:ascii="宋体" w:hAnsi="宋体" w:eastAsia="宋体" w:cs="宋体"/>
                <w:b/>
                <w:i w:val="0"/>
                <w:color w:val="auto"/>
                <w:kern w:val="0"/>
                <w:sz w:val="22"/>
                <w:szCs w:val="22"/>
                <w:u w:val="none"/>
                <w:shd w:val="clear" w:color="auto" w:fill="auto"/>
                <w:lang w:val="en-US" w:eastAsia="zh-CN" w:bidi="ar"/>
              </w:rPr>
              <w:t>本年支出合计</w:t>
            </w:r>
          </w:p>
        </w:tc>
        <w:tc>
          <w:tcPr>
            <w:tcW w:w="997" w:type="dxa"/>
            <w:tcBorders>
              <w:tl2br w:val="nil"/>
              <w:tr2bl w:val="nil"/>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auto"/>
                <w:sz w:val="22"/>
                <w:szCs w:val="22"/>
                <w:u w:val="none"/>
                <w:shd w:val="clear" w:color="auto" w:fill="auto"/>
                <w:lang w:val="en"/>
              </w:rPr>
            </w:pPr>
            <w:r>
              <w:rPr>
                <w:rFonts w:hint="default" w:ascii="宋体" w:hAnsi="宋体" w:eastAsia="宋体" w:cs="宋体"/>
                <w:i w:val="0"/>
                <w:color w:val="auto"/>
                <w:kern w:val="0"/>
                <w:sz w:val="22"/>
                <w:szCs w:val="22"/>
                <w:u w:val="none"/>
                <w:shd w:val="clear" w:color="auto" w:fill="auto"/>
                <w:lang w:val="en" w:eastAsia="zh-CN" w:bidi="ar"/>
              </w:rPr>
              <w:t>23</w:t>
            </w:r>
          </w:p>
        </w:tc>
        <w:tc>
          <w:tcPr>
            <w:tcW w:w="1300"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577.92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exact"/>
          <w:jc w:val="center"/>
        </w:trPr>
        <w:tc>
          <w:tcPr>
            <w:tcW w:w="373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使用非财政拨款结余（含专用结余）</w:t>
            </w:r>
          </w:p>
        </w:tc>
        <w:tc>
          <w:tcPr>
            <w:tcW w:w="955" w:type="dxa"/>
            <w:tcBorders>
              <w:tl2br w:val="nil"/>
              <w:tr2bl w:val="nil"/>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auto"/>
                <w:sz w:val="22"/>
                <w:szCs w:val="22"/>
                <w:u w:val="none"/>
                <w:shd w:val="clear" w:color="auto" w:fill="auto"/>
                <w:lang w:val="en"/>
              </w:rPr>
            </w:pPr>
            <w:r>
              <w:rPr>
                <w:rFonts w:hint="default" w:ascii="宋体" w:hAnsi="宋体" w:eastAsia="宋体" w:cs="宋体"/>
                <w:i w:val="0"/>
                <w:color w:val="auto"/>
                <w:kern w:val="0"/>
                <w:sz w:val="22"/>
                <w:szCs w:val="22"/>
                <w:u w:val="none"/>
                <w:shd w:val="clear" w:color="auto" w:fill="auto"/>
                <w:lang w:val="en" w:eastAsia="zh-CN" w:bidi="ar"/>
              </w:rPr>
              <w:t>11</w:t>
            </w:r>
          </w:p>
        </w:tc>
        <w:tc>
          <w:tcPr>
            <w:tcW w:w="1166" w:type="dxa"/>
            <w:tcBorders>
              <w:tl2br w:val="nil"/>
              <w:tr2bl w:val="nil"/>
            </w:tcBorders>
            <w:shd w:val="clear" w:color="auto" w:fill="auto"/>
            <w:noWrap/>
            <w:vAlign w:val="center"/>
          </w:tcPr>
          <w:p>
            <w:pPr>
              <w:jc w:val="center"/>
              <w:rPr>
                <w:rFonts w:hint="eastAsia" w:ascii="宋体" w:hAnsi="宋体" w:eastAsia="宋体" w:cs="宋体"/>
                <w:i w:val="0"/>
                <w:color w:val="auto"/>
                <w:sz w:val="22"/>
                <w:szCs w:val="22"/>
                <w:u w:val="none"/>
                <w:shd w:val="clear" w:color="auto" w:fill="auto"/>
              </w:rPr>
            </w:pPr>
          </w:p>
        </w:tc>
        <w:tc>
          <w:tcPr>
            <w:tcW w:w="2487"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结余分配</w:t>
            </w:r>
          </w:p>
        </w:tc>
        <w:tc>
          <w:tcPr>
            <w:tcW w:w="997" w:type="dxa"/>
            <w:tcBorders>
              <w:tl2br w:val="nil"/>
              <w:tr2bl w:val="nil"/>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auto"/>
                <w:sz w:val="22"/>
                <w:szCs w:val="22"/>
                <w:u w:val="none"/>
                <w:shd w:val="clear" w:color="auto" w:fill="auto"/>
                <w:lang w:val="en"/>
              </w:rPr>
            </w:pPr>
            <w:r>
              <w:rPr>
                <w:rFonts w:hint="default" w:ascii="宋体" w:hAnsi="宋体" w:eastAsia="宋体" w:cs="宋体"/>
                <w:i w:val="0"/>
                <w:color w:val="auto"/>
                <w:kern w:val="0"/>
                <w:sz w:val="22"/>
                <w:szCs w:val="22"/>
                <w:u w:val="none"/>
                <w:shd w:val="clear" w:color="auto" w:fill="auto"/>
                <w:lang w:val="en" w:eastAsia="zh-CN" w:bidi="ar"/>
              </w:rPr>
              <w:t>24</w:t>
            </w:r>
          </w:p>
        </w:tc>
        <w:tc>
          <w:tcPr>
            <w:tcW w:w="1300" w:type="dxa"/>
            <w:tcBorders>
              <w:tl2br w:val="nil"/>
              <w:tr2bl w:val="nil"/>
            </w:tcBorders>
            <w:shd w:val="clear" w:color="auto" w:fill="auto"/>
            <w:noWrap/>
            <w:vAlign w:val="center"/>
          </w:tcPr>
          <w:p>
            <w:pPr>
              <w:jc w:val="center"/>
              <w:rPr>
                <w:rFonts w:hint="eastAsia" w:ascii="宋体" w:hAnsi="宋体" w:eastAsia="宋体" w:cs="宋体"/>
                <w:i w:val="0"/>
                <w:color w:val="auto"/>
                <w:sz w:val="22"/>
                <w:szCs w:val="22"/>
                <w:u w:val="none"/>
                <w:shd w:val="clear" w:color="auto" w:fill="auto"/>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exact"/>
          <w:jc w:val="center"/>
        </w:trPr>
        <w:tc>
          <w:tcPr>
            <w:tcW w:w="373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年初结转和结余</w:t>
            </w:r>
          </w:p>
        </w:tc>
        <w:tc>
          <w:tcPr>
            <w:tcW w:w="955" w:type="dxa"/>
            <w:tcBorders>
              <w:tl2br w:val="nil"/>
              <w:tr2bl w:val="nil"/>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auto"/>
                <w:sz w:val="22"/>
                <w:szCs w:val="22"/>
                <w:u w:val="none"/>
                <w:shd w:val="clear" w:color="auto" w:fill="auto"/>
                <w:lang w:val="en"/>
              </w:rPr>
            </w:pPr>
            <w:r>
              <w:rPr>
                <w:rFonts w:hint="default" w:ascii="宋体" w:hAnsi="宋体" w:eastAsia="宋体" w:cs="宋体"/>
                <w:i w:val="0"/>
                <w:color w:val="auto"/>
                <w:kern w:val="0"/>
                <w:sz w:val="22"/>
                <w:szCs w:val="22"/>
                <w:u w:val="none"/>
                <w:shd w:val="clear" w:color="auto" w:fill="auto"/>
                <w:lang w:val="en" w:eastAsia="zh-CN" w:bidi="ar"/>
              </w:rPr>
              <w:t>12</w:t>
            </w:r>
          </w:p>
        </w:tc>
        <w:tc>
          <w:tcPr>
            <w:tcW w:w="1166" w:type="dxa"/>
            <w:tcBorders>
              <w:tl2br w:val="nil"/>
              <w:tr2bl w:val="nil"/>
            </w:tcBorders>
            <w:shd w:val="clear" w:color="auto" w:fill="auto"/>
            <w:noWrap/>
            <w:vAlign w:val="center"/>
          </w:tcPr>
          <w:p>
            <w:pPr>
              <w:jc w:val="center"/>
              <w:rPr>
                <w:rFonts w:hint="eastAsia" w:ascii="宋体" w:hAnsi="宋体" w:eastAsia="宋体" w:cs="宋体"/>
                <w:i w:val="0"/>
                <w:color w:val="auto"/>
                <w:sz w:val="22"/>
                <w:szCs w:val="22"/>
                <w:u w:val="none"/>
                <w:shd w:val="clear" w:color="auto" w:fill="auto"/>
              </w:rPr>
            </w:pPr>
          </w:p>
        </w:tc>
        <w:tc>
          <w:tcPr>
            <w:tcW w:w="2487"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年末结转和结余</w:t>
            </w:r>
          </w:p>
        </w:tc>
        <w:tc>
          <w:tcPr>
            <w:tcW w:w="997" w:type="dxa"/>
            <w:tcBorders>
              <w:tl2br w:val="nil"/>
              <w:tr2bl w:val="nil"/>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auto"/>
                <w:sz w:val="22"/>
                <w:szCs w:val="22"/>
                <w:u w:val="none"/>
                <w:shd w:val="clear" w:color="auto" w:fill="auto"/>
                <w:lang w:val="en"/>
              </w:rPr>
            </w:pPr>
            <w:r>
              <w:rPr>
                <w:rFonts w:hint="default" w:ascii="宋体" w:hAnsi="宋体" w:eastAsia="宋体" w:cs="宋体"/>
                <w:i w:val="0"/>
                <w:color w:val="auto"/>
                <w:kern w:val="0"/>
                <w:sz w:val="22"/>
                <w:szCs w:val="22"/>
                <w:u w:val="none"/>
                <w:shd w:val="clear" w:color="auto" w:fill="auto"/>
                <w:lang w:val="en" w:eastAsia="zh-CN" w:bidi="ar"/>
              </w:rPr>
              <w:t>25</w:t>
            </w:r>
          </w:p>
        </w:tc>
        <w:tc>
          <w:tcPr>
            <w:tcW w:w="1300"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exact"/>
          <w:jc w:val="center"/>
        </w:trPr>
        <w:tc>
          <w:tcPr>
            <w:tcW w:w="373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auto"/>
                <w:sz w:val="22"/>
                <w:szCs w:val="22"/>
                <w:u w:val="none"/>
                <w:shd w:val="clear" w:color="auto" w:fill="auto"/>
              </w:rPr>
            </w:pPr>
            <w:r>
              <w:rPr>
                <w:rFonts w:hint="eastAsia" w:ascii="宋体" w:hAnsi="宋体" w:eastAsia="宋体" w:cs="宋体"/>
                <w:b/>
                <w:i w:val="0"/>
                <w:color w:val="auto"/>
                <w:kern w:val="0"/>
                <w:sz w:val="22"/>
                <w:szCs w:val="22"/>
                <w:u w:val="none"/>
                <w:shd w:val="clear" w:color="auto" w:fill="auto"/>
                <w:lang w:val="en-US" w:eastAsia="zh-CN" w:bidi="ar"/>
              </w:rPr>
              <w:t>总计</w:t>
            </w:r>
          </w:p>
        </w:tc>
        <w:tc>
          <w:tcPr>
            <w:tcW w:w="955" w:type="dxa"/>
            <w:tcBorders>
              <w:tl2br w:val="nil"/>
              <w:tr2bl w:val="nil"/>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auto"/>
                <w:sz w:val="22"/>
                <w:szCs w:val="22"/>
                <w:u w:val="none"/>
                <w:shd w:val="clear" w:color="auto" w:fill="auto"/>
                <w:lang w:val="en"/>
              </w:rPr>
            </w:pPr>
            <w:r>
              <w:rPr>
                <w:rFonts w:hint="default" w:ascii="宋体" w:hAnsi="宋体" w:eastAsia="宋体" w:cs="宋体"/>
                <w:i w:val="0"/>
                <w:color w:val="auto"/>
                <w:kern w:val="0"/>
                <w:sz w:val="22"/>
                <w:szCs w:val="22"/>
                <w:u w:val="none"/>
                <w:shd w:val="clear" w:color="auto" w:fill="auto"/>
                <w:lang w:val="en" w:eastAsia="zh-CN" w:bidi="ar"/>
              </w:rPr>
              <w:t>13</w:t>
            </w:r>
          </w:p>
        </w:tc>
        <w:tc>
          <w:tcPr>
            <w:tcW w:w="11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577.92</w:t>
            </w:r>
          </w:p>
        </w:tc>
        <w:tc>
          <w:tcPr>
            <w:tcW w:w="2487"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auto"/>
                <w:sz w:val="22"/>
                <w:szCs w:val="22"/>
                <w:u w:val="none"/>
                <w:shd w:val="clear" w:color="auto" w:fill="auto"/>
              </w:rPr>
            </w:pPr>
            <w:r>
              <w:rPr>
                <w:rFonts w:hint="eastAsia" w:ascii="宋体" w:hAnsi="宋体" w:eastAsia="宋体" w:cs="宋体"/>
                <w:b/>
                <w:i w:val="0"/>
                <w:color w:val="auto"/>
                <w:kern w:val="0"/>
                <w:sz w:val="22"/>
                <w:szCs w:val="22"/>
                <w:u w:val="none"/>
                <w:shd w:val="clear" w:color="auto" w:fill="auto"/>
                <w:lang w:val="en-US" w:eastAsia="zh-CN" w:bidi="ar"/>
              </w:rPr>
              <w:t>总计</w:t>
            </w:r>
          </w:p>
        </w:tc>
        <w:tc>
          <w:tcPr>
            <w:tcW w:w="997" w:type="dxa"/>
            <w:tcBorders>
              <w:tl2br w:val="nil"/>
              <w:tr2bl w:val="nil"/>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auto"/>
                <w:sz w:val="22"/>
                <w:szCs w:val="22"/>
                <w:u w:val="none"/>
                <w:shd w:val="clear" w:color="auto" w:fill="auto"/>
                <w:lang w:val="en"/>
              </w:rPr>
            </w:pPr>
            <w:r>
              <w:rPr>
                <w:rFonts w:hint="default" w:ascii="宋体" w:hAnsi="宋体" w:eastAsia="宋体" w:cs="宋体"/>
                <w:i w:val="0"/>
                <w:color w:val="auto"/>
                <w:kern w:val="0"/>
                <w:sz w:val="22"/>
                <w:szCs w:val="22"/>
                <w:u w:val="none"/>
                <w:shd w:val="clear" w:color="auto" w:fill="auto"/>
                <w:lang w:val="en" w:eastAsia="zh-CN" w:bidi="ar"/>
              </w:rPr>
              <w:t>26</w:t>
            </w:r>
          </w:p>
        </w:tc>
        <w:tc>
          <w:tcPr>
            <w:tcW w:w="1300"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rPr>
              <w:t>577.92</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sectPr>
          <w:pgSz w:w="11906" w:h="16838"/>
          <w:pgMar w:top="1417" w:right="1134" w:bottom="1417" w:left="1134"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eastAsia="华文中宋" w:cs="Times New Roman"/>
          <w:color w:val="000000"/>
          <w:sz w:val="32"/>
          <w:szCs w:val="32"/>
        </w:rPr>
        <w:br w:type="page"/>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w:t>
      </w:r>
      <w:r>
        <w:rPr>
          <w:rFonts w:hint="default" w:ascii="Times New Roman" w:hAnsi="Times New Roman" w:eastAsia="仿宋_GB2312" w:cs="Times New Roman"/>
          <w:color w:val="000000"/>
          <w:sz w:val="20"/>
          <w:szCs w:val="20"/>
          <w:lang w:val="en"/>
        </w:rPr>
        <w:t>2</w:t>
      </w:r>
      <w:r>
        <w:rPr>
          <w:rFonts w:ascii="Times New Roman" w:hAnsi="Times New Roman" w:eastAsia="仿宋_GB2312" w:cs="Times New Roman"/>
          <w:color w:val="000000"/>
          <w:sz w:val="20"/>
          <w:szCs w:val="20"/>
        </w:rPr>
        <w:t>表</w:t>
      </w:r>
    </w:p>
    <w:p>
      <w:pPr>
        <w:pStyle w:val="2"/>
        <w:jc w:val="right"/>
      </w:pPr>
      <w:r>
        <w:rPr>
          <w:rFonts w:ascii="Times New Roman" w:hAnsi="Times New Roman" w:eastAsia="仿宋_GB2312" w:cs="Times New Roman"/>
          <w:color w:val="000000"/>
          <w:sz w:val="20"/>
          <w:szCs w:val="20"/>
        </w:rPr>
        <w:t>单位：万元</w:t>
      </w:r>
    </w:p>
    <w:p>
      <w:pPr>
        <w:tabs>
          <w:tab w:val="left" w:pos="630"/>
          <w:tab w:val="left" w:pos="2100"/>
          <w:tab w:val="left" w:pos="3895"/>
          <w:tab w:val="left" w:pos="5690"/>
          <w:tab w:val="left" w:pos="7485"/>
          <w:tab w:val="left" w:pos="9280"/>
          <w:tab w:val="left" w:pos="11075"/>
          <w:tab w:val="left" w:pos="12870"/>
        </w:tabs>
        <w:jc w:val="both"/>
        <w:rPr>
          <w:rFonts w:ascii="Times New Roman" w:hAnsi="Times New Roman" w:eastAsia="仿宋_GB2312" w:cs="Times New Roman"/>
        </w:rPr>
      </w:pPr>
      <w:r>
        <w:rPr>
          <w:rFonts w:ascii="Times New Roman" w:hAnsi="Times New Roman" w:eastAsia="仿宋_GB2312" w:cs="Times New Roman"/>
          <w:color w:val="000000"/>
          <w:kern w:val="0"/>
          <w:sz w:val="20"/>
          <w:szCs w:val="20"/>
          <w:lang w:bidi="ar"/>
        </w:rPr>
        <w:t>部门：</w:t>
      </w:r>
      <w:r>
        <w:rPr>
          <w:rFonts w:hint="default" w:ascii="Times New Roman" w:hAnsi="Times New Roman" w:eastAsia="仿宋_GB2312" w:cs="Times New Roman"/>
          <w:color w:val="000000"/>
          <w:kern w:val="0"/>
          <w:sz w:val="20"/>
          <w:szCs w:val="20"/>
          <w:lang w:val="en" w:bidi="ar"/>
        </w:rPr>
        <w:t>益阳市赫山区仪器电教站</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p>
    <w:tbl>
      <w:tblPr>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6"/>
        <w:gridCol w:w="3092"/>
        <w:gridCol w:w="1399"/>
        <w:gridCol w:w="1400"/>
        <w:gridCol w:w="1400"/>
        <w:gridCol w:w="1400"/>
        <w:gridCol w:w="1400"/>
        <w:gridCol w:w="1614"/>
        <w:gridCol w:w="15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7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项目</w:t>
            </w:r>
          </w:p>
        </w:tc>
        <w:tc>
          <w:tcPr>
            <w:tcW w:w="5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本年收入合计</w:t>
            </w:r>
          </w:p>
        </w:tc>
        <w:tc>
          <w:tcPr>
            <w:tcW w:w="5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财政拨款收入</w:t>
            </w:r>
          </w:p>
        </w:tc>
        <w:tc>
          <w:tcPr>
            <w:tcW w:w="5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上级补助收入</w:t>
            </w:r>
          </w:p>
        </w:tc>
        <w:tc>
          <w:tcPr>
            <w:tcW w:w="5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事业收入</w:t>
            </w:r>
          </w:p>
        </w:tc>
        <w:tc>
          <w:tcPr>
            <w:tcW w:w="5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经营收入</w:t>
            </w:r>
          </w:p>
        </w:tc>
        <w:tc>
          <w:tcPr>
            <w:tcW w:w="5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附属单位上缴收入</w:t>
            </w:r>
          </w:p>
        </w:tc>
        <w:tc>
          <w:tcPr>
            <w:tcW w:w="5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7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科目代码</w:t>
            </w:r>
          </w:p>
        </w:tc>
        <w:tc>
          <w:tcPr>
            <w:tcW w:w="109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科目名称</w:t>
            </w:r>
          </w:p>
        </w:tc>
        <w:tc>
          <w:tcPr>
            <w:tcW w:w="5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5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5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5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5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5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5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9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5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5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5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5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5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5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5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9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5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5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5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5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5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5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5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7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栏次</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w:t>
            </w:r>
          </w:p>
        </w:tc>
        <w:tc>
          <w:tcPr>
            <w:tcW w:w="5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7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合计</w:t>
            </w:r>
          </w:p>
        </w:tc>
        <w:tc>
          <w:tcPr>
            <w:tcW w:w="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bdr w:val="none" w:color="auto" w:sz="0" w:space="0"/>
                <w:lang w:val="en-US" w:eastAsia="zh-CN" w:bidi="ar"/>
              </w:rPr>
              <w:t xml:space="preserve">577.92 </w:t>
            </w:r>
          </w:p>
        </w:tc>
        <w:tc>
          <w:tcPr>
            <w:tcW w:w="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bdr w:val="none" w:color="auto" w:sz="0" w:space="0"/>
                <w:lang w:val="en-US" w:eastAsia="zh-CN" w:bidi="ar"/>
              </w:rPr>
              <w:t xml:space="preserve">577.92 </w:t>
            </w:r>
          </w:p>
        </w:tc>
        <w:tc>
          <w:tcPr>
            <w:tcW w:w="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i w:val="0"/>
                <w:color w:val="000000"/>
                <w:sz w:val="22"/>
                <w:szCs w:val="22"/>
                <w:u w:val="none"/>
              </w:rPr>
            </w:pPr>
          </w:p>
        </w:tc>
        <w:tc>
          <w:tcPr>
            <w:tcW w:w="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i w:val="0"/>
                <w:color w:val="000000"/>
                <w:sz w:val="22"/>
                <w:szCs w:val="22"/>
                <w:u w:val="none"/>
              </w:rPr>
            </w:pPr>
          </w:p>
        </w:tc>
        <w:tc>
          <w:tcPr>
            <w:tcW w:w="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i w:val="0"/>
                <w:color w:val="000000"/>
                <w:sz w:val="22"/>
                <w:szCs w:val="22"/>
                <w:u w:val="none"/>
              </w:rPr>
            </w:pP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i w:val="0"/>
                <w:color w:val="000000"/>
                <w:sz w:val="22"/>
                <w:szCs w:val="22"/>
                <w:u w:val="none"/>
              </w:rPr>
            </w:pPr>
          </w:p>
        </w:tc>
        <w:tc>
          <w:tcPr>
            <w:tcW w:w="5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2050299</w:t>
            </w:r>
          </w:p>
        </w:tc>
        <w:tc>
          <w:tcPr>
            <w:tcW w:w="10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其他普通教育支出</w:t>
            </w:r>
          </w:p>
        </w:tc>
        <w:tc>
          <w:tcPr>
            <w:tcW w:w="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577.92 </w:t>
            </w:r>
          </w:p>
        </w:tc>
        <w:tc>
          <w:tcPr>
            <w:tcW w:w="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577.92 </w:t>
            </w:r>
          </w:p>
        </w:tc>
        <w:tc>
          <w:tcPr>
            <w:tcW w:w="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bl>
    <w:p>
      <w:pPr>
        <w:shd w:val="clear"/>
        <w:tabs>
          <w:tab w:val="left" w:pos="630"/>
          <w:tab w:val="left" w:pos="2100"/>
          <w:tab w:val="left" w:pos="3895"/>
          <w:tab w:val="left" w:pos="5690"/>
          <w:tab w:val="left" w:pos="7485"/>
          <w:tab w:val="left" w:pos="9280"/>
          <w:tab w:val="left" w:pos="11075"/>
          <w:tab w:val="left" w:pos="12870"/>
        </w:tabs>
        <w:jc w:val="both"/>
        <w:rPr>
          <w:rFonts w:ascii="Times New Roman" w:hAnsi="Times New Roman" w:eastAsia="仿宋_GB2312" w:cs="Times New Roman"/>
        </w:rPr>
      </w:pPr>
    </w:p>
    <w:p>
      <w:pPr>
        <w:tabs>
          <w:tab w:val="left" w:pos="630"/>
          <w:tab w:val="left" w:pos="2100"/>
          <w:tab w:val="left" w:pos="3895"/>
          <w:tab w:val="left" w:pos="5690"/>
          <w:tab w:val="left" w:pos="7485"/>
          <w:tab w:val="left" w:pos="9280"/>
          <w:tab w:val="left" w:pos="11075"/>
          <w:tab w:val="left" w:pos="12870"/>
        </w:tabs>
        <w:jc w:val="left"/>
        <w:rPr>
          <w:rFonts w:ascii="Times New Roman" w:hAnsi="Times New Roman" w:eastAsia="仿宋_GB2312" w:cs="Times New Roman"/>
        </w:rPr>
      </w:pPr>
    </w:p>
    <w:p>
      <w:pPr>
        <w:tabs>
          <w:tab w:val="left" w:pos="630"/>
          <w:tab w:val="left" w:pos="2100"/>
          <w:tab w:val="left" w:pos="3895"/>
          <w:tab w:val="left" w:pos="5690"/>
          <w:tab w:val="left" w:pos="7485"/>
          <w:tab w:val="left" w:pos="9280"/>
          <w:tab w:val="left" w:pos="11075"/>
          <w:tab w:val="left" w:pos="12870"/>
        </w:tabs>
        <w:jc w:val="left"/>
        <w:rPr>
          <w:rFonts w:ascii="Times New Roman" w:hAnsi="Times New Roman" w:eastAsia="仿宋_GB2312" w:cs="Times New Roman"/>
        </w:rPr>
      </w:pPr>
    </w:p>
    <w:p>
      <w:pPr>
        <w:tabs>
          <w:tab w:val="left" w:pos="630"/>
          <w:tab w:val="left" w:pos="2100"/>
          <w:tab w:val="left" w:pos="3895"/>
          <w:tab w:val="left" w:pos="5690"/>
          <w:tab w:val="left" w:pos="7485"/>
          <w:tab w:val="left" w:pos="9280"/>
          <w:tab w:val="left" w:pos="11075"/>
          <w:tab w:val="left" w:pos="12870"/>
        </w:tabs>
        <w:jc w:val="left"/>
        <w:rPr>
          <w:rFonts w:ascii="Times New Roman" w:hAnsi="Times New Roman" w:eastAsia="仿宋_GB2312" w:cs="Times New Roman"/>
          <w:color w:val="000000"/>
          <w:sz w:val="20"/>
          <w:szCs w:val="20"/>
        </w:rPr>
      </w:pP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p>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both"/>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default" w:ascii="Times New Roman" w:hAnsi="Times New Roman" w:eastAsia="仿宋_GB2312" w:cs="Times New Roman"/>
          <w:color w:val="000000"/>
          <w:kern w:val="0"/>
          <w:sz w:val="20"/>
          <w:szCs w:val="20"/>
          <w:lang w:val="en"/>
        </w:rPr>
        <w:t>益阳市赫山区仪器电教站</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hint="default" w:ascii="Times New Roman" w:hAnsi="Times New Roman" w:eastAsia="仿宋_GB2312" w:cs="Times New Roman"/>
          <w:color w:val="000000"/>
          <w:kern w:val="0"/>
          <w:sz w:val="20"/>
          <w:szCs w:val="20"/>
          <w:lang w:val="en"/>
        </w:rPr>
        <w:t xml:space="preserve">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lang w:val="en"/>
        </w:rPr>
        <w:t xml:space="preserve">                                </w:t>
      </w:r>
      <w:r>
        <w:rPr>
          <w:rFonts w:ascii="Times New Roman" w:hAnsi="Times New Roman" w:eastAsia="仿宋_GB2312" w:cs="Times New Roman"/>
          <w:color w:val="000000"/>
          <w:kern w:val="0"/>
          <w:sz w:val="20"/>
          <w:szCs w:val="20"/>
        </w:rPr>
        <w:t>单位：万元</w:t>
      </w:r>
    </w:p>
    <w:p>
      <w:pPr>
        <w:pStyle w:val="2"/>
      </w:pPr>
    </w:p>
    <w:tbl>
      <w:tblPr>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6"/>
        <w:gridCol w:w="3435"/>
        <w:gridCol w:w="1562"/>
        <w:gridCol w:w="1562"/>
        <w:gridCol w:w="1562"/>
        <w:gridCol w:w="1563"/>
        <w:gridCol w:w="1563"/>
        <w:gridCol w:w="198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51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项目</w:t>
            </w:r>
          </w:p>
        </w:tc>
        <w:tc>
          <w:tcPr>
            <w:tcW w:w="55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本年支出合计</w:t>
            </w:r>
          </w:p>
        </w:tc>
        <w:tc>
          <w:tcPr>
            <w:tcW w:w="55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基本支出</w:t>
            </w:r>
          </w:p>
        </w:tc>
        <w:tc>
          <w:tcPr>
            <w:tcW w:w="55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项目支出</w:t>
            </w:r>
          </w:p>
        </w:tc>
        <w:tc>
          <w:tcPr>
            <w:tcW w:w="55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上缴上级支出</w:t>
            </w:r>
          </w:p>
        </w:tc>
        <w:tc>
          <w:tcPr>
            <w:tcW w:w="55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经营支出</w:t>
            </w:r>
          </w:p>
        </w:tc>
        <w:tc>
          <w:tcPr>
            <w:tcW w:w="7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科目代码</w:t>
            </w:r>
          </w:p>
        </w:tc>
        <w:tc>
          <w:tcPr>
            <w:tcW w:w="121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科目名称</w:t>
            </w: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7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1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7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1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7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51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栏次</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w:t>
            </w:r>
          </w:p>
        </w:tc>
        <w:tc>
          <w:tcPr>
            <w:tcW w:w="7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51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合计</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bdr w:val="none" w:color="auto" w:sz="0" w:space="0"/>
                <w:lang w:val="en-US" w:eastAsia="zh-CN" w:bidi="ar"/>
              </w:rPr>
              <w:t xml:space="preserve">577.92 </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bdr w:val="none" w:color="auto" w:sz="0" w:space="0"/>
                <w:lang w:val="en-US" w:eastAsia="zh-CN" w:bidi="ar"/>
              </w:rPr>
              <w:t xml:space="preserve">577.92 </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i w:val="0"/>
                <w:color w:val="000000"/>
                <w:sz w:val="22"/>
                <w:szCs w:val="22"/>
                <w:u w:val="none"/>
              </w:rPr>
            </w:pP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i w:val="0"/>
                <w:color w:val="000000"/>
                <w:sz w:val="22"/>
                <w:szCs w:val="22"/>
                <w:u w:val="none"/>
              </w:rPr>
            </w:pP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i w:val="0"/>
                <w:color w:val="000000"/>
                <w:sz w:val="22"/>
                <w:szCs w:val="22"/>
                <w:u w:val="none"/>
              </w:rPr>
            </w:pP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2050299</w:t>
            </w:r>
          </w:p>
        </w:tc>
        <w:tc>
          <w:tcPr>
            <w:tcW w:w="1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其他普通教育支出</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577.92 </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577.92 </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bl>
    <w:p>
      <w:pPr>
        <w:widowControl/>
        <w:spacing w:before="120"/>
        <w:jc w:val="left"/>
        <w:rPr>
          <w:rFonts w:ascii="Times New Roman" w:hAnsi="Times New Roman" w:eastAsia="仿宋_GB2312" w:cs="Times New Roman"/>
          <w:kern w:val="0"/>
          <w:sz w:val="24"/>
          <w:szCs w:val="24"/>
        </w:rPr>
      </w:pPr>
    </w:p>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br w:type="page"/>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default" w:ascii="Times New Roman" w:hAnsi="Times New Roman" w:eastAsia="仿宋_GB2312" w:cs="Times New Roman"/>
          <w:color w:val="000000"/>
          <w:kern w:val="0"/>
          <w:sz w:val="20"/>
          <w:szCs w:val="20"/>
          <w:lang w:val="en"/>
        </w:rPr>
        <w:t>益阳市赫山区仪器电教站</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406"/>
        <w:gridCol w:w="436"/>
        <w:gridCol w:w="1354"/>
        <w:gridCol w:w="3825"/>
        <w:gridCol w:w="520"/>
        <w:gridCol w:w="888"/>
        <w:gridCol w:w="1386"/>
        <w:gridCol w:w="1164"/>
        <w:gridCol w:w="123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0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收入</w:t>
            </w:r>
          </w:p>
        </w:tc>
        <w:tc>
          <w:tcPr>
            <w:tcW w:w="3291"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项目</w:t>
            </w:r>
          </w:p>
        </w:tc>
        <w:tc>
          <w:tcPr>
            <w:tcW w:w="16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行次</w:t>
            </w:r>
          </w:p>
        </w:tc>
        <w:tc>
          <w:tcPr>
            <w:tcW w:w="4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金额</w:t>
            </w:r>
          </w:p>
        </w:tc>
        <w:tc>
          <w:tcPr>
            <w:tcW w:w="136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项目</w:t>
            </w:r>
          </w:p>
        </w:tc>
        <w:tc>
          <w:tcPr>
            <w:tcW w:w="2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行次</w:t>
            </w:r>
          </w:p>
        </w:tc>
        <w:tc>
          <w:tcPr>
            <w:tcW w:w="33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合计</w:t>
            </w:r>
          </w:p>
        </w:tc>
        <w:tc>
          <w:tcPr>
            <w:tcW w:w="5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一般公共预算财政拨款</w:t>
            </w:r>
          </w:p>
        </w:tc>
        <w:tc>
          <w:tcPr>
            <w:tcW w:w="42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政府性基金预算财政拨款</w:t>
            </w:r>
          </w:p>
        </w:tc>
        <w:tc>
          <w:tcPr>
            <w:tcW w:w="4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0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4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3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2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5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42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栏次</w:t>
            </w: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1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栏次</w:t>
            </w:r>
          </w:p>
        </w:tc>
        <w:tc>
          <w:tcPr>
            <w:tcW w:w="2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一、一般公共预算财政拨款</w:t>
            </w: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577.92 </w:t>
            </w:r>
          </w:p>
        </w:tc>
        <w:tc>
          <w:tcPr>
            <w:tcW w:w="1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一、一般公共服务支出</w:t>
            </w:r>
          </w:p>
        </w:tc>
        <w:tc>
          <w:tcPr>
            <w:tcW w:w="2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16</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二、政府性基金预算财政拨款</w:t>
            </w: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1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二、外交支出</w:t>
            </w:r>
          </w:p>
        </w:tc>
        <w:tc>
          <w:tcPr>
            <w:tcW w:w="2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17</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三、国有资本经营预算财政拨款</w:t>
            </w: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1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三、国防支出</w:t>
            </w:r>
          </w:p>
        </w:tc>
        <w:tc>
          <w:tcPr>
            <w:tcW w:w="2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18</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1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四、公共安全支出</w:t>
            </w:r>
          </w:p>
        </w:tc>
        <w:tc>
          <w:tcPr>
            <w:tcW w:w="2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19</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1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五、教育支出</w:t>
            </w:r>
          </w:p>
        </w:tc>
        <w:tc>
          <w:tcPr>
            <w:tcW w:w="2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577.92 </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577.92 </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1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六、科学技术支出</w:t>
            </w:r>
          </w:p>
        </w:tc>
        <w:tc>
          <w:tcPr>
            <w:tcW w:w="2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21</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1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七、文化旅游体育与传媒支出</w:t>
            </w:r>
          </w:p>
        </w:tc>
        <w:tc>
          <w:tcPr>
            <w:tcW w:w="2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22</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1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八、社会保障和就业支出</w:t>
            </w:r>
          </w:p>
        </w:tc>
        <w:tc>
          <w:tcPr>
            <w:tcW w:w="2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23</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9</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1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九、卫生健康支出</w:t>
            </w:r>
          </w:p>
        </w:tc>
        <w:tc>
          <w:tcPr>
            <w:tcW w:w="2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24</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bdr w:val="none" w:color="auto" w:sz="0" w:space="0"/>
                <w:lang w:val="en-US" w:eastAsia="zh-CN" w:bidi="ar"/>
              </w:rPr>
              <w:t>本年收入合计</w:t>
            </w: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577.92 </w:t>
            </w:r>
          </w:p>
        </w:tc>
        <w:tc>
          <w:tcPr>
            <w:tcW w:w="1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bdr w:val="none" w:color="auto" w:sz="0" w:space="0"/>
                <w:lang w:val="en-US" w:eastAsia="zh-CN" w:bidi="ar"/>
              </w:rPr>
              <w:t>本年支出合计</w:t>
            </w:r>
          </w:p>
        </w:tc>
        <w:tc>
          <w:tcPr>
            <w:tcW w:w="2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25</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577.92 </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577.92 </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年初财政拨款结转和结余</w:t>
            </w: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11</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1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年末财政拨款结转和结余</w:t>
            </w:r>
          </w:p>
        </w:tc>
        <w:tc>
          <w:tcPr>
            <w:tcW w:w="2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26</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0.00 </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0.00 </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一般公共预算财政拨款</w:t>
            </w: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12</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1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2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27</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政府性基金预算财政拨款</w:t>
            </w: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13</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1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2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28</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国有资本经营预算财政拨款</w:t>
            </w: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14</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1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2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29</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bdr w:val="none" w:color="auto" w:sz="0" w:space="0"/>
                <w:lang w:val="en-US" w:eastAsia="zh-CN" w:bidi="ar"/>
              </w:rPr>
              <w:t>总计</w:t>
            </w: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577.92 </w:t>
            </w:r>
          </w:p>
        </w:tc>
        <w:tc>
          <w:tcPr>
            <w:tcW w:w="1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bdr w:val="none" w:color="auto" w:sz="0" w:space="0"/>
                <w:lang w:val="en-US" w:eastAsia="zh-CN" w:bidi="ar"/>
              </w:rPr>
              <w:t>总计</w:t>
            </w:r>
          </w:p>
        </w:tc>
        <w:tc>
          <w:tcPr>
            <w:tcW w:w="2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577.92 </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577.92 </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bl>
    <w:p>
      <w:pPr>
        <w:widowControl/>
        <w:jc w:val="left"/>
        <w:rPr>
          <w:rFonts w:ascii="Times New Roman" w:hAnsi="Times New Roman" w:eastAsia="仿宋_GB2312" w:cs="Times New Roman"/>
          <w:kern w:val="0"/>
          <w:sz w:val="24"/>
          <w:szCs w:val="24"/>
        </w:rPr>
      </w:pPr>
    </w:p>
    <w:p>
      <w:pPr>
        <w:widowControl/>
        <w:jc w:val="left"/>
        <w:rPr>
          <w:rFonts w:ascii="Times New Roman" w:hAnsi="Times New Roman" w:eastAsia="仿宋_GB2312" w:cs="Times New Roman"/>
          <w:kern w:val="0"/>
          <w:sz w:val="24"/>
          <w:szCs w:val="24"/>
        </w:rPr>
      </w:pPr>
    </w:p>
    <w:p>
      <w:pPr>
        <w:widowControl/>
        <w:jc w:val="left"/>
        <w:rPr>
          <w:rFonts w:ascii="Times New Roman" w:hAnsi="Times New Roman" w:eastAsia="仿宋_GB2312" w:cs="Times New Roman"/>
          <w:kern w:val="0"/>
          <w:sz w:val="24"/>
          <w:szCs w:val="24"/>
        </w:rPr>
      </w:pPr>
    </w:p>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br w:type="page"/>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default" w:ascii="Times New Roman" w:hAnsi="Times New Roman" w:eastAsia="仿宋_GB2312" w:cs="Times New Roman"/>
          <w:color w:val="000000"/>
          <w:kern w:val="0"/>
          <w:szCs w:val="21"/>
          <w:lang w:val="en"/>
        </w:rPr>
        <w:t>益阳市赫山区仪器电教站</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w:t>
      </w:r>
      <w:r>
        <w:rPr>
          <w:rFonts w:hint="default" w:ascii="Times New Roman" w:hAnsi="Times New Roman" w:eastAsia="仿宋_GB2312" w:cs="Times New Roman"/>
          <w:color w:val="000000"/>
          <w:kern w:val="0"/>
          <w:szCs w:val="21"/>
          <w:lang w:val="en"/>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06"/>
        <w:gridCol w:w="4789"/>
        <w:gridCol w:w="2739"/>
        <w:gridCol w:w="2739"/>
        <w:gridCol w:w="27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10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项目</w:t>
            </w:r>
          </w:p>
        </w:tc>
        <w:tc>
          <w:tcPr>
            <w:tcW w:w="289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科目代码</w:t>
            </w:r>
          </w:p>
        </w:tc>
        <w:tc>
          <w:tcPr>
            <w:tcW w:w="168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科目名称</w:t>
            </w:r>
          </w:p>
        </w:tc>
        <w:tc>
          <w:tcPr>
            <w:tcW w:w="9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小计</w:t>
            </w:r>
          </w:p>
        </w:tc>
        <w:tc>
          <w:tcPr>
            <w:tcW w:w="9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基本支出</w:t>
            </w:r>
          </w:p>
        </w:tc>
        <w:tc>
          <w:tcPr>
            <w:tcW w:w="9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68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9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9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9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68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9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9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9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10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栏次</w:t>
            </w:r>
          </w:p>
        </w:tc>
        <w:tc>
          <w:tcPr>
            <w:tcW w:w="9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9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10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合计</w:t>
            </w:r>
          </w:p>
        </w:tc>
        <w:tc>
          <w:tcPr>
            <w:tcW w:w="9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bdr w:val="none" w:color="auto" w:sz="0" w:space="0"/>
                <w:lang w:val="en-US" w:eastAsia="zh-CN" w:bidi="ar"/>
              </w:rPr>
              <w:t xml:space="preserve">577.92 </w:t>
            </w:r>
          </w:p>
        </w:tc>
        <w:tc>
          <w:tcPr>
            <w:tcW w:w="9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bdr w:val="none" w:color="auto" w:sz="0" w:space="0"/>
                <w:lang w:val="en-US" w:eastAsia="zh-CN" w:bidi="ar"/>
              </w:rPr>
              <w:t xml:space="preserve">577.92 </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2050299</w:t>
            </w:r>
          </w:p>
        </w:tc>
        <w:tc>
          <w:tcPr>
            <w:tcW w:w="16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其他普通教育支出</w:t>
            </w:r>
          </w:p>
        </w:tc>
        <w:tc>
          <w:tcPr>
            <w:tcW w:w="9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577.92 </w:t>
            </w:r>
          </w:p>
        </w:tc>
        <w:tc>
          <w:tcPr>
            <w:tcW w:w="9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577.92 </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bl>
    <w:p>
      <w:pPr>
        <w:widowControl/>
        <w:spacing w:before="120"/>
        <w:jc w:val="left"/>
        <w:rPr>
          <w:rFonts w:ascii="Times New Roman" w:hAnsi="Times New Roman" w:eastAsia="仿宋_GB2312" w:cs="Times New Roman"/>
          <w:kern w:val="0"/>
          <w:szCs w:val="21"/>
        </w:rPr>
      </w:pPr>
    </w:p>
    <w:p>
      <w:pPr>
        <w:widowControl/>
        <w:spacing w:before="120"/>
        <w:jc w:val="left"/>
        <w:rPr>
          <w:rFonts w:ascii="Times New Roman" w:hAnsi="Times New Roman" w:eastAsia="仿宋_GB2312" w:cs="Times New Roman"/>
          <w:kern w:val="0"/>
          <w:szCs w:val="21"/>
        </w:rPr>
      </w:pPr>
    </w:p>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23"/>
        <w:gridCol w:w="2543"/>
        <w:gridCol w:w="1123"/>
        <w:gridCol w:w="1124"/>
        <w:gridCol w:w="1769"/>
        <w:gridCol w:w="1124"/>
        <w:gridCol w:w="1124"/>
        <w:gridCol w:w="3166"/>
        <w:gridCol w:w="112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14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科目代码</w:t>
            </w:r>
          </w:p>
        </w:tc>
        <w:tc>
          <w:tcPr>
            <w:tcW w:w="32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科目名称</w:t>
            </w:r>
          </w:p>
        </w:tc>
        <w:tc>
          <w:tcPr>
            <w:tcW w:w="14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决算数</w:t>
            </w:r>
          </w:p>
        </w:tc>
        <w:tc>
          <w:tcPr>
            <w:tcW w:w="14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科目代码</w:t>
            </w:r>
          </w:p>
        </w:tc>
        <w:tc>
          <w:tcPr>
            <w:tcW w:w="22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科目名称</w:t>
            </w:r>
          </w:p>
        </w:tc>
        <w:tc>
          <w:tcPr>
            <w:tcW w:w="14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决算数</w:t>
            </w:r>
          </w:p>
        </w:tc>
        <w:tc>
          <w:tcPr>
            <w:tcW w:w="14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科目代码</w:t>
            </w:r>
          </w:p>
        </w:tc>
        <w:tc>
          <w:tcPr>
            <w:tcW w:w="41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科目名称</w:t>
            </w:r>
          </w:p>
        </w:tc>
        <w:tc>
          <w:tcPr>
            <w:tcW w:w="14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1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32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22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41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301</w:t>
            </w:r>
          </w:p>
        </w:tc>
        <w:tc>
          <w:tcPr>
            <w:tcW w:w="3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工资福利支出</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455.37 </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302</w:t>
            </w:r>
          </w:p>
        </w:tc>
        <w:tc>
          <w:tcPr>
            <w:tcW w:w="2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商品和服务支出</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118.61 </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307</w:t>
            </w:r>
          </w:p>
        </w:tc>
        <w:tc>
          <w:tcPr>
            <w:tcW w:w="4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债务利息及费用支出</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30101</w:t>
            </w:r>
          </w:p>
        </w:tc>
        <w:tc>
          <w:tcPr>
            <w:tcW w:w="3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基本工资</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235.88 </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30201</w:t>
            </w:r>
          </w:p>
        </w:tc>
        <w:tc>
          <w:tcPr>
            <w:tcW w:w="2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办公费</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23.72 </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30701</w:t>
            </w:r>
          </w:p>
        </w:tc>
        <w:tc>
          <w:tcPr>
            <w:tcW w:w="4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国内债务付息</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30102</w:t>
            </w:r>
          </w:p>
        </w:tc>
        <w:tc>
          <w:tcPr>
            <w:tcW w:w="3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津贴补贴</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30202</w:t>
            </w:r>
          </w:p>
        </w:tc>
        <w:tc>
          <w:tcPr>
            <w:tcW w:w="2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印刷费</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23.72 </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30702</w:t>
            </w:r>
          </w:p>
        </w:tc>
        <w:tc>
          <w:tcPr>
            <w:tcW w:w="4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国外债务付息</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30103</w:t>
            </w:r>
          </w:p>
        </w:tc>
        <w:tc>
          <w:tcPr>
            <w:tcW w:w="3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奖金</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55.19 </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30204</w:t>
            </w:r>
          </w:p>
        </w:tc>
        <w:tc>
          <w:tcPr>
            <w:tcW w:w="2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手续费</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310</w:t>
            </w:r>
          </w:p>
        </w:tc>
        <w:tc>
          <w:tcPr>
            <w:tcW w:w="4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资本性支出</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30106</w:t>
            </w:r>
          </w:p>
        </w:tc>
        <w:tc>
          <w:tcPr>
            <w:tcW w:w="3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伙食补助费</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30205</w:t>
            </w:r>
          </w:p>
        </w:tc>
        <w:tc>
          <w:tcPr>
            <w:tcW w:w="2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水费</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11.86 </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31001</w:t>
            </w:r>
          </w:p>
        </w:tc>
        <w:tc>
          <w:tcPr>
            <w:tcW w:w="4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房屋建筑物购建</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30107</w:t>
            </w:r>
          </w:p>
        </w:tc>
        <w:tc>
          <w:tcPr>
            <w:tcW w:w="3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绩效工资</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52.55 </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30206</w:t>
            </w:r>
          </w:p>
        </w:tc>
        <w:tc>
          <w:tcPr>
            <w:tcW w:w="2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电费</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11.86 </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31002</w:t>
            </w:r>
          </w:p>
        </w:tc>
        <w:tc>
          <w:tcPr>
            <w:tcW w:w="4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办公设备购置</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30108</w:t>
            </w:r>
          </w:p>
        </w:tc>
        <w:tc>
          <w:tcPr>
            <w:tcW w:w="3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机关事业单位基本养老保险缴费</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26.31 </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30207</w:t>
            </w:r>
          </w:p>
        </w:tc>
        <w:tc>
          <w:tcPr>
            <w:tcW w:w="2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邮电费</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1.19 </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31003</w:t>
            </w:r>
          </w:p>
        </w:tc>
        <w:tc>
          <w:tcPr>
            <w:tcW w:w="4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专用设备购置</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30109</w:t>
            </w:r>
          </w:p>
        </w:tc>
        <w:tc>
          <w:tcPr>
            <w:tcW w:w="3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职业年金缴费</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19.60 </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30208</w:t>
            </w:r>
          </w:p>
        </w:tc>
        <w:tc>
          <w:tcPr>
            <w:tcW w:w="2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取暖费</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31005</w:t>
            </w:r>
          </w:p>
        </w:tc>
        <w:tc>
          <w:tcPr>
            <w:tcW w:w="4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基础设施建设</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30110</w:t>
            </w:r>
          </w:p>
        </w:tc>
        <w:tc>
          <w:tcPr>
            <w:tcW w:w="3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职工基本医疗保险缴费</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15.99 </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30209</w:t>
            </w:r>
          </w:p>
        </w:tc>
        <w:tc>
          <w:tcPr>
            <w:tcW w:w="2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物业管理费</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31006</w:t>
            </w:r>
          </w:p>
        </w:tc>
        <w:tc>
          <w:tcPr>
            <w:tcW w:w="4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大型修缮</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30111</w:t>
            </w:r>
          </w:p>
        </w:tc>
        <w:tc>
          <w:tcPr>
            <w:tcW w:w="3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公务员医疗补助缴费</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30211</w:t>
            </w:r>
          </w:p>
        </w:tc>
        <w:tc>
          <w:tcPr>
            <w:tcW w:w="2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差旅费</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3.56 </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31007</w:t>
            </w:r>
          </w:p>
        </w:tc>
        <w:tc>
          <w:tcPr>
            <w:tcW w:w="4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信息网络及软件购置更新</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30112</w:t>
            </w:r>
          </w:p>
        </w:tc>
        <w:tc>
          <w:tcPr>
            <w:tcW w:w="3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其他社会保障缴费</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11.79 </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30212</w:t>
            </w:r>
          </w:p>
        </w:tc>
        <w:tc>
          <w:tcPr>
            <w:tcW w:w="2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因公出国（境）费用</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31008</w:t>
            </w:r>
          </w:p>
        </w:tc>
        <w:tc>
          <w:tcPr>
            <w:tcW w:w="4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物资储备</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30113</w:t>
            </w:r>
          </w:p>
        </w:tc>
        <w:tc>
          <w:tcPr>
            <w:tcW w:w="3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住房公积金</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38.05 </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30213</w:t>
            </w:r>
          </w:p>
        </w:tc>
        <w:tc>
          <w:tcPr>
            <w:tcW w:w="2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维修（护）费</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3.56 </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31009</w:t>
            </w:r>
          </w:p>
        </w:tc>
        <w:tc>
          <w:tcPr>
            <w:tcW w:w="4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土地补偿</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30114</w:t>
            </w:r>
          </w:p>
        </w:tc>
        <w:tc>
          <w:tcPr>
            <w:tcW w:w="3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医疗费</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30214</w:t>
            </w:r>
          </w:p>
        </w:tc>
        <w:tc>
          <w:tcPr>
            <w:tcW w:w="2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租赁费</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31010</w:t>
            </w:r>
          </w:p>
        </w:tc>
        <w:tc>
          <w:tcPr>
            <w:tcW w:w="4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安置补助</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30199</w:t>
            </w:r>
          </w:p>
        </w:tc>
        <w:tc>
          <w:tcPr>
            <w:tcW w:w="3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其他工资福利支出</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30215</w:t>
            </w:r>
          </w:p>
        </w:tc>
        <w:tc>
          <w:tcPr>
            <w:tcW w:w="2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会议费</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1.19 </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31011</w:t>
            </w:r>
          </w:p>
        </w:tc>
        <w:tc>
          <w:tcPr>
            <w:tcW w:w="4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地上附着物和青苗补偿</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303</w:t>
            </w:r>
          </w:p>
        </w:tc>
        <w:tc>
          <w:tcPr>
            <w:tcW w:w="3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对个人和家庭的补助</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3.94 </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30216</w:t>
            </w:r>
          </w:p>
        </w:tc>
        <w:tc>
          <w:tcPr>
            <w:tcW w:w="2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培训费</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3.56 </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31012</w:t>
            </w:r>
          </w:p>
        </w:tc>
        <w:tc>
          <w:tcPr>
            <w:tcW w:w="4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拆迁补偿</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30301</w:t>
            </w:r>
          </w:p>
        </w:tc>
        <w:tc>
          <w:tcPr>
            <w:tcW w:w="3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离休费</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30217</w:t>
            </w:r>
          </w:p>
        </w:tc>
        <w:tc>
          <w:tcPr>
            <w:tcW w:w="2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公务接待费</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31013</w:t>
            </w:r>
          </w:p>
        </w:tc>
        <w:tc>
          <w:tcPr>
            <w:tcW w:w="4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公务用车购置</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30302</w:t>
            </w:r>
          </w:p>
        </w:tc>
        <w:tc>
          <w:tcPr>
            <w:tcW w:w="3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退休费</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3.94 </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30218</w:t>
            </w:r>
          </w:p>
        </w:tc>
        <w:tc>
          <w:tcPr>
            <w:tcW w:w="2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专用材料费</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31019</w:t>
            </w:r>
          </w:p>
        </w:tc>
        <w:tc>
          <w:tcPr>
            <w:tcW w:w="4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其他交通工具购置</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30303</w:t>
            </w:r>
          </w:p>
        </w:tc>
        <w:tc>
          <w:tcPr>
            <w:tcW w:w="3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退职（役）费</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30224</w:t>
            </w:r>
          </w:p>
        </w:tc>
        <w:tc>
          <w:tcPr>
            <w:tcW w:w="2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被装购置费</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31021</w:t>
            </w:r>
          </w:p>
        </w:tc>
        <w:tc>
          <w:tcPr>
            <w:tcW w:w="4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文物和陈列品购置</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30304</w:t>
            </w:r>
          </w:p>
        </w:tc>
        <w:tc>
          <w:tcPr>
            <w:tcW w:w="3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抚恤金</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30225</w:t>
            </w:r>
          </w:p>
        </w:tc>
        <w:tc>
          <w:tcPr>
            <w:tcW w:w="2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专用燃料费</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31022</w:t>
            </w:r>
          </w:p>
        </w:tc>
        <w:tc>
          <w:tcPr>
            <w:tcW w:w="4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无形资产购置</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30305</w:t>
            </w:r>
          </w:p>
        </w:tc>
        <w:tc>
          <w:tcPr>
            <w:tcW w:w="3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生活补助</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30226</w:t>
            </w:r>
          </w:p>
        </w:tc>
        <w:tc>
          <w:tcPr>
            <w:tcW w:w="2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劳务费</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11.86 </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31099</w:t>
            </w:r>
          </w:p>
        </w:tc>
        <w:tc>
          <w:tcPr>
            <w:tcW w:w="4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其他资本性支出</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30306</w:t>
            </w:r>
          </w:p>
        </w:tc>
        <w:tc>
          <w:tcPr>
            <w:tcW w:w="3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救济费</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30227</w:t>
            </w:r>
          </w:p>
        </w:tc>
        <w:tc>
          <w:tcPr>
            <w:tcW w:w="2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委托业务费</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399</w:t>
            </w:r>
          </w:p>
        </w:tc>
        <w:tc>
          <w:tcPr>
            <w:tcW w:w="4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其他支出</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30307</w:t>
            </w:r>
          </w:p>
        </w:tc>
        <w:tc>
          <w:tcPr>
            <w:tcW w:w="3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医疗费补助</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30228</w:t>
            </w:r>
          </w:p>
        </w:tc>
        <w:tc>
          <w:tcPr>
            <w:tcW w:w="2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工会经费</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9.49 </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39907</w:t>
            </w:r>
          </w:p>
        </w:tc>
        <w:tc>
          <w:tcPr>
            <w:tcW w:w="4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国家赔偿费用支出</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30308</w:t>
            </w:r>
          </w:p>
        </w:tc>
        <w:tc>
          <w:tcPr>
            <w:tcW w:w="3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助学金</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30229</w:t>
            </w:r>
          </w:p>
        </w:tc>
        <w:tc>
          <w:tcPr>
            <w:tcW w:w="2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福利费</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39908</w:t>
            </w:r>
          </w:p>
        </w:tc>
        <w:tc>
          <w:tcPr>
            <w:tcW w:w="4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对民间非营利组织和群众性自治组织补贴</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30309</w:t>
            </w:r>
          </w:p>
        </w:tc>
        <w:tc>
          <w:tcPr>
            <w:tcW w:w="3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奖励金</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30231</w:t>
            </w:r>
          </w:p>
        </w:tc>
        <w:tc>
          <w:tcPr>
            <w:tcW w:w="2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公务用车运行维护费</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39909</w:t>
            </w:r>
          </w:p>
        </w:tc>
        <w:tc>
          <w:tcPr>
            <w:tcW w:w="4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经常性赠与</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30310</w:t>
            </w:r>
          </w:p>
        </w:tc>
        <w:tc>
          <w:tcPr>
            <w:tcW w:w="3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个人农业生产补贴</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30239</w:t>
            </w:r>
          </w:p>
        </w:tc>
        <w:tc>
          <w:tcPr>
            <w:tcW w:w="2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其他交通费用</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39910</w:t>
            </w:r>
          </w:p>
        </w:tc>
        <w:tc>
          <w:tcPr>
            <w:tcW w:w="4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资本性赠与</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30311</w:t>
            </w:r>
          </w:p>
        </w:tc>
        <w:tc>
          <w:tcPr>
            <w:tcW w:w="3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代缴社会保险费</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30240</w:t>
            </w:r>
          </w:p>
        </w:tc>
        <w:tc>
          <w:tcPr>
            <w:tcW w:w="2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税金及附加费用</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39999</w:t>
            </w:r>
          </w:p>
        </w:tc>
        <w:tc>
          <w:tcPr>
            <w:tcW w:w="4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其他支出</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30399</w:t>
            </w:r>
          </w:p>
        </w:tc>
        <w:tc>
          <w:tcPr>
            <w:tcW w:w="3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其他对个人和家庭的补助</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30299</w:t>
            </w:r>
          </w:p>
        </w:tc>
        <w:tc>
          <w:tcPr>
            <w:tcW w:w="2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其他商品和服务支出</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13.05 </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4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14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人员经费合计</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459.30 </w:t>
            </w:r>
          </w:p>
        </w:tc>
        <w:tc>
          <w:tcPr>
            <w:tcW w:w="141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公用经费合计</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118.61 </w:t>
            </w:r>
          </w:p>
        </w:tc>
      </w:tr>
    </w:tbl>
    <w:p>
      <w:pPr>
        <w:widowControl/>
        <w:shd w:val="clear"/>
        <w:jc w:val="left"/>
        <w:rPr>
          <w:rFonts w:ascii="Times New Roman" w:hAnsi="Times New Roman" w:eastAsia="仿宋_GB2312" w:cs="Times New Roman"/>
          <w:color w:val="000000"/>
          <w:kern w:val="0"/>
          <w:szCs w:val="24"/>
        </w:rPr>
      </w:pPr>
    </w:p>
    <w:p>
      <w:pPr>
        <w:widowControl/>
        <w:jc w:val="left"/>
        <w:rPr>
          <w:rFonts w:ascii="Times New Roman" w:hAnsi="Times New Roman" w:eastAsia="仿宋_GB2312" w:cs="Times New Roman"/>
          <w:color w:val="000000"/>
          <w:kern w:val="0"/>
          <w:szCs w:val="24"/>
        </w:rPr>
      </w:pPr>
    </w:p>
    <w:p>
      <w:pPr>
        <w:widowControl/>
        <w:jc w:val="left"/>
        <w:rPr>
          <w:rFonts w:ascii="Times New Roman" w:hAnsi="Times New Roman" w:eastAsia="仿宋_GB2312" w:cs="Times New Roman"/>
          <w:color w:val="000000"/>
          <w:kern w:val="0"/>
          <w:szCs w:val="24"/>
        </w:rPr>
      </w:pPr>
    </w:p>
    <w:p>
      <w:pPr>
        <w:widowControl/>
        <w:jc w:val="left"/>
        <w:rPr>
          <w:rFonts w:ascii="Times New Roman" w:hAnsi="Times New Roman" w:eastAsia="仿宋_GB2312" w:cs="Times New Roman"/>
          <w:color w:val="000000"/>
          <w:kern w:val="0"/>
          <w:szCs w:val="24"/>
        </w:rPr>
      </w:pPr>
    </w:p>
    <w:p>
      <w:pPr>
        <w:widowControl/>
        <w:jc w:val="left"/>
        <w:rPr>
          <w:rFonts w:ascii="Times New Roman" w:hAnsi="Times New Roman" w:eastAsia="仿宋_GB2312" w:cs="Times New Roman"/>
          <w:color w:val="000000"/>
          <w:kern w:val="0"/>
          <w:szCs w:val="24"/>
        </w:rPr>
      </w:pPr>
    </w:p>
    <w:p>
      <w:pPr>
        <w:widowControl/>
        <w:jc w:val="left"/>
        <w:rPr>
          <w:rFonts w:ascii="Times New Roman" w:hAnsi="Times New Roman" w:eastAsia="仿宋_GB2312" w:cs="Times New Roman"/>
          <w:color w:val="000000"/>
          <w:kern w:val="0"/>
          <w:szCs w:val="24"/>
        </w:rPr>
      </w:pPr>
    </w:p>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br w:type="page"/>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pPr>
        <w:widowControl/>
        <w:jc w:val="center"/>
        <w:rPr>
          <w:rFonts w:ascii="Times New Roman" w:hAnsi="Times New Roman" w:eastAsia="方正小标宋_GBK" w:cs="Times New Roman"/>
          <w:color w:val="000000"/>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r>
        <w:rPr>
          <w:rFonts w:ascii="Times New Roman" w:hAnsi="Times New Roman" w:eastAsia="楷体_GB2312" w:cs="Times New Roman"/>
          <w:b/>
          <w:bCs/>
          <w:kern w:val="0"/>
          <w:sz w:val="24"/>
          <w:szCs w:val="24"/>
          <w:lang w:bidi="ar"/>
        </w:rPr>
        <w:t>说明：我单位没有“三公”经费支出，故本表无数据。</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eastAsia="黑体" w:cs="Times New Roman"/>
          <w:szCs w:val="21"/>
        </w:rPr>
        <w:br w:type="page"/>
      </w: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eastAsia="方正小标宋_GBK"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w:t>
      </w:r>
      <w:r>
        <w:rPr>
          <w:rFonts w:hint="eastAsia" w:ascii="Times New Roman" w:hAnsi="Times New Roman" w:eastAsia="仿宋_GB2312" w:cs="Times New Roman"/>
          <w:sz w:val="32"/>
          <w:szCs w:val="32"/>
          <w:lang w:val="en-US" w:eastAsia="zh-CN"/>
        </w:rPr>
        <w:t>入总计577.92万元</w:t>
      </w:r>
      <w:r>
        <w:rPr>
          <w:rFonts w:ascii="Times New Roman" w:hAnsi="Times New Roman" w:eastAsia="仿宋_GB2312" w:cs="Times New Roman"/>
          <w:sz w:val="32"/>
          <w:szCs w:val="32"/>
        </w:rPr>
        <w:t>、支</w:t>
      </w:r>
      <w:r>
        <w:rPr>
          <w:rFonts w:hint="eastAsia" w:ascii="Times New Roman" w:hAnsi="Times New Roman" w:eastAsia="仿宋_GB2312" w:cs="Times New Roman"/>
          <w:sz w:val="32"/>
          <w:szCs w:val="32"/>
          <w:lang w:val="en-US" w:eastAsia="zh-CN"/>
        </w:rPr>
        <w:t>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rPr>
        <w:t>577.92</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增加</w:t>
      </w:r>
      <w:r>
        <w:rPr>
          <w:rFonts w:hint="eastAsia" w:ascii="Times New Roman" w:hAnsi="Times New Roman" w:eastAsia="仿宋_GB2312" w:cs="Times New Roman"/>
          <w:sz w:val="32"/>
          <w:szCs w:val="32"/>
          <w:lang w:val="en-US" w:eastAsia="zh-CN"/>
        </w:rPr>
        <w:t>38.16</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提高</w:t>
      </w:r>
      <w:r>
        <w:rPr>
          <w:rFonts w:hint="eastAsia" w:ascii="Times New Roman" w:hAnsi="Times New Roman" w:eastAsia="仿宋_GB2312" w:cs="Times New Roman"/>
          <w:sz w:val="32"/>
          <w:szCs w:val="32"/>
          <w:lang w:val="en-US" w:eastAsia="zh-CN"/>
        </w:rPr>
        <w:t>6.6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工作人员增加，各种业务活动费用同比增加</w:t>
      </w:r>
      <w:r>
        <w:rPr>
          <w:rFonts w:hint="eastAsia"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577.92</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577.92</w:t>
      </w:r>
      <w:r>
        <w:rPr>
          <w:rFonts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 w:eastAsia="zh-CN"/>
        </w:rPr>
        <w:t>100</w:t>
      </w:r>
      <w:r>
        <w:rPr>
          <w:rFonts w:ascii="Times New Roman" w:hAnsi="Times New Roman" w:eastAsia="仿宋_GB2312" w:cs="Times New Roman"/>
          <w:sz w:val="32"/>
          <w:szCs w:val="32"/>
        </w:rPr>
        <w:t>%；事业收入</w:t>
      </w:r>
      <w:r>
        <w:rPr>
          <w:rFonts w:hint="default" w:ascii="Times New Roman" w:hAnsi="Times New Roman" w:eastAsia="仿宋_GB2312" w:cs="Times New Roman"/>
          <w:sz w:val="32"/>
          <w:szCs w:val="32"/>
          <w:lang w:val="en" w:eastAsia="zh-CN"/>
        </w:rPr>
        <w:t>0</w:t>
      </w:r>
      <w:r>
        <w:rPr>
          <w:rFonts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 w:eastAsia="zh-CN"/>
        </w:rPr>
        <w:t>0</w:t>
      </w:r>
      <w:r>
        <w:rPr>
          <w:rFonts w:ascii="Times New Roman" w:hAnsi="Times New Roman" w:eastAsia="仿宋_GB2312" w:cs="Times New Roman"/>
          <w:sz w:val="32"/>
          <w:szCs w:val="32"/>
        </w:rPr>
        <w:t>%；其他收入</w:t>
      </w:r>
      <w:r>
        <w:rPr>
          <w:rFonts w:hint="default" w:ascii="Times New Roman" w:hAnsi="Times New Roman" w:eastAsia="仿宋_GB2312" w:cs="Times New Roman"/>
          <w:sz w:val="32"/>
          <w:szCs w:val="32"/>
          <w:lang w:val="en" w:eastAsia="zh-CN"/>
        </w:rPr>
        <w:t>0</w:t>
      </w:r>
      <w:r>
        <w:rPr>
          <w:rFonts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 w:eastAsia="zh-CN"/>
        </w:rPr>
        <w:t>0</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577.92</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577.92</w:t>
      </w:r>
      <w:r>
        <w:rPr>
          <w:rFonts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 w:eastAsia="zh-CN"/>
        </w:rPr>
        <w:t>100</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w:t>
      </w:r>
      <w:r>
        <w:rPr>
          <w:rFonts w:hint="eastAsia" w:ascii="Times New Roman" w:hAnsi="Times New Roman" w:eastAsia="仿宋_GB2312" w:cs="Times New Roman"/>
          <w:sz w:val="32"/>
          <w:szCs w:val="32"/>
          <w:lang w:val="en-US" w:eastAsia="zh-CN"/>
        </w:rPr>
        <w:t>入总计577.92万元</w:t>
      </w:r>
      <w:r>
        <w:rPr>
          <w:rFonts w:ascii="Times New Roman" w:hAnsi="Times New Roman" w:eastAsia="仿宋_GB2312" w:cs="Times New Roman"/>
          <w:sz w:val="32"/>
          <w:szCs w:val="32"/>
        </w:rPr>
        <w:t>、支</w:t>
      </w:r>
      <w:r>
        <w:rPr>
          <w:rFonts w:hint="eastAsia" w:ascii="Times New Roman" w:hAnsi="Times New Roman" w:eastAsia="仿宋_GB2312" w:cs="Times New Roman"/>
          <w:sz w:val="32"/>
          <w:szCs w:val="32"/>
          <w:lang w:val="en-US" w:eastAsia="zh-CN"/>
        </w:rPr>
        <w:t>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577.92</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增加</w:t>
      </w:r>
      <w:r>
        <w:rPr>
          <w:rFonts w:hint="eastAsia" w:ascii="Times New Roman" w:hAnsi="Times New Roman" w:eastAsia="仿宋_GB2312" w:cs="Times New Roman"/>
          <w:sz w:val="32"/>
          <w:szCs w:val="32"/>
          <w:lang w:val="en-US" w:eastAsia="zh-CN"/>
        </w:rPr>
        <w:t>79.79</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增加</w:t>
      </w:r>
      <w:r>
        <w:rPr>
          <w:rFonts w:hint="eastAsia" w:ascii="Times New Roman" w:hAnsi="Times New Roman" w:eastAsia="仿宋_GB2312" w:cs="Times New Roman"/>
          <w:sz w:val="32"/>
          <w:szCs w:val="32"/>
          <w:lang w:val="en-US" w:eastAsia="zh-CN"/>
        </w:rPr>
        <w:t>13.8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主要是因为工作人员增加，各种业务活动费用同比增加。</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577.92</w:t>
      </w:r>
      <w:r>
        <w:rPr>
          <w:rFonts w:ascii="Times New Roman" w:hAnsi="Times New Roman" w:eastAsia="仿宋_GB2312" w:cs="Times New Roman"/>
          <w:sz w:val="32"/>
          <w:szCs w:val="32"/>
        </w:rPr>
        <w:t>万元，占本年支出合计的</w:t>
      </w:r>
      <w:r>
        <w:rPr>
          <w:rFonts w:hint="default" w:ascii="Times New Roman" w:hAnsi="Times New Roman" w:eastAsia="仿宋_GB2312" w:cs="Times New Roman"/>
          <w:sz w:val="32"/>
          <w:szCs w:val="32"/>
          <w:lang w:val="en" w:eastAsia="zh-CN"/>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增加</w:t>
      </w:r>
      <w:r>
        <w:rPr>
          <w:rFonts w:hint="eastAsia" w:ascii="Times New Roman" w:hAnsi="Times New Roman" w:eastAsia="仿宋_GB2312" w:cs="Times New Roman"/>
          <w:sz w:val="32"/>
          <w:szCs w:val="32"/>
          <w:lang w:val="en-US" w:eastAsia="zh-CN"/>
        </w:rPr>
        <w:t>79.79</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增加</w:t>
      </w:r>
      <w:r>
        <w:rPr>
          <w:rFonts w:hint="eastAsia" w:ascii="Times New Roman" w:hAnsi="Times New Roman" w:eastAsia="仿宋_GB2312" w:cs="Times New Roman"/>
          <w:sz w:val="32"/>
          <w:szCs w:val="32"/>
          <w:lang w:val="en-US" w:eastAsia="zh-CN"/>
        </w:rPr>
        <w:t>13.8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主要是因为工作人员增加，各种业务活动费用同比增加。</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577.92</w:t>
      </w:r>
      <w:r>
        <w:rPr>
          <w:rFonts w:ascii="Times New Roman" w:hAnsi="Times New Roman" w:eastAsia="仿宋_GB2312" w:cs="Times New Roman"/>
          <w:sz w:val="32"/>
          <w:szCs w:val="32"/>
        </w:rPr>
        <w:t>万元，主要用于以下方面：教育（类）支出</w:t>
      </w:r>
      <w:r>
        <w:rPr>
          <w:rFonts w:hint="eastAsia" w:ascii="Times New Roman" w:hAnsi="Times New Roman" w:eastAsia="仿宋_GB2312" w:cs="Times New Roman"/>
          <w:sz w:val="32"/>
          <w:szCs w:val="32"/>
          <w:lang w:val="en-US" w:eastAsia="zh-CN"/>
        </w:rPr>
        <w:t>577.92</w:t>
      </w:r>
      <w:r>
        <w:rPr>
          <w:rFonts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305.39</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577.92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val="en" w:eastAsia="zh-CN"/>
        </w:rPr>
        <w:t>8</w:t>
      </w:r>
      <w:r>
        <w:rPr>
          <w:rFonts w:hint="eastAsia" w:ascii="Times New Roman" w:hAnsi="Times New Roman" w:eastAsia="仿宋_GB2312" w:cs="Times New Roman"/>
          <w:sz w:val="32"/>
          <w:szCs w:val="32"/>
          <w:lang w:val="en-US" w:eastAsia="zh-CN"/>
        </w:rPr>
        <w:t>9.24</w:t>
      </w:r>
      <w:r>
        <w:rPr>
          <w:rFonts w:ascii="Times New Roman" w:hAnsi="Times New Roman" w:eastAsia="仿宋_GB2312" w:cs="Times New Roman"/>
          <w:sz w:val="32"/>
          <w:szCs w:val="32"/>
        </w:rPr>
        <w:t>%，其中：</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default" w:ascii="Times New Roman" w:hAnsi="Times New Roman" w:eastAsia="仿宋_GB2312" w:cs="Times New Roman"/>
          <w:sz w:val="32"/>
          <w:szCs w:val="32"/>
          <w:lang w:val="en"/>
        </w:rPr>
        <w:t>1</w:t>
      </w:r>
      <w:r>
        <w:rPr>
          <w:rFonts w:hint="eastAsia" w:ascii="Times New Roman" w:hAnsi="Times New Roman" w:eastAsia="仿宋_GB2312" w:cs="Times New Roman"/>
          <w:sz w:val="32"/>
          <w:szCs w:val="32"/>
        </w:rPr>
        <w:t>.教育支出（类）普通教育（款）其他普通教育支出（项）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305.39</w:t>
      </w:r>
      <w:r>
        <w:rPr>
          <w:rFonts w:hint="eastAsia"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577.92</w:t>
      </w:r>
      <w:r>
        <w:rPr>
          <w:rFonts w:hint="eastAsia" w:ascii="Times New Roman" w:hAnsi="Times New Roman" w:eastAsia="仿宋_GB2312" w:cs="Times New Roman"/>
          <w:sz w:val="32"/>
          <w:szCs w:val="32"/>
        </w:rPr>
        <w:t>万元。决算数大于预算数主要是因为</w:t>
      </w:r>
      <w:r>
        <w:rPr>
          <w:rFonts w:hint="eastAsia" w:ascii="Times New Roman" w:hAnsi="Times New Roman" w:eastAsia="仿宋_GB2312" w:cs="Times New Roman"/>
          <w:sz w:val="32"/>
          <w:szCs w:val="32"/>
          <w:lang w:eastAsia="zh-CN"/>
        </w:rPr>
        <w:t>当年职工人员增加，业务活动费用增加</w:t>
      </w:r>
      <w:r>
        <w:rPr>
          <w:rFonts w:hint="eastAsia"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577.92</w:t>
      </w:r>
      <w:r>
        <w:rPr>
          <w:rFonts w:ascii="Times New Roman" w:hAnsi="Times New Roman" w:eastAsia="仿宋_GB2312" w:cs="Times New Roman"/>
          <w:sz w:val="32"/>
          <w:szCs w:val="32"/>
        </w:rPr>
        <w:t>万元，其中：</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459.3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79.47</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val="en-US" w:eastAsia="zh-CN"/>
        </w:rPr>
        <w:t>机关养老保险、绩效工资、住房公积金等</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118.61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20.52</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val="en-US" w:eastAsia="zh-CN"/>
        </w:rPr>
        <w:t>水电费、培训费、工会经费、培训费等</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2"/>
        <w:overflowPunct w:val="0"/>
        <w:autoSpaceDE/>
        <w:autoSpaceDN/>
        <w:spacing w:line="600" w:lineRule="exact"/>
        <w:ind w:firstLine="640" w:firstLineChars="200"/>
        <w:jc w:val="both"/>
        <w:rPr>
          <w:rFonts w:ascii="Times New Roman" w:hAnsi="Times New Roman" w:eastAsia="仿宋_GB2312" w:cs="Times New Roman"/>
          <w:b/>
          <w:bCs/>
          <w:i/>
          <w:color w:val="auto"/>
          <w:sz w:val="32"/>
          <w:szCs w:val="32"/>
        </w:rPr>
      </w:pPr>
      <w:r>
        <w:rPr>
          <w:rFonts w:ascii="Times New Roman" w:hAnsi="Times New Roman" w:eastAsia="仿宋_GB2312" w:cs="Times New Roman"/>
          <w:sz w:val="32"/>
          <w:szCs w:val="32"/>
        </w:rPr>
        <w:t>1.因公出国（境）费</w:t>
      </w:r>
      <w:r>
        <w:rPr>
          <w:rFonts w:hint="eastAsia" w:ascii="Times New Roman" w:hAnsi="Times New Roman" w:eastAsia="仿宋_GB2312" w:cs="Times New Roman"/>
          <w:sz w:val="32"/>
          <w:szCs w:val="32"/>
        </w:rPr>
        <w:t>出预算为0万元，支出决算为0万元，与上年持平。</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2.公务用车购置费及运行维护费出预算为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w:t>
      </w:r>
      <w:r>
        <w:rPr>
          <w:rFonts w:hint="eastAsia" w:ascii="Times New Roman" w:hAnsi="Times New Roman" w:eastAsia="仿宋_GB2312" w:cs="Times New Roman"/>
          <w:sz w:val="32"/>
          <w:szCs w:val="32"/>
        </w:rPr>
        <w:t>出预算为0万元，支出决算为0万元，与上年持平。</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楷体_GB2312" w:cs="Times New Roman"/>
          <w:b/>
          <w:bCs/>
          <w:i/>
          <w:color w:val="auto"/>
          <w:sz w:val="32"/>
          <w:szCs w:val="32"/>
        </w:rPr>
        <w:t>（与部门决算中行政单位和参照公务员法管理事业单位财政拨款基本支出中公用经费之和一致）</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1.19</w:t>
      </w:r>
      <w:r>
        <w:rPr>
          <w:rFonts w:ascii="Times New Roman" w:hAnsi="Times New Roman" w:eastAsia="仿宋_GB2312" w:cs="Times New Roman"/>
          <w:sz w:val="32"/>
          <w:szCs w:val="32"/>
        </w:rPr>
        <w:t>万元，</w:t>
      </w:r>
      <w:r>
        <w:rPr>
          <w:rFonts w:ascii="Times New Roman" w:hAnsi="Times New Roman" w:eastAsia="仿宋_GB2312" w:cs="Times New Roman"/>
          <w:sz w:val="32"/>
          <w:szCs w:val="32"/>
        </w:rPr>
        <w:t>用于召开</w:t>
      </w:r>
      <w:r>
        <w:rPr>
          <w:rFonts w:hint="eastAsia" w:ascii="Times New Roman" w:hAnsi="Times New Roman" w:eastAsia="仿宋_GB2312" w:cs="Times New Roman"/>
          <w:sz w:val="32"/>
          <w:szCs w:val="32"/>
          <w:lang w:eastAsia="zh-CN"/>
        </w:rPr>
        <w:t>安全工作、</w:t>
      </w:r>
      <w:r>
        <w:rPr>
          <w:rFonts w:hint="eastAsia" w:ascii="Times New Roman" w:hAnsi="Times New Roman" w:eastAsia="仿宋_GB2312" w:cs="Times New Roman"/>
          <w:sz w:val="32"/>
          <w:szCs w:val="32"/>
          <w:lang w:val="en-US" w:eastAsia="zh-CN"/>
        </w:rPr>
        <w:t>中考实验考试会议、</w:t>
      </w:r>
      <w:r>
        <w:rPr>
          <w:rFonts w:hint="eastAsia" w:ascii="Times New Roman" w:hAnsi="Times New Roman" w:eastAsia="仿宋_GB2312" w:cs="Times New Roman"/>
          <w:sz w:val="32"/>
          <w:szCs w:val="32"/>
          <w:lang w:eastAsia="zh-CN"/>
        </w:rPr>
        <w:t>财务工作等</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300</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内容为</w:t>
      </w:r>
      <w:r>
        <w:rPr>
          <w:rFonts w:hint="eastAsia" w:ascii="Times New Roman" w:hAnsi="Times New Roman" w:eastAsia="仿宋_GB2312" w:cs="Times New Roman"/>
          <w:sz w:val="32"/>
          <w:szCs w:val="32"/>
          <w:lang w:val="en-US" w:eastAsia="zh-CN"/>
        </w:rPr>
        <w:t>中考实验考试、站内</w:t>
      </w:r>
      <w:r>
        <w:rPr>
          <w:rFonts w:hint="eastAsia" w:ascii="Times New Roman" w:hAnsi="Times New Roman" w:eastAsia="仿宋_GB2312" w:cs="Times New Roman"/>
          <w:sz w:val="32"/>
          <w:szCs w:val="32"/>
          <w:lang w:eastAsia="zh-CN"/>
        </w:rPr>
        <w:t>安全、固定资产管理、财务管理等</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3.56</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用于开展站内职工业务培训、账务处理等培训，人数100人，内容为实验操作业务、财务人员业务培训等</w:t>
      </w:r>
      <w:r>
        <w:rPr>
          <w:rFonts w:hint="eastAsia" w:ascii="Times New Roman" w:hAnsi="Times New Roman" w:eastAsia="仿宋_GB2312" w:cs="Times New Roman"/>
          <w:sz w:val="32"/>
          <w:szCs w:val="32"/>
          <w:lang w:val="en-US" w:eastAsia="zh-CN"/>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年度本部门（单位）整体支出开展绩效自评，共涉及资金</w:t>
      </w:r>
      <w:r>
        <w:rPr>
          <w:rFonts w:hint="eastAsia" w:ascii="Times New Roman" w:hAnsi="Times New Roman" w:eastAsia="仿宋_GB2312" w:cs="Times New Roman"/>
          <w:sz w:val="32"/>
          <w:szCs w:val="32"/>
          <w:lang w:val="en-US" w:eastAsia="zh-CN"/>
        </w:rPr>
        <w:t>577.92</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sz w:val="32"/>
          <w:szCs w:val="32"/>
          <w:lang w:val="en-US" w:eastAsia="zh-CN"/>
        </w:rPr>
        <w:t>577.92</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590.87</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577.92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97.81</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”。绩效目标完成情况：一是</w:t>
      </w:r>
      <w:r>
        <w:rPr>
          <w:rFonts w:hint="eastAsia" w:ascii="Times New Roman" w:hAnsi="Times New Roman" w:eastAsia="仿宋_GB2312" w:cs="Times New Roman"/>
          <w:sz w:val="32"/>
          <w:szCs w:val="32"/>
          <w:lang w:eastAsia="zh-CN"/>
        </w:rPr>
        <w:t>满足了教职工工资等人员经费</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eastAsia="zh-CN"/>
        </w:rPr>
        <w:t>使用好了</w:t>
      </w:r>
      <w:r>
        <w:rPr>
          <w:rFonts w:hint="eastAsia" w:ascii="Times New Roman" w:hAnsi="Times New Roman" w:eastAsia="仿宋_GB2312" w:cs="Times New Roman"/>
          <w:sz w:val="32"/>
          <w:szCs w:val="32"/>
          <w:lang w:val="en-US" w:eastAsia="zh-CN"/>
        </w:rPr>
        <w:t>单位的</w:t>
      </w:r>
      <w:r>
        <w:rPr>
          <w:rFonts w:hint="eastAsia" w:ascii="Times New Roman" w:hAnsi="Times New Roman" w:eastAsia="仿宋_GB2312" w:cs="Times New Roman"/>
          <w:sz w:val="32"/>
          <w:szCs w:val="32"/>
          <w:lang w:eastAsia="zh-CN"/>
        </w:rPr>
        <w:t>公用经费</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eastAsia="zh-CN"/>
        </w:rPr>
        <w:t>固定资产管理不规范</w:t>
      </w: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lang w:eastAsia="zh-CN"/>
        </w:rPr>
        <w:t>摸清底数，及时处置资产</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eastAsia="zh-CN"/>
        </w:rPr>
        <w:t>加强固定资产管理人员责任</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优化教育经费使用效率，向</w:t>
      </w:r>
      <w:r>
        <w:rPr>
          <w:rFonts w:hint="eastAsia" w:ascii="Times New Roman" w:hAnsi="Times New Roman" w:eastAsia="仿宋_GB2312" w:cs="Times New Roman"/>
          <w:color w:val="auto"/>
          <w:sz w:val="32"/>
          <w:szCs w:val="32"/>
          <w:lang w:eastAsia="zh-CN"/>
        </w:rPr>
        <w:t>比赛活动等</w:t>
      </w:r>
      <w:r>
        <w:rPr>
          <w:rFonts w:hint="eastAsia" w:ascii="Times New Roman" w:hAnsi="Times New Roman" w:eastAsia="仿宋_GB2312" w:cs="Times New Roman"/>
          <w:color w:val="auto"/>
          <w:sz w:val="32"/>
          <w:szCs w:val="32"/>
        </w:rPr>
        <w:t>一线</w:t>
      </w:r>
      <w:r>
        <w:rPr>
          <w:rFonts w:hint="eastAsia" w:ascii="Times New Roman" w:hAnsi="Times New Roman" w:eastAsia="仿宋_GB2312" w:cs="Times New Roman"/>
          <w:color w:val="auto"/>
          <w:sz w:val="32"/>
          <w:szCs w:val="32"/>
          <w:lang w:eastAsia="zh-CN"/>
        </w:rPr>
        <w:t>工作</w:t>
      </w:r>
      <w:r>
        <w:rPr>
          <w:rFonts w:hint="eastAsia" w:ascii="Times New Roman" w:hAnsi="Times New Roman" w:eastAsia="仿宋_GB2312" w:cs="Times New Roman"/>
          <w:color w:val="auto"/>
          <w:sz w:val="32"/>
          <w:szCs w:val="32"/>
        </w:rPr>
        <w:t>和薄弱环节倾斜，压减办公费、水电费等支出，加大教师培训力度，提高培训费；强化预算执行与绩效挂钩，提升资金使用透明度；细化预算编制、执行与监督流程；202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年预算安排需以“精准化、绩效化、法治化”为核心；进一步加强绩效评价，让经费投入取得的效益最大化。</w:t>
      </w: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widowControl/>
        <w:jc w:val="left"/>
        <w:rPr>
          <w:rFonts w:ascii="Times New Roman" w:hAnsi="Times New Roman" w:cs="Times New Roman"/>
          <w:color w:val="000000"/>
          <w:kern w:val="0"/>
          <w:sz w:val="32"/>
          <w:szCs w:val="32"/>
        </w:rPr>
      </w:pPr>
    </w:p>
    <w:p>
      <w:pPr>
        <w:pStyle w:val="2"/>
        <w:rPr>
          <w:rFonts w:ascii="Times New Roman" w:hAnsi="Times New Roman" w:cs="Times New Roman"/>
          <w:color w:val="000000"/>
          <w:kern w:val="0"/>
          <w:sz w:val="32"/>
          <w:szCs w:val="32"/>
        </w:rPr>
      </w:pPr>
    </w:p>
    <w:p>
      <w:pPr>
        <w:pStyle w:val="3"/>
        <w:rPr>
          <w:rFonts w:ascii="Times New Roman" w:hAnsi="Times New Roman" w:cs="Times New Roman"/>
          <w:color w:val="000000"/>
          <w:kern w:val="0"/>
          <w:sz w:val="32"/>
          <w:szCs w:val="32"/>
        </w:rPr>
      </w:pPr>
    </w:p>
    <w:p>
      <w:pPr>
        <w:rPr>
          <w:rFonts w:ascii="Times New Roman" w:hAnsi="Times New Roman" w:cs="Times New Roman"/>
          <w:color w:val="000000"/>
          <w:kern w:val="0"/>
          <w:sz w:val="32"/>
          <w:szCs w:val="32"/>
        </w:rPr>
      </w:pPr>
    </w:p>
    <w:p>
      <w:pPr>
        <w:pStyle w:val="2"/>
        <w:rPr>
          <w:rFonts w:ascii="Times New Roman" w:hAnsi="Times New Roman" w:cs="Times New Roman"/>
          <w:color w:val="000000"/>
          <w:kern w:val="0"/>
          <w:sz w:val="32"/>
          <w:szCs w:val="32"/>
        </w:rPr>
      </w:pPr>
    </w:p>
    <w:p>
      <w:pPr>
        <w:pStyle w:val="3"/>
        <w:rPr>
          <w:rFonts w:ascii="Times New Roman" w:hAnsi="Times New Roman" w:cs="Times New Roman"/>
          <w:color w:val="000000"/>
          <w:kern w:val="0"/>
          <w:sz w:val="32"/>
          <w:szCs w:val="32"/>
        </w:rPr>
      </w:pPr>
    </w:p>
    <w:p>
      <w:pPr>
        <w:rPr>
          <w:rFonts w:ascii="Times New Roman" w:hAnsi="Times New Roman" w:cs="Times New Roman"/>
          <w:color w:val="000000"/>
          <w:kern w:val="0"/>
          <w:sz w:val="32"/>
          <w:szCs w:val="32"/>
        </w:rPr>
      </w:pPr>
    </w:p>
    <w:p>
      <w:pPr>
        <w:pStyle w:val="2"/>
        <w:rPr>
          <w:rFonts w:ascii="Times New Roman" w:hAnsi="Times New Roman" w:cs="Times New Roman"/>
          <w:color w:val="000000"/>
          <w:kern w:val="0"/>
          <w:sz w:val="32"/>
          <w:szCs w:val="32"/>
        </w:rPr>
      </w:pPr>
    </w:p>
    <w:p>
      <w:pPr>
        <w:pStyle w:val="3"/>
        <w:rPr>
          <w:rFonts w:ascii="Times New Roman" w:hAnsi="Times New Roman" w:cs="Times New Roman"/>
          <w:color w:val="000000"/>
          <w:kern w:val="0"/>
          <w:sz w:val="32"/>
          <w:szCs w:val="32"/>
        </w:rPr>
      </w:pPr>
    </w:p>
    <w:p>
      <w:pPr>
        <w:pStyle w:val="2"/>
      </w:pP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一、财政拨款收入：指本级财政当年拨付的资金。</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二、政府性基金预算财政拨款收入：指本级财政当年拨付的政府性基金预算资金。</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三、事业收入：指事业单位开展专业业务活动及辅助活动所取得的收入。</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四、其他收入：指除上述“财政拨款收入”、“上级补助收入”、“事业收入”、“经营收入”、“附属单位上缴收入”等以外的收入。</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五、上年结转和结余：指以前年度尚未完成、结转到本年按有关规定继续使用的资金。</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六、教育支出（类）：是指用于政府教育事务支出，包括保障机构正常运转、完成日常和特定的工作任务或事业发展目标的支出。</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七、基本支出：指保障机构正常运转、完成支日常工作任务而发生的人员支出和公用支出。</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八、项目支出：指在基本支出之外为完成特定行政任务和事业发展目标所发生的支出。</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九、“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十、政府采购 ：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一、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十二、教育支出（类）普通教育（款）学前教育（项）：指幼儿园用于保障机构正常运行、开展日常工作的基本支出。</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十三、教育支出（类）普通教育（款）小学教育（项）：指小学学校用于保障机构正常运行、开展日常工作的基本支出。</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十四、教育支出（类）普通教育（款）初中教育（项）：指初中学校用于保障机构正常运行、开展日常工作的基本支出。</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十五、教育支出（类）其他教育支出（款）其他教育支出（项）：指为用于学校正常运转、开展日常工作的其他支出。</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十六、社会保障和就业支出（类）人力资源和社会保障管理事务（款）引进人才费用（项）：</w:t>
      </w:r>
      <w:r>
        <w:rPr>
          <w:rFonts w:hint="eastAsia" w:ascii="仿宋" w:hAnsi="仿宋" w:eastAsia="仿宋" w:cs="仿宋"/>
          <w:color w:val="000000"/>
          <w:kern w:val="0"/>
          <w:sz w:val="32"/>
          <w:szCs w:val="32"/>
          <w:lang w:val="en-US" w:eastAsia="zh-CN"/>
        </w:rPr>
        <w:t>用于引进外国专家、引智成果推广以及其他相关人才引进工作的专项经费支出。包括用于引进人才的租房补贴和生活补助等</w:t>
      </w:r>
      <w:r>
        <w:rPr>
          <w:rFonts w:hint="eastAsia" w:ascii="仿宋" w:hAnsi="仿宋" w:eastAsia="仿宋" w:cs="仿宋"/>
          <w:color w:val="000000"/>
          <w:kern w:val="0"/>
          <w:sz w:val="32"/>
          <w:szCs w:val="32"/>
        </w:rPr>
        <w:t>。</w:t>
      </w: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pStyle w:val="2"/>
      </w:pPr>
    </w:p>
    <w:p>
      <w:pPr>
        <w:pStyle w:val="12"/>
        <w:spacing w:line="600" w:lineRule="exact"/>
        <w:ind w:firstLine="640" w:firstLineChars="200"/>
        <w:rPr>
          <w:rFonts w:ascii="Times New Roman" w:hAnsi="Times New Roman" w:eastAsia="仿宋_GB2312" w:cs="Times New Roman"/>
          <w:sz w:val="32"/>
          <w:szCs w:val="32"/>
        </w:rPr>
      </w:pPr>
    </w:p>
    <w:p>
      <w:pPr>
        <w:pStyle w:val="12"/>
        <w:spacing w:line="600" w:lineRule="exact"/>
        <w:ind w:firstLine="640" w:firstLineChars="200"/>
        <w:rPr>
          <w:rFonts w:ascii="Times New Roman" w:hAnsi="Times New Roman" w:eastAsia="仿宋_GB2312" w:cs="Times New Roman"/>
          <w:sz w:val="32"/>
          <w:szCs w:val="3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p>
      <w:pPr>
        <w:pStyle w:val="2"/>
        <w:rPr>
          <w:rFonts w:ascii="Times New Roman" w:hAnsi="Times New Roman" w:cs="Times New Roman"/>
          <w:color w:val="000000"/>
          <w:kern w:val="0"/>
          <w:sz w:val="32"/>
          <w:szCs w:val="32"/>
        </w:rPr>
      </w:pPr>
    </w:p>
    <w:p>
      <w:pPr>
        <w:pStyle w:val="3"/>
        <w:rPr>
          <w:rFonts w:ascii="Times New Roman" w:hAnsi="Times New Roman" w:cs="Times New Roman"/>
          <w:color w:val="000000"/>
          <w:kern w:val="0"/>
          <w:sz w:val="32"/>
          <w:szCs w:val="32"/>
        </w:rPr>
      </w:pPr>
    </w:p>
    <w:p>
      <w:pPr>
        <w:rPr>
          <w:rFonts w:ascii="Times New Roman" w:hAnsi="Times New Roman" w:cs="Times New Roman"/>
          <w:color w:val="000000"/>
          <w:kern w:val="0"/>
          <w:sz w:val="32"/>
          <w:szCs w:val="32"/>
        </w:rPr>
      </w:pPr>
    </w:p>
    <w:p>
      <w:pPr>
        <w:pStyle w:val="2"/>
        <w:rPr>
          <w:rFonts w:ascii="Times New Roman" w:hAnsi="Times New Roman" w:cs="Times New Roman"/>
          <w:color w:val="000000"/>
          <w:kern w:val="0"/>
          <w:sz w:val="32"/>
          <w:szCs w:val="32"/>
        </w:rPr>
      </w:pPr>
    </w:p>
    <w:p>
      <w:pPr>
        <w:pStyle w:val="3"/>
        <w:rPr>
          <w:rFonts w:ascii="Times New Roman" w:hAnsi="Times New Roman" w:cs="Times New Roman"/>
          <w:color w:val="000000"/>
          <w:kern w:val="0"/>
          <w:sz w:val="32"/>
          <w:szCs w:val="32"/>
        </w:rPr>
      </w:pPr>
    </w:p>
    <w:p>
      <w:pPr>
        <w:rPr>
          <w:rFonts w:ascii="Times New Roman" w:hAnsi="Times New Roman" w:cs="Times New Roman"/>
          <w:color w:val="000000"/>
          <w:kern w:val="0"/>
          <w:sz w:val="32"/>
          <w:szCs w:val="32"/>
        </w:rPr>
      </w:pPr>
    </w:p>
    <w:p>
      <w:pPr>
        <w:spacing w:line="540" w:lineRule="exact"/>
        <w:jc w:val="center"/>
        <w:rPr>
          <w:rFonts w:hint="default" w:ascii="方正小标宋简体" w:eastAsia="方正小标宋简体"/>
          <w:sz w:val="44"/>
          <w:szCs w:val="44"/>
          <w:lang w:val="en" w:eastAsia="zh-CN"/>
        </w:rPr>
      </w:pPr>
      <w:r>
        <w:rPr>
          <w:rFonts w:hint="eastAsia" w:ascii="方正小标宋简体" w:eastAsia="方正小标宋简体"/>
          <w:sz w:val="44"/>
          <w:szCs w:val="44"/>
        </w:rPr>
        <w:t>2025年度</w:t>
      </w:r>
      <w:r>
        <w:rPr>
          <w:rFonts w:hint="default" w:ascii="方正小标宋简体" w:eastAsia="方正小标宋简体"/>
          <w:sz w:val="44"/>
          <w:szCs w:val="44"/>
          <w:lang w:val="en" w:eastAsia="zh-CN"/>
        </w:rPr>
        <w:t>益阳市赫山区仪器电教站</w:t>
      </w:r>
    </w:p>
    <w:p>
      <w:pPr>
        <w:spacing w:line="540" w:lineRule="exact"/>
        <w:jc w:val="center"/>
        <w:rPr>
          <w:rFonts w:hint="eastAsia" w:ascii="方正小标宋简体" w:eastAsia="方正小标宋简体"/>
          <w:sz w:val="44"/>
          <w:szCs w:val="44"/>
        </w:rPr>
      </w:pPr>
      <w:r>
        <w:rPr>
          <w:rFonts w:hint="eastAsia" w:ascii="方正小标宋简体" w:eastAsia="方正小标宋简体"/>
          <w:sz w:val="44"/>
          <w:szCs w:val="44"/>
        </w:rPr>
        <w:t>整体支出绩效自评报告</w:t>
      </w:r>
    </w:p>
    <w:p>
      <w:pPr>
        <w:spacing w:line="540" w:lineRule="exact"/>
        <w:jc w:val="center"/>
        <w:rPr>
          <w:rFonts w:hint="eastAsia" w:ascii="方正小标宋简体" w:eastAsia="方正小标宋简体"/>
          <w:sz w:val="44"/>
          <w:szCs w:val="44"/>
        </w:rPr>
      </w:pPr>
    </w:p>
    <w:p>
      <w:pPr>
        <w:numPr>
          <w:ilvl w:val="0"/>
          <w:numId w:val="1"/>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部门（单位）基本情况</w:t>
      </w:r>
    </w:p>
    <w:p>
      <w:pPr>
        <w:spacing w:line="54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益阳市赫山区仪器电教站是隶属于于益阳市赫山区教育局的二级机构。</w:t>
      </w:r>
    </w:p>
    <w:p>
      <w:pPr>
        <w:spacing w:line="54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本单位负责全区各级各类学校电教、仪器装备管理工作。主要职责是：</w:t>
      </w:r>
    </w:p>
    <w:p>
      <w:pPr>
        <w:spacing w:line="54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（一）负责制定全市中小学校实验教学、信息技术教育发展计划；</w:t>
      </w:r>
    </w:p>
    <w:p>
      <w:pPr>
        <w:spacing w:line="54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（二）负责实验教学、信息技术教育考核评估，对中小学仪器、电教设备的装备及评估工作；</w:t>
      </w:r>
    </w:p>
    <w:p>
      <w:pPr>
        <w:spacing w:line="54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（三）负责全市教育网络中心建设和维护管理，全面推进中小学远程教育工程的实施；</w:t>
      </w:r>
    </w:p>
    <w:p>
      <w:pPr>
        <w:spacing w:line="54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（四）负责对中学理化生实验课教师和小学自然教师、信息技术教育教师进行岗位培训等工作。</w:t>
      </w:r>
    </w:p>
    <w:p>
      <w:pPr>
        <w:spacing w:line="540" w:lineRule="exact"/>
        <w:ind w:firstLine="640" w:firstLineChars="200"/>
        <w:rPr>
          <w:rFonts w:hint="eastAsia" w:ascii="仿宋_GB2312" w:eastAsia="仿宋_GB2312"/>
          <w:sz w:val="32"/>
          <w:szCs w:val="32"/>
        </w:rPr>
      </w:pPr>
      <w:r>
        <w:rPr>
          <w:rFonts w:hint="eastAsia" w:ascii="楷体_GB2312" w:eastAsia="楷体_GB2312"/>
          <w:sz w:val="32"/>
          <w:szCs w:val="32"/>
        </w:rPr>
        <w:t>（二）部门决算单位构成</w:t>
      </w:r>
    </w:p>
    <w:p>
      <w:pPr>
        <w:ind w:firstLine="560" w:firstLineChars="200"/>
        <w:jc w:val="left"/>
        <w:rPr>
          <w:rFonts w:ascii="Times New Roman" w:hAnsi="Times New Roman" w:eastAsia="仿宋_GB2312" w:cs="Times New Roman"/>
          <w:sz w:val="28"/>
          <w:szCs w:val="32"/>
        </w:rPr>
      </w:pPr>
      <w:r>
        <w:rPr>
          <w:rFonts w:hint="eastAsia" w:ascii="Times New Roman" w:hAnsi="Times New Roman" w:eastAsia="仿宋_GB2312" w:cs="Times New Roman"/>
          <w:sz w:val="28"/>
          <w:szCs w:val="32"/>
        </w:rPr>
        <w:t>益阳市赫山区仪器电教站2025年部门决算汇总公开单位构成包括：只有益阳市赫山区仪器电教站。</w:t>
      </w:r>
    </w:p>
    <w:p>
      <w:pPr>
        <w:spacing w:line="540" w:lineRule="exact"/>
        <w:ind w:firstLine="640" w:firstLineChars="200"/>
        <w:rPr>
          <w:rFonts w:ascii="黑体" w:hAnsi="黑体" w:eastAsia="黑体"/>
          <w:sz w:val="32"/>
          <w:szCs w:val="32"/>
        </w:rPr>
      </w:pPr>
      <w:r>
        <w:rPr>
          <w:rFonts w:hint="eastAsia" w:ascii="黑体" w:hAnsi="黑体" w:eastAsia="黑体"/>
          <w:sz w:val="32"/>
          <w:szCs w:val="32"/>
        </w:rPr>
        <w:t>二、一般公共预算支出情况</w:t>
      </w:r>
    </w:p>
    <w:p>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（一）基本支出情况</w:t>
      </w:r>
    </w:p>
    <w:p>
      <w:pPr>
        <w:spacing w:line="540" w:lineRule="exact"/>
        <w:ind w:firstLine="640" w:firstLineChars="200"/>
        <w:rPr>
          <w:rFonts w:hint="eastAsia" w:ascii="仿宋_GB2312" w:eastAsia="仿宋_GB2312"/>
          <w:sz w:val="32"/>
          <w:szCs w:val="32"/>
        </w:rPr>
      </w:pPr>
      <w:r>
        <w:rPr>
          <w:rFonts w:hint="default" w:ascii="仿宋_GB2312" w:eastAsia="仿宋_GB2312"/>
          <w:sz w:val="32"/>
          <w:szCs w:val="32"/>
          <w:lang w:val="en" w:eastAsia="zh-CN"/>
        </w:rPr>
        <w:t>益阳市赫山区仪器电教站</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w:t>
      </w:r>
      <w:r>
        <w:rPr>
          <w:rFonts w:hint="eastAsia" w:ascii="仿宋_GB2312" w:eastAsia="仿宋_GB2312"/>
          <w:sz w:val="32"/>
          <w:szCs w:val="32"/>
          <w:lang w:val="en-US" w:eastAsia="zh-CN"/>
        </w:rPr>
        <w:t>577.92</w:t>
      </w:r>
      <w:r>
        <w:rPr>
          <w:rFonts w:hint="eastAsia" w:ascii="仿宋_GB2312" w:eastAsia="仿宋_GB2312"/>
          <w:sz w:val="32"/>
          <w:szCs w:val="32"/>
        </w:rPr>
        <w:t>万元,其中工资福利支出</w:t>
      </w:r>
      <w:r>
        <w:rPr>
          <w:rFonts w:hint="eastAsia" w:ascii="仿宋_GB2312" w:eastAsia="仿宋_GB2312"/>
          <w:sz w:val="32"/>
          <w:szCs w:val="32"/>
          <w:lang w:val="en-US" w:eastAsia="zh-CN"/>
        </w:rPr>
        <w:t>455.37</w:t>
      </w:r>
      <w:r>
        <w:rPr>
          <w:rFonts w:hint="eastAsia" w:ascii="仿宋_GB2312" w:eastAsia="仿宋_GB2312"/>
          <w:sz w:val="32"/>
          <w:szCs w:val="32"/>
        </w:rPr>
        <w:t>万元，对个人和家庭的补助支出</w:t>
      </w:r>
      <w:r>
        <w:rPr>
          <w:rFonts w:hint="eastAsia" w:ascii="仿宋_GB2312" w:eastAsia="仿宋_GB2312"/>
          <w:sz w:val="32"/>
          <w:szCs w:val="32"/>
          <w:lang w:val="en-US" w:eastAsia="zh-CN"/>
        </w:rPr>
        <w:t>3.94</w:t>
      </w:r>
      <w:r>
        <w:rPr>
          <w:rFonts w:hint="eastAsia" w:ascii="仿宋_GB2312" w:eastAsia="仿宋_GB2312"/>
          <w:sz w:val="32"/>
          <w:szCs w:val="32"/>
        </w:rPr>
        <w:t>万元，商品和服务支出</w:t>
      </w:r>
      <w:r>
        <w:rPr>
          <w:rFonts w:hint="eastAsia" w:ascii="仿宋_GB2312" w:eastAsia="仿宋_GB2312"/>
          <w:sz w:val="32"/>
          <w:szCs w:val="32"/>
          <w:lang w:val="en-US" w:eastAsia="zh-CN"/>
        </w:rPr>
        <w:t>118.61</w:t>
      </w:r>
      <w:r>
        <w:rPr>
          <w:rFonts w:hint="eastAsia" w:ascii="仿宋_GB2312" w:eastAsia="仿宋_GB2312"/>
          <w:sz w:val="32"/>
          <w:szCs w:val="32"/>
        </w:rPr>
        <w:t>万元。</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1.工资福利支出</w:t>
      </w:r>
    </w:p>
    <w:p>
      <w:pPr>
        <w:spacing w:line="540" w:lineRule="exact"/>
        <w:ind w:firstLine="640" w:firstLineChars="200"/>
        <w:rPr>
          <w:rFonts w:hint="eastAsia" w:ascii="仿宋_GB2312" w:eastAsia="仿宋_GB2312"/>
          <w:sz w:val="32"/>
          <w:szCs w:val="32"/>
        </w:rPr>
      </w:pPr>
      <w:r>
        <w:rPr>
          <w:rFonts w:hint="default" w:ascii="仿宋_GB2312" w:eastAsia="仿宋_GB2312"/>
          <w:sz w:val="32"/>
          <w:szCs w:val="32"/>
          <w:lang w:val="en" w:eastAsia="zh-CN"/>
        </w:rPr>
        <w:t>益阳市赫山区仪器电教站</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年度一般公共预算财政拨款基本支出工资福利支出</w:t>
      </w:r>
      <w:r>
        <w:rPr>
          <w:rFonts w:hint="eastAsia" w:ascii="仿宋_GB2312" w:eastAsia="仿宋_GB2312"/>
          <w:sz w:val="32"/>
          <w:szCs w:val="32"/>
          <w:lang w:val="en-US" w:eastAsia="zh-CN"/>
        </w:rPr>
        <w:t>455.37</w:t>
      </w:r>
      <w:r>
        <w:rPr>
          <w:rFonts w:hint="eastAsia" w:ascii="仿宋_GB2312" w:eastAsia="仿宋_GB2312"/>
          <w:sz w:val="32"/>
          <w:szCs w:val="32"/>
        </w:rPr>
        <w:t>万元，其中基本工资</w:t>
      </w:r>
      <w:r>
        <w:rPr>
          <w:rFonts w:hint="eastAsia" w:ascii="仿宋_GB2312" w:eastAsia="仿宋_GB2312"/>
          <w:sz w:val="32"/>
          <w:szCs w:val="32"/>
          <w:lang w:val="en-US" w:eastAsia="zh-CN"/>
        </w:rPr>
        <w:t>235.88</w:t>
      </w:r>
      <w:r>
        <w:rPr>
          <w:rFonts w:hint="eastAsia" w:ascii="仿宋_GB2312" w:eastAsia="仿宋_GB2312"/>
          <w:sz w:val="32"/>
          <w:szCs w:val="32"/>
        </w:rPr>
        <w:t>万元、</w:t>
      </w:r>
      <w:r>
        <w:rPr>
          <w:rFonts w:hint="eastAsia" w:ascii="仿宋_GB2312" w:eastAsia="仿宋_GB2312"/>
          <w:sz w:val="32"/>
          <w:szCs w:val="32"/>
          <w:lang w:eastAsia="zh-CN"/>
        </w:rPr>
        <w:t>奖金</w:t>
      </w:r>
      <w:r>
        <w:rPr>
          <w:rFonts w:hint="eastAsia" w:ascii="仿宋_GB2312" w:eastAsia="仿宋_GB2312"/>
          <w:sz w:val="32"/>
          <w:szCs w:val="32"/>
          <w:lang w:val="en-US" w:eastAsia="zh-CN"/>
        </w:rPr>
        <w:t>55.19</w:t>
      </w:r>
      <w:r>
        <w:rPr>
          <w:rFonts w:hint="eastAsia" w:ascii="仿宋_GB2312" w:eastAsia="仿宋_GB2312"/>
          <w:sz w:val="32"/>
          <w:szCs w:val="32"/>
        </w:rPr>
        <w:t>万元、绩效工资</w:t>
      </w:r>
      <w:r>
        <w:rPr>
          <w:rFonts w:hint="eastAsia" w:ascii="仿宋_GB2312" w:eastAsia="仿宋_GB2312"/>
          <w:sz w:val="32"/>
          <w:szCs w:val="32"/>
          <w:lang w:val="en-US" w:eastAsia="zh-CN"/>
        </w:rPr>
        <w:t>52.55</w:t>
      </w:r>
      <w:r>
        <w:rPr>
          <w:rFonts w:hint="eastAsia" w:ascii="仿宋_GB2312" w:eastAsia="仿宋_GB2312"/>
          <w:sz w:val="32"/>
          <w:szCs w:val="32"/>
        </w:rPr>
        <w:t>万元、机关事业单位基本养老保险缴费</w:t>
      </w:r>
      <w:r>
        <w:rPr>
          <w:rFonts w:hint="eastAsia" w:ascii="仿宋_GB2312" w:eastAsia="仿宋_GB2312"/>
          <w:sz w:val="32"/>
          <w:szCs w:val="32"/>
          <w:lang w:val="en-US" w:eastAsia="zh-CN"/>
        </w:rPr>
        <w:t>26.31</w:t>
      </w:r>
      <w:r>
        <w:rPr>
          <w:rFonts w:hint="eastAsia" w:ascii="仿宋_GB2312" w:eastAsia="仿宋_GB2312"/>
          <w:sz w:val="32"/>
          <w:szCs w:val="32"/>
        </w:rPr>
        <w:t>万元、职业年金缴费</w:t>
      </w:r>
      <w:r>
        <w:rPr>
          <w:rFonts w:hint="eastAsia" w:ascii="仿宋_GB2312" w:eastAsia="仿宋_GB2312"/>
          <w:sz w:val="32"/>
          <w:szCs w:val="32"/>
          <w:lang w:val="en-US" w:eastAsia="zh-CN"/>
        </w:rPr>
        <w:t>19.6</w:t>
      </w:r>
      <w:r>
        <w:rPr>
          <w:rFonts w:hint="eastAsia" w:ascii="仿宋_GB2312" w:eastAsia="仿宋_GB2312"/>
          <w:sz w:val="32"/>
          <w:szCs w:val="32"/>
        </w:rPr>
        <w:t>万元、职工基本医疗保险缴费</w:t>
      </w:r>
      <w:r>
        <w:rPr>
          <w:rFonts w:hint="eastAsia" w:ascii="仿宋_GB2312" w:eastAsia="仿宋_GB2312"/>
          <w:sz w:val="32"/>
          <w:szCs w:val="32"/>
          <w:lang w:val="en-US" w:eastAsia="zh-CN"/>
        </w:rPr>
        <w:t>15.99</w:t>
      </w:r>
      <w:r>
        <w:rPr>
          <w:rFonts w:hint="eastAsia" w:ascii="仿宋_GB2312" w:eastAsia="仿宋_GB2312"/>
          <w:sz w:val="32"/>
          <w:szCs w:val="32"/>
        </w:rPr>
        <w:t>万元、  其他社会保障缴费11.79</w:t>
      </w:r>
      <w:r>
        <w:rPr>
          <w:rFonts w:hint="eastAsia" w:ascii="仿宋_GB2312" w:eastAsia="仿宋_GB2312"/>
          <w:sz w:val="32"/>
          <w:szCs w:val="32"/>
          <w:lang w:eastAsia="zh-CN"/>
        </w:rPr>
        <w:t>万元、</w:t>
      </w:r>
      <w:r>
        <w:rPr>
          <w:rFonts w:hint="eastAsia" w:ascii="仿宋_GB2312" w:eastAsia="仿宋_GB2312"/>
          <w:sz w:val="32"/>
          <w:szCs w:val="32"/>
        </w:rPr>
        <w:t>住房公积金</w:t>
      </w:r>
      <w:r>
        <w:rPr>
          <w:rFonts w:hint="eastAsia" w:ascii="仿宋_GB2312" w:eastAsia="仿宋_GB2312"/>
          <w:sz w:val="32"/>
          <w:szCs w:val="32"/>
          <w:lang w:val="en-US" w:eastAsia="zh-CN"/>
        </w:rPr>
        <w:t>38.05</w:t>
      </w:r>
      <w:r>
        <w:rPr>
          <w:rFonts w:hint="eastAsia" w:ascii="仿宋_GB2312" w:eastAsia="仿宋_GB2312"/>
          <w:sz w:val="32"/>
          <w:szCs w:val="32"/>
        </w:rPr>
        <w:t xml:space="preserve">万元。 </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2.商品服务支出</w:t>
      </w:r>
    </w:p>
    <w:p>
      <w:pPr>
        <w:spacing w:line="540" w:lineRule="exact"/>
        <w:ind w:firstLine="640" w:firstLineChars="200"/>
        <w:rPr>
          <w:rFonts w:hint="eastAsia" w:ascii="仿宋_GB2312" w:eastAsia="仿宋_GB2312"/>
          <w:sz w:val="32"/>
          <w:szCs w:val="32"/>
        </w:rPr>
      </w:pPr>
      <w:r>
        <w:rPr>
          <w:rFonts w:hint="default" w:ascii="仿宋_GB2312" w:eastAsia="仿宋_GB2312"/>
          <w:sz w:val="32"/>
          <w:szCs w:val="32"/>
          <w:lang w:val="en" w:eastAsia="zh-CN"/>
        </w:rPr>
        <w:t>益阳市赫山区仪器电教站</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年度一般公共预算财政拨款基本支出商品服务支出</w:t>
      </w:r>
      <w:r>
        <w:rPr>
          <w:rFonts w:hint="eastAsia" w:ascii="仿宋_GB2312" w:eastAsia="仿宋_GB2312"/>
          <w:sz w:val="32"/>
          <w:szCs w:val="32"/>
          <w:lang w:val="en-US" w:eastAsia="zh-CN"/>
        </w:rPr>
        <w:t>118.61</w:t>
      </w:r>
      <w:r>
        <w:rPr>
          <w:rFonts w:hint="eastAsia" w:ascii="仿宋_GB2312" w:eastAsia="仿宋_GB2312"/>
          <w:sz w:val="32"/>
          <w:szCs w:val="32"/>
        </w:rPr>
        <w:t>万元，其中办公费</w:t>
      </w:r>
      <w:r>
        <w:rPr>
          <w:rFonts w:hint="eastAsia" w:ascii="仿宋_GB2312" w:eastAsia="仿宋_GB2312"/>
          <w:sz w:val="32"/>
          <w:szCs w:val="32"/>
          <w:lang w:val="en-US" w:eastAsia="zh-CN"/>
        </w:rPr>
        <w:t>23.72</w:t>
      </w:r>
      <w:r>
        <w:rPr>
          <w:rFonts w:hint="eastAsia" w:ascii="仿宋_GB2312" w:eastAsia="仿宋_GB2312"/>
          <w:sz w:val="32"/>
          <w:szCs w:val="32"/>
        </w:rPr>
        <w:t>万元、印刷费</w:t>
      </w:r>
      <w:r>
        <w:rPr>
          <w:rFonts w:hint="eastAsia" w:ascii="仿宋_GB2312" w:eastAsia="仿宋_GB2312"/>
          <w:sz w:val="32"/>
          <w:szCs w:val="32"/>
          <w:lang w:val="en-US" w:eastAsia="zh-CN"/>
        </w:rPr>
        <w:t>23.72</w:t>
      </w:r>
      <w:r>
        <w:rPr>
          <w:rFonts w:hint="eastAsia" w:ascii="仿宋_GB2312" w:eastAsia="仿宋_GB2312"/>
          <w:sz w:val="32"/>
          <w:szCs w:val="32"/>
        </w:rPr>
        <w:t>万元、水费</w:t>
      </w:r>
      <w:r>
        <w:rPr>
          <w:rFonts w:hint="eastAsia" w:ascii="仿宋_GB2312" w:eastAsia="仿宋_GB2312"/>
          <w:sz w:val="32"/>
          <w:szCs w:val="32"/>
          <w:lang w:val="en-US" w:eastAsia="zh-CN"/>
        </w:rPr>
        <w:t>11.86</w:t>
      </w:r>
      <w:r>
        <w:rPr>
          <w:rFonts w:hint="eastAsia" w:ascii="仿宋_GB2312" w:eastAsia="仿宋_GB2312"/>
          <w:sz w:val="32"/>
          <w:szCs w:val="32"/>
        </w:rPr>
        <w:t>万元、电费</w:t>
      </w:r>
      <w:r>
        <w:rPr>
          <w:rFonts w:hint="eastAsia" w:ascii="仿宋_GB2312" w:eastAsia="仿宋_GB2312"/>
          <w:sz w:val="32"/>
          <w:szCs w:val="32"/>
          <w:lang w:val="en-US" w:eastAsia="zh-CN"/>
        </w:rPr>
        <w:t>11.86</w:t>
      </w:r>
      <w:r>
        <w:rPr>
          <w:rFonts w:hint="eastAsia" w:ascii="仿宋_GB2312" w:eastAsia="仿宋_GB2312"/>
          <w:sz w:val="32"/>
          <w:szCs w:val="32"/>
        </w:rPr>
        <w:t>万元、  邮电费1.19</w:t>
      </w:r>
      <w:r>
        <w:rPr>
          <w:rFonts w:hint="eastAsia" w:ascii="仿宋_GB2312" w:eastAsia="仿宋_GB2312"/>
          <w:sz w:val="32"/>
          <w:szCs w:val="32"/>
          <w:lang w:eastAsia="zh-CN"/>
        </w:rPr>
        <w:t>万元、</w:t>
      </w:r>
      <w:r>
        <w:rPr>
          <w:rFonts w:hint="eastAsia" w:ascii="仿宋_GB2312" w:eastAsia="仿宋_GB2312"/>
          <w:sz w:val="32"/>
          <w:szCs w:val="32"/>
        </w:rPr>
        <w:t>差旅费</w:t>
      </w:r>
      <w:r>
        <w:rPr>
          <w:rFonts w:hint="eastAsia" w:ascii="仿宋_GB2312" w:eastAsia="仿宋_GB2312"/>
          <w:sz w:val="32"/>
          <w:szCs w:val="32"/>
          <w:lang w:val="en-US" w:eastAsia="zh-CN"/>
        </w:rPr>
        <w:t>3.56</w:t>
      </w:r>
      <w:r>
        <w:rPr>
          <w:rFonts w:hint="eastAsia" w:ascii="仿宋_GB2312" w:eastAsia="仿宋_GB2312"/>
          <w:sz w:val="32"/>
          <w:szCs w:val="32"/>
        </w:rPr>
        <w:t>万元、维修（护）费</w:t>
      </w:r>
      <w:r>
        <w:rPr>
          <w:rFonts w:hint="eastAsia" w:ascii="仿宋_GB2312" w:eastAsia="仿宋_GB2312"/>
          <w:sz w:val="32"/>
          <w:szCs w:val="32"/>
          <w:lang w:val="en-US" w:eastAsia="zh-CN"/>
        </w:rPr>
        <w:t>3.56</w:t>
      </w:r>
      <w:r>
        <w:rPr>
          <w:rFonts w:hint="eastAsia" w:ascii="仿宋_GB2312" w:eastAsia="仿宋_GB2312"/>
          <w:sz w:val="32"/>
          <w:szCs w:val="32"/>
        </w:rPr>
        <w:t>万元、会议费</w:t>
      </w:r>
      <w:r>
        <w:rPr>
          <w:rFonts w:hint="eastAsia" w:ascii="仿宋_GB2312" w:eastAsia="仿宋_GB2312"/>
          <w:sz w:val="32"/>
          <w:szCs w:val="32"/>
          <w:lang w:val="en-US" w:eastAsia="zh-CN"/>
        </w:rPr>
        <w:t>1.19</w:t>
      </w:r>
      <w:r>
        <w:rPr>
          <w:rFonts w:hint="eastAsia" w:ascii="仿宋_GB2312" w:eastAsia="仿宋_GB2312"/>
          <w:sz w:val="32"/>
          <w:szCs w:val="32"/>
        </w:rPr>
        <w:t>万元、培训费</w:t>
      </w:r>
      <w:r>
        <w:rPr>
          <w:rFonts w:hint="eastAsia" w:ascii="仿宋_GB2312" w:eastAsia="仿宋_GB2312"/>
          <w:sz w:val="32"/>
          <w:szCs w:val="32"/>
          <w:lang w:val="en-US" w:eastAsia="zh-CN"/>
        </w:rPr>
        <w:t>3.56</w:t>
      </w:r>
      <w:r>
        <w:rPr>
          <w:rFonts w:hint="eastAsia" w:ascii="仿宋_GB2312" w:eastAsia="仿宋_GB2312"/>
          <w:sz w:val="32"/>
          <w:szCs w:val="32"/>
        </w:rPr>
        <w:t>元、  劳务费</w:t>
      </w:r>
      <w:r>
        <w:rPr>
          <w:rFonts w:hint="eastAsia" w:ascii="仿宋_GB2312" w:eastAsia="仿宋_GB2312"/>
          <w:sz w:val="32"/>
          <w:szCs w:val="32"/>
          <w:lang w:val="en-US" w:eastAsia="zh-CN"/>
        </w:rPr>
        <w:t>11.86</w:t>
      </w:r>
      <w:r>
        <w:rPr>
          <w:rFonts w:hint="eastAsia" w:ascii="仿宋_GB2312" w:eastAsia="仿宋_GB2312"/>
          <w:sz w:val="32"/>
          <w:szCs w:val="32"/>
        </w:rPr>
        <w:t>万元</w:t>
      </w:r>
      <w:r>
        <w:rPr>
          <w:rFonts w:hint="eastAsia" w:ascii="仿宋_GB2312" w:eastAsia="仿宋_GB2312"/>
          <w:sz w:val="32"/>
          <w:szCs w:val="32"/>
          <w:lang w:eastAsia="zh-CN"/>
        </w:rPr>
        <w:t>、</w:t>
      </w:r>
      <w:r>
        <w:rPr>
          <w:rFonts w:hint="eastAsia" w:ascii="仿宋_GB2312" w:eastAsia="仿宋_GB2312"/>
          <w:sz w:val="32"/>
          <w:szCs w:val="32"/>
        </w:rPr>
        <w:t>工会经费</w:t>
      </w:r>
      <w:r>
        <w:rPr>
          <w:rFonts w:hint="eastAsia" w:ascii="仿宋_GB2312" w:eastAsia="仿宋_GB2312"/>
          <w:sz w:val="32"/>
          <w:szCs w:val="32"/>
          <w:lang w:val="en-US" w:eastAsia="zh-CN"/>
        </w:rPr>
        <w:t>9.49</w:t>
      </w:r>
      <w:r>
        <w:rPr>
          <w:rFonts w:hint="eastAsia" w:ascii="仿宋_GB2312" w:eastAsia="仿宋_GB2312"/>
          <w:sz w:val="32"/>
          <w:szCs w:val="32"/>
        </w:rPr>
        <w:t>万元、其他商品和服务支出</w:t>
      </w:r>
      <w:r>
        <w:rPr>
          <w:rFonts w:hint="eastAsia" w:ascii="仿宋_GB2312" w:eastAsia="仿宋_GB2312"/>
          <w:sz w:val="32"/>
          <w:szCs w:val="32"/>
          <w:lang w:val="en-US" w:eastAsia="zh-CN"/>
        </w:rPr>
        <w:t>13.05</w:t>
      </w:r>
      <w:r>
        <w:rPr>
          <w:rFonts w:hint="eastAsia" w:ascii="仿宋_GB2312" w:eastAsia="仿宋_GB2312"/>
          <w:sz w:val="32"/>
          <w:szCs w:val="32"/>
        </w:rPr>
        <w:t>万元。</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3.对个人和家庭和补助支出</w:t>
      </w:r>
    </w:p>
    <w:p>
      <w:pPr>
        <w:spacing w:line="540" w:lineRule="exact"/>
        <w:ind w:firstLine="640" w:firstLineChars="200"/>
        <w:rPr>
          <w:rFonts w:hint="eastAsia" w:ascii="仿宋_GB2312" w:eastAsia="仿宋_GB2312"/>
          <w:sz w:val="32"/>
          <w:szCs w:val="32"/>
        </w:rPr>
      </w:pPr>
      <w:r>
        <w:rPr>
          <w:rFonts w:hint="default" w:ascii="仿宋_GB2312" w:eastAsia="仿宋_GB2312"/>
          <w:sz w:val="32"/>
          <w:szCs w:val="32"/>
          <w:lang w:val="en" w:eastAsia="zh-CN"/>
        </w:rPr>
        <w:t>益阳市赫山区仪器电教站</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年度一般公共预算财政拨款基本支出对个人和家庭和补助支出</w:t>
      </w:r>
      <w:r>
        <w:rPr>
          <w:rFonts w:hint="eastAsia" w:ascii="仿宋_GB2312" w:eastAsia="仿宋_GB2312"/>
          <w:sz w:val="32"/>
          <w:szCs w:val="32"/>
          <w:lang w:val="en-US" w:eastAsia="zh-CN"/>
        </w:rPr>
        <w:t>3.94</w:t>
      </w:r>
      <w:r>
        <w:rPr>
          <w:rFonts w:hint="eastAsia" w:ascii="仿宋_GB2312" w:eastAsia="仿宋_GB2312"/>
          <w:sz w:val="32"/>
          <w:szCs w:val="32"/>
        </w:rPr>
        <w:t>万元，其中生活补助</w:t>
      </w:r>
      <w:r>
        <w:rPr>
          <w:rFonts w:hint="eastAsia" w:ascii="仿宋_GB2312" w:eastAsia="仿宋_GB2312"/>
          <w:sz w:val="32"/>
          <w:szCs w:val="32"/>
          <w:lang w:val="en-US" w:eastAsia="zh-CN"/>
        </w:rPr>
        <w:t>3.94</w:t>
      </w:r>
      <w:r>
        <w:rPr>
          <w:rFonts w:hint="eastAsia" w:ascii="仿宋_GB2312" w:eastAsia="仿宋_GB2312"/>
          <w:sz w:val="32"/>
          <w:szCs w:val="32"/>
        </w:rPr>
        <w:t>万元。</w:t>
      </w:r>
    </w:p>
    <w:p>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4.资本性支出</w:t>
      </w:r>
    </w:p>
    <w:p>
      <w:pPr>
        <w:spacing w:line="540" w:lineRule="exact"/>
        <w:ind w:firstLine="640" w:firstLineChars="200"/>
        <w:rPr>
          <w:rFonts w:hint="eastAsia" w:ascii="楷体_GB2312" w:eastAsia="楷体_GB2312"/>
          <w:sz w:val="32"/>
          <w:szCs w:val="32"/>
        </w:rPr>
      </w:pPr>
      <w:r>
        <w:rPr>
          <w:rFonts w:hint="default" w:ascii="仿宋_GB2312" w:eastAsia="仿宋_GB2312"/>
          <w:sz w:val="32"/>
          <w:szCs w:val="32"/>
          <w:lang w:val="en" w:eastAsia="zh-CN"/>
        </w:rPr>
        <w:t>益阳市赫山区仪器电教站</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w:t>
      </w:r>
      <w:r>
        <w:rPr>
          <w:rFonts w:hint="eastAsia" w:ascii="仿宋_GB2312" w:eastAsia="仿宋_GB2312"/>
          <w:sz w:val="32"/>
          <w:szCs w:val="32"/>
          <w:lang w:val="en-US" w:eastAsia="zh-CN"/>
        </w:rPr>
        <w:t>资本性支出0元，其中大型修缮0万元。</w:t>
      </w:r>
    </w:p>
    <w:p>
      <w:pPr>
        <w:numPr>
          <w:ilvl w:val="0"/>
          <w:numId w:val="2"/>
        </w:num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项目支出情况</w:t>
      </w:r>
    </w:p>
    <w:p>
      <w:pPr>
        <w:spacing w:line="540" w:lineRule="exact"/>
        <w:ind w:firstLine="640" w:firstLineChars="200"/>
        <w:rPr>
          <w:rFonts w:hint="eastAsia" w:ascii="仿宋_GB2312" w:eastAsia="仿宋_GB2312"/>
          <w:sz w:val="32"/>
          <w:szCs w:val="32"/>
          <w:lang w:val="en-US" w:eastAsia="zh-CN"/>
        </w:rPr>
      </w:pPr>
      <w:r>
        <w:rPr>
          <w:rFonts w:hint="default" w:ascii="仿宋_GB2312" w:eastAsia="仿宋_GB2312"/>
          <w:sz w:val="32"/>
          <w:szCs w:val="32"/>
          <w:lang w:val="en" w:eastAsia="zh-CN"/>
        </w:rPr>
        <w:t>益阳市赫山区仪器电教站</w:t>
      </w:r>
      <w:r>
        <w:rPr>
          <w:rFonts w:hint="eastAsia" w:ascii="仿宋_GB2312" w:eastAsia="仿宋_GB2312"/>
          <w:sz w:val="32"/>
          <w:szCs w:val="32"/>
          <w:lang w:val="en-US" w:eastAsia="zh-CN"/>
        </w:rPr>
        <w:t>2025年度一般公共预算财政拨款项目支出0万元,其中资本性支出0万元。0\</w:t>
      </w:r>
    </w:p>
    <w:p>
      <w:p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三、政府性基金预算支出情况</w:t>
      </w:r>
    </w:p>
    <w:p>
      <w:pPr>
        <w:spacing w:line="540" w:lineRule="exact"/>
        <w:ind w:firstLine="640" w:firstLineChars="200"/>
        <w:rPr>
          <w:rFonts w:hint="eastAsia" w:ascii="黑体" w:hAnsi="黑体" w:eastAsia="黑体"/>
          <w:sz w:val="32"/>
          <w:szCs w:val="32"/>
          <w:lang w:eastAsia="zh-CN"/>
        </w:rPr>
      </w:pPr>
      <w:r>
        <w:rPr>
          <w:rFonts w:hint="default" w:ascii="仿宋_GB2312" w:eastAsia="仿宋_GB2312"/>
          <w:sz w:val="32"/>
          <w:szCs w:val="32"/>
          <w:lang w:val="en" w:eastAsia="zh-CN"/>
        </w:rPr>
        <w:t>益阳市赫山区仪器电教站</w:t>
      </w:r>
      <w:r>
        <w:rPr>
          <w:rFonts w:hint="eastAsia" w:ascii="仿宋_GB2312" w:eastAsia="仿宋_GB2312"/>
          <w:sz w:val="32"/>
          <w:szCs w:val="32"/>
          <w:lang w:val="en-US" w:eastAsia="zh-CN"/>
        </w:rPr>
        <w:t>2025年度无政府性基金支出。</w:t>
      </w:r>
    </w:p>
    <w:p>
      <w:pPr>
        <w:numPr>
          <w:ilvl w:val="0"/>
          <w:numId w:val="3"/>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国有资本经营预算支出情况</w:t>
      </w:r>
    </w:p>
    <w:p>
      <w:pPr>
        <w:numPr>
          <w:ilvl w:val="0"/>
          <w:numId w:val="0"/>
        </w:numPr>
        <w:spacing w:line="540" w:lineRule="exact"/>
        <w:ind w:firstLine="640" w:firstLineChars="200"/>
        <w:rPr>
          <w:rFonts w:ascii="黑体" w:hAnsi="黑体" w:eastAsia="黑体"/>
          <w:sz w:val="32"/>
          <w:szCs w:val="32"/>
        </w:rPr>
      </w:pPr>
      <w:r>
        <w:rPr>
          <w:rFonts w:hint="eastAsia" w:ascii="仿宋_GB2312" w:eastAsia="仿宋_GB2312"/>
          <w:sz w:val="32"/>
          <w:szCs w:val="32"/>
          <w:lang w:val="en-US" w:eastAsia="zh-CN"/>
        </w:rPr>
        <w:t>本单位本年度无国有资本经营预算支出。</w:t>
      </w:r>
    </w:p>
    <w:p>
      <w:pPr>
        <w:numPr>
          <w:ilvl w:val="0"/>
          <w:numId w:val="3"/>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社会保险基金预算支出情况</w:t>
      </w:r>
    </w:p>
    <w:p>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本单位本年度无社会保险基金预算支出。</w:t>
      </w:r>
    </w:p>
    <w:p>
      <w:pPr>
        <w:spacing w:line="540" w:lineRule="exact"/>
        <w:ind w:firstLine="640" w:firstLineChars="200"/>
        <w:rPr>
          <w:rFonts w:ascii="黑体" w:hAnsi="黑体" w:eastAsia="黑体"/>
          <w:sz w:val="32"/>
          <w:szCs w:val="32"/>
        </w:rPr>
      </w:pPr>
      <w:r>
        <w:rPr>
          <w:rFonts w:hint="eastAsia" w:ascii="黑体" w:hAnsi="黑体" w:eastAsia="黑体"/>
          <w:sz w:val="32"/>
          <w:szCs w:val="32"/>
        </w:rPr>
        <w:t>六、部门整体支出绩效情况</w:t>
      </w:r>
    </w:p>
    <w:p>
      <w:pPr>
        <w:spacing w:line="540" w:lineRule="exact"/>
        <w:ind w:firstLine="640" w:firstLineChars="200"/>
        <w:rPr>
          <w:rFonts w:hint="eastAsia" w:ascii="仿宋_GB2312" w:eastAsia="仿宋_GB2312"/>
          <w:sz w:val="32"/>
          <w:szCs w:val="32"/>
        </w:rPr>
      </w:pPr>
      <w:r>
        <w:rPr>
          <w:rFonts w:hint="default" w:ascii="仿宋_GB2312" w:eastAsia="仿宋_GB2312"/>
          <w:sz w:val="32"/>
          <w:szCs w:val="32"/>
          <w:lang w:val="en" w:eastAsia="zh-CN"/>
        </w:rPr>
        <w:t>益阳市赫山区仪器电教站</w:t>
      </w:r>
      <w:r>
        <w:rPr>
          <w:rFonts w:hint="eastAsia" w:ascii="仿宋_GB2312" w:eastAsia="仿宋_GB2312"/>
          <w:sz w:val="32"/>
          <w:szCs w:val="32"/>
        </w:rPr>
        <w:t>严格执行《预算法》，强化支出责任，不断提高资金使用效益，根据绩效评价相关制度规定对</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年度部门整体支出开展绩效评价，认真制定绩效自评工作方案，坚持客观公正和有效性原则，按照设定的指标体系，</w:t>
      </w:r>
      <w:r>
        <w:rPr>
          <w:rFonts w:hint="eastAsia" w:ascii="仿宋_GB2312" w:eastAsia="仿宋_GB2312"/>
          <w:sz w:val="32"/>
          <w:szCs w:val="32"/>
          <w:lang w:eastAsia="zh-CN"/>
        </w:rPr>
        <w:t>认真</w:t>
      </w:r>
      <w:r>
        <w:rPr>
          <w:rFonts w:hint="eastAsia" w:ascii="仿宋_GB2312" w:eastAsia="仿宋_GB2312"/>
          <w:sz w:val="32"/>
          <w:szCs w:val="32"/>
        </w:rPr>
        <w:t>对各类项目资金开展预算资金绩效自评。</w:t>
      </w:r>
    </w:p>
    <w:p>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（一）绩效评价工作情况</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val="en-US" w:eastAsia="zh-CN"/>
        </w:rPr>
        <w:t>1、</w:t>
      </w:r>
      <w:r>
        <w:rPr>
          <w:rFonts w:hint="eastAsia" w:ascii="仿宋_GB2312" w:eastAsia="仿宋_GB2312"/>
          <w:sz w:val="32"/>
          <w:szCs w:val="32"/>
          <w:lang w:eastAsia="zh-CN"/>
        </w:rPr>
        <w:t>绩效评价目的</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本次绩效评价的目的是为了全面分析和综合评价我单位本级财政预算资金的使用管理情况，为切实提高财政资金使用效益，强化预算支出的责任和效率提供参考依据。</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val="en-US" w:eastAsia="zh-CN"/>
        </w:rPr>
        <w:t>2、</w:t>
      </w:r>
      <w:r>
        <w:rPr>
          <w:rFonts w:hint="eastAsia" w:ascii="仿宋_GB2312" w:eastAsia="仿宋_GB2312"/>
          <w:sz w:val="32"/>
          <w:szCs w:val="32"/>
          <w:lang w:eastAsia="zh-CN"/>
        </w:rPr>
        <w:t>绩效评价工作过程</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1</w:t>
      </w:r>
      <w:r>
        <w:rPr>
          <w:rFonts w:hint="eastAsia" w:ascii="仿宋_GB2312" w:eastAsia="仿宋_GB2312"/>
          <w:sz w:val="32"/>
          <w:szCs w:val="32"/>
          <w:lang w:eastAsia="zh-CN"/>
        </w:rPr>
        <w:t>）前期准备。按照绩效自评工作要求，成立了以党总支书记为组长的绩效评价工作小组，于7月31日前完成现场评价工作。</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2</w:t>
      </w:r>
      <w:r>
        <w:rPr>
          <w:rFonts w:hint="eastAsia" w:ascii="仿宋_GB2312" w:eastAsia="仿宋_GB2312"/>
          <w:sz w:val="32"/>
          <w:szCs w:val="32"/>
          <w:lang w:eastAsia="zh-CN"/>
        </w:rPr>
        <w:t>）核实数据。对202</w:t>
      </w:r>
      <w:r>
        <w:rPr>
          <w:rFonts w:hint="eastAsia" w:ascii="仿宋_GB2312" w:eastAsia="仿宋_GB2312"/>
          <w:sz w:val="32"/>
          <w:szCs w:val="32"/>
          <w:lang w:val="en-US" w:eastAsia="zh-CN"/>
        </w:rPr>
        <w:t>5</w:t>
      </w:r>
      <w:r>
        <w:rPr>
          <w:rFonts w:hint="eastAsia" w:ascii="仿宋_GB2312" w:eastAsia="仿宋_GB2312"/>
          <w:sz w:val="32"/>
          <w:szCs w:val="32"/>
          <w:lang w:eastAsia="zh-CN"/>
        </w:rPr>
        <w:t>年度部门整体支出数据的准确性、真实性进行核实，将202</w:t>
      </w:r>
      <w:r>
        <w:rPr>
          <w:rFonts w:hint="eastAsia" w:ascii="仿宋_GB2312" w:eastAsia="仿宋_GB2312"/>
          <w:sz w:val="32"/>
          <w:szCs w:val="32"/>
          <w:lang w:val="en-US" w:eastAsia="zh-CN"/>
        </w:rPr>
        <w:t>5</w:t>
      </w:r>
      <w:r>
        <w:rPr>
          <w:rFonts w:hint="eastAsia" w:ascii="仿宋_GB2312" w:eastAsia="仿宋_GB2312"/>
          <w:sz w:val="32"/>
          <w:szCs w:val="32"/>
          <w:lang w:eastAsia="zh-CN"/>
        </w:rPr>
        <w:t>年度和202</w:t>
      </w:r>
      <w:r>
        <w:rPr>
          <w:rFonts w:hint="eastAsia" w:ascii="仿宋_GB2312" w:eastAsia="仿宋_GB2312"/>
          <w:sz w:val="32"/>
          <w:szCs w:val="32"/>
          <w:lang w:val="en-US" w:eastAsia="zh-CN"/>
        </w:rPr>
        <w:t>4</w:t>
      </w:r>
      <w:r>
        <w:rPr>
          <w:rFonts w:hint="eastAsia" w:ascii="仿宋_GB2312" w:eastAsia="仿宋_GB2312"/>
          <w:sz w:val="32"/>
          <w:szCs w:val="32"/>
          <w:lang w:eastAsia="zh-CN"/>
        </w:rPr>
        <w:t>年度部门整体支出情况进行比较分析。</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3</w:t>
      </w:r>
      <w:r>
        <w:rPr>
          <w:rFonts w:hint="eastAsia" w:ascii="仿宋_GB2312" w:eastAsia="仿宋_GB2312"/>
          <w:sz w:val="32"/>
          <w:szCs w:val="32"/>
          <w:lang w:eastAsia="zh-CN"/>
        </w:rPr>
        <w:t>）查阅资料。查阅202</w:t>
      </w:r>
      <w:r>
        <w:rPr>
          <w:rFonts w:hint="eastAsia" w:ascii="仿宋_GB2312" w:eastAsia="仿宋_GB2312"/>
          <w:sz w:val="32"/>
          <w:szCs w:val="32"/>
          <w:lang w:val="en-US" w:eastAsia="zh-CN"/>
        </w:rPr>
        <w:t>5</w:t>
      </w:r>
      <w:bookmarkStart w:id="3" w:name="_GoBack"/>
      <w:bookmarkEnd w:id="3"/>
      <w:r>
        <w:rPr>
          <w:rFonts w:hint="eastAsia" w:ascii="仿宋_GB2312" w:eastAsia="仿宋_GB2312"/>
          <w:sz w:val="32"/>
          <w:szCs w:val="32"/>
          <w:lang w:eastAsia="zh-CN"/>
        </w:rPr>
        <w:t>年度预算安排、非税收入、预算追加、资金管理、经费支出、资产管理等相关文件资料和财务凭证。</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4</w:t>
      </w:r>
      <w:r>
        <w:rPr>
          <w:rFonts w:hint="eastAsia" w:ascii="仿宋_GB2312" w:eastAsia="仿宋_GB2312"/>
          <w:sz w:val="32"/>
          <w:szCs w:val="32"/>
          <w:lang w:eastAsia="zh-CN"/>
        </w:rPr>
        <w:t>）实地查看。现场查看实物资产等。</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5</w:t>
      </w:r>
      <w:r>
        <w:rPr>
          <w:rFonts w:hint="eastAsia" w:ascii="仿宋_GB2312" w:eastAsia="仿宋_GB2312"/>
          <w:sz w:val="32"/>
          <w:szCs w:val="32"/>
          <w:lang w:eastAsia="zh-CN"/>
        </w:rPr>
        <w:t>）发放调查问卷。对部门履行职责情况的公众满意度进行调查。</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6</w:t>
      </w:r>
      <w:r>
        <w:rPr>
          <w:rFonts w:hint="eastAsia" w:ascii="仿宋_GB2312" w:eastAsia="仿宋_GB2312"/>
          <w:sz w:val="32"/>
          <w:szCs w:val="32"/>
          <w:lang w:eastAsia="zh-CN"/>
        </w:rPr>
        <w:t>）归纳汇总。对提供的材料及自评报告，结合现场评价情况进行综合分析、归纳汇总。</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7</w:t>
      </w:r>
      <w:r>
        <w:rPr>
          <w:rFonts w:hint="eastAsia" w:ascii="仿宋_GB2312" w:eastAsia="仿宋_GB2312"/>
          <w:sz w:val="32"/>
          <w:szCs w:val="32"/>
          <w:lang w:eastAsia="zh-CN"/>
        </w:rPr>
        <w:t>）评价组对各项评价指标进行分析讨论。</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8</w:t>
      </w:r>
      <w:r>
        <w:rPr>
          <w:rFonts w:hint="eastAsia" w:ascii="仿宋_GB2312" w:eastAsia="仿宋_GB2312"/>
          <w:sz w:val="32"/>
          <w:szCs w:val="32"/>
          <w:lang w:eastAsia="zh-CN"/>
        </w:rPr>
        <w:t>）形成绩效评价报告。</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（二）部门整体支出主要绩效及评价结论</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1.单位预算编制科学，民主理财、公开理财氛围浓厚，重大财务事项经由集体研究决策，财务制度健全。</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2.预算执行方面。我校经费开支严格按预算执行，基本支出的日常财务管理工作由单位财务实行统一核算和统一管理，经费开支按用途使用合理，做到专帐专管,专款专用，不铺张浪</w:t>
      </w:r>
      <w:r>
        <w:rPr>
          <w:rFonts w:hint="eastAsia" w:ascii="仿宋_GB2312" w:eastAsia="仿宋_GB2312"/>
          <w:sz w:val="32"/>
          <w:szCs w:val="32"/>
        </w:rPr>
        <w:t>费，开源节流。 无“三公”经费支出。</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3.预算管理方面。我校制定了切实有效的内部管理制度和经费支出控制方案，有较强的内控风险管理意识、各项经费支出得到了有效控制。</w:t>
      </w:r>
    </w:p>
    <w:p>
      <w:pPr>
        <w:numPr>
          <w:ilvl w:val="0"/>
          <w:numId w:val="4"/>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存在的问题及原因分析</w:t>
      </w:r>
    </w:p>
    <w:p>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（一）因部分工作是年中或年末根据区局相关要求开展，未纳入年初预算，另外还有部分不可预见经费的追加，无法纳入预算，导致预算执行存在偏差。</w:t>
      </w:r>
    </w:p>
    <w:p>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（二）固定资产管理有待进一步规范。</w:t>
      </w:r>
      <w:r>
        <w:rPr>
          <w:rFonts w:hint="eastAsia" w:ascii="仿宋" w:hAnsi="仿宋" w:eastAsia="仿宋" w:cs="仿宋"/>
          <w:b w:val="0"/>
          <w:bCs w:val="0"/>
          <w:sz w:val="32"/>
          <w:szCs w:val="32"/>
          <w:lang w:val="en-US" w:eastAsia="zh-CN"/>
        </w:rPr>
        <w:t>单位</w:t>
      </w:r>
      <w:r>
        <w:rPr>
          <w:rFonts w:hint="eastAsia" w:ascii="仿宋" w:hAnsi="仿宋" w:eastAsia="仿宋" w:cs="仿宋"/>
          <w:b w:val="0"/>
          <w:bCs w:val="0"/>
          <w:sz w:val="32"/>
          <w:szCs w:val="32"/>
        </w:rPr>
        <w:t>校固定资产管理</w:t>
      </w:r>
      <w:r>
        <w:rPr>
          <w:rFonts w:hint="eastAsia" w:ascii="仿宋" w:hAnsi="仿宋" w:eastAsia="仿宋" w:cs="仿宋"/>
          <w:b w:val="0"/>
          <w:bCs w:val="0"/>
          <w:sz w:val="32"/>
          <w:szCs w:val="32"/>
          <w:lang w:val="en-US" w:eastAsia="zh-CN"/>
        </w:rPr>
        <w:t>有</w:t>
      </w:r>
      <w:r>
        <w:rPr>
          <w:rFonts w:hint="eastAsia" w:ascii="仿宋" w:hAnsi="仿宋" w:eastAsia="仿宋" w:cs="仿宋"/>
          <w:b w:val="0"/>
          <w:bCs w:val="0"/>
          <w:sz w:val="32"/>
          <w:szCs w:val="32"/>
        </w:rPr>
        <w:t>专人负责，</w:t>
      </w:r>
      <w:r>
        <w:rPr>
          <w:rFonts w:hint="eastAsia" w:ascii="仿宋" w:hAnsi="仿宋" w:eastAsia="仿宋" w:cs="仿宋"/>
          <w:b w:val="0"/>
          <w:bCs w:val="0"/>
          <w:sz w:val="32"/>
          <w:szCs w:val="32"/>
          <w:lang w:val="en-US" w:eastAsia="zh-CN"/>
        </w:rPr>
        <w:t>但台账更新不及时，</w:t>
      </w:r>
      <w:r>
        <w:rPr>
          <w:rFonts w:hint="eastAsia" w:ascii="仿宋" w:hAnsi="仿宋" w:eastAsia="仿宋" w:cs="仿宋"/>
          <w:b w:val="0"/>
          <w:bCs w:val="0"/>
          <w:sz w:val="32"/>
          <w:szCs w:val="32"/>
        </w:rPr>
        <w:t>有些房屋建筑物尚未办理房屋产权证。</w:t>
      </w:r>
    </w:p>
    <w:p>
      <w:pPr>
        <w:numPr>
          <w:ilvl w:val="0"/>
          <w:numId w:val="4"/>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下一步改进措施</w:t>
      </w:r>
    </w:p>
    <w:p>
      <w:pPr>
        <w:numPr>
          <w:ilvl w:val="0"/>
          <w:numId w:val="5"/>
        </w:num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rPr>
        <w:t>强化预算编制的科学性与前瞻性，结合上年度资金使用情况合理测算；加强项目事前事中调度，加快资金执行进度。</w:t>
      </w:r>
      <w:r>
        <w:rPr>
          <w:rFonts w:hint="eastAsia" w:ascii="仿宋_GB2312" w:eastAsia="仿宋_GB2312"/>
          <w:sz w:val="32"/>
          <w:szCs w:val="32"/>
          <w:lang w:val="en-US" w:eastAsia="zh-CN"/>
        </w:rPr>
        <w:t xml:space="preserve">    </w:t>
      </w:r>
    </w:p>
    <w:p>
      <w:pPr>
        <w:numPr>
          <w:ilvl w:val="0"/>
          <w:numId w:val="0"/>
        </w:numPr>
        <w:spacing w:line="540" w:lineRule="exact"/>
        <w:ind w:firstLine="640" w:firstLineChars="200"/>
        <w:rPr>
          <w:rFonts w:hint="eastAsia" w:ascii="黑体" w:hAnsi="黑体" w:eastAsia="黑体"/>
          <w:sz w:val="32"/>
          <w:szCs w:val="32"/>
        </w:rPr>
      </w:pPr>
      <w:r>
        <w:rPr>
          <w:rFonts w:hint="eastAsia" w:ascii="仿宋_GB2312" w:eastAsia="仿宋_GB2312"/>
          <w:sz w:val="32"/>
          <w:szCs w:val="32"/>
        </w:rPr>
        <w:t>2.健全绩效目标精准编制与全过程动态监控机制，强化绩效评价结果的实际应用，将其作为下一年度预算安排的重要依据。</w:t>
      </w:r>
    </w:p>
    <w:p>
      <w:pPr>
        <w:numPr>
          <w:ilvl w:val="0"/>
          <w:numId w:val="4"/>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绩效自评结果拟应用和公开情况</w:t>
      </w:r>
    </w:p>
    <w:p>
      <w:pPr>
        <w:spacing w:line="540" w:lineRule="exact"/>
        <w:ind w:firstLine="640" w:firstLineChars="200"/>
        <w:rPr>
          <w:rFonts w:hint="eastAsia" w:ascii="黑体" w:hAnsi="黑体" w:eastAsia="黑体"/>
          <w:sz w:val="32"/>
          <w:szCs w:val="32"/>
        </w:rPr>
      </w:pPr>
      <w:r>
        <w:rPr>
          <w:rFonts w:hint="eastAsia" w:ascii="仿宋_GB2312" w:eastAsia="仿宋_GB2312"/>
          <w:sz w:val="32"/>
          <w:szCs w:val="32"/>
        </w:rPr>
        <w:t>根据财政部门要求，</w:t>
      </w:r>
      <w:r>
        <w:rPr>
          <w:rFonts w:hint="default" w:ascii="仿宋_GB2312" w:eastAsia="仿宋_GB2312"/>
          <w:sz w:val="32"/>
          <w:szCs w:val="32"/>
          <w:lang w:val="en" w:eastAsia="zh-CN"/>
        </w:rPr>
        <w:t>益阳市赫山区仪器电教站</w:t>
      </w:r>
      <w:r>
        <w:rPr>
          <w:rFonts w:hint="eastAsia" w:ascii="仿宋_GB2312" w:eastAsia="仿宋_GB2312"/>
          <w:sz w:val="32"/>
          <w:szCs w:val="32"/>
        </w:rPr>
        <w:t>认真组织开展了</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年度预决算，对预算执行情况进行了部门整体支出绩效评价，根据财政部门要求在政府门户网站进行公开，公开内容包括</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w:t>
      </w:r>
      <w:r>
        <w:rPr>
          <w:rFonts w:hint="default" w:ascii="仿宋_GB2312" w:eastAsia="仿宋_GB2312"/>
          <w:sz w:val="32"/>
          <w:szCs w:val="32"/>
          <w:lang w:val="en" w:eastAsia="zh-CN"/>
        </w:rPr>
        <w:t>益阳市赫山区仪器电教站</w:t>
      </w:r>
      <w:r>
        <w:rPr>
          <w:rFonts w:hint="eastAsia" w:ascii="仿宋_GB2312" w:eastAsia="仿宋_GB2312"/>
          <w:sz w:val="32"/>
          <w:szCs w:val="32"/>
        </w:rPr>
        <w:t>整体支出绩效自评报告和</w:t>
      </w:r>
      <w:r>
        <w:rPr>
          <w:rFonts w:hint="eastAsia" w:ascii="仿宋_GB2312" w:eastAsia="仿宋_GB2312"/>
          <w:sz w:val="32"/>
          <w:szCs w:val="32"/>
          <w:lang w:val="en-US" w:eastAsia="zh-CN"/>
        </w:rPr>
        <w:t>基础表、</w:t>
      </w:r>
      <w:r>
        <w:rPr>
          <w:rFonts w:hint="eastAsia" w:ascii="仿宋_GB2312" w:eastAsia="仿宋_GB2312"/>
          <w:sz w:val="32"/>
          <w:szCs w:val="32"/>
        </w:rPr>
        <w:t>自评表。</w:t>
      </w:r>
    </w:p>
    <w:p>
      <w:pPr>
        <w:numPr>
          <w:ilvl w:val="0"/>
          <w:numId w:val="4"/>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其他需要说明的情况</w:t>
      </w:r>
    </w:p>
    <w:p>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无。</w:t>
      </w:r>
    </w:p>
    <w:p>
      <w:pPr>
        <w:pStyle w:val="2"/>
      </w:pPr>
    </w:p>
    <w:sectPr>
      <w:pgSz w:w="11906" w:h="16838"/>
      <w:pgMar w:top="1417" w:right="1588" w:bottom="1417" w:left="1588" w:header="851" w:footer="992" w:gutter="0"/>
      <w:pgBorders>
        <w:top w:val="none" w:sz="0" w:space="0"/>
        <w:left w:val="none" w:sz="0" w:space="0"/>
        <w:bottom w:val="none" w:sz="0" w:space="0"/>
        <w:right w:val="none" w:sz="0" w:space="0"/>
      </w:pgBorder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楷体_GB2312">
    <w:altName w:val="方正楷体_GBK"/>
    <w:panose1 w:val="02010609030101010101"/>
    <w:charset w:val="86"/>
    <w:family w:val="modern"/>
    <w:pitch w:val="default"/>
    <w:sig w:usb0="00000000" w:usb1="00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 w:name="汉仪中宋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AnWxrOFQIAABkEAAAOAAAAAAAAAAEAIAAAADUBAABkcnMvZTJvRG9jLnhtbFBLBQYAAAAABgAG&#10;AFkBAAC8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111A"/>
    <w:multiLevelType w:val="singleLevel"/>
    <w:tmpl w:val="CF65111A"/>
    <w:lvl w:ilvl="0" w:tentative="0">
      <w:start w:val="1"/>
      <w:numFmt w:val="decimal"/>
      <w:lvlText w:val="%1."/>
      <w:lvlJc w:val="left"/>
      <w:pPr>
        <w:tabs>
          <w:tab w:val="left" w:pos="312"/>
        </w:tabs>
      </w:pPr>
    </w:lvl>
  </w:abstractNum>
  <w:abstractNum w:abstractNumId="1">
    <w:nsid w:val="32D1E1B7"/>
    <w:multiLevelType w:val="singleLevel"/>
    <w:tmpl w:val="32D1E1B7"/>
    <w:lvl w:ilvl="0" w:tentative="0">
      <w:start w:val="2"/>
      <w:numFmt w:val="chineseCounting"/>
      <w:suff w:val="nothing"/>
      <w:lvlText w:val="（%1）"/>
      <w:lvlJc w:val="left"/>
      <w:rPr>
        <w:rFonts w:hint="eastAsia"/>
      </w:rPr>
    </w:lvl>
  </w:abstractNum>
  <w:abstractNum w:abstractNumId="2">
    <w:nsid w:val="4D452EE6"/>
    <w:multiLevelType w:val="singleLevel"/>
    <w:tmpl w:val="4D452EE6"/>
    <w:lvl w:ilvl="0" w:tentative="0">
      <w:start w:val="1"/>
      <w:numFmt w:val="chineseCounting"/>
      <w:suff w:val="nothing"/>
      <w:lvlText w:val="%1、"/>
      <w:lvlJc w:val="left"/>
      <w:rPr>
        <w:rFonts w:hint="eastAsia"/>
      </w:rPr>
    </w:lvl>
  </w:abstractNum>
  <w:abstractNum w:abstractNumId="3">
    <w:nsid w:val="62FC3140"/>
    <w:multiLevelType w:val="singleLevel"/>
    <w:tmpl w:val="62FC3140"/>
    <w:lvl w:ilvl="0" w:tentative="0">
      <w:start w:val="4"/>
      <w:numFmt w:val="chineseCounting"/>
      <w:suff w:val="nothing"/>
      <w:lvlText w:val="%1、"/>
      <w:lvlJc w:val="left"/>
      <w:rPr>
        <w:rFonts w:hint="eastAsia"/>
      </w:rPr>
    </w:lvl>
  </w:abstractNum>
  <w:abstractNum w:abstractNumId="4">
    <w:nsid w:val="7879F838"/>
    <w:multiLevelType w:val="singleLevel"/>
    <w:tmpl w:val="7879F838"/>
    <w:lvl w:ilvl="0" w:tentative="0">
      <w:start w:val="7"/>
      <w:numFmt w:val="chineseCounting"/>
      <w:suff w:val="nothing"/>
      <w:lvlText w:val="%1、"/>
      <w:lvlJc w:val="left"/>
      <w:rPr>
        <w:rFonts w:hint="eastAsia"/>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true"/>
  <w:bordersDoNotSurroundHeader w:val="false"/>
  <w:bordersDoNotSurroundFooter w:val="false"/>
  <w:documentProtection w:enforcement="0"/>
  <w:defaultTabStop w:val="420"/>
  <w:drawingGridHorizontalSpacing w:val="105"/>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36C71"/>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B15286"/>
    <w:rsid w:val="01D408F4"/>
    <w:rsid w:val="03065EF4"/>
    <w:rsid w:val="040A684F"/>
    <w:rsid w:val="06F6018B"/>
    <w:rsid w:val="0708246E"/>
    <w:rsid w:val="08BB636A"/>
    <w:rsid w:val="09A82D92"/>
    <w:rsid w:val="09E30D12"/>
    <w:rsid w:val="0B1D50BA"/>
    <w:rsid w:val="0B4D7F8C"/>
    <w:rsid w:val="0D1171B2"/>
    <w:rsid w:val="0D421DD9"/>
    <w:rsid w:val="0D9532AB"/>
    <w:rsid w:val="113F222E"/>
    <w:rsid w:val="12FA386A"/>
    <w:rsid w:val="195E16BF"/>
    <w:rsid w:val="1A7F5449"/>
    <w:rsid w:val="1B1C713C"/>
    <w:rsid w:val="1B334486"/>
    <w:rsid w:val="1D34378C"/>
    <w:rsid w:val="1D97DEFF"/>
    <w:rsid w:val="1DE97868"/>
    <w:rsid w:val="1DFF72E5"/>
    <w:rsid w:val="1ECC695D"/>
    <w:rsid w:val="1EFC6F07"/>
    <w:rsid w:val="20653333"/>
    <w:rsid w:val="24CF245B"/>
    <w:rsid w:val="26093F35"/>
    <w:rsid w:val="271B488C"/>
    <w:rsid w:val="27F33914"/>
    <w:rsid w:val="2A310F21"/>
    <w:rsid w:val="2E4C168F"/>
    <w:rsid w:val="2FDF85B8"/>
    <w:rsid w:val="2FFC690A"/>
    <w:rsid w:val="2FFFEE04"/>
    <w:rsid w:val="34DF85B0"/>
    <w:rsid w:val="371C2474"/>
    <w:rsid w:val="37863E63"/>
    <w:rsid w:val="39DE4C98"/>
    <w:rsid w:val="3A91674F"/>
    <w:rsid w:val="3B8F36BC"/>
    <w:rsid w:val="3C5A766D"/>
    <w:rsid w:val="3D8F33AD"/>
    <w:rsid w:val="407C28A5"/>
    <w:rsid w:val="455F1926"/>
    <w:rsid w:val="46884147"/>
    <w:rsid w:val="491FF225"/>
    <w:rsid w:val="4AF73F53"/>
    <w:rsid w:val="4BD31AF3"/>
    <w:rsid w:val="4FFD214C"/>
    <w:rsid w:val="505E72D4"/>
    <w:rsid w:val="50F54B3B"/>
    <w:rsid w:val="51942920"/>
    <w:rsid w:val="53353DD9"/>
    <w:rsid w:val="53A5521A"/>
    <w:rsid w:val="5719079F"/>
    <w:rsid w:val="5777D4F5"/>
    <w:rsid w:val="57D9066D"/>
    <w:rsid w:val="58810003"/>
    <w:rsid w:val="59B63CDD"/>
    <w:rsid w:val="59DD8326"/>
    <w:rsid w:val="5B0F5D9A"/>
    <w:rsid w:val="5B8F6EDB"/>
    <w:rsid w:val="5BA5225B"/>
    <w:rsid w:val="5DEF592A"/>
    <w:rsid w:val="5E3D1B0F"/>
    <w:rsid w:val="5FC6BB1E"/>
    <w:rsid w:val="5FF720F1"/>
    <w:rsid w:val="60E1122D"/>
    <w:rsid w:val="63A81F60"/>
    <w:rsid w:val="642D031A"/>
    <w:rsid w:val="658C7FE7"/>
    <w:rsid w:val="67FF5C0B"/>
    <w:rsid w:val="68C55224"/>
    <w:rsid w:val="6968585F"/>
    <w:rsid w:val="69D65CD5"/>
    <w:rsid w:val="6DE5081F"/>
    <w:rsid w:val="6EFC0924"/>
    <w:rsid w:val="6FB74722"/>
    <w:rsid w:val="6FEF8B7E"/>
    <w:rsid w:val="70FD2C81"/>
    <w:rsid w:val="718D5813"/>
    <w:rsid w:val="71A6591B"/>
    <w:rsid w:val="73540864"/>
    <w:rsid w:val="737D59BA"/>
    <w:rsid w:val="75AF0A47"/>
    <w:rsid w:val="77C37683"/>
    <w:rsid w:val="77DF0D5E"/>
    <w:rsid w:val="79D19834"/>
    <w:rsid w:val="79FF515B"/>
    <w:rsid w:val="7BF549BF"/>
    <w:rsid w:val="7E9E1962"/>
    <w:rsid w:val="7E9F11B4"/>
    <w:rsid w:val="7EB44FEF"/>
    <w:rsid w:val="7F37EC1E"/>
    <w:rsid w:val="7F7DCD9D"/>
    <w:rsid w:val="7F970A6F"/>
    <w:rsid w:val="7FBC409A"/>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B578E7"/>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 w:type="paragraph" w:customStyle="1" w:styleId="18">
    <w:name w:val="正文-公1"/>
    <w:basedOn w:val="19"/>
    <w:next w:val="1"/>
    <w:qFormat/>
    <w:uiPriority w:val="0"/>
    <w:pPr>
      <w:ind w:firstLine="200" w:firstLineChars="200"/>
    </w:pPr>
  </w:style>
  <w:style w:type="paragraph" w:customStyle="1" w:styleId="19">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8"/>
    <w:qFormat/>
    <w:uiPriority w:val="0"/>
    <w:pPr>
      <w:widowControl w:val="0"/>
      <w:jc w:val="both"/>
    </w:pPr>
    <w:rPr>
      <w:rFonts w:ascii="Times New Roman" w:hAnsi="Times New Roman" w:eastAsia="宋体" w:cs="Times New Roman"/>
      <w:kern w:val="2"/>
      <w:sz w:val="21"/>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32</Pages>
  <Words>7229</Words>
  <Characters>8479</Characters>
  <Lines>69</Lines>
  <Paragraphs>19</Paragraphs>
  <TotalTime>6</TotalTime>
  <ScaleCrop>false</ScaleCrop>
  <LinksUpToDate>false</LinksUpToDate>
  <CharactersWithSpaces>9727</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2025-08-20T10:17:00Z</dcterms:created>
  <dc:creator>李航 null</dc:creator>
  <cp:lastModifiedBy>lenovo</cp:lastModifiedBy>
  <cp:lastPrinted>2024-08-10T18:20:00Z</cp:lastPrinted>
  <dcterms:modified xsi:type="dcterms:W3CDTF">2026-08-30T16:39:37Z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9E3BDAD195464D89936CB480D273D870_13</vt:lpwstr>
  </property>
  <property fmtid="{D5CDD505-2E9C-101B-9397-08002B2CF9AE}" pid="4" name="KSOTemplateDocerSaveRecord">
    <vt:lpwstr>eyJoZGlkIjoiM2UwMWU2NzdiNjM0OWY5NjhlMTUyYjMxYWQ1OTA2ZWIiLCJ1c2VySWQiOiIzMDczMTI1OTcifQ==</vt:lpwstr>
  </property>
</Properties>
</file>