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rFonts w:ascii="Times New Roman" w:hAnsi="Times New Roman" w:cs="Times New Roman"/>
          <w:sz w:val="56"/>
          <w:szCs w:val="56"/>
        </w:rPr>
      </w:pP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hint="eastAsia"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r>
        <w:rPr>
          <w:rFonts w:hint="eastAsia" w:ascii="Times New Roman" w:hAnsi="Times New Roman" w:eastAsia="方正小标宋简体" w:cs="Times New Roman"/>
          <w:sz w:val="72"/>
          <w:szCs w:val="72"/>
        </w:rPr>
        <w:t>益阳市赫山区</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教育局（本级）</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spacing w:line="240" w:lineRule="auto"/>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赫山区教育局（本级）</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区教育局（本级）</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（一）贯彻执行教育工作法律法规和政策，拟订全区教育改革与发展规划并组织实施。</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（二）负责全区各级各类教育的统筹规划和管理，会同有关部门制定各级各类学校的设置方案，进行学校布局调整；负责教育基本信息的统计、分析和发布。</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全区义务教育的宏观指导与管理，推进义务教育均衡发展，促进教育公平；指导全区普通高中教育、学前教育和特殊教育工作，推动素质教育全面实施；指导以就业为导向的职业教育的发展与改革；负责审批和管理全区民办教育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（四）贯彻落实中央和省、市有关普通高等学校、成人高等学校、中等专业学校、普通高中和职业高中的招生计划。负责各类教育考试的组织实施。</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（五）指导全区各类学校的思想政治工作、德育教育、体育卫生与艺术教育以及国防教育工作，指导和协调教育系统的安全与稳定工作。负责组织、指导和管理全区校车交通安全工作。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依法管理全区教师工作；统筹规划全区教师队伍建设，协调管理全区教师人员编制；负责全区教师的职称评审、认定、聘任和岗位设置工作；负责教师资格采集认证和定期注册；负责初中及以下教师资格认定；负责全区教师培训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参与拟定全区教育经费筹措、教育拨款、教育基建投资政策和规划，统筹管理教育经费；负责统计和监测全区教育经费的投入和使用情况；管理全区资助经济困难学生工作；指导组织实施教育系统内部审计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（八）统筹管理全区语言文字工作，制定全区语言文字规划并组织实施，指导推广普通话和规范字。</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（九）组织、指导全区教育督导工作；负责全区教育、教学研究工作，负责全区各类教育教学质量评估工作。</w:t>
      </w:r>
    </w:p>
    <w:p>
      <w:pPr>
        <w:widowControl/>
        <w:spacing w:line="600" w:lineRule="exac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（十）完成区委、区政府、区委教育工作领导小组交办的其他工作任务。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赫山区教育局机关共有内设股室10个（办公室、人事股、基础教育股、职业与成人教育股、计划财务股、安全法制股、审计股、党建工作办公室、行政审批服务股、校外教育培训监管股），挂扣股室8个（区委教育工作领导小组秘书组秘书室、学前教育股、民办教育管理办公室、教师工作站、基建管理站、招商办、校车安全管理办公室、阳光服务中心），内设二级机构7个（区招生考试委员会办公室、教育信息化中心、学生资助中心、教育后勤服务中心、教育集中支付中心、教育物资采购和国有资产管理中心、校友服务中心）。</w:t>
      </w:r>
    </w:p>
    <w:p>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益阳市赫山区教育局（本级）202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益阳市赫山区教育局（本级）以及下属二级机构：益阳市赫山区招生考试中心、益阳市赫山区教育信息化中心、益阳市赫山区学生资助中心、益阳市赫山区教育后勤服务中心、益阳市赫山区教育集中支付中心、益阳市赫山区教育物资采购和国有资产管理中心</w:t>
      </w:r>
      <w:r>
        <w:rPr>
          <w:rFonts w:hint="eastAsia" w:ascii="Times New Roman" w:hAnsi="Times New Roman" w:eastAsia="仿宋_GB2312" w:cs="Times New Roman"/>
          <w:bCs/>
          <w:kern w:val="0"/>
          <w:sz w:val="32"/>
          <w:szCs w:val="32"/>
          <w:lang w:eastAsia="zh-CN"/>
        </w:rPr>
        <w:t>、校友服务中心。</w:t>
      </w:r>
      <w:r>
        <w:rPr>
          <w:rFonts w:hint="eastAsia" w:ascii="Times New Roman" w:hAnsi="Times New Roman" w:eastAsia="仿宋_GB2312" w:cs="Times New Roman"/>
          <w:bCs/>
          <w:kern w:val="0"/>
          <w:sz w:val="32"/>
          <w:szCs w:val="32"/>
        </w:rPr>
        <w:t>（所属二级机构未独立核算）</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81.08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1,183.07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200.58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1.56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1,265.71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1,265.71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1,265.71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1,265.71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973"/>
        <w:gridCol w:w="2752"/>
        <w:gridCol w:w="1600"/>
        <w:gridCol w:w="1616"/>
        <w:gridCol w:w="1616"/>
        <w:gridCol w:w="1520"/>
        <w:gridCol w:w="1309"/>
        <w:gridCol w:w="1897"/>
        <w:gridCol w:w="1383"/>
      </w:tblGrid>
      <w:tr>
        <w:tblPrEx>
          <w:tblCellMar>
            <w:top w:w="0" w:type="dxa"/>
            <w:left w:w="0" w:type="dxa"/>
            <w:bottom w:w="0" w:type="dxa"/>
            <w:right w:w="0" w:type="dxa"/>
          </w:tblCellMar>
        </w:tblPrEx>
        <w:trPr>
          <w:trHeight w:val="450" w:hRule="atLeast"/>
          <w:jc w:val="center"/>
        </w:trPr>
        <w:tc>
          <w:tcPr>
            <w:tcW w:w="372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1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9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5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9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75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1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72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72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1,265.71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1,065.13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200.58 </w:t>
            </w: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58.08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58.08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2010601</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2010699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其他财政事务支出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2013602</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2050101</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80.90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80.90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2050199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176.03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176.03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2050299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其他普通教育支出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456.99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256.41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200.58 </w:t>
            </w: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2050305</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高等职业教育</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12.37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12.37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2059999</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其他教育支出</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456.77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456.77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9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2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16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5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bl>
    <w:p>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益阳市赫山区教育局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4997" w:type="pct"/>
        <w:jc w:val="center"/>
        <w:tblLayout w:type="fixed"/>
        <w:tblCellMar>
          <w:top w:w="0" w:type="dxa"/>
          <w:left w:w="108" w:type="dxa"/>
          <w:bottom w:w="0" w:type="dxa"/>
          <w:right w:w="108" w:type="dxa"/>
        </w:tblCellMar>
      </w:tblPr>
      <w:tblGrid>
        <w:gridCol w:w="1097"/>
        <w:gridCol w:w="2662"/>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3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36"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38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36"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1,265.71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1,255.71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10.00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58.08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58.08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2010601</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7.00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2010699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其他财政事务支出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2013602</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2050101</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80.90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80.90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2050199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176.03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176.03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456.99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456.99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2050305</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高等职业教育</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12.37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12.37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456.77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456.77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8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936"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1.56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pStyle w:val="3"/>
        <w:rPr>
          <w:rFonts w:ascii="Times New Roman" w:hAnsi="Times New Roman" w:eastAsia="黑体" w:cs="Times New Roman"/>
          <w:color w:val="000000"/>
          <w:kern w:val="0"/>
          <w:sz w:val="32"/>
          <w:szCs w:val="32"/>
          <w:lang w:bidi="ar"/>
        </w:rPr>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益阳市赫山区教育局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636"/>
        <w:gridCol w:w="616"/>
        <w:gridCol w:w="1096"/>
        <w:gridCol w:w="1678"/>
        <w:gridCol w:w="1434"/>
        <w:gridCol w:w="1532"/>
      </w:tblGrid>
      <w:tr>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81.08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81.08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982.49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982.49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1.56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1.56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6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167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1,065.13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益阳市赫山区教育局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1,065.13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1,055.13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58.08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58.08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7.00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7.00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其他财政事务支出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10.00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80.90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176.03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176.03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256.41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256.41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2050305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高等职业教育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12.37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12.37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456.77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456.77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益阳市赫山区教育局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484.72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340.74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176.32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42.22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53.56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65.74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96.76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12.61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bookmarkStart w:id="3" w:name="_GoBack"/>
            <w:bookmarkEnd w:id="3"/>
            <w:r>
              <w:rPr>
                <w:rFonts w:hint="eastAsia" w:ascii="宋体" w:hAnsi="宋体" w:eastAsia="宋体" w:cs="宋体"/>
                <w:i w:val="0"/>
                <w:iCs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76.03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12.61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33.69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21.60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16.85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1.92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5.26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26.25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36.42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35.37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217.07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0.13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6.85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0.22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60.61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22.07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79.89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97.37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59.09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701.78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353.35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益阳市赫山区教育局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益阳市赫山区教育局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0.22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0.22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0.22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0.22 </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年度收入总计1,265.71万元。与上年相比，增加</w:t>
      </w:r>
      <w:r>
        <w:rPr>
          <w:rFonts w:hint="eastAsia" w:ascii="Times New Roman" w:hAnsi="Times New Roman" w:eastAsia="仿宋_GB2312" w:cs="Times New Roman"/>
          <w:sz w:val="32"/>
          <w:szCs w:val="32"/>
          <w:lang w:val="en-US" w:eastAsia="zh-CN"/>
        </w:rPr>
        <w:t>115.89</w:t>
      </w:r>
      <w:r>
        <w:rPr>
          <w:rFonts w:hint="eastAsia"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10.08</w:t>
      </w:r>
      <w:r>
        <w:rPr>
          <w:rFonts w:hint="eastAsia" w:ascii="Times New Roman" w:hAnsi="Times New Roman" w:eastAsia="仿宋_GB2312" w:cs="Times New Roman"/>
          <w:sz w:val="32"/>
          <w:szCs w:val="32"/>
        </w:rPr>
        <w:t>%，主要是因为财政拨款收入增加；202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年度支出总计1,265.71万元。与上年相比，增加115.89万元，增长10.08</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，主要是因为本年度整体教育支出增加。</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印刷费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公务出行费用</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1,265.71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1,065.13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84.15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200.58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15.85</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1,265.71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 xml:space="preserve">1,255.71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99.21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年度财政拨款收入总计1,065.13万元，与上年相比，增加</w:t>
      </w:r>
      <w:r>
        <w:rPr>
          <w:rFonts w:hint="eastAsia" w:ascii="Times New Roman" w:hAnsi="Times New Roman" w:eastAsia="仿宋_GB2312" w:cs="Times New Roman"/>
          <w:sz w:val="32"/>
          <w:szCs w:val="32"/>
          <w:lang w:val="en-US" w:eastAsia="zh-CN"/>
        </w:rPr>
        <w:t>115.95</w:t>
      </w:r>
      <w:r>
        <w:rPr>
          <w:rFonts w:hint="eastAsia"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12.22</w:t>
      </w:r>
      <w:r>
        <w:rPr>
          <w:rFonts w:hint="eastAsia" w:ascii="Times New Roman" w:hAnsi="Times New Roman" w:eastAsia="仿宋_GB2312" w:cs="Times New Roman"/>
          <w:sz w:val="32"/>
          <w:szCs w:val="32"/>
        </w:rPr>
        <w:t>%，主要是因为一般公共预算财政拨款增加；202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年度财政拨款支出总计1,065.13万元，与上年相比，增加115.95万元,增长12.22%，主要是因为将财政拨款收入用于教育方面的支出较上年增加。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1,065.13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84.15</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rPr>
        <w:t>115.95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12.22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财政拨款收入用于教育方面的支出较上年增加，人员经费及公用经费支出增加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1,065.13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教育支出（类）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982.48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一般公共服务支出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81.08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hint="eastAsia" w:ascii="Times New Roman" w:hAnsi="Times New Roman" w:eastAsia="仿宋_GB2312" w:cs="Times New Roman"/>
          <w:sz w:val="32"/>
          <w:szCs w:val="32"/>
        </w:rPr>
        <w:t>支出（类）支出</w:t>
      </w:r>
      <w:r>
        <w:rPr>
          <w:rFonts w:hint="eastAsia" w:ascii="Times New Roman" w:hAnsi="Times New Roman" w:eastAsia="仿宋_GB2312" w:cs="Times New Roman"/>
          <w:sz w:val="32"/>
          <w:szCs w:val="32"/>
          <w:lang w:val="en-US" w:eastAsia="zh-CN"/>
        </w:rPr>
        <w:t>1.56</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0.15</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582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1,065.13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182.92</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一般公共服务（类）政府办公厅（室）及相关机构事务（款）其他政府办公厅（室）及相关机构事务支出（项）。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年初预算为0万元，支出决算为58.08万元，决算数大于年初预算数的主要原因是：资金用于人才生活补助、租房补贴。</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一般公共服务（类）财政事务（款）行政运行（项）。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年初预算为0万元，支出决算为7万元，决算数大于年初预算数的主要原因是：拨付</w:t>
      </w:r>
      <w:r>
        <w:rPr>
          <w:rFonts w:hint="eastAsia" w:ascii="Times New Roman" w:hAnsi="Times New Roman" w:eastAsia="仿宋_GB2312" w:cs="Times New Roman"/>
          <w:sz w:val="32"/>
          <w:szCs w:val="32"/>
          <w:lang w:val="en-US" w:eastAsia="zh-CN"/>
        </w:rPr>
        <w:t>各类</w:t>
      </w:r>
      <w:r>
        <w:rPr>
          <w:rFonts w:hint="eastAsia" w:ascii="Times New Roman" w:hAnsi="Times New Roman" w:eastAsia="仿宋_GB2312" w:cs="Times New Roman"/>
          <w:sz w:val="32"/>
          <w:szCs w:val="32"/>
        </w:rPr>
        <w:t>经费。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、一般公共服务（类）财政事务（款）其他财政事务支出（项）。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教育局机关报账支出。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其他共产党事务支出</w:t>
      </w:r>
      <w:r>
        <w:rPr>
          <w:rFonts w:hint="eastAsia"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一般行政管理事务</w:t>
      </w:r>
      <w:r>
        <w:rPr>
          <w:rFonts w:hint="eastAsia"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万元，决算数大于年初预算数的主要原因是：拨</w:t>
      </w:r>
      <w:r>
        <w:rPr>
          <w:rFonts w:hint="eastAsia" w:ascii="Times New Roman" w:hAnsi="Times New Roman" w:eastAsia="仿宋_GB2312" w:cs="Times New Roman"/>
          <w:sz w:val="32"/>
          <w:szCs w:val="32"/>
          <w:lang w:val="en-US" w:eastAsia="zh-CN"/>
        </w:rPr>
        <w:t>付</w:t>
      </w:r>
      <w:r>
        <w:rPr>
          <w:rFonts w:hint="eastAsia" w:ascii="Times New Roman" w:hAnsi="Times New Roman" w:eastAsia="仿宋_GB2312" w:cs="Times New Roman"/>
          <w:sz w:val="32"/>
          <w:szCs w:val="32"/>
        </w:rPr>
        <w:t>督导办经费</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、一般公共服务（类）其他一般公共服务支出（款）其他一般公共服务支出（项）。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拨付专项经费</w:t>
      </w:r>
      <w:r>
        <w:rPr>
          <w:rFonts w:hint="eastAsia" w:ascii="Times New Roman" w:hAnsi="Times New Roman" w:eastAsia="仿宋_GB2312" w:cs="Times New Roman"/>
          <w:sz w:val="32"/>
          <w:szCs w:val="32"/>
        </w:rPr>
        <w:t>4万</w:t>
      </w:r>
      <w:r>
        <w:rPr>
          <w:rFonts w:hint="eastAsia" w:ascii="Times New Roman" w:hAnsi="Times New Roman" w:eastAsia="仿宋_GB2312" w:cs="Times New Roman"/>
          <w:sz w:val="32"/>
          <w:szCs w:val="32"/>
          <w:lang w:val="en-US" w:eastAsia="zh-CN"/>
        </w:rPr>
        <w:t>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、教育支出（类）教育管理事务（款）行政运行（项）。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80.9</w:t>
      </w:r>
      <w:r>
        <w:rPr>
          <w:rFonts w:hint="eastAsia" w:ascii="Times New Roman" w:hAnsi="Times New Roman" w:eastAsia="仿宋_GB2312" w:cs="Times New Roman"/>
          <w:sz w:val="32"/>
          <w:szCs w:val="32"/>
        </w:rPr>
        <w:t>万元，决算数大于年初预算数的主要原因是：机关报账经费</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、教育支出（类）教育管理事务（款）其他教育管理事务支出（项）。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176.03</w:t>
      </w:r>
      <w:r>
        <w:rPr>
          <w:rFonts w:hint="eastAsia" w:ascii="Times New Roman" w:hAnsi="Times New Roman" w:eastAsia="仿宋_GB2312" w:cs="Times New Roman"/>
          <w:sz w:val="32"/>
          <w:szCs w:val="32"/>
        </w:rPr>
        <w:t>万元，决算数大于年初预算数的主要原因是：拨民转公解聘教师补偿</w:t>
      </w:r>
      <w:r>
        <w:rPr>
          <w:rFonts w:hint="eastAsia" w:ascii="Times New Roman" w:hAnsi="Times New Roman" w:eastAsia="仿宋_GB2312" w:cs="Times New Roman"/>
          <w:sz w:val="32"/>
          <w:szCs w:val="32"/>
          <w:lang w:val="en-US" w:eastAsia="zh-CN"/>
        </w:rPr>
        <w:t>119.5万元，拨学校经费56.53万元。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8、教育支出（类）普通教育（款）其他普通教育支出（项）。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年初预算为565.29万元，支出决算为256.41万元，完成年初预算的45.36%，决算数小于于年初预算数的主要原因是：款项实际拨付时以其他类款项形式拨付。</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9、教育支出（类）职业教育（款）高等职业教育（项）。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年初预算为0万元，支出决算为12.37万元，决算数大于（小于）年初预算数的主要原因是：对区教育局（本级）的教育建设的追加投入。</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10、教育支出（类）其他教育支出（款）其他教育支出（项）。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年初预算为0万元，支出决算为456.77万元，决算数大于年初预算数的主要原因是：拨付公费定向师范生培养经费356.77万元；教育评价改革大数据平台服务费100万元。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11、社会保障和就业支出（类）人力资源和社会保障管理事务（款）引进人才费用（项）。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年初预算为0万元，支出决算为1.56万元，决算数大于年初预算数的主要原因是：拨付研究生人才补贴。</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基本支出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其他教育支出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456.77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42.88</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机关报账</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1055.13</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701.78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66.51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、生活补助、助学金、其他对个人和家庭的补助。</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353.35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33.49</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租赁费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劳务费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委托业务费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eastAsia="zh-CN"/>
        </w:rPr>
        <w:t>、办公设备购置。</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31.25</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31.25</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严控三公经费，减少不必要支出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检查、考察学习发生的接待支出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353.35</w:t>
      </w:r>
      <w:r>
        <w:rPr>
          <w:rFonts w:ascii="Times New Roman" w:hAnsi="Times New Roman" w:eastAsia="仿宋_GB2312" w:cs="Times New Roman"/>
          <w:sz w:val="32"/>
          <w:szCs w:val="32"/>
        </w:rPr>
        <w:t>万元，比年上年决算数增加</w:t>
      </w:r>
      <w:r>
        <w:rPr>
          <w:rFonts w:hint="eastAsia" w:ascii="Times New Roman" w:hAnsi="Times New Roman" w:eastAsia="仿宋_GB2312" w:cs="Times New Roman"/>
          <w:sz w:val="32"/>
          <w:szCs w:val="32"/>
          <w:lang w:val="en-US" w:eastAsia="zh-CN"/>
        </w:rPr>
        <w:t>66.82</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23.32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val="en-US" w:eastAsia="zh-CN"/>
        </w:rPr>
        <w:t>等。</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41</w:t>
      </w:r>
      <w:r>
        <w:rPr>
          <w:rFonts w:hint="eastAsia" w:ascii="Times New Roman" w:hAnsi="Times New Roman" w:eastAsia="仿宋_GB2312" w:cs="Times New Roman"/>
          <w:sz w:val="32"/>
          <w:szCs w:val="32"/>
        </w:rPr>
        <w:t>个教师节表彰会议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560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庆祝第</w:t>
      </w:r>
      <w:r>
        <w:rPr>
          <w:rFonts w:hint="eastAsia" w:ascii="Times New Roman" w:hAnsi="Times New Roman" w:eastAsia="仿宋_GB2312" w:cs="Times New Roman"/>
          <w:sz w:val="32"/>
          <w:szCs w:val="32"/>
          <w:lang w:val="en-US" w:eastAsia="zh-CN"/>
        </w:rPr>
        <w:t>41</w:t>
      </w:r>
      <w:r>
        <w:rPr>
          <w:rFonts w:hint="eastAsia" w:ascii="Times New Roman" w:hAnsi="Times New Roman" w:eastAsia="仿宋_GB2312" w:cs="Times New Roman"/>
          <w:sz w:val="32"/>
          <w:szCs w:val="32"/>
        </w:rPr>
        <w:t>个教师节，表彰优秀教师</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6.85</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rPr>
        <w:t>开展中小学心理健康培训培训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1148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rPr>
        <w:t>促进学生积极心理品质提升、健全完善教育体系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开展学校后勤财务账务培训，人数5</w:t>
      </w:r>
      <w:r>
        <w:rPr>
          <w:rFonts w:hint="eastAsia" w:ascii="Times New Roman" w:hAnsi="Times New Roman" w:eastAsia="仿宋_GB2312" w:cs="Times New Roman"/>
          <w:sz w:val="32"/>
          <w:szCs w:val="32"/>
          <w:lang w:val="en-US" w:eastAsia="zh-CN"/>
        </w:rPr>
        <w:t>68</w:t>
      </w:r>
      <w:r>
        <w:rPr>
          <w:rFonts w:hint="eastAsia" w:ascii="Times New Roman" w:hAnsi="Times New Roman" w:eastAsia="仿宋_GB2312" w:cs="Times New Roman"/>
          <w:sz w:val="32"/>
          <w:szCs w:val="32"/>
        </w:rPr>
        <w:t>人，内容为学校食堂后勤账务处理课程；未举办节庆、晚会、论坛、赛事等活动。</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367.23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367.23</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367.23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367.23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1065.13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1065.13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年度项目开展了部门评价，涉及一般公共预算支出</w:t>
      </w:r>
      <w:r>
        <w:rPr>
          <w:rFonts w:hint="eastAsia" w:ascii="Times New Roman" w:hAnsi="Times New Roman" w:eastAsia="仿宋_GB2312" w:cs="Times New Roman"/>
          <w:sz w:val="32"/>
          <w:szCs w:val="32"/>
        </w:rPr>
        <w:t>1065.13</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年度新增重大政策和重大项目开展事前绩效评估。</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1371.3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1265.71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发现的主要问题及原因：因部分工作是年中或年末开展，未纳入年初预算，另外还有部分不可预见经费的追加，无法纳入预算，导致预算执行存在偏差。下一步改进措施：将预算项目尽量完善。</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我局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各项资金使用的合理合规，充分发挥各项资金的效益性。</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一、财政拨款收入：指本级财政当年拨付的资金。</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二、上年结转和结余：指以前年度尚未完成、结转到本年按有关规定继续使用的资金。</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三、年末结转和结余资金：指本年度或以前年度预算安排、因客观条件发生变化无法按原计划实施，需要延迟到以后年度按有关规定继续使用的资金。</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四、基本支出：指保障机构正常运转、完成支日常工作任务而发生的人员支出和公用支出。</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五、项目支出：指在基本支出之外为完成特定行政任务和事业发展目标所发生的支出。</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六、“三公”经费：指用财政拨款安排的因公出国（境）费、公务用车购置及运行费和公务接待费。</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七、政府采购 ：是指国家各级政府为从事日常的政务活动或为了满足公共服务的目的，利用国家财政性资金和政府借款购买货物、工程和服务的行为。</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八、津贴补贴：反映经国家批准建立的机关事业单位艰苦边远地区津贴、机关工作人员地区附加津贴、机关工作人员岗位津贴、事业单位工作人员特殊岗位津贴补贴等。</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九、办公设备购置：反映用于购置并按财务会计制度规定纳入固定资产核算范围的办公家具和办公设备的支出，以及按规定提取的修购基金。</w:t>
      </w:r>
    </w:p>
    <w:p>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spacing w:line="600" w:lineRule="exact"/>
        <w:ind w:firstLine="640" w:firstLineChars="200"/>
        <w:rPr>
          <w:rFonts w:hint="eastAsia" w:ascii="Times New Roman" w:hAnsi="Times New Roman" w:eastAsia="仿宋_GB2312" w:cs="Times New Roman"/>
          <w:b/>
          <w:bCs/>
          <w:i/>
          <w:color w:val="000000"/>
          <w:kern w:val="0"/>
          <w:sz w:val="32"/>
          <w:szCs w:val="32"/>
          <w:lang w:eastAsia="zh-CN"/>
        </w:rPr>
      </w:pPr>
      <w:r>
        <w:rPr>
          <w:rFonts w:hint="eastAsia" w:ascii="Times New Roman" w:hAnsi="Times New Roman" w:eastAsia="仿宋_GB2312" w:cs="Times New Roman"/>
          <w:color w:val="000000"/>
          <w:kern w:val="0"/>
          <w:sz w:val="32"/>
          <w:szCs w:val="32"/>
        </w:rPr>
        <w:t>十一、教育支出（类）教育管理事务（款）其他教育管理事务支出（项）：指反映行政单位（包括公务员管理的事业单位）的除基本支出和项目支出外其他用于教育管理事务方面的支出</w:t>
      </w:r>
      <w:r>
        <w:rPr>
          <w:rFonts w:hint="eastAsia" w:ascii="Times New Roman" w:hAnsi="Times New Roman" w:eastAsia="仿宋_GB2312" w:cs="Times New Roman"/>
          <w:color w:val="000000"/>
          <w:kern w:val="0"/>
          <w:sz w:val="32"/>
          <w:szCs w:val="32"/>
          <w:lang w:eastAsia="zh-CN"/>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spacing w:line="600" w:lineRule="exact"/>
        <w:ind w:firstLine="640" w:firstLineChars="200"/>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年度赫山区教育局</w:t>
      </w:r>
      <w:r>
        <w:rPr>
          <w:rFonts w:hint="eastAsia" w:ascii="Times New Roman" w:hAnsi="Times New Roman" w:eastAsia="仿宋_GB2312" w:cs="Times New Roman"/>
          <w:sz w:val="32"/>
          <w:szCs w:val="32"/>
          <w:lang w:val="en-US" w:eastAsia="zh-CN"/>
        </w:rPr>
        <w:t>机关</w:t>
      </w:r>
      <w:r>
        <w:rPr>
          <w:rFonts w:hint="eastAsia" w:ascii="Times New Roman" w:hAnsi="Times New Roman" w:eastAsia="仿宋_GB2312" w:cs="Times New Roman"/>
          <w:sz w:val="32"/>
          <w:szCs w:val="32"/>
        </w:rPr>
        <w:t>整体支出</w:t>
      </w:r>
    </w:p>
    <w:p>
      <w:pPr>
        <w:pStyle w:val="12"/>
        <w:spacing w:line="600" w:lineRule="exact"/>
        <w:ind w:firstLine="640" w:firstLineChars="200"/>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绩效自评报告</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一、部门（单位）基本情况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（一）主要职能</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贯彻执行党和国家的教育方针、政策、法规和制度，拟订全区教育事业发展规划，管理全区的基础教育、职业教育、成人教育、特殊教育以及幼儿教育工作，管理并使用好教育预算内、外资金，实行财务的审计、检查和监督，加强师资队伍建设等事项。</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（二）部门决算单位构成</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益阳市赫山区教育局（本级）202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部门决算汇总公开单位构成包括：益阳市赫山区教育局（本级）以及下属二级机构：益阳市赫山区招生考试中心、益阳市赫山区教育信息化中心、益阳市赫山区学生资助中心、益阳市赫山区教育后勤服务中心、益阳市赫山区教育集中支付中心、益阳市赫山区教育物资采购和国有资产管理中心（所属二级机构未独立核算）。</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二、一般公共预算支出情况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（一）基本支出情况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区教育局系统202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1055.13</w:t>
      </w:r>
      <w:r>
        <w:rPr>
          <w:rFonts w:hint="eastAsia" w:ascii="Times New Roman" w:hAnsi="Times New Roman" w:eastAsia="仿宋_GB2312" w:cs="Times New Roman"/>
          <w:sz w:val="32"/>
          <w:szCs w:val="32"/>
        </w:rPr>
        <w:t>万元,其中工资福利支出</w:t>
      </w:r>
      <w:r>
        <w:rPr>
          <w:rFonts w:hint="eastAsia" w:ascii="Times New Roman" w:hAnsi="Times New Roman" w:eastAsia="仿宋_GB2312" w:cs="Times New Roman"/>
          <w:sz w:val="32"/>
          <w:szCs w:val="32"/>
          <w:lang w:val="en-US" w:eastAsia="zh-CN"/>
        </w:rPr>
        <w:t>484.72</w:t>
      </w:r>
      <w:r>
        <w:rPr>
          <w:rFonts w:hint="eastAsia" w:ascii="Times New Roman" w:hAnsi="Times New Roman" w:eastAsia="仿宋_GB2312" w:cs="Times New Roman"/>
          <w:sz w:val="32"/>
          <w:szCs w:val="32"/>
        </w:rPr>
        <w:t>万元，对个人和家庭的补助支出</w:t>
      </w:r>
      <w:r>
        <w:rPr>
          <w:rFonts w:hint="eastAsia" w:ascii="Times New Roman" w:hAnsi="Times New Roman" w:eastAsia="仿宋_GB2312" w:cs="Times New Roman"/>
          <w:sz w:val="32"/>
          <w:szCs w:val="32"/>
          <w:lang w:val="en-US" w:eastAsia="zh-CN"/>
        </w:rPr>
        <w:t>217.07</w:t>
      </w:r>
      <w:r>
        <w:rPr>
          <w:rFonts w:hint="eastAsia" w:ascii="Times New Roman" w:hAnsi="Times New Roman" w:eastAsia="仿宋_GB2312" w:cs="Times New Roman"/>
          <w:sz w:val="32"/>
          <w:szCs w:val="32"/>
        </w:rPr>
        <w:t>万元，商品和服务支出</w:t>
      </w:r>
      <w:r>
        <w:rPr>
          <w:rFonts w:hint="eastAsia" w:ascii="Times New Roman" w:hAnsi="Times New Roman" w:eastAsia="仿宋_GB2312" w:cs="Times New Roman"/>
          <w:sz w:val="32"/>
          <w:szCs w:val="32"/>
          <w:lang w:val="en-US" w:eastAsia="zh-CN"/>
        </w:rPr>
        <w:t>340.74</w:t>
      </w:r>
      <w:r>
        <w:rPr>
          <w:rFonts w:hint="eastAsia" w:ascii="Times New Roman" w:hAnsi="Times New Roman" w:eastAsia="仿宋_GB2312" w:cs="Times New Roman"/>
          <w:sz w:val="32"/>
          <w:szCs w:val="32"/>
        </w:rPr>
        <w:t>万元，资本性支出</w:t>
      </w:r>
      <w:r>
        <w:rPr>
          <w:rFonts w:hint="eastAsia" w:ascii="Times New Roman" w:hAnsi="Times New Roman" w:eastAsia="仿宋_GB2312" w:cs="Times New Roman"/>
          <w:sz w:val="32"/>
          <w:szCs w:val="32"/>
          <w:lang w:val="en-US" w:eastAsia="zh-CN"/>
        </w:rPr>
        <w:t>12.61万元，</w:t>
      </w:r>
      <w:r>
        <w:rPr>
          <w:rFonts w:hint="eastAsia" w:ascii="Times New Roman" w:hAnsi="Times New Roman" w:eastAsia="仿宋_GB2312" w:cs="Times New Roman"/>
          <w:sz w:val="32"/>
          <w:szCs w:val="32"/>
        </w:rPr>
        <w:t>其他支出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万元。工资福利支出、对个人和家庭的补助支出、商品和服务支出、资本性支出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其他支出分别占基本支出的</w:t>
      </w:r>
      <w:r>
        <w:rPr>
          <w:rFonts w:hint="eastAsia" w:ascii="Times New Roman" w:hAnsi="Times New Roman" w:eastAsia="仿宋_GB2312" w:cs="Times New Roman"/>
          <w:sz w:val="32"/>
          <w:szCs w:val="32"/>
          <w:lang w:val="en-US" w:eastAsia="zh-CN"/>
        </w:rPr>
        <w:t>45.94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20.57</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32.29</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rPr>
        <w:t>%。</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1.工资福利支出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区教育局系统20</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年度一般公共预算财政拨款基本支出工资福利支出</w:t>
      </w:r>
      <w:r>
        <w:rPr>
          <w:rFonts w:hint="eastAsia" w:ascii="Times New Roman" w:hAnsi="Times New Roman" w:eastAsia="仿宋_GB2312" w:cs="Times New Roman"/>
          <w:sz w:val="32"/>
          <w:szCs w:val="32"/>
          <w:lang w:val="en-US" w:eastAsia="zh-CN"/>
        </w:rPr>
        <w:t>484.72</w:t>
      </w:r>
      <w:r>
        <w:rPr>
          <w:rFonts w:hint="eastAsia" w:ascii="Times New Roman" w:hAnsi="Times New Roman" w:eastAsia="仿宋_GB2312" w:cs="Times New Roman"/>
          <w:sz w:val="32"/>
          <w:szCs w:val="32"/>
        </w:rPr>
        <w:t>万元，其中基本工资</w:t>
      </w:r>
      <w:r>
        <w:rPr>
          <w:rFonts w:hint="eastAsia" w:ascii="Times New Roman" w:hAnsi="Times New Roman" w:eastAsia="仿宋_GB2312" w:cs="Times New Roman"/>
          <w:sz w:val="32"/>
          <w:szCs w:val="32"/>
          <w:lang w:val="en-US" w:eastAsia="zh-CN"/>
        </w:rPr>
        <w:t>176.32</w:t>
      </w:r>
      <w:r>
        <w:rPr>
          <w:rFonts w:hint="eastAsia" w:ascii="Times New Roman" w:hAnsi="Times New Roman" w:eastAsia="仿宋_GB2312" w:cs="Times New Roman"/>
          <w:sz w:val="32"/>
          <w:szCs w:val="32"/>
        </w:rPr>
        <w:t>万元、津贴补贴</w:t>
      </w:r>
      <w:r>
        <w:rPr>
          <w:rFonts w:hint="eastAsia" w:ascii="Times New Roman" w:hAnsi="Times New Roman" w:eastAsia="仿宋_GB2312" w:cs="Times New Roman"/>
          <w:sz w:val="32"/>
          <w:szCs w:val="32"/>
          <w:lang w:val="en-US" w:eastAsia="zh-CN"/>
        </w:rPr>
        <w:t>53.56</w:t>
      </w:r>
      <w:r>
        <w:rPr>
          <w:rFonts w:hint="eastAsia" w:ascii="Times New Roman" w:hAnsi="Times New Roman" w:eastAsia="仿宋_GB2312" w:cs="Times New Roman"/>
          <w:sz w:val="32"/>
          <w:szCs w:val="32"/>
        </w:rPr>
        <w:t>万元、奖金</w:t>
      </w:r>
      <w:r>
        <w:rPr>
          <w:rFonts w:hint="eastAsia" w:ascii="Times New Roman" w:hAnsi="Times New Roman" w:eastAsia="仿宋_GB2312" w:cs="Times New Roman"/>
          <w:sz w:val="32"/>
          <w:szCs w:val="32"/>
          <w:lang w:val="en-US" w:eastAsia="zh-CN"/>
        </w:rPr>
        <w:t>96.76</w:t>
      </w:r>
      <w:r>
        <w:rPr>
          <w:rFonts w:hint="eastAsia" w:ascii="Times New Roman" w:hAnsi="Times New Roman" w:eastAsia="仿宋_GB2312" w:cs="Times New Roman"/>
          <w:sz w:val="32"/>
          <w:szCs w:val="32"/>
        </w:rPr>
        <w:t>万元、绩效工资</w:t>
      </w:r>
      <w:r>
        <w:rPr>
          <w:rFonts w:hint="eastAsia" w:ascii="Times New Roman" w:hAnsi="Times New Roman" w:eastAsia="仿宋_GB2312" w:cs="Times New Roman"/>
          <w:sz w:val="32"/>
          <w:szCs w:val="32"/>
          <w:lang w:val="en-US" w:eastAsia="zh-CN"/>
        </w:rPr>
        <w:t>76.03</w:t>
      </w:r>
      <w:r>
        <w:rPr>
          <w:rFonts w:hint="eastAsia" w:ascii="Times New Roman" w:hAnsi="Times New Roman" w:eastAsia="仿宋_GB2312" w:cs="Times New Roman"/>
          <w:sz w:val="32"/>
          <w:szCs w:val="32"/>
        </w:rPr>
        <w:t>万元、机关事业单位基本养老保险缴费</w:t>
      </w:r>
      <w:r>
        <w:rPr>
          <w:rFonts w:hint="eastAsia" w:ascii="Times New Roman" w:hAnsi="Times New Roman" w:eastAsia="仿宋_GB2312" w:cs="Times New Roman"/>
          <w:sz w:val="32"/>
          <w:szCs w:val="32"/>
          <w:lang w:val="en-US" w:eastAsia="zh-CN"/>
        </w:rPr>
        <w:t>33.69</w:t>
      </w:r>
      <w:r>
        <w:rPr>
          <w:rFonts w:hint="eastAsia" w:ascii="Times New Roman" w:hAnsi="Times New Roman" w:eastAsia="仿宋_GB2312" w:cs="Times New Roman"/>
          <w:sz w:val="32"/>
          <w:szCs w:val="32"/>
        </w:rPr>
        <w:t>万元、职工基本医疗保险缴费</w:t>
      </w:r>
      <w:r>
        <w:rPr>
          <w:rFonts w:hint="eastAsia" w:ascii="Times New Roman" w:hAnsi="Times New Roman" w:eastAsia="仿宋_GB2312" w:cs="Times New Roman"/>
          <w:sz w:val="32"/>
          <w:szCs w:val="32"/>
          <w:lang w:val="en-US" w:eastAsia="zh-CN"/>
        </w:rPr>
        <w:t>16.85</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val="en-US" w:eastAsia="zh-CN"/>
        </w:rPr>
        <w:t>5.26万元、</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val="en-US" w:eastAsia="zh-CN"/>
        </w:rPr>
        <w:t>26.25</w:t>
      </w:r>
      <w:r>
        <w:rPr>
          <w:rFonts w:hint="eastAsia" w:ascii="Times New Roman" w:hAnsi="Times New Roman" w:eastAsia="仿宋_GB2312" w:cs="Times New Roman"/>
          <w:sz w:val="32"/>
          <w:szCs w:val="32"/>
        </w:rPr>
        <w:t xml:space="preserve">万元。 </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2.商品服务支出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区教育局系统202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年度一般公共预算财政拨款基本支出商品服务支出</w:t>
      </w:r>
      <w:r>
        <w:rPr>
          <w:rFonts w:hint="eastAsia" w:ascii="Times New Roman" w:hAnsi="Times New Roman" w:eastAsia="仿宋_GB2312" w:cs="Times New Roman"/>
          <w:sz w:val="32"/>
          <w:szCs w:val="32"/>
          <w:lang w:val="en-US" w:eastAsia="zh-CN"/>
        </w:rPr>
        <w:t>340.74</w:t>
      </w:r>
      <w:r>
        <w:rPr>
          <w:rFonts w:hint="eastAsia" w:ascii="Times New Roman" w:hAnsi="Times New Roman" w:eastAsia="仿宋_GB2312" w:cs="Times New Roman"/>
          <w:sz w:val="32"/>
          <w:szCs w:val="32"/>
        </w:rPr>
        <w:t>万元，其中办公费</w:t>
      </w:r>
      <w:r>
        <w:rPr>
          <w:rFonts w:hint="eastAsia" w:ascii="Times New Roman" w:hAnsi="Times New Roman" w:eastAsia="仿宋_GB2312" w:cs="Times New Roman"/>
          <w:sz w:val="32"/>
          <w:szCs w:val="32"/>
          <w:lang w:val="en-US" w:eastAsia="zh-CN"/>
        </w:rPr>
        <w:t>42.22</w:t>
      </w:r>
      <w:r>
        <w:rPr>
          <w:rFonts w:hint="eastAsia" w:ascii="Times New Roman" w:hAnsi="Times New Roman" w:eastAsia="仿宋_GB2312" w:cs="Times New Roman"/>
          <w:sz w:val="32"/>
          <w:szCs w:val="32"/>
        </w:rPr>
        <w:t>万元、印刷费</w:t>
      </w:r>
      <w:r>
        <w:rPr>
          <w:rFonts w:hint="eastAsia" w:ascii="Times New Roman" w:hAnsi="Times New Roman" w:eastAsia="仿宋_GB2312" w:cs="Times New Roman"/>
          <w:sz w:val="32"/>
          <w:szCs w:val="32"/>
          <w:lang w:val="en-US" w:eastAsia="zh-CN"/>
        </w:rPr>
        <w:t>65.74</w:t>
      </w:r>
      <w:r>
        <w:rPr>
          <w:rFonts w:hint="eastAsia" w:ascii="Times New Roman" w:hAnsi="Times New Roman" w:eastAsia="仿宋_GB2312" w:cs="Times New Roman"/>
          <w:sz w:val="32"/>
          <w:szCs w:val="32"/>
        </w:rPr>
        <w:t>万元、水费</w:t>
      </w:r>
      <w:r>
        <w:rPr>
          <w:rFonts w:hint="eastAsia" w:ascii="Times New Roman" w:hAnsi="Times New Roman" w:eastAsia="仿宋_GB2312" w:cs="Times New Roman"/>
          <w:sz w:val="32"/>
          <w:szCs w:val="32"/>
          <w:lang w:val="en-US" w:eastAsia="zh-CN"/>
        </w:rPr>
        <w:t>2.38</w:t>
      </w:r>
      <w:r>
        <w:rPr>
          <w:rFonts w:hint="eastAsia" w:ascii="Times New Roman" w:hAnsi="Times New Roman" w:eastAsia="仿宋_GB2312" w:cs="Times New Roman"/>
          <w:sz w:val="32"/>
          <w:szCs w:val="32"/>
        </w:rPr>
        <w:t>万元、电费</w:t>
      </w:r>
      <w:r>
        <w:rPr>
          <w:rFonts w:hint="eastAsia" w:ascii="Times New Roman" w:hAnsi="Times New Roman" w:eastAsia="仿宋_GB2312" w:cs="Times New Roman"/>
          <w:sz w:val="32"/>
          <w:szCs w:val="32"/>
          <w:lang w:val="en-US" w:eastAsia="zh-CN"/>
        </w:rPr>
        <w:t>21.6</w:t>
      </w:r>
      <w:r>
        <w:rPr>
          <w:rFonts w:hint="eastAsia" w:ascii="Times New Roman" w:hAnsi="Times New Roman" w:eastAsia="仿宋_GB2312" w:cs="Times New Roman"/>
          <w:sz w:val="32"/>
          <w:szCs w:val="32"/>
        </w:rPr>
        <w:t>万元、邮电费</w:t>
      </w:r>
      <w:r>
        <w:rPr>
          <w:rFonts w:hint="eastAsia" w:ascii="Times New Roman" w:hAnsi="Times New Roman" w:eastAsia="仿宋_GB2312" w:cs="Times New Roman"/>
          <w:sz w:val="32"/>
          <w:szCs w:val="32"/>
          <w:lang w:val="en-US" w:eastAsia="zh-CN"/>
        </w:rPr>
        <w:t>1.94</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物业管理费1.92万元、</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val="en-US" w:eastAsia="zh-CN"/>
        </w:rPr>
        <w:t>2.98</w:t>
      </w:r>
      <w:r>
        <w:rPr>
          <w:rFonts w:hint="eastAsia" w:ascii="Times New Roman" w:hAnsi="Times New Roman" w:eastAsia="仿宋_GB2312" w:cs="Times New Roman"/>
          <w:sz w:val="32"/>
          <w:szCs w:val="32"/>
        </w:rPr>
        <w:t>万元、维修（护）费</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6.42万元、</w:t>
      </w:r>
      <w:r>
        <w:rPr>
          <w:rFonts w:hint="eastAsia" w:ascii="Times New Roman" w:hAnsi="Times New Roman" w:eastAsia="仿宋_GB2312" w:cs="Times New Roman"/>
          <w:sz w:val="32"/>
          <w:szCs w:val="32"/>
          <w:lang w:val="en-US" w:eastAsia="zh-CN"/>
        </w:rPr>
        <w:t>租赁费35.37万元、</w:t>
      </w:r>
      <w:r>
        <w:rPr>
          <w:rFonts w:hint="eastAsia"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val="en-US" w:eastAsia="zh-CN"/>
        </w:rPr>
        <w:t>0.13</w:t>
      </w:r>
      <w:r>
        <w:rPr>
          <w:rFonts w:hint="eastAsia" w:ascii="Times New Roman" w:hAnsi="Times New Roman" w:eastAsia="仿宋_GB2312" w:cs="Times New Roman"/>
          <w:sz w:val="32"/>
          <w:szCs w:val="32"/>
        </w:rPr>
        <w:t>万元、培训费</w:t>
      </w:r>
      <w:r>
        <w:rPr>
          <w:rFonts w:hint="eastAsia" w:ascii="Times New Roman" w:hAnsi="Times New Roman" w:eastAsia="仿宋_GB2312" w:cs="Times New Roman"/>
          <w:sz w:val="32"/>
          <w:szCs w:val="32"/>
          <w:lang w:val="en-US" w:eastAsia="zh-CN"/>
        </w:rPr>
        <w:t>6.85</w:t>
      </w:r>
      <w:r>
        <w:rPr>
          <w:rFonts w:hint="eastAsia" w:ascii="Times New Roman" w:hAnsi="Times New Roman" w:eastAsia="仿宋_GB2312" w:cs="Times New Roman"/>
          <w:sz w:val="32"/>
          <w:szCs w:val="32"/>
        </w:rPr>
        <w:t>万元、公务接待费</w:t>
      </w:r>
      <w:r>
        <w:rPr>
          <w:rFonts w:hint="eastAsia" w:ascii="Times New Roman" w:hAnsi="Times New Roman" w:eastAsia="仿宋_GB2312" w:cs="Times New Roman"/>
          <w:sz w:val="32"/>
          <w:szCs w:val="32"/>
          <w:lang w:val="en-US" w:eastAsia="zh-CN"/>
        </w:rPr>
        <w:t>0.2</w:t>
      </w:r>
      <w:r>
        <w:rPr>
          <w:rFonts w:hint="eastAsia" w:ascii="Times New Roman" w:hAnsi="Times New Roman" w:eastAsia="仿宋_GB2312" w:cs="Times New Roman"/>
          <w:sz w:val="32"/>
          <w:szCs w:val="32"/>
        </w:rPr>
        <w:t>2万元、劳务费</w:t>
      </w:r>
      <w:r>
        <w:rPr>
          <w:rFonts w:hint="eastAsia" w:ascii="Times New Roman" w:hAnsi="Times New Roman" w:eastAsia="仿宋_GB2312" w:cs="Times New Roman"/>
          <w:sz w:val="32"/>
          <w:szCs w:val="32"/>
          <w:lang w:val="en-US" w:eastAsia="zh-CN"/>
        </w:rPr>
        <w:t>22.07</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委托业务费79.89万元、</w:t>
      </w:r>
      <w:r>
        <w:rPr>
          <w:rFonts w:hint="eastAsia" w:ascii="Times New Roman" w:hAnsi="Times New Roman" w:eastAsia="仿宋_GB2312" w:cs="Times New Roman"/>
          <w:sz w:val="32"/>
          <w:szCs w:val="32"/>
        </w:rPr>
        <w:t>其他交通费</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其他商品和服务支出</w:t>
      </w: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rPr>
        <w:t>万元。</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3.资本性支出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区教育局系统202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年度一般公共预算财政拨款基本支出资本性支出</w:t>
      </w:r>
      <w:r>
        <w:rPr>
          <w:rFonts w:hint="eastAsia" w:ascii="Times New Roman" w:hAnsi="Times New Roman" w:eastAsia="仿宋_GB2312" w:cs="Times New Roman"/>
          <w:sz w:val="32"/>
          <w:szCs w:val="32"/>
          <w:lang w:val="en-US" w:eastAsia="zh-CN"/>
        </w:rPr>
        <w:t>12.61</w:t>
      </w:r>
      <w:r>
        <w:rPr>
          <w:rFonts w:hint="eastAsia" w:ascii="Times New Roman" w:hAnsi="Times New Roman" w:eastAsia="仿宋_GB2312" w:cs="Times New Roman"/>
          <w:sz w:val="32"/>
          <w:szCs w:val="32"/>
        </w:rPr>
        <w:t>万元，其中办公设备购置</w:t>
      </w:r>
      <w:r>
        <w:rPr>
          <w:rFonts w:hint="eastAsia" w:ascii="Times New Roman" w:hAnsi="Times New Roman" w:eastAsia="仿宋_GB2312" w:cs="Times New Roman"/>
          <w:sz w:val="32"/>
          <w:szCs w:val="32"/>
          <w:lang w:val="en-US" w:eastAsia="zh-CN"/>
        </w:rPr>
        <w:t>12.61</w:t>
      </w:r>
      <w:r>
        <w:rPr>
          <w:rFonts w:hint="eastAsia" w:ascii="Times New Roman" w:hAnsi="Times New Roman" w:eastAsia="仿宋_GB2312" w:cs="Times New Roman"/>
          <w:sz w:val="32"/>
          <w:szCs w:val="32"/>
        </w:rPr>
        <w:t>万元。</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（二）项目支出情况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区教育局系统202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一般公共预算财政拨款项目支出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三、政府性基金预算支出情况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本单位本年度无政府性基金预算支出。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四、国有资本经营预算支出情况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本单位本年度无国有资本经营预算支出。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五、社会保险基金预算支出情况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本单位本年度无社会保险基金预算支出。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六、部门整体支出绩效情况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赫山区教育局严格执行《预算法》，强化支出责任，不断提高资金使用效益，根据绩效评价相关制度规定对202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年度部门整体支出开展绩效评价，认真制定绩效自评工作方案，坚持客观公正和有效性原则，按照设定的指标体系，组织各职能股室对各类项目资金开展预算资金绩效自评。</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（一）绩效评价工作情况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1.成立领导小组。教育局抽调计财股、支付中心、审计股等部门、项目部门负责人、项目相关学校财务人员组成绩效评价工作领导小组，学习评价指标体系和绩效评价相关要求，明确工作职责和分工。</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3.实施绩效评价</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通过实地勘察、询问、发放问卷调查、召开座谈会听取汇报等方式收集相关评价资料，由评价小组对资料进行分类、整理、分析，根据评价方案中制定的评价依据、评价标准进行打分。</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（二）部门整体支出主要绩效及评价结论</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区教育局不断加强资金管理，合理分配资金，按照重点倾斜、集中投入的原则，保运转、促发展，对预算支出管理实施动态监控、过程跟踪，依法实施政府采购、集中支付，做到各类预算支出专款专用，分类记账，独立核算，真实反映部门整体收支动态，及时公开资金管理使用情况，接受组织、个人或社会团体监督，圆满完成了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年度预算执行任务。</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绩效评价工作组对区教育系统教育经费投入和使用情况进行整体跟踪、综合评价，要根据资金来源分“财政拨款支出”和“其他资金支出”分类进行明细核算，根据支出类别分“基本支出”的“项目支出”进行明细核算，对“财政拨款支出”分“一般公共预算拨款”和“政府性基金预算拨款”进行明细核算，会计核算不存在支出依据不合规、虚列支出的情况，不存在截留、挤占、挪用项目资金情况，资金使用任务目标明确、到位及时，具有较好的经济和社会效益，群众和社会满意度较高。</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七、存在的问题及原因分析</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1.项目报批程序复杂，实施时间跨度大，项目实施进度缓慢。</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2.预决算偏离度较大。在编制部门预算时，需进一步加强预算管理，及时调整预算，减小预决算偏离度。</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3.资金使用效率还有待提高。由于各级部门支付进度不一，部分资金不能及时到位，一定程度上影响了资金的使用效益。</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八、下一步改进措施</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1.组织绩效管理培训，健全绩效管理机制。组织绩效管理培训，健全绩效管理机制，不断推动预算和绩效管理一体化。合理编制预算，设置科学合理的绩效指标是做好预算管理的首要工作。</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科学编制预算，降低预算调整率。提高资金预算编制的准确性是实现财政资金使用效益最大化的根本保证。应进一步强化预算概念，明确其预算职责，科学合理测算项目支出及政府采购计划，提升预算资金安排的精准性、科学性，以降低预算调整率。</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九、绩效自评结果拟应用和公开情况</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根据财政部门要求，区教育局认真组织开展了202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年度预决算，对预算执行情况进行了部门整体支出绩效评价，根据财政部门要求在政府门户网站进行公开，公开内容包括202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年度赫山区教育局整体支出绩效自评报告和自评表。</w:t>
      </w:r>
    </w:p>
    <w:p>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无</w:t>
      </w: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FE0540"/>
    <w:multiLevelType w:val="singleLevel"/>
    <w:tmpl w:val="5BFE05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MmU4YTVlNTE2ZGY1ZmE1Yjk4YTA1MTViMzc0ZjM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D102C9"/>
    <w:rsid w:val="048D195A"/>
    <w:rsid w:val="04CD66EB"/>
    <w:rsid w:val="08ED412F"/>
    <w:rsid w:val="0A7964DD"/>
    <w:rsid w:val="0CAA2113"/>
    <w:rsid w:val="0D4D11B0"/>
    <w:rsid w:val="1B3612AB"/>
    <w:rsid w:val="1D97DEFF"/>
    <w:rsid w:val="1DFF72E5"/>
    <w:rsid w:val="1EFC6F07"/>
    <w:rsid w:val="20166F4A"/>
    <w:rsid w:val="220719D3"/>
    <w:rsid w:val="2FDF85B8"/>
    <w:rsid w:val="2FFFEE04"/>
    <w:rsid w:val="3187632B"/>
    <w:rsid w:val="328907BC"/>
    <w:rsid w:val="328F1D45"/>
    <w:rsid w:val="34B3484C"/>
    <w:rsid w:val="34DF85B0"/>
    <w:rsid w:val="376108B0"/>
    <w:rsid w:val="3B8F36BC"/>
    <w:rsid w:val="3CD15E8A"/>
    <w:rsid w:val="40291830"/>
    <w:rsid w:val="41495AEC"/>
    <w:rsid w:val="437D25BE"/>
    <w:rsid w:val="44703ED1"/>
    <w:rsid w:val="491FF225"/>
    <w:rsid w:val="494D77BC"/>
    <w:rsid w:val="4ACB7329"/>
    <w:rsid w:val="4F0D4F25"/>
    <w:rsid w:val="4FA72D25"/>
    <w:rsid w:val="4FFD214C"/>
    <w:rsid w:val="50F54B3B"/>
    <w:rsid w:val="54B602D0"/>
    <w:rsid w:val="54ED6E78"/>
    <w:rsid w:val="5777D4F5"/>
    <w:rsid w:val="58A25F92"/>
    <w:rsid w:val="59DD8326"/>
    <w:rsid w:val="5A0200F9"/>
    <w:rsid w:val="5BE67520"/>
    <w:rsid w:val="5DEF592A"/>
    <w:rsid w:val="5E4253C3"/>
    <w:rsid w:val="5EA11B03"/>
    <w:rsid w:val="5EFC043B"/>
    <w:rsid w:val="5FC6BB1E"/>
    <w:rsid w:val="5FF720F1"/>
    <w:rsid w:val="60EE3C31"/>
    <w:rsid w:val="66525371"/>
    <w:rsid w:val="67FF5C0B"/>
    <w:rsid w:val="68F416A2"/>
    <w:rsid w:val="6AC051D1"/>
    <w:rsid w:val="6B0074AE"/>
    <w:rsid w:val="6EFC0924"/>
    <w:rsid w:val="6FB74722"/>
    <w:rsid w:val="6FEF8B7E"/>
    <w:rsid w:val="70E328F4"/>
    <w:rsid w:val="71A6591B"/>
    <w:rsid w:val="737D59BA"/>
    <w:rsid w:val="765D2B74"/>
    <w:rsid w:val="77C37683"/>
    <w:rsid w:val="77DE46D3"/>
    <w:rsid w:val="78FE1CC2"/>
    <w:rsid w:val="794C553C"/>
    <w:rsid w:val="79D19834"/>
    <w:rsid w:val="79FF515B"/>
    <w:rsid w:val="7B9D450C"/>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1463</Words>
  <Characters>8342</Characters>
  <Lines>69</Lines>
  <Paragraphs>19</Paragraphs>
  <TotalTime>1</TotalTime>
  <ScaleCrop>false</ScaleCrop>
  <LinksUpToDate>false</LinksUpToDate>
  <CharactersWithSpaces>9786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栋栋宏</cp:lastModifiedBy>
  <cp:lastPrinted>2024-08-10T02:20:00Z</cp:lastPrinted>
  <dcterms:modified xsi:type="dcterms:W3CDTF">2026-08-26T01:52:29Z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2628D4CDBB3D458B93EDC0A4B05D94B1_13</vt:lpwstr>
  </property>
</Properties>
</file>