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EBF535F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8"/>
          <w:szCs w:val="48"/>
        </w:rPr>
        <w:t>益阳市公安局本级2026年单位预算公开说明</w:t>
      </w:r>
      <w:r>
        <w:rPr>
          <w:color w:val="000000"/>
        </w:rPr>
        <w:t xml:space="preserve"> </w:t>
      </w:r>
    </w:p>
    <w:p w14:paraId="47AE9A45">
      <w:pPr>
        <w:spacing w:before="0" w:beforeAutospacing="0" w:after="2" w:afterAutospacing="0"/>
        <w:jc w:val="center"/>
      </w:pPr>
      <w:r>
        <w:rPr>
          <w:rFonts w:ascii="宋体" w:hAnsi="宋体" w:eastAsia="宋体" w:cs="宋体"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4222DD87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36"/>
          <w:szCs w:val="36"/>
        </w:rPr>
        <w:t>目 录</w:t>
      </w:r>
      <w:r>
        <w:rPr>
          <w:color w:val="000000"/>
        </w:rPr>
        <w:t xml:space="preserve"> </w:t>
      </w:r>
    </w:p>
    <w:p w14:paraId="0EFAA88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第一部分 2026年单位预算说明</w:t>
      </w:r>
      <w:r>
        <w:rPr>
          <w:color w:val="000000"/>
        </w:rPr>
        <w:t xml:space="preserve"> </w:t>
      </w:r>
    </w:p>
    <w:p w14:paraId="059112B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一、单位基本概况</w:t>
      </w:r>
      <w:r>
        <w:rPr>
          <w:color w:val="000000"/>
        </w:rPr>
        <w:t xml:space="preserve"> </w:t>
      </w:r>
    </w:p>
    <w:p w14:paraId="64C3F34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（一）职能职责</w:t>
      </w:r>
      <w:r>
        <w:rPr>
          <w:color w:val="000000"/>
        </w:rPr>
        <w:t xml:space="preserve"> </w:t>
      </w:r>
    </w:p>
    <w:p w14:paraId="0D6F5F3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（二）机构设置</w:t>
      </w:r>
      <w:r>
        <w:rPr>
          <w:color w:val="000000"/>
        </w:rPr>
        <w:t xml:space="preserve"> </w:t>
      </w:r>
    </w:p>
    <w:p w14:paraId="7B81371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二、预算单位构成</w:t>
      </w:r>
      <w:r>
        <w:rPr>
          <w:color w:val="000000"/>
        </w:rPr>
        <w:t xml:space="preserve"> </w:t>
      </w:r>
    </w:p>
    <w:p w14:paraId="2816058B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三、单位收支总体情况</w:t>
      </w:r>
      <w:r>
        <w:rPr>
          <w:color w:val="000000"/>
        </w:rPr>
        <w:t xml:space="preserve"> </w:t>
      </w:r>
    </w:p>
    <w:p w14:paraId="7571BC8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（一）收入预算</w:t>
      </w:r>
      <w:r>
        <w:rPr>
          <w:color w:val="000000"/>
        </w:rPr>
        <w:t xml:space="preserve"> </w:t>
      </w:r>
    </w:p>
    <w:p w14:paraId="5FB1706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（二）支出预算</w:t>
      </w:r>
      <w:r>
        <w:rPr>
          <w:color w:val="000000"/>
        </w:rPr>
        <w:t xml:space="preserve"> </w:t>
      </w:r>
    </w:p>
    <w:p w14:paraId="0B7823C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四、一般公共预算拨款支出</w:t>
      </w:r>
      <w:r>
        <w:rPr>
          <w:color w:val="000000"/>
        </w:rPr>
        <w:t xml:space="preserve"> </w:t>
      </w:r>
    </w:p>
    <w:p w14:paraId="655681F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（一）基本支出</w:t>
      </w:r>
      <w:r>
        <w:rPr>
          <w:color w:val="000000"/>
        </w:rPr>
        <w:t xml:space="preserve"> </w:t>
      </w:r>
    </w:p>
    <w:p w14:paraId="1217776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（二）项目支出</w:t>
      </w:r>
      <w:r>
        <w:rPr>
          <w:color w:val="000000"/>
        </w:rPr>
        <w:t xml:space="preserve"> </w:t>
      </w:r>
    </w:p>
    <w:p w14:paraId="6B1E0A8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五、政府性基金预算支出</w:t>
      </w:r>
      <w:r>
        <w:rPr>
          <w:color w:val="000000"/>
        </w:rPr>
        <w:t xml:space="preserve"> </w:t>
      </w:r>
    </w:p>
    <w:p w14:paraId="24517F4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六、其他重要事项的情况说明</w:t>
      </w:r>
      <w:r>
        <w:rPr>
          <w:color w:val="000000"/>
        </w:rPr>
        <w:t xml:space="preserve"> </w:t>
      </w:r>
    </w:p>
    <w:p w14:paraId="26AA052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（一）机关运行经费</w:t>
      </w:r>
      <w:r>
        <w:rPr>
          <w:color w:val="000000"/>
        </w:rPr>
        <w:t xml:space="preserve"> </w:t>
      </w:r>
    </w:p>
    <w:p w14:paraId="5447A8F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（二）“三公”经费预算</w:t>
      </w:r>
      <w:r>
        <w:rPr>
          <w:color w:val="000000"/>
        </w:rPr>
        <w:t xml:space="preserve"> </w:t>
      </w:r>
    </w:p>
    <w:p w14:paraId="1330EF2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（三）一般性支出情况</w:t>
      </w:r>
      <w:r>
        <w:rPr>
          <w:color w:val="000000"/>
        </w:rPr>
        <w:t xml:space="preserve"> </w:t>
      </w:r>
    </w:p>
    <w:p w14:paraId="5AF9C9E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（四）政府采购情况</w:t>
      </w:r>
      <w:r>
        <w:rPr>
          <w:color w:val="000000"/>
        </w:rPr>
        <w:t xml:space="preserve"> </w:t>
      </w:r>
    </w:p>
    <w:p w14:paraId="5F45AE4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（五）国有资产占用使用及新增资产配置情况</w:t>
      </w:r>
      <w:r>
        <w:rPr>
          <w:color w:val="000000"/>
        </w:rPr>
        <w:t xml:space="preserve"> </w:t>
      </w:r>
    </w:p>
    <w:p w14:paraId="1E8412F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（六）单位整体支出、单位项目支出、重点（专项）项目支出预算绩效目标情况说明</w:t>
      </w:r>
      <w:r>
        <w:rPr>
          <w:color w:val="000000"/>
        </w:rPr>
        <w:t xml:space="preserve"> </w:t>
      </w:r>
    </w:p>
    <w:p w14:paraId="23EC46EB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七、名词解释</w:t>
      </w:r>
    </w:p>
    <w:p w14:paraId="3639090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第二部分</w:t>
      </w:r>
      <w:r>
        <w:rPr>
          <w:b/>
          <w:bCs/>
          <w:color w:val="000000"/>
        </w:rPr>
        <w:t xml:space="preserve"> </w:t>
      </w: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2026年单位预算表</w:t>
      </w:r>
      <w:r>
        <w:rPr>
          <w:color w:val="000000"/>
        </w:rPr>
        <w:t xml:space="preserve"> </w:t>
      </w:r>
    </w:p>
    <w:p w14:paraId="0436395F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1、收支总表</w:t>
      </w:r>
      <w:r>
        <w:rPr>
          <w:color w:val="000000"/>
        </w:rPr>
        <w:t xml:space="preserve"> </w:t>
      </w:r>
    </w:p>
    <w:p w14:paraId="01979DFB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2、收入总表</w:t>
      </w:r>
      <w:r>
        <w:rPr>
          <w:color w:val="000000"/>
        </w:rPr>
        <w:t xml:space="preserve"> </w:t>
      </w:r>
    </w:p>
    <w:p w14:paraId="34426DB8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3、支出总表</w:t>
      </w:r>
      <w:r>
        <w:rPr>
          <w:color w:val="000000"/>
        </w:rPr>
        <w:t xml:space="preserve"> </w:t>
      </w:r>
    </w:p>
    <w:p w14:paraId="02CDEFE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4、支出预算分类汇总表（按政府预算经济分类）</w:t>
      </w:r>
      <w:r>
        <w:rPr>
          <w:color w:val="000000"/>
        </w:rPr>
        <w:t xml:space="preserve"> </w:t>
      </w:r>
    </w:p>
    <w:p w14:paraId="3C8B28D6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5、支出预算分类汇总表（按单位预算经济分类）</w:t>
      </w:r>
      <w:r>
        <w:rPr>
          <w:color w:val="000000"/>
        </w:rPr>
        <w:t xml:space="preserve"> </w:t>
      </w:r>
    </w:p>
    <w:p w14:paraId="20EA5D81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6、财政拨款收支总表</w:t>
      </w:r>
      <w:r>
        <w:rPr>
          <w:color w:val="000000"/>
        </w:rPr>
        <w:t xml:space="preserve"> </w:t>
      </w:r>
    </w:p>
    <w:p w14:paraId="6546ADB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7、一般公共预算支出表</w:t>
      </w:r>
      <w:r>
        <w:rPr>
          <w:color w:val="000000"/>
        </w:rPr>
        <w:t xml:space="preserve"> </w:t>
      </w:r>
    </w:p>
    <w:p w14:paraId="3BBC4519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8、一般公共预算基本支出表（纵向）</w:t>
      </w:r>
      <w:r>
        <w:rPr>
          <w:color w:val="000000"/>
        </w:rPr>
        <w:t xml:space="preserve"> </w:t>
      </w:r>
    </w:p>
    <w:p w14:paraId="2BF47E04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9、一般公共预算基本支出表（横向）</w:t>
      </w:r>
      <w:r>
        <w:rPr>
          <w:color w:val="000000"/>
        </w:rPr>
        <w:t xml:space="preserve"> </w:t>
      </w:r>
    </w:p>
    <w:p w14:paraId="2F7688F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10、一般公共预算基本支出表--人员经费(工资福利支出)(按政府预算经济分类)</w:t>
      </w:r>
      <w:r>
        <w:rPr>
          <w:color w:val="000000"/>
        </w:rPr>
        <w:t xml:space="preserve"> </w:t>
      </w:r>
    </w:p>
    <w:p w14:paraId="0F7872D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11、一般公共预算基本支出表--人员经费(工资福利支出)(按单位预算经济分类)</w:t>
      </w:r>
      <w:r>
        <w:rPr>
          <w:color w:val="000000"/>
        </w:rPr>
        <w:t xml:space="preserve"> </w:t>
      </w:r>
    </w:p>
    <w:p w14:paraId="544ACFE2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12、一般公共预算基本支出表--人员经费(对个人和家庭的补助)(按政府预算经济分类)</w:t>
      </w:r>
      <w:r>
        <w:rPr>
          <w:color w:val="000000"/>
        </w:rPr>
        <w:t xml:space="preserve"> </w:t>
      </w:r>
    </w:p>
    <w:p w14:paraId="329EFCD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13、一般公共预算基本支出表--人员经费(对个人和家庭的补助)（按单位预算经济分类）</w:t>
      </w:r>
      <w:r>
        <w:rPr>
          <w:color w:val="000000"/>
        </w:rPr>
        <w:t xml:space="preserve"> </w:t>
      </w:r>
    </w:p>
    <w:p w14:paraId="77BD2E60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14、一般公共预算基本支出表--公用经费(商品和服务支出)（按政府预算经济分类）</w:t>
      </w:r>
      <w:r>
        <w:rPr>
          <w:color w:val="000000"/>
        </w:rPr>
        <w:t xml:space="preserve"> </w:t>
      </w:r>
    </w:p>
    <w:p w14:paraId="7542E8AB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15、一般公共预算基本支出表--公用经费(商品和服务支出)(按单位预算经济分类)</w:t>
      </w:r>
      <w:r>
        <w:rPr>
          <w:color w:val="000000"/>
        </w:rPr>
        <w:t xml:space="preserve"> </w:t>
      </w:r>
    </w:p>
    <w:p w14:paraId="26066ED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16、一般公共预算“三公”经费支出表</w:t>
      </w:r>
      <w:r>
        <w:rPr>
          <w:color w:val="000000"/>
        </w:rPr>
        <w:t xml:space="preserve"> </w:t>
      </w:r>
    </w:p>
    <w:p w14:paraId="4F9F11FA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17、政府性基金预算支出表</w:t>
      </w:r>
      <w:r>
        <w:rPr>
          <w:color w:val="000000"/>
        </w:rPr>
        <w:t xml:space="preserve"> </w:t>
      </w:r>
    </w:p>
    <w:p w14:paraId="64692D4D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18、政府性基金预算支出分类汇总表（按政府预算经济分类）</w:t>
      </w:r>
      <w:r>
        <w:rPr>
          <w:color w:val="000000"/>
        </w:rPr>
        <w:t xml:space="preserve"> </w:t>
      </w:r>
    </w:p>
    <w:p w14:paraId="73090673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19、政府性基金预算支出分类汇总表（按单位预算经济分类）</w:t>
      </w:r>
      <w:r>
        <w:rPr>
          <w:color w:val="000000"/>
        </w:rPr>
        <w:t xml:space="preserve"> </w:t>
      </w:r>
    </w:p>
    <w:p w14:paraId="14CB604E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20、国有资本经营预算表</w:t>
      </w:r>
      <w:r>
        <w:rPr>
          <w:color w:val="000000"/>
        </w:rPr>
        <w:t xml:space="preserve"> </w:t>
      </w:r>
    </w:p>
    <w:p w14:paraId="1CB501C5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21、财政专户管理资金预算支出表</w:t>
      </w:r>
      <w:r>
        <w:rPr>
          <w:color w:val="000000"/>
        </w:rPr>
        <w:t xml:space="preserve"> </w:t>
      </w:r>
    </w:p>
    <w:p w14:paraId="4A95AF0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22、专项资金预算汇总表</w:t>
      </w:r>
      <w:r>
        <w:rPr>
          <w:color w:val="000000"/>
        </w:rPr>
        <w:t xml:space="preserve"> </w:t>
      </w:r>
    </w:p>
    <w:p w14:paraId="6CF686BC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23、项目支出绩效目标表</w:t>
      </w:r>
      <w:r>
        <w:rPr>
          <w:color w:val="000000"/>
        </w:rPr>
        <w:t xml:space="preserve"> </w:t>
      </w:r>
    </w:p>
    <w:p w14:paraId="5D9F7DF7">
      <w:pPr>
        <w:spacing w:before="0" w:beforeAutospacing="0" w:after="2" w:afterAutospacing="0"/>
        <w:ind w:left="0" w:firstLine="643"/>
      </w:pPr>
      <w:r>
        <w:rPr>
          <w:rFonts w:ascii="宋体" w:hAnsi="宋体" w:eastAsia="宋体" w:cs="宋体"/>
          <w:color w:val="000000"/>
          <w:sz w:val="32"/>
          <w:szCs w:val="32"/>
        </w:rPr>
        <w:t>24、整体支出绩效目标表</w:t>
      </w:r>
      <w:r>
        <w:rPr>
          <w:color w:val="000000"/>
        </w:rPr>
        <w:t xml:space="preserve"> </w:t>
      </w:r>
    </w:p>
    <w:p w14:paraId="2C4CA4F4">
      <w:pPr>
        <w:spacing w:before="0" w:beforeAutospacing="0" w:after="2" w:afterAutospacing="0"/>
        <w:ind w:left="0" w:firstLine="643"/>
      </w:pP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注：以上</w:t>
      </w:r>
      <w:r>
        <w:rPr>
          <w:rStyle w:val="12"/>
          <w:rFonts w:ascii="宋体" w:hAnsi="宋体" w:eastAsia="宋体" w:cs="宋体"/>
          <w:b/>
          <w:bCs/>
          <w:color w:val="000000"/>
          <w:sz w:val="28"/>
          <w:szCs w:val="28"/>
        </w:rPr>
        <w:t>单位</w:t>
      </w: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预算报表中，空表表示本</w:t>
      </w:r>
      <w:r>
        <w:rPr>
          <w:rStyle w:val="12"/>
          <w:rFonts w:ascii="宋体" w:hAnsi="宋体" w:eastAsia="宋体" w:cs="宋体"/>
          <w:b/>
          <w:bCs/>
          <w:color w:val="000000"/>
          <w:sz w:val="28"/>
          <w:szCs w:val="28"/>
        </w:rPr>
        <w:t>单位</w:t>
      </w:r>
      <w:r>
        <w:rPr>
          <w:rStyle w:val="12"/>
          <w:rFonts w:ascii="宋体" w:hAnsi="宋体" w:eastAsia="宋体" w:cs="宋体"/>
          <w:color w:val="000000"/>
          <w:sz w:val="28"/>
          <w:szCs w:val="28"/>
        </w:rPr>
        <w:t>无相关收支情况。</w:t>
      </w:r>
      <w:r>
        <w:rPr>
          <w:color w:val="000000"/>
        </w:rPr>
        <w:t xml:space="preserve"> </w:t>
      </w:r>
    </w:p>
    <w:p w14:paraId="45F1A191">
      <w:pPr>
        <w:spacing w:before="0" w:beforeAutospacing="0" w:after="2" w:afterAutospacing="0"/>
      </w:pPr>
      <w:r>
        <w:rPr>
          <w:rFonts w:ascii="宋体" w:hAnsi="宋体" w:eastAsia="宋体" w:cs="宋体"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183EC615">
      <w:pPr>
        <w:spacing w:before="0" w:beforeAutospacing="0" w:after="2" w:afterAutospacing="0"/>
      </w:pPr>
    </w:p>
    <w:p w14:paraId="0657BAA2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0"/>
          <w:szCs w:val="40"/>
        </w:rPr>
        <w:t>第一部分 2026年单位预算说明</w:t>
      </w:r>
      <w:r>
        <w:rPr>
          <w:color w:val="000000"/>
        </w:rPr>
        <w:t xml:space="preserve"> </w:t>
      </w:r>
    </w:p>
    <w:p w14:paraId="3AC93554">
      <w:pPr>
        <w:spacing w:before="0" w:beforeAutospacing="0" w:after="2" w:afterAutospacing="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 </w:t>
      </w:r>
      <w:r>
        <w:rPr>
          <w:color w:val="000000"/>
        </w:rPr>
        <w:t xml:space="preserve"> </w:t>
      </w:r>
    </w:p>
    <w:p w14:paraId="5D05F40F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一、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基本概况</w:t>
      </w:r>
      <w:r>
        <w:rPr>
          <w:color w:val="000000"/>
        </w:rPr>
        <w:t xml:space="preserve"> </w:t>
      </w:r>
    </w:p>
    <w:p w14:paraId="72E857BF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（一）职能职责</w:t>
      </w:r>
      <w:r>
        <w:rPr>
          <w:color w:val="000000"/>
        </w:rPr>
        <w:t xml:space="preserve"> </w:t>
      </w:r>
    </w:p>
    <w:p w14:paraId="398C27BF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、负责全市公安警务信息文秘档案、110报警服务台相关工作；在局领导指挥下协调各警种开展工作，承办重要文件、会务；牵头负责市公安局“互联网+政务服务”一体化平台建设、管理和使用，负责政务窗口的综合管理，负责进驻政务窗口项目的受理、综合协调督促办理、结果回复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7911E0D9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2、主管全市公安政治工作，负责并指导全市公安政治思想工作和队伍建设。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79875349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3、主管干部人事、社会保障等工作；组织实施公安教育训练工作；指导、监督市人民警察学校的培训工作；承担中心城区公安机关警务辅助人员招录、管理职责，指导全市公安机关警务辅助人员招录、使用、管理和监督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6C1BA262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4、指导、组织实施全市公安机关新闻宣传、公安文化建设和表彰奖励等工作。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0C1085C0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5、负责市局各类公安经费、警用装备管理和机关后勤保障、安全保卫等工作。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5D5A248F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6、负责对全市公安机关及人民警察依法履行职责、行使职权和遵守纪律情况进行现场监督；承担维护民警正当权益职责。负责接待处理群众来信来访工作；负责公安机关内部审计工作。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45D0F656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7、负责组织、指导和协调经济犯罪案件的侦查等工作。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0A1D29B3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8、负责指导、监督公安机关依法查处危害社会治安秩序的行为，依法指导和管理枪支弹药、危险爆炸、核材料物品、特种行业和公共场所的治安工作；指导派出所建设和水上治安管理工作，依法审批集会游行示威；指导、参与大型活动的治安保卫工作；指导、监督重点地区、重点场所和重点部位的安全保卫工作。负责公民信息管理、人口统计工作；依法进行户籍管理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5AEA76D6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9、负责组织、指导和监督全市公安机关打击刑事犯罪的侦查工作；负责警犬训练；指导全市警犬技术工作。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2DB334C7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10、统筹指导、组织实施危害食品药品安全、侵犯知识产权、农资、烟草领域和制售伪劣商品犯罪案件的侦查工作。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20B50898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11、负责重大警(保)卫活动、重大节日的城区巡防，无人机管控等工作。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2014C78D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12、办理因私出国和往来香港、澳门特别行政区和台湾地区的有关事务；管理国籍事务；组织、指导和监督持普通护照的外国人和及港、澳、台居民出入境、居留、旅行等行政管理工作。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467B17E6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13、负责全市公安法制工作规划、指导、监督工作；承担有关文件合法性审查工作；指导、办理公安机关行政应诉、国家赔偿、刑事复议复核等工作。协调、配合行政执法与刑事司法衔接工作、办理纪委监委互涉案件；承担局机关直接承办案件的审查和移送起诉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636356B3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14、负责组织、指导并参与相关毒品犯罪案件的侦查工作；组织、指导、监督禁毒宣传教育、禁吸戒毒、禁种铲毒等工作；依法组织、协调对麻醉药品、精神药品的安全管理和易制毒化学品的管制工作；承担市禁毒委员会日常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4B31B57D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15、负责科技强警工作；负责公共安全视频资源建设指导、审批备案、汇聚共享、检查监督工作。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154D443B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16、牵头组织各县市区公安机关开展电信网络新型犯罪侦查工作，协调各行业部门开展防范、治理电信网络诈骗犯罪工作。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1169A596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17、负责对全市公安民警的轮训、新民警上岗前培训、警衔晋升培训等培训工作和各警种的短期强化训练等工作。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03010742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18、承办市委、市人民政府交办的其他事项。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</w:t>
      </w:r>
    </w:p>
    <w:p w14:paraId="19BA19DD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（二）机构设置</w:t>
      </w:r>
      <w:r>
        <w:rPr>
          <w:color w:val="000000"/>
        </w:rPr>
        <w:t xml:space="preserve"> </w:t>
      </w:r>
    </w:p>
    <w:p w14:paraId="587947D2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color w:val="000000"/>
          <w:sz w:val="32"/>
          <w:szCs w:val="32"/>
        </w:rPr>
        <w:t>益阳市公安局本级内设机构包括：内设情报指挥中心、政治部、人事训练科、新闻宣传科、警务保障科、督察审计支队、经济犯罪侦查支队、治安管理支队、刑事侦查支队、食品药品犯罪侦查支队、巡特警支队、出入境管理支队、法制支队、禁毒支队、科技信息化支队、大数据实战中心、市人民警察学校等机构。本部门共有在职编制人数450人，实有人数436人，退休244人。</w:t>
      </w:r>
      <w:r>
        <w:rPr>
          <w:color w:val="000000"/>
        </w:rPr>
        <w:t xml:space="preserve"> </w:t>
      </w:r>
    </w:p>
    <w:p w14:paraId="22D5B5FA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二、预算单位构成</w:t>
      </w:r>
      <w:r>
        <w:rPr>
          <w:color w:val="000000"/>
        </w:rPr>
        <w:t xml:space="preserve"> </w:t>
      </w:r>
    </w:p>
    <w:p w14:paraId="61D855B1">
      <w:pPr>
        <w:spacing w:before="0" w:beforeAutospacing="0" w:after="2" w:afterAutospacing="0"/>
        <w:ind w:left="0" w:firstLine="627"/>
      </w:pPr>
      <w:r>
        <w:rPr>
          <w:rFonts w:ascii="宋体" w:hAnsi="宋体" w:eastAsia="宋体" w:cs="宋体"/>
          <w:color w:val="000000"/>
          <w:sz w:val="32"/>
          <w:szCs w:val="32"/>
        </w:rPr>
        <w:t>益阳市公安局本级预算公开只有本级，没有其他预算单位，纳入编制范围的预算单位仅含益阳市公安局本级。</w:t>
      </w:r>
    </w:p>
    <w:p w14:paraId="6DEBBEE3">
      <w:pPr>
        <w:spacing w:before="0" w:beforeAutospacing="0" w:after="2" w:afterAutospacing="0"/>
        <w:ind w:left="0" w:firstLine="627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三、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收支总体情况</w:t>
      </w:r>
      <w:r>
        <w:rPr>
          <w:color w:val="000000"/>
        </w:rPr>
        <w:t xml:space="preserve"> </w:t>
      </w:r>
    </w:p>
    <w:p w14:paraId="6CB34487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（一）收入预算：</w:t>
      </w:r>
      <w:r>
        <w:rPr>
          <w:rFonts w:ascii="宋体" w:hAnsi="宋体" w:eastAsia="宋体" w:cs="宋体"/>
          <w:color w:val="000000"/>
          <w:sz w:val="32"/>
          <w:szCs w:val="32"/>
        </w:rPr>
        <w:t>包括一般公共预算、政府性基金、国有资本经营预算等财政拨款收入，以及经营收入、事业收入等单位资金。2026年本单位收入预算25,745.35万元，其中，公共财政预算拨款16,254.15万元，纳入预算管理的非税收入拨款7,111.2万元，其他收入2,380万元。收入较去年增加707.92万元，主要原因是纳入预算编制的在职人数和退休人数较去年有所增加，所以人员经费预算收入增加。</w:t>
      </w:r>
      <w:r>
        <w:rPr>
          <w:color w:val="000000"/>
        </w:rPr>
        <w:t xml:space="preserve"> </w:t>
      </w:r>
    </w:p>
    <w:p w14:paraId="6B876CBE">
      <w:pPr>
        <w:spacing w:before="0" w:beforeAutospacing="0" w:after="2" w:afterAutospacing="0"/>
        <w:ind w:left="0" w:firstLine="63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（二）支出预算：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支出预算25,745.35万元，其中：公共安全支出23,738.28万元，社会保障和就业支出750.41万元，卫生健康支出693.86万元，住房保障支出562.81万元。支出较去年增加707.92万元，主要原因是人员经费预算支出增加。</w:t>
      </w:r>
      <w:r>
        <w:rPr>
          <w:color w:val="000000"/>
        </w:rPr>
        <w:t xml:space="preserve"> </w:t>
      </w:r>
    </w:p>
    <w:p w14:paraId="0D72E72A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四、一般公共预算拨款支出</w:t>
      </w:r>
      <w:r>
        <w:rPr>
          <w:color w:val="000000"/>
        </w:rPr>
        <w:t xml:space="preserve"> </w:t>
      </w:r>
    </w:p>
    <w:p w14:paraId="117CE4AE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2026年本单位一般公共预算拨款支出预算23,365.35万元，其中：公共安全支出21,358.28万元，占91.41%；社会保障和就业支出750.41万元，占3.21%；卫生健康支出693.86万元，占2.97%；住房保障支出562.81万元，占2.41%。具体安排情况如下：</w:t>
      </w:r>
      <w:r>
        <w:rPr>
          <w:color w:val="000000"/>
        </w:rPr>
        <w:t xml:space="preserve"> </w:t>
      </w:r>
    </w:p>
    <w:p w14:paraId="3AA0AB4F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（一）基本支出：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2026年本单位基本支出预算10,927.35万元，主要是为保障单位正常运转、完成日常工作任务而发生的各项支出，包括用于基本工资、津贴补贴等人员经费以及办公费、印刷费、水电费、办公设备购置等公用经费。</w:t>
      </w:r>
      <w:r>
        <w:rPr>
          <w:color w:val="000000"/>
        </w:rPr>
        <w:t xml:space="preserve"> </w:t>
      </w:r>
    </w:p>
    <w:p w14:paraId="72C94E0F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（二）项目支出：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项目支出预算12,438万元，主要是单位为完成特定行政工作任务或事业发展目标而发生的支出，包括有关事业发展专项、专项业务费、基本建设支出等。其中：行政运行支出12,438万元，主要用于辅警人员经费支出、留置看护工作专项支出、中心城区治安巡防工程支出、驻局纪检专项支出、公安基本建设及信息化建设支出等方面。</w:t>
      </w:r>
      <w:r>
        <w:rPr>
          <w:color w:val="000000"/>
        </w:rPr>
        <w:t xml:space="preserve"> </w:t>
      </w:r>
    </w:p>
    <w:p w14:paraId="1B25F881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五、政府性基金预算支出</w:t>
      </w:r>
      <w:r>
        <w:rPr>
          <w:color w:val="000000"/>
        </w:rPr>
        <w:t xml:space="preserve"> </w:t>
      </w:r>
    </w:p>
    <w:p w14:paraId="1745F452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  <w:shd w:val="clear" w:fill="FFFFFF"/>
        </w:rPr>
        <w:t>本单位无政府性基金安排的支出。</w:t>
      </w:r>
      <w:r>
        <w:rPr>
          <w:color w:val="000000"/>
        </w:rPr>
        <w:t xml:space="preserve"> </w:t>
      </w:r>
    </w:p>
    <w:p w14:paraId="62766BF2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六、其他重要事项的情况说明</w:t>
      </w:r>
      <w:r>
        <w:rPr>
          <w:color w:val="000000"/>
        </w:rPr>
        <w:t xml:space="preserve"> </w:t>
      </w:r>
    </w:p>
    <w:p w14:paraId="3AD4215C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（一）机关运行经费：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2026年本单位机关运行经费1,805.28万元，比上年预算减少33.96万元，下降1.85%，主要原因是2026年没有在运转经费（非三保）中单独安排在职人员的党建经费。</w:t>
      </w:r>
      <w:r>
        <w:rPr>
          <w:color w:val="000000"/>
        </w:rPr>
        <w:t xml:space="preserve"> </w:t>
      </w:r>
    </w:p>
    <w:p w14:paraId="4BF1F8E0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（二）“三公”经费预算：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“三公”经费预算数为129万元，其中，公务接待费11万元，公务用车购置及运行费118万元（其中，公务用车购置费61万元，公务用车运行费57万元），因公出国（境）费0万元。2026年“三公”经费预算较2025年增加68.5万元，主要原因是2026年在运转经费（三保）中编制了公车运行维护费50万，且较2025年增加了一台公车购置预算。</w:t>
      </w:r>
      <w:r>
        <w:rPr>
          <w:color w:val="000000"/>
        </w:rPr>
        <w:t xml:space="preserve"> </w:t>
      </w:r>
    </w:p>
    <w:p w14:paraId="6A5C18A7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（三）一般性支出情况：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2026年本单位会议费预算0万元，本年度无会议费支出；培训费预算0万元，本年度无培训费支出；拟举办0场节庆、晚会、论坛、赛事活动，经费预算0万元。</w:t>
      </w:r>
      <w:r>
        <w:rPr>
          <w:color w:val="000000"/>
        </w:rPr>
        <w:t xml:space="preserve"> </w:t>
      </w:r>
    </w:p>
    <w:p w14:paraId="50129F1D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（四）政府采购情况：</w:t>
      </w:r>
      <w:r>
        <w:rPr>
          <w:rFonts w:ascii="宋体" w:hAnsi="宋体" w:eastAsia="宋体" w:cs="宋体"/>
          <w:color w:val="000000"/>
          <w:sz w:val="32"/>
          <w:szCs w:val="32"/>
        </w:rPr>
        <w:t>2026年本单位政府采购预算总额21,256.43万元，其中，货物类采购预算4768.00万元；工程类采购预算10996.56万元；服务类采购预算5491.87万元。</w:t>
      </w:r>
      <w:r>
        <w:rPr>
          <w:color w:val="000000"/>
        </w:rPr>
        <w:t xml:space="preserve"> </w:t>
      </w:r>
    </w:p>
    <w:p w14:paraId="1498DB10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（五）国有资产占用使用及新增资产配置情况：</w:t>
      </w:r>
      <w:r>
        <w:rPr>
          <w:rFonts w:ascii="宋体" w:hAnsi="宋体" w:eastAsia="宋体" w:cs="宋体"/>
          <w:color w:val="000000"/>
          <w:sz w:val="32"/>
          <w:szCs w:val="32"/>
        </w:rPr>
        <w:t>截至2025年12月底，本部门共有公务用车66辆，其中，机要通信用车0辆，应急保障用车2辆，执法执勤用车61辆，专业技术用车0辆，特种专业技术用车2辆，业务用车0辆，其他按照规定配备的公务用车1辆；单位价值50万元以上通用设备0台，单位价值100万元以上专用设备0台。2026年拟新增配置公务用车3辆，其中，机要通信用车0辆，应急保障用车0辆，执法执勤用车3辆，专业技术用车0辆，特种专业技术用车0辆，业务用车0辆，其他按照规定配备的公务用车0辆；新增配备单位价值50万元以上通用设备0台，单位价值100万元以上专用设备0台。</w:t>
      </w:r>
      <w:r>
        <w:rPr>
          <w:color w:val="000000"/>
        </w:rPr>
        <w:t xml:space="preserve"> </w:t>
      </w:r>
    </w:p>
    <w:p w14:paraId="4345AED5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（六）</w:t>
      </w:r>
      <w:r>
        <w:rPr>
          <w:rStyle w:val="12"/>
          <w:rFonts w:ascii="宋体" w:hAnsi="宋体" w:eastAsia="宋体" w:cs="宋体"/>
          <w:b/>
          <w:bCs/>
          <w:color w:val="000000"/>
          <w:sz w:val="32"/>
          <w:szCs w:val="32"/>
        </w:rPr>
        <w:t>单位</w:t>
      </w:r>
      <w:r>
        <w:rPr>
          <w:rFonts w:ascii="宋体" w:hAnsi="宋体" w:eastAsia="宋体" w:cs="宋体"/>
          <w:b/>
          <w:bCs/>
          <w:color w:val="000000"/>
          <w:sz w:val="32"/>
          <w:szCs w:val="32"/>
        </w:rPr>
        <w:t>整体支出、单位项目支出、重点（专项）项目支出预算绩效目标情况说明：</w:t>
      </w:r>
      <w:r>
        <w:rPr>
          <w:rFonts w:ascii="宋体" w:hAnsi="宋体" w:eastAsia="宋体" w:cs="宋体"/>
          <w:color w:val="000000"/>
          <w:sz w:val="32"/>
          <w:szCs w:val="32"/>
        </w:rPr>
        <w:t>本单位所有支出实行绩效目标管理，其中：纳入2026年单位整体支出绩效目标的金额为25,745.35万元，基本支出10,927.35万元，单位项目支出14,818万元。具体绩效目标详见报表。</w:t>
      </w:r>
      <w:r>
        <w:rPr>
          <w:color w:val="000000"/>
        </w:rPr>
        <w:t xml:space="preserve"> </w:t>
      </w:r>
    </w:p>
    <w:p w14:paraId="715D9E18">
      <w:pPr>
        <w:spacing w:before="0" w:beforeAutospacing="0" w:after="2" w:afterAutospacing="0"/>
        <w:ind w:left="0" w:firstLine="660"/>
      </w:pPr>
      <w:r>
        <w:rPr>
          <w:rStyle w:val="12"/>
          <w:rFonts w:ascii="宋体" w:hAnsi="宋体" w:eastAsia="宋体" w:cs="宋体"/>
          <w:color w:val="000000"/>
          <w:sz w:val="32"/>
          <w:szCs w:val="32"/>
        </w:rPr>
        <w:t>七、名词解释</w:t>
      </w:r>
      <w:r>
        <w:rPr>
          <w:color w:val="000000"/>
        </w:rPr>
        <w:t xml:space="preserve"> </w:t>
      </w:r>
    </w:p>
    <w:p w14:paraId="1A1FAE39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1、“三公”经费：纳入省（市/县）财政预算管理的“三公”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支出。</w:t>
      </w:r>
      <w:r>
        <w:rPr>
          <w:color w:val="000000"/>
        </w:rPr>
        <w:t xml:space="preserve"> </w:t>
      </w:r>
    </w:p>
    <w:p w14:paraId="55E29910">
      <w:pPr>
        <w:spacing w:before="0" w:beforeAutospacing="0" w:after="2" w:afterAutospacing="0"/>
        <w:ind w:left="0" w:firstLine="660"/>
      </w:pPr>
      <w:r>
        <w:rPr>
          <w:rFonts w:ascii="宋体" w:hAnsi="宋体" w:eastAsia="宋体" w:cs="宋体"/>
          <w:color w:val="000000"/>
          <w:sz w:val="32"/>
          <w:szCs w:val="32"/>
        </w:rPr>
        <w:t>2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4B299F50">
      <w:pPr>
        <w:pStyle w:val="9"/>
        <w:keepNext w:val="0"/>
        <w:keepLines w:val="0"/>
        <w:widowControl/>
        <w:suppressLineNumbers w:val="0"/>
        <w:spacing w:before="0" w:beforeAutospacing="0" w:after="2" w:afterAutospacing="0"/>
      </w:pPr>
    </w:p>
    <w:p w14:paraId="591A27BD">
      <w:pPr>
        <w:spacing w:before="0" w:beforeAutospacing="0" w:after="240" w:afterAutospacing="0"/>
        <w:ind w:left="0" w:firstLine="660"/>
      </w:pPr>
    </w:p>
    <w:p w14:paraId="0594BE5F">
      <w:pPr>
        <w:spacing w:before="0" w:beforeAutospacing="0" w:after="2" w:afterAutospacing="0"/>
        <w:ind w:left="0" w:firstLine="660"/>
      </w:pPr>
    </w:p>
    <w:p w14:paraId="6AD6E5EE">
      <w:pPr>
        <w:spacing w:before="0" w:beforeAutospacing="0" w:after="2" w:afterAutospacing="0"/>
        <w:ind w:left="0" w:firstLine="660"/>
      </w:pPr>
    </w:p>
    <w:p w14:paraId="5AB91108">
      <w:pPr>
        <w:spacing w:before="0" w:beforeAutospacing="0" w:after="2" w:afterAutospacing="0"/>
        <w:jc w:val="center"/>
      </w:pPr>
      <w:r>
        <w:rPr>
          <w:rStyle w:val="12"/>
          <w:rFonts w:ascii="宋体" w:hAnsi="宋体" w:eastAsia="宋体" w:cs="宋体"/>
          <w:color w:val="000000"/>
          <w:sz w:val="40"/>
          <w:szCs w:val="40"/>
        </w:rPr>
        <w:t>第二部分 2026年单位预算表</w:t>
      </w:r>
      <w:r>
        <w:rPr>
          <w:color w:val="000000"/>
        </w:rPr>
        <w:t xml:space="preserve"> </w:t>
      </w:r>
    </w:p>
    <w:p w14:paraId="1EBEA1F8">
      <w:pPr>
        <w:spacing w:before="0" w:beforeAutospacing="0" w:after="2" w:afterAutospacing="0"/>
        <w:jc w:val="center"/>
      </w:pPr>
      <w:r>
        <w:rPr>
          <w:rFonts w:ascii="宋体" w:hAnsi="宋体" w:eastAsia="宋体" w:cs="宋体"/>
          <w:sz w:val="36"/>
          <w:szCs w:val="36"/>
        </w:rPr>
        <w:fldChar w:fldCharType="begin"/>
      </w:r>
      <w:r>
        <w:rPr>
          <w:rFonts w:ascii="宋体" w:hAnsi="宋体" w:eastAsia="宋体" w:cs="宋体"/>
          <w:sz w:val="36"/>
          <w:szCs w:val="36"/>
        </w:rPr>
        <w:instrText xml:space="preserve"> HYPERLINK "http://220.170.153.212:9000/home/downloadAttachment?attachGUID=b929ad1985764d23b543285ae7d23772" \t "_blank" </w:instrText>
      </w:r>
      <w:r>
        <w:rPr>
          <w:rFonts w:ascii="宋体" w:hAnsi="宋体" w:eastAsia="宋体" w:cs="宋体"/>
          <w:sz w:val="36"/>
          <w:szCs w:val="36"/>
        </w:rPr>
        <w:fldChar w:fldCharType="separate"/>
      </w:r>
      <w:r>
        <w:rPr>
          <w:rStyle w:val="13"/>
          <w:rFonts w:ascii="宋体" w:hAnsi="宋体" w:eastAsia="宋体" w:cs="宋体"/>
          <w:sz w:val="36"/>
          <w:szCs w:val="36"/>
        </w:rPr>
        <w:t>125001__益阳市公安局部门预算公开表.xlsx</w:t>
      </w:r>
      <w:r>
        <w:rPr>
          <w:rFonts w:ascii="宋体" w:hAnsi="宋体" w:eastAsia="宋体" w:cs="宋体"/>
          <w:sz w:val="36"/>
          <w:szCs w:val="36"/>
        </w:rPr>
        <w:fldChar w:fldCharType="end"/>
      </w: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2000019F" w:csb1="00000000"/>
  </w:font>
  <w:font w:name="@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楷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2000009F" w:csb1="DFD70000"/>
  </w:font>
  <w:font w:name="新宋体">
    <w:panose1 w:val="02010609030101010101"/>
    <w:charset w:val="86"/>
    <w:family w:val="auto"/>
    <w:pitch w:val="fixed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200101FF" w:csb1="20280000"/>
  </w:font>
  <w:font w:name="@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99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C70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iPriority w:val="0"/>
    <w:pPr>
      <w:widowControl/>
      <w:spacing w:before="0" w:beforeAutospacing="1" w:after="0" w:afterAutospacing="1"/>
      <w:ind w:left="0" w:right="0"/>
      <w:jc w:val="left"/>
    </w:pPr>
    <w:rPr>
      <w:rFonts w:hint="default" w:ascii="宋体" w:hAnsi="宋体" w:eastAsia="宋体" w:cs="宋体"/>
      <w:kern w:val="0"/>
      <w:sz w:val="24"/>
      <w:szCs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uiPriority w:val="0"/>
    <w:rPr>
      <w:color w:val="0000FF"/>
      <w:u w:val="single"/>
    </w:rPr>
  </w:style>
  <w:style w:type="paragraph" w:customStyle="1" w:styleId="14">
    <w:name w:val="18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3969</Words>
  <Characters>4304</Characters>
  <TotalTime>0</TotalTime>
  <ScaleCrop>false</ScaleCrop>
  <LinksUpToDate>false</LinksUpToDate>
  <CharactersWithSpaces>4405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2026-03-02T07:34:18Z</dcterms:created>
  <dc:creator>Administrator</dc:creator>
  <cp:lastModifiedBy>Chef</cp:lastModifiedBy>
  <dcterms:modified xsi:type="dcterms:W3CDTF">2026-03-02T07:34:26Z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1BAACD4B4D414754A0A2B28ECA1B1003_13</vt:lpwstr>
  </property>
</Properties>
</file>