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493AF">
      <w:pPr>
        <w:keepNext w:val="0"/>
        <w:keepLines w:val="0"/>
        <w:pageBreakBefore w:val="0"/>
        <w:widowControl/>
        <w:kinsoku/>
        <w:wordWrap/>
        <w:overflowPunct/>
        <w:topLinePunct w:val="0"/>
        <w:autoSpaceDE/>
        <w:autoSpaceDN/>
        <w:bidi w:val="0"/>
        <w:adjustRightInd/>
        <w:snapToGrid w:val="0"/>
        <w:spacing w:line="600" w:lineRule="exact"/>
        <w:ind w:firstLine="640"/>
        <w:jc w:val="center"/>
        <w:textAlignment w:val="auto"/>
        <w:rPr>
          <w:rFonts w:hint="eastAsia" w:ascii="方正小标宋简体" w:hAnsi="方正小标宋简体" w:eastAsia="方正小标宋简体" w:cs="方正小标宋简体"/>
          <w:color w:val="000000"/>
          <w:kern w:val="0"/>
          <w:sz w:val="44"/>
          <w:szCs w:val="44"/>
          <w:lang w:eastAsia="zh-CN"/>
        </w:rPr>
      </w:pPr>
      <w:r>
        <w:rPr>
          <w:rFonts w:hint="eastAsia" w:ascii="方正小标宋简体" w:hAnsi="方正小标宋简体" w:eastAsia="方正小标宋简体" w:cs="方正小标宋简体"/>
          <w:color w:val="000000"/>
          <w:kern w:val="0"/>
          <w:sz w:val="44"/>
          <w:szCs w:val="44"/>
        </w:rPr>
        <w:t>202</w:t>
      </w:r>
      <w:r>
        <w:rPr>
          <w:rFonts w:hint="eastAsia" w:ascii="方正小标宋简体" w:hAnsi="方正小标宋简体" w:eastAsia="方正小标宋简体" w:cs="方正小标宋简体"/>
          <w:color w:val="000000"/>
          <w:kern w:val="0"/>
          <w:sz w:val="44"/>
          <w:szCs w:val="44"/>
          <w:lang w:val="en-US" w:eastAsia="zh-CN"/>
        </w:rPr>
        <w:t>4</w:t>
      </w:r>
      <w:r>
        <w:rPr>
          <w:rFonts w:hint="eastAsia" w:ascii="方正小标宋简体" w:hAnsi="方正小标宋简体" w:eastAsia="方正小标宋简体" w:cs="方正小标宋简体"/>
          <w:color w:val="000000"/>
          <w:kern w:val="0"/>
          <w:sz w:val="44"/>
          <w:szCs w:val="44"/>
        </w:rPr>
        <w:t>年度益阳市</w:t>
      </w:r>
      <w:r>
        <w:rPr>
          <w:rFonts w:hint="eastAsia" w:ascii="方正小标宋简体" w:hAnsi="方正小标宋简体" w:eastAsia="方正小标宋简体" w:cs="方正小标宋简体"/>
          <w:color w:val="000000"/>
          <w:kern w:val="0"/>
          <w:sz w:val="44"/>
          <w:szCs w:val="44"/>
          <w:lang w:eastAsia="zh-CN"/>
        </w:rPr>
        <w:t>无线电监测站</w:t>
      </w:r>
    </w:p>
    <w:p w14:paraId="5E55EBF9">
      <w:pPr>
        <w:keepNext w:val="0"/>
        <w:keepLines w:val="0"/>
        <w:pageBreakBefore w:val="0"/>
        <w:widowControl/>
        <w:kinsoku/>
        <w:wordWrap/>
        <w:overflowPunct/>
        <w:topLinePunct w:val="0"/>
        <w:autoSpaceDE/>
        <w:autoSpaceDN/>
        <w:bidi w:val="0"/>
        <w:adjustRightInd/>
        <w:snapToGrid w:val="0"/>
        <w:spacing w:line="600" w:lineRule="exact"/>
        <w:ind w:firstLine="640"/>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整体支出绩效自评报告</w:t>
      </w:r>
    </w:p>
    <w:p w14:paraId="61966EE3">
      <w:pPr>
        <w:keepNext w:val="0"/>
        <w:keepLines w:val="0"/>
        <w:pageBreakBefore w:val="0"/>
        <w:widowControl/>
        <w:kinsoku/>
        <w:wordWrap/>
        <w:overflowPunct/>
        <w:topLinePunct w:val="0"/>
        <w:autoSpaceDE/>
        <w:autoSpaceDN/>
        <w:bidi w:val="0"/>
        <w:adjustRightInd/>
        <w:snapToGrid w:val="0"/>
        <w:spacing w:line="600" w:lineRule="exact"/>
        <w:textAlignment w:val="auto"/>
        <w:rPr>
          <w:rFonts w:ascii="方正仿宋简体" w:hAnsi="Arial" w:eastAsia="方正仿宋简体" w:cs="Arial"/>
          <w:color w:val="000000"/>
          <w:kern w:val="0"/>
          <w:sz w:val="32"/>
          <w:szCs w:val="32"/>
        </w:rPr>
      </w:pPr>
      <w:r>
        <w:rPr>
          <w:rFonts w:hint="eastAsia" w:ascii="方正仿宋简体" w:hAnsi="Arial" w:eastAsia="方正仿宋简体" w:cs="Arial"/>
          <w:color w:val="000000"/>
          <w:kern w:val="0"/>
          <w:sz w:val="32"/>
          <w:szCs w:val="32"/>
        </w:rPr>
        <w:t xml:space="preserve">   </w:t>
      </w:r>
    </w:p>
    <w:p w14:paraId="3B0945B7">
      <w:pPr>
        <w:keepNext w:val="0"/>
        <w:keepLines w:val="0"/>
        <w:pageBreakBefore w:val="0"/>
        <w:widowControl/>
        <w:kinsoku/>
        <w:wordWrap/>
        <w:overflowPunct/>
        <w:topLinePunct w:val="0"/>
        <w:autoSpaceDE/>
        <w:autoSpaceDN/>
        <w:bidi w:val="0"/>
        <w:adjustRightInd/>
        <w:snapToGrid w:val="0"/>
        <w:spacing w:line="600" w:lineRule="exact"/>
        <w:ind w:firstLine="640"/>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为深入贯彻落实《中共中央 国务院关于全面实施预算绩效管理的意见》（中发〔2018〕34号）精神，健全绩效评价常态化机制，增强绩效意识，提高财政资金使用效益，根据《益阳市财政局关于开展</w:t>
      </w:r>
      <w:r>
        <w:rPr>
          <w:rFonts w:hint="default" w:ascii="Times New Roman" w:hAnsi="Times New Roman" w:eastAsia="方正仿宋简体" w:cs="Times New Roman"/>
          <w:color w:val="000000"/>
          <w:kern w:val="0"/>
          <w:sz w:val="32"/>
          <w:szCs w:val="32"/>
          <w:lang w:val="en"/>
        </w:rPr>
        <w:t>202</w:t>
      </w:r>
      <w:r>
        <w:rPr>
          <w:rFonts w:hint="default" w:ascii="Times New Roman" w:hAnsi="Times New Roman" w:eastAsia="方正仿宋简体" w:cs="Times New Roman"/>
          <w:color w:val="000000"/>
          <w:kern w:val="0"/>
          <w:sz w:val="32"/>
          <w:szCs w:val="32"/>
          <w:lang w:val="en-US" w:eastAsia="zh-CN"/>
        </w:rPr>
        <w:t>4</w:t>
      </w:r>
      <w:r>
        <w:rPr>
          <w:rFonts w:hint="default" w:ascii="Times New Roman" w:hAnsi="Times New Roman" w:eastAsia="方正仿宋简体" w:cs="Times New Roman"/>
          <w:color w:val="000000"/>
          <w:kern w:val="0"/>
          <w:sz w:val="32"/>
          <w:szCs w:val="32"/>
        </w:rPr>
        <w:t>年度部门绩效自评工作的通知》要求，我</w:t>
      </w:r>
      <w:r>
        <w:rPr>
          <w:rFonts w:hint="default" w:ascii="Times New Roman" w:hAnsi="Times New Roman" w:eastAsia="方正仿宋简体" w:cs="Times New Roman"/>
          <w:color w:val="000000"/>
          <w:kern w:val="0"/>
          <w:sz w:val="32"/>
          <w:szCs w:val="32"/>
          <w:lang w:eastAsia="zh-CN"/>
        </w:rPr>
        <w:t>站</w:t>
      </w:r>
      <w:r>
        <w:rPr>
          <w:rFonts w:hint="default" w:ascii="Times New Roman" w:hAnsi="Times New Roman" w:eastAsia="方正仿宋简体" w:cs="Times New Roman"/>
          <w:color w:val="000000"/>
          <w:kern w:val="0"/>
          <w:sz w:val="32"/>
          <w:szCs w:val="32"/>
        </w:rPr>
        <w:t>积极组织，对</w:t>
      </w:r>
      <w:r>
        <w:rPr>
          <w:rFonts w:hint="default" w:ascii="Times New Roman" w:hAnsi="Times New Roman" w:eastAsia="方正仿宋简体" w:cs="Times New Roman"/>
          <w:color w:val="000000"/>
          <w:kern w:val="0"/>
          <w:sz w:val="32"/>
          <w:szCs w:val="32"/>
          <w:lang w:val="en"/>
        </w:rPr>
        <w:t>202</w:t>
      </w:r>
      <w:r>
        <w:rPr>
          <w:rFonts w:hint="default" w:ascii="Times New Roman" w:hAnsi="Times New Roman" w:eastAsia="方正仿宋简体" w:cs="Times New Roman"/>
          <w:color w:val="000000"/>
          <w:kern w:val="0"/>
          <w:sz w:val="32"/>
          <w:szCs w:val="32"/>
          <w:lang w:val="en-US" w:eastAsia="zh-CN"/>
        </w:rPr>
        <w:t>4</w:t>
      </w:r>
      <w:r>
        <w:rPr>
          <w:rFonts w:hint="default" w:ascii="Times New Roman" w:hAnsi="Times New Roman" w:eastAsia="方正仿宋简体" w:cs="Times New Roman"/>
          <w:color w:val="000000"/>
          <w:kern w:val="0"/>
          <w:sz w:val="32"/>
          <w:szCs w:val="32"/>
        </w:rPr>
        <w:t>年度本单位整体支出进行了绩效自评，形成本绩效自评报告。</w:t>
      </w:r>
    </w:p>
    <w:p w14:paraId="18C75450">
      <w:pPr>
        <w:keepNext w:val="0"/>
        <w:keepLines w:val="0"/>
        <w:pageBreakBefore w:val="0"/>
        <w:widowControl/>
        <w:kinsoku/>
        <w:wordWrap/>
        <w:overflowPunct/>
        <w:topLinePunct w:val="0"/>
        <w:autoSpaceDE/>
        <w:autoSpaceDN/>
        <w:bidi w:val="0"/>
        <w:adjustRightInd/>
        <w:snapToGrid w:val="0"/>
        <w:spacing w:line="600" w:lineRule="exact"/>
        <w:ind w:firstLine="640"/>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一、基本情况</w:t>
      </w:r>
    </w:p>
    <w:p w14:paraId="10B41AB4">
      <w:pPr>
        <w:keepNext w:val="0"/>
        <w:keepLines w:val="0"/>
        <w:pageBreakBefore w:val="0"/>
        <w:widowControl/>
        <w:kinsoku/>
        <w:wordWrap/>
        <w:overflowPunct/>
        <w:topLinePunct w:val="0"/>
        <w:autoSpaceDE/>
        <w:autoSpaceDN/>
        <w:bidi w:val="0"/>
        <w:adjustRightInd/>
        <w:snapToGrid w:val="0"/>
        <w:spacing w:line="600" w:lineRule="exact"/>
        <w:ind w:firstLine="640"/>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eastAsia="zh-CN"/>
        </w:rPr>
        <w:t>益阳市无线电监测站负责</w:t>
      </w:r>
      <w:r>
        <w:rPr>
          <w:rFonts w:hint="default" w:ascii="Times New Roman" w:hAnsi="Times New Roman" w:eastAsia="方正仿宋简体" w:cs="Times New Roman"/>
          <w:color w:val="000000"/>
          <w:kern w:val="0"/>
          <w:sz w:val="32"/>
          <w:szCs w:val="32"/>
          <w:lang w:val="en-US" w:eastAsia="zh-CN"/>
        </w:rPr>
        <w:t>监测无线电台（站）是否按照规定程序和核定的项目工作；查找无线电干扰源和未经批准使用的无线电台（站）；协调处理无线电干扰；负责无线电发射设备的主要技术指标的测定；无线电设备型号认证的检测；组织电台年检年审；检测工、科、医等非电信设备的无线电波辐射；承担无线电网络设计、安装、调试和设备维修及技术咨询服务。</w:t>
      </w:r>
    </w:p>
    <w:p w14:paraId="3FA84BD7">
      <w:pPr>
        <w:keepNext w:val="0"/>
        <w:keepLines w:val="0"/>
        <w:pageBreakBefore w:val="0"/>
        <w:widowControl/>
        <w:kinsoku/>
        <w:wordWrap/>
        <w:overflowPunct/>
        <w:topLinePunct w:val="0"/>
        <w:autoSpaceDE/>
        <w:autoSpaceDN/>
        <w:bidi w:val="0"/>
        <w:adjustRightInd/>
        <w:snapToGrid w:val="0"/>
        <w:spacing w:line="600" w:lineRule="exact"/>
        <w:ind w:firstLine="640"/>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 w:eastAsia="zh-CN"/>
        </w:rPr>
        <w:t>202</w:t>
      </w:r>
      <w:r>
        <w:rPr>
          <w:rFonts w:hint="default" w:ascii="Times New Roman" w:hAnsi="Times New Roman" w:eastAsia="方正仿宋简体" w:cs="Times New Roman"/>
          <w:color w:val="000000"/>
          <w:kern w:val="0"/>
          <w:sz w:val="32"/>
          <w:szCs w:val="32"/>
          <w:lang w:val="en-US" w:eastAsia="zh-CN"/>
        </w:rPr>
        <w:t>4年，益阳市无线电监测站为全额拨款事业单位，核定编制17人，实有人数16人。设站长1名，副站长2名。专业技术用车3辆。退休人员2名。</w:t>
      </w:r>
    </w:p>
    <w:p w14:paraId="68F058A3">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二、一般公共预算支出情况</w:t>
      </w:r>
    </w:p>
    <w:p w14:paraId="3373F458">
      <w:pPr>
        <w:keepNext w:val="0"/>
        <w:keepLines w:val="0"/>
        <w:pageBreakBefore w:val="0"/>
        <w:widowControl/>
        <w:kinsoku/>
        <w:wordWrap/>
        <w:overflowPunct/>
        <w:topLinePunct w:val="0"/>
        <w:autoSpaceDE/>
        <w:autoSpaceDN/>
        <w:bidi w:val="0"/>
        <w:snapToGrid w:val="0"/>
        <w:spacing w:line="600" w:lineRule="exact"/>
        <w:ind w:firstLine="640"/>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2024年一般公共预算拨款收入391.6万元，年初结转和结余0万元，全年一般公共预算拨款收入共计391.6万元。2024年一般公共预算支出391.6万元，其中基本支出300.49万元，项目支出91.11万元，年末结转和结余0万元。</w:t>
      </w:r>
    </w:p>
    <w:p w14:paraId="4390C046">
      <w:pPr>
        <w:keepNext w:val="0"/>
        <w:keepLines w:val="0"/>
        <w:pageBreakBefore w:val="0"/>
        <w:widowControl/>
        <w:kinsoku/>
        <w:wordWrap/>
        <w:overflowPunct/>
        <w:topLinePunct w:val="0"/>
        <w:autoSpaceDE/>
        <w:autoSpaceDN/>
        <w:bidi w:val="0"/>
        <w:snapToGrid w:val="0"/>
        <w:spacing w:line="600" w:lineRule="exact"/>
        <w:ind w:firstLine="640"/>
        <w:textAlignment w:val="auto"/>
        <w:rPr>
          <w:rFonts w:hint="eastAsia" w:ascii="方正楷体简体" w:hAnsi="方正楷体简体" w:eastAsia="方正楷体简体" w:cs="方正楷体简体"/>
          <w:color w:val="000000"/>
          <w:kern w:val="0"/>
          <w:sz w:val="32"/>
          <w:szCs w:val="32"/>
        </w:rPr>
      </w:pPr>
      <w:r>
        <w:rPr>
          <w:rFonts w:hint="eastAsia" w:ascii="方正楷体简体" w:hAnsi="方正楷体简体" w:eastAsia="方正楷体简体" w:cs="方正楷体简体"/>
          <w:color w:val="000000"/>
          <w:kern w:val="0"/>
          <w:sz w:val="32"/>
          <w:szCs w:val="32"/>
        </w:rPr>
        <w:t>（一）基本支出情况</w:t>
      </w:r>
    </w:p>
    <w:p w14:paraId="5DA99887">
      <w:pPr>
        <w:keepNext w:val="0"/>
        <w:keepLines w:val="0"/>
        <w:pageBreakBefore w:val="0"/>
        <w:widowControl/>
        <w:kinsoku/>
        <w:wordWrap/>
        <w:overflowPunct/>
        <w:topLinePunct w:val="0"/>
        <w:autoSpaceDE/>
        <w:autoSpaceDN/>
        <w:bidi w:val="0"/>
        <w:snapToGrid w:val="0"/>
        <w:spacing w:line="600" w:lineRule="exact"/>
        <w:ind w:firstLine="640"/>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2024年基本支出共计391.6万元，具体情况为：（1）工资福利支出249.15万元：基本工资72.85万元，津贴补贴15.54万元，奖金0万元，绩效工资87.49万元，保险缴费48.46万元，住房公积金24.81万元，其他工资福利0万元。（2）商品和服务支出46.96万元：办公费4.67万元，印刷费0.22万元，电费2万元，邮电费0.51万元，差旅费1.51万元，维修费0.47万元，租赁费2.01万元，公务接待费0.27万元，劳务费2.95万元，委托业务费1.95万元，工会经费8.24万元，福利费4.95万元，公务用车运行维护费2.76万元，其他交通费11.93万元，其他商品和服务支出2.52万元。（3）对个人和家庭补助支出4.38万元：退休费4.21万元，其他对个人和家庭的补助支出0.17万元。</w:t>
      </w:r>
    </w:p>
    <w:p w14:paraId="5B3D2312">
      <w:pPr>
        <w:keepNext w:val="0"/>
        <w:keepLines w:val="0"/>
        <w:pageBreakBefore w:val="0"/>
        <w:widowControl/>
        <w:kinsoku/>
        <w:wordWrap/>
        <w:overflowPunct/>
        <w:topLinePunct w:val="0"/>
        <w:autoSpaceDE/>
        <w:autoSpaceDN/>
        <w:bidi w:val="0"/>
        <w:snapToGrid w:val="0"/>
        <w:spacing w:line="600" w:lineRule="exact"/>
        <w:ind w:firstLine="640"/>
        <w:textAlignment w:val="auto"/>
        <w:rPr>
          <w:rFonts w:hint="eastAsia" w:ascii="方正楷体简体" w:hAnsi="方正楷体简体" w:eastAsia="方正楷体简体" w:cs="方正楷体简体"/>
          <w:color w:val="000000"/>
          <w:kern w:val="0"/>
          <w:sz w:val="32"/>
          <w:szCs w:val="32"/>
        </w:rPr>
      </w:pPr>
      <w:r>
        <w:rPr>
          <w:rFonts w:hint="eastAsia" w:ascii="方正楷体简体" w:hAnsi="方正楷体简体" w:eastAsia="方正楷体简体" w:cs="方正楷体简体"/>
          <w:color w:val="000000"/>
          <w:kern w:val="0"/>
          <w:sz w:val="32"/>
          <w:szCs w:val="32"/>
        </w:rPr>
        <w:t>（二）项目支出情况</w:t>
      </w:r>
    </w:p>
    <w:p w14:paraId="784E2BEC">
      <w:pPr>
        <w:keepNext w:val="0"/>
        <w:keepLines w:val="0"/>
        <w:pageBreakBefore w:val="0"/>
        <w:widowControl/>
        <w:kinsoku/>
        <w:wordWrap/>
        <w:overflowPunct/>
        <w:topLinePunct w:val="0"/>
        <w:autoSpaceDE/>
        <w:autoSpaceDN/>
        <w:bidi w:val="0"/>
        <w:snapToGrid w:val="0"/>
        <w:spacing w:line="600" w:lineRule="exact"/>
        <w:ind w:firstLine="640"/>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2024年项目支出共计91.11万元。主要用于查找和协调处理无线电干扰源和设备检测、电磁环境测试；开展打击治理“黑广播”和“伪基站”犯罪活动专项行动；无线电日常监测；重要时期的安全保障和考试保障；无线电技术培训；对无线电管理工作的宣传；无线电专业技术设备的购置；每个固定监测站的线路维护及无线电专用技术设施和专用设备的维修保养。</w:t>
      </w:r>
    </w:p>
    <w:p w14:paraId="09719687">
      <w:pPr>
        <w:pStyle w:val="3"/>
        <w:keepNext w:val="0"/>
        <w:keepLines w:val="0"/>
        <w:pageBreakBefore w:val="0"/>
        <w:kinsoku/>
        <w:wordWrap/>
        <w:overflowPunct/>
        <w:topLinePunct w:val="0"/>
        <w:autoSpaceDE/>
        <w:autoSpaceDN/>
        <w:bidi w:val="0"/>
        <w:adjustRightInd w:val="0"/>
        <w:snapToGrid w:val="0"/>
        <w:spacing w:after="0" w:line="60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三、政府性基金预算支出情况</w:t>
      </w:r>
    </w:p>
    <w:p w14:paraId="124271E6">
      <w:pPr>
        <w:keepNext w:val="0"/>
        <w:keepLines w:val="0"/>
        <w:pageBreakBefore w:val="0"/>
        <w:widowControl/>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 xml:space="preserve">    2024年政府性基金预算财政拨款收入0万元。</w:t>
      </w:r>
    </w:p>
    <w:p w14:paraId="054EB15D">
      <w:pPr>
        <w:keepNext w:val="0"/>
        <w:keepLines w:val="0"/>
        <w:pageBreakBefore w:val="0"/>
        <w:widowControl/>
        <w:kinsoku/>
        <w:wordWrap/>
        <w:overflowPunct/>
        <w:topLinePunct w:val="0"/>
        <w:autoSpaceDE/>
        <w:autoSpaceDN/>
        <w:bidi w:val="0"/>
        <w:adjustRightInd w:val="0"/>
        <w:snapToGrid w:val="0"/>
        <w:spacing w:line="600" w:lineRule="exact"/>
        <w:textAlignment w:val="auto"/>
        <w:rPr>
          <w:rFonts w:hint="eastAsia" w:ascii="黑体" w:hAnsi="黑体" w:eastAsia="黑体" w:cs="黑体"/>
          <w:color w:val="000000"/>
          <w:kern w:val="0"/>
          <w:sz w:val="32"/>
          <w:szCs w:val="32"/>
        </w:rPr>
      </w:pPr>
      <w:r>
        <w:rPr>
          <w:rFonts w:hint="default" w:ascii="Times New Roman" w:hAnsi="Times New Roman" w:eastAsia="方正仿宋简体" w:cs="Times New Roman"/>
          <w:color w:val="000000"/>
          <w:kern w:val="0"/>
          <w:sz w:val="32"/>
          <w:szCs w:val="32"/>
        </w:rPr>
        <w:t xml:space="preserve">   </w:t>
      </w:r>
      <w:r>
        <w:rPr>
          <w:rFonts w:hint="eastAsia" w:ascii="黑体" w:hAnsi="黑体" w:eastAsia="黑体" w:cs="黑体"/>
          <w:color w:val="000000"/>
          <w:kern w:val="0"/>
          <w:sz w:val="32"/>
          <w:szCs w:val="32"/>
        </w:rPr>
        <w:t xml:space="preserve"> 四、国有资本经营预算支出情况</w:t>
      </w:r>
    </w:p>
    <w:p w14:paraId="505AAE65">
      <w:pPr>
        <w:keepNext w:val="0"/>
        <w:keepLines w:val="0"/>
        <w:pageBreakBefore w:val="0"/>
        <w:widowControl/>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 xml:space="preserve">    无</w:t>
      </w:r>
    </w:p>
    <w:p w14:paraId="42AA00B9">
      <w:pPr>
        <w:keepNext w:val="0"/>
        <w:keepLines w:val="0"/>
        <w:pageBreakBefore w:val="0"/>
        <w:widowControl/>
        <w:kinsoku/>
        <w:wordWrap/>
        <w:overflowPunct/>
        <w:topLinePunct w:val="0"/>
        <w:autoSpaceDE/>
        <w:autoSpaceDN/>
        <w:bidi w:val="0"/>
        <w:adjustRightInd w:val="0"/>
        <w:snapToGrid w:val="0"/>
        <w:spacing w:line="600" w:lineRule="exact"/>
        <w:textAlignment w:val="auto"/>
        <w:rPr>
          <w:rFonts w:hint="eastAsia" w:ascii="黑体" w:hAnsi="黑体" w:eastAsia="黑体" w:cs="黑体"/>
          <w:color w:val="000000"/>
          <w:kern w:val="0"/>
          <w:sz w:val="32"/>
          <w:szCs w:val="32"/>
        </w:rPr>
      </w:pPr>
      <w:r>
        <w:rPr>
          <w:rFonts w:hint="default" w:ascii="Times New Roman" w:hAnsi="Times New Roman" w:eastAsia="方正仿宋简体" w:cs="Times New Roman"/>
          <w:color w:val="000000"/>
          <w:kern w:val="0"/>
          <w:sz w:val="32"/>
          <w:szCs w:val="32"/>
        </w:rPr>
        <w:t xml:space="preserve">    </w:t>
      </w:r>
      <w:r>
        <w:rPr>
          <w:rFonts w:hint="eastAsia" w:ascii="黑体" w:hAnsi="黑体" w:eastAsia="黑体" w:cs="黑体"/>
          <w:color w:val="000000"/>
          <w:kern w:val="0"/>
          <w:sz w:val="32"/>
          <w:szCs w:val="32"/>
        </w:rPr>
        <w:t>五、社会保险基金预算支出情况</w:t>
      </w:r>
    </w:p>
    <w:p w14:paraId="1F859F25">
      <w:pPr>
        <w:keepNext w:val="0"/>
        <w:keepLines w:val="0"/>
        <w:pageBreakBefore w:val="0"/>
        <w:widowControl/>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 xml:space="preserve">    无</w:t>
      </w:r>
    </w:p>
    <w:p w14:paraId="15359F7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六、部门整体支出绩效情况</w:t>
      </w:r>
    </w:p>
    <w:p w14:paraId="67E5EF17">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2024</w:t>
      </w:r>
      <w:r>
        <w:rPr>
          <w:rFonts w:hint="default" w:ascii="Times New Roman" w:hAnsi="Times New Roman" w:eastAsia="方正仿宋简体" w:cs="Times New Roman"/>
          <w:sz w:val="32"/>
          <w:szCs w:val="32"/>
        </w:rPr>
        <w:t>年，根据年初工作规划和重点性工作，在财政预算</w:t>
      </w:r>
      <w:r>
        <w:rPr>
          <w:rFonts w:hint="default" w:ascii="Times New Roman" w:hAnsi="Times New Roman" w:eastAsia="方正仿宋简体" w:cs="Times New Roman"/>
          <w:color w:val="000000"/>
          <w:kern w:val="0"/>
          <w:sz w:val="32"/>
          <w:szCs w:val="32"/>
        </w:rPr>
        <w:t>资金管理上，积极履职，强化管理，通过加强预算收支的管理，不断建立健全内部管理制度，梳理内部管理流程，部门整体支出管理情况得到了提升。通过对2024年度部门整体支出状况的概述和分析，按照部门整体支出绩效评价指标体系，我站部门整体支出绩效情况如下：</w:t>
      </w:r>
    </w:p>
    <w:p w14:paraId="66094A1D">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eastAsia" w:ascii="方正楷体简体" w:hAnsi="方正楷体简体" w:eastAsia="方正楷体简体" w:cs="方正楷体简体"/>
          <w:color w:val="000000"/>
          <w:kern w:val="0"/>
          <w:sz w:val="32"/>
          <w:szCs w:val="32"/>
        </w:rPr>
      </w:pPr>
      <w:r>
        <w:rPr>
          <w:rFonts w:hint="eastAsia" w:ascii="方正楷体简体" w:hAnsi="方正楷体简体" w:eastAsia="方正楷体简体" w:cs="方正楷体简体"/>
          <w:color w:val="000000"/>
          <w:kern w:val="0"/>
          <w:sz w:val="32"/>
          <w:szCs w:val="32"/>
        </w:rPr>
        <w:t>（一）经济性评价</w:t>
      </w:r>
    </w:p>
    <w:p w14:paraId="7A0BBA6A">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1.本年预算配置控制较好，编制内在职人员控制率等于100%，控制在预算编制以内；</w:t>
      </w:r>
      <w:r>
        <w:rPr>
          <w:rFonts w:hint="default" w:ascii="Times New Roman" w:hAnsi="Times New Roman" w:eastAsia="方正仿宋简体" w:cs="Times New Roman"/>
          <w:kern w:val="0"/>
          <w:sz w:val="32"/>
          <w:szCs w:val="32"/>
        </w:rPr>
        <w:t>三公经费总额较上年下降</w:t>
      </w:r>
      <w:r>
        <w:rPr>
          <w:rFonts w:hint="default" w:ascii="Times New Roman" w:hAnsi="Times New Roman" w:eastAsia="方正仿宋简体" w:cs="Times New Roman"/>
          <w:color w:val="000000"/>
          <w:kern w:val="0"/>
          <w:sz w:val="32"/>
          <w:szCs w:val="32"/>
        </w:rPr>
        <w:t>57.4%。　　</w:t>
      </w:r>
    </w:p>
    <w:p w14:paraId="31CBCA88">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2.预算执行方面，支出总额控制在预算总额以内；本年基本支出较好的控制在预算额度内，专项资金投入偏低，结余较大，需要进一步加快专项资金的下达，抓紧专项资金的投入。</w:t>
      </w:r>
      <w:r>
        <w:rPr>
          <w:rFonts w:hint="default" w:ascii="Times New Roman" w:hAnsi="Times New Roman" w:eastAsia="方正仿宋简体" w:cs="Times New Roman"/>
          <w:color w:val="000000"/>
          <w:kern w:val="0"/>
          <w:sz w:val="32"/>
          <w:szCs w:val="32"/>
        </w:rPr>
        <w:tab/>
      </w:r>
      <w:r>
        <w:rPr>
          <w:rFonts w:hint="default" w:ascii="Times New Roman" w:hAnsi="Times New Roman" w:eastAsia="方正仿宋简体" w:cs="Times New Roman"/>
          <w:color w:val="000000"/>
          <w:kern w:val="0"/>
          <w:sz w:val="32"/>
          <w:szCs w:val="32"/>
        </w:rPr>
        <w:tab/>
      </w:r>
    </w:p>
    <w:p w14:paraId="070DFEA7">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楷体简体" w:hAnsi="方正楷体简体" w:eastAsia="方正楷体简体" w:cs="方正楷体简体"/>
          <w:color w:val="000000"/>
          <w:kern w:val="0"/>
          <w:sz w:val="32"/>
          <w:szCs w:val="32"/>
        </w:rPr>
      </w:pPr>
      <w:r>
        <w:rPr>
          <w:rFonts w:hint="eastAsia" w:ascii="方正楷体简体" w:hAnsi="方正楷体简体" w:eastAsia="方正楷体简体" w:cs="方正楷体简体"/>
          <w:color w:val="000000"/>
          <w:kern w:val="0"/>
          <w:sz w:val="32"/>
          <w:szCs w:val="32"/>
        </w:rPr>
        <w:t>（二）行政效能评价</w:t>
      </w:r>
    </w:p>
    <w:p w14:paraId="77951FD6">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为强化部门整体支出，加强国有资产管理，提高资金使用效益，提升财务管理，建立节约型机关，</w:t>
      </w:r>
      <w:r>
        <w:rPr>
          <w:rFonts w:hint="default" w:ascii="Times New Roman" w:hAnsi="Times New Roman" w:eastAsia="方正仿宋简体" w:cs="Times New Roman"/>
          <w:color w:val="000000"/>
          <w:kern w:val="0"/>
          <w:sz w:val="32"/>
          <w:szCs w:val="32"/>
          <w:lang w:val="en" w:eastAsia="zh-CN"/>
        </w:rPr>
        <w:t>202</w:t>
      </w:r>
      <w:r>
        <w:rPr>
          <w:rFonts w:hint="default" w:ascii="Times New Roman" w:hAnsi="Times New Roman" w:eastAsia="方正仿宋简体" w:cs="Times New Roman"/>
          <w:color w:val="000000"/>
          <w:kern w:val="0"/>
          <w:sz w:val="32"/>
          <w:szCs w:val="32"/>
          <w:lang w:val="en-US" w:eastAsia="zh-CN"/>
        </w:rPr>
        <w:t>4</w:t>
      </w:r>
      <w:r>
        <w:rPr>
          <w:rFonts w:hint="default" w:ascii="Times New Roman" w:hAnsi="Times New Roman" w:eastAsia="方正仿宋简体" w:cs="Times New Roman"/>
          <w:color w:val="000000"/>
          <w:kern w:val="0"/>
          <w:sz w:val="32"/>
          <w:szCs w:val="32"/>
        </w:rPr>
        <w:t>年我</w:t>
      </w:r>
      <w:r>
        <w:rPr>
          <w:rFonts w:hint="default" w:ascii="Times New Roman" w:hAnsi="Times New Roman" w:eastAsia="方正仿宋简体" w:cs="Times New Roman"/>
          <w:color w:val="000000"/>
          <w:kern w:val="0"/>
          <w:sz w:val="32"/>
          <w:szCs w:val="32"/>
          <w:lang w:eastAsia="zh-CN"/>
        </w:rPr>
        <w:t>站</w:t>
      </w:r>
      <w:r>
        <w:rPr>
          <w:rFonts w:hint="default" w:ascii="Times New Roman" w:hAnsi="Times New Roman" w:eastAsia="方正仿宋简体" w:cs="Times New Roman"/>
          <w:color w:val="000000"/>
          <w:kern w:val="0"/>
          <w:sz w:val="32"/>
          <w:szCs w:val="32"/>
        </w:rPr>
        <w:t>以优化内部结构，健全规章制度，强化内部管理，规范办事程序，提高服务质量为重点，在强化业务管理、财务管理和厉行节约方面开展了大量工作，机关工作作风进一步改变，行政效能进一步提高。具体工作情况简要如下：</w:t>
      </w:r>
    </w:p>
    <w:p w14:paraId="79F0D4B1">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lang w:val="en-US" w:eastAsia="zh-CN"/>
        </w:rPr>
        <w:t>1.</w:t>
      </w:r>
      <w:r>
        <w:rPr>
          <w:rFonts w:hint="default" w:ascii="Times New Roman" w:hAnsi="Times New Roman" w:eastAsia="方正仿宋简体" w:cs="Times New Roman"/>
          <w:color w:val="000000"/>
          <w:kern w:val="0"/>
          <w:sz w:val="32"/>
          <w:szCs w:val="32"/>
        </w:rPr>
        <w:t>实行重点管控，确保“三公”等经费只减不增。一是与公务无关的接待不予报销，严格按标准接待。二是在公务用车运行费用在实行定点维修、定点加油，进一步细化内部管理。</w:t>
      </w:r>
    </w:p>
    <w:p w14:paraId="19ACF9F3">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lang w:val="en-US" w:eastAsia="zh-CN"/>
        </w:rPr>
        <w:t>2.</w:t>
      </w:r>
      <w:r>
        <w:rPr>
          <w:rFonts w:hint="default" w:ascii="Times New Roman" w:hAnsi="Times New Roman" w:eastAsia="方正仿宋简体" w:cs="Times New Roman"/>
          <w:color w:val="000000"/>
          <w:kern w:val="0"/>
          <w:sz w:val="32"/>
          <w:szCs w:val="32"/>
        </w:rPr>
        <w:t>严格审核审批，严控经费支出。一是严格审核原始单据，要求发票合法合规，相关资料真实完整，不符合要求的不予报账。二是严格审核经费来源，根据部门预算安排和资金使用进度，核实每笔报账申请的经费来源，无预算的支出不予报账。三是严格审核各项制度执行情况，没有按规定及程序审批的不予报账；超出预算限额的不予报账。</w:t>
      </w:r>
    </w:p>
    <w:p w14:paraId="05AC906A">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lang w:val="en-US" w:eastAsia="zh-CN"/>
        </w:rPr>
        <w:t>3.</w:t>
      </w:r>
      <w:r>
        <w:rPr>
          <w:rFonts w:hint="default" w:ascii="Times New Roman" w:hAnsi="Times New Roman" w:eastAsia="方正仿宋简体" w:cs="Times New Roman"/>
          <w:color w:val="000000"/>
          <w:kern w:val="0"/>
          <w:sz w:val="32"/>
          <w:szCs w:val="32"/>
        </w:rPr>
        <w:t>建立了经费支出定期汇报和公示机制，经费支出的公开透明性得到提高。按照市财政局要求对部门预算、决算、绩效、三公经费等相关信息进行公示，根据经费支出情况，我</w:t>
      </w:r>
      <w:r>
        <w:rPr>
          <w:rFonts w:hint="default" w:ascii="Times New Roman" w:hAnsi="Times New Roman" w:eastAsia="方正仿宋简体" w:cs="Times New Roman"/>
          <w:color w:val="000000"/>
          <w:kern w:val="0"/>
          <w:sz w:val="32"/>
          <w:szCs w:val="32"/>
          <w:lang w:eastAsia="zh-CN"/>
        </w:rPr>
        <w:t>站</w:t>
      </w:r>
      <w:r>
        <w:rPr>
          <w:rFonts w:hint="default" w:ascii="Times New Roman" w:hAnsi="Times New Roman" w:eastAsia="方正仿宋简体" w:cs="Times New Roman"/>
          <w:color w:val="000000"/>
          <w:kern w:val="0"/>
          <w:sz w:val="32"/>
          <w:szCs w:val="32"/>
        </w:rPr>
        <w:t>定期进行经费支出财务统计和分析，定期向分管领导进行汇报，对经费支出的管理状况提出财务建议。　　</w:t>
      </w:r>
    </w:p>
    <w:p w14:paraId="29C4AF6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楷体简体" w:hAnsi="方正楷体简体" w:eastAsia="方正楷体简体" w:cs="方正楷体简体"/>
          <w:color w:val="000000"/>
          <w:kern w:val="0"/>
          <w:sz w:val="32"/>
          <w:szCs w:val="32"/>
        </w:rPr>
      </w:pPr>
      <w:r>
        <w:rPr>
          <w:rFonts w:hint="eastAsia" w:ascii="方正楷体简体" w:hAnsi="方正楷体简体" w:eastAsia="方正楷体简体" w:cs="方正楷体简体"/>
          <w:color w:val="000000"/>
          <w:kern w:val="0"/>
          <w:sz w:val="32"/>
          <w:szCs w:val="32"/>
        </w:rPr>
        <w:t>（三）社会效益评价</w:t>
      </w:r>
    </w:p>
    <w:p w14:paraId="06BCAF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eastAsia="zh-CN"/>
        </w:rPr>
        <w:t>我站在</w:t>
      </w:r>
      <w:r>
        <w:rPr>
          <w:rFonts w:hint="default" w:ascii="Times New Roman" w:hAnsi="Times New Roman" w:eastAsia="方正仿宋简体" w:cs="Times New Roman"/>
          <w:color w:val="000000"/>
          <w:kern w:val="0"/>
          <w:sz w:val="32"/>
          <w:szCs w:val="32"/>
          <w:lang w:val="en" w:eastAsia="zh-CN"/>
        </w:rPr>
        <w:t>202</w:t>
      </w:r>
      <w:r>
        <w:rPr>
          <w:rFonts w:hint="default" w:ascii="Times New Roman" w:hAnsi="Times New Roman" w:eastAsia="方正仿宋简体" w:cs="Times New Roman"/>
          <w:color w:val="000000"/>
          <w:kern w:val="0"/>
          <w:sz w:val="32"/>
          <w:szCs w:val="32"/>
          <w:lang w:val="en-US" w:eastAsia="zh-CN"/>
        </w:rPr>
        <w:t>4年的整体支出绩效目标实现中主要表现在以下几个方面：</w:t>
      </w:r>
    </w:p>
    <w:p w14:paraId="5ABCF285">
      <w:pPr>
        <w:pStyle w:val="3"/>
        <w:keepNext w:val="0"/>
        <w:keepLines w:val="0"/>
        <w:pageBreakBefore w:val="0"/>
        <w:numPr>
          <w:ilvl w:val="0"/>
          <w:numId w:val="0"/>
        </w:numPr>
        <w:kinsoku/>
        <w:wordWrap/>
        <w:overflowPunct/>
        <w:topLinePunct w:val="0"/>
        <w:autoSpaceDE/>
        <w:autoSpaceDN/>
        <w:bidi w:val="0"/>
        <w:spacing w:after="0" w:line="600" w:lineRule="exact"/>
        <w:ind w:firstLine="640" w:firstLineChars="200"/>
        <w:textAlignment w:val="auto"/>
        <w:rPr>
          <w:rFonts w:hint="default" w:ascii="Times New Roman" w:hAnsi="Times New Roman" w:eastAsia="方正仿宋简体" w:cs="Times New Roman"/>
          <w:b w:val="0"/>
          <w:bCs w:val="0"/>
          <w:color w:val="0C0C0C"/>
          <w:sz w:val="32"/>
          <w:szCs w:val="32"/>
          <w:lang w:eastAsia="zh-CN"/>
        </w:rPr>
      </w:pPr>
      <w:r>
        <w:rPr>
          <w:rFonts w:hint="default" w:ascii="Times New Roman" w:hAnsi="Times New Roman" w:eastAsia="方正仿宋简体" w:cs="Times New Roman"/>
          <w:b w:val="0"/>
          <w:bCs w:val="0"/>
          <w:color w:val="0C0C0C"/>
          <w:sz w:val="32"/>
          <w:szCs w:val="32"/>
          <w:lang w:eastAsia="zh-CN"/>
        </w:rPr>
        <w:t>一、工作成效</w:t>
      </w:r>
    </w:p>
    <w:p w14:paraId="6CC5C95A">
      <w:pPr>
        <w:keepNext w:val="0"/>
        <w:keepLines w:val="0"/>
        <w:pageBreakBefore w:val="0"/>
        <w:numPr>
          <w:ilvl w:val="0"/>
          <w:numId w:val="0"/>
        </w:numPr>
        <w:kinsoku/>
        <w:wordWrap/>
        <w:overflowPunct/>
        <w:topLinePunct w:val="0"/>
        <w:autoSpaceDE/>
        <w:autoSpaceDN/>
        <w:bidi w:val="0"/>
        <w:spacing w:line="600" w:lineRule="exac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lang w:val="en-US" w:eastAsia="zh-CN"/>
        </w:rPr>
        <w:t xml:space="preserve">   </w:t>
      </w:r>
      <w:r>
        <w:rPr>
          <w:rFonts w:hint="default" w:ascii="Times New Roman" w:hAnsi="Times New Roman" w:eastAsia="方正仿宋简体" w:cs="Times New Roman"/>
          <w:i w:val="0"/>
          <w:iCs w:val="0"/>
          <w:lang w:val="en-US" w:eastAsia="zh-CN"/>
        </w:rPr>
        <w:t xml:space="preserve"> </w:t>
      </w:r>
      <w:r>
        <w:rPr>
          <w:rFonts w:hint="default" w:ascii="Times New Roman" w:hAnsi="Times New Roman" w:eastAsia="方正仿宋简体" w:cs="Times New Roman"/>
          <w:i w:val="0"/>
          <w:iCs w:val="0"/>
          <w:sz w:val="32"/>
          <w:szCs w:val="32"/>
          <w:lang w:val="en-US" w:eastAsia="zh-CN"/>
        </w:rPr>
        <w:t xml:space="preserve"> </w:t>
      </w:r>
      <w:r>
        <w:rPr>
          <w:rFonts w:hint="default" w:ascii="Times New Roman" w:hAnsi="Times New Roman" w:eastAsia="方正仿宋简体" w:cs="Times New Roman"/>
          <w:sz w:val="32"/>
          <w:szCs w:val="32"/>
          <w:lang w:val="en-US" w:eastAsia="zh-CN"/>
        </w:rPr>
        <w:t>根据《湖南省工业和信息化厅关于2024年市州无线电管理工作综合评价情况的通报》，益阳在全省14个市州中排名第9，较去年上升</w:t>
      </w:r>
      <w:r>
        <w:rPr>
          <w:rFonts w:hint="default"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sz w:val="32"/>
          <w:szCs w:val="32"/>
          <w:lang w:val="en-US" w:eastAsia="zh-CN"/>
        </w:rPr>
        <w:t>位。2024年度全省无线电监测技术岗位练兵技能竞赛取得了综合团体“三等奖”（第5名）的成绩。</w:t>
      </w:r>
    </w:p>
    <w:p w14:paraId="2FC282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（一）加强无线电频率、台站管理</w:t>
      </w:r>
    </w:p>
    <w:p w14:paraId="724900C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我市现共有无线电台站11976个（其中在用11783个、封存124个、注销20个）。市无线电管理机构严格按照保密制度工作要求，安排专人定期对台站数据库进行维护，全年核对频率、台站数据10133个。根据省厅授权给市州无线电管理机构的行政权力事项范围，核发台站执照7707个，办结无线电频率、台站行政许可共计16件（新申请频率使用许可1件，新申请无线电台设置、使用许可2件，通信基站设置、使用许可13件）。全部行政许可事项从受理、录入、办结、归档均按行政许可程序办理，办结率、准确率、归档率达到100％。</w:t>
      </w:r>
    </w:p>
    <w:p w14:paraId="4C5FD8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（二）加大无线电监测和干扰查处</w:t>
      </w:r>
    </w:p>
    <w:p w14:paraId="6350BE5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根据省无委办、省监测站下达的各项监测任务，使用我市8个固定站、2台移动监测车对调频广播频段、广播电视频段、航空频段等进行了重点监测，日常监测累计时长为29760小时。按时按质报送了4篇无线电频谱监测月报、3篇无线电监测和行政执法工作报告。全年共接到干扰申诉1起（大通湖区金盆镇4G移动基站干扰申诉），查结率100%。</w:t>
      </w:r>
    </w:p>
    <w:p w14:paraId="6C5D8C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（三）开展行政执法与监督检查</w:t>
      </w:r>
    </w:p>
    <w:p w14:paraId="66D05CDD">
      <w:pPr>
        <w:keepNext w:val="0"/>
        <w:keepLines w:val="0"/>
        <w:pageBreakBefore w:val="0"/>
        <w:kinsoku/>
        <w:wordWrap/>
        <w:overflowPunct/>
        <w:topLinePunct w:val="0"/>
        <w:autoSpaceDE/>
        <w:autoSpaceDN/>
        <w:bidi w:val="0"/>
        <w:spacing w:line="600" w:lineRule="exact"/>
        <w:ind w:firstLine="480" w:firstLineChars="15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全年下发监督检查通知9份，整改通报3份，共计执法文件12份。</w:t>
      </w:r>
      <w:r>
        <w:rPr>
          <w:rFonts w:hint="default" w:ascii="Times New Roman" w:hAnsi="Times New Roman" w:eastAsia="方正仿宋简体" w:cs="Times New Roman"/>
          <w:b/>
          <w:bCs/>
          <w:sz w:val="32"/>
          <w:szCs w:val="32"/>
          <w:lang w:val="en-US" w:eastAsia="zh-CN"/>
        </w:rPr>
        <w:t>1.开展了无线电台（站）“双随机”监督检查工作。</w:t>
      </w:r>
      <w:r>
        <w:rPr>
          <w:rFonts w:hint="default" w:ascii="Times New Roman" w:hAnsi="Times New Roman" w:eastAsia="方正仿宋简体" w:cs="Times New Roman"/>
          <w:sz w:val="32"/>
          <w:szCs w:val="32"/>
          <w:lang w:val="en-US" w:eastAsia="zh-CN"/>
        </w:rPr>
        <w:t>按照“人机见面”原则，工作人员采用了现场核查、数据比对、频率监测等方式开展监督检查，认真核对台站技术参数及许可手续，运用技术手段对相关频率范围现场监测分析。</w:t>
      </w:r>
      <w:r>
        <w:rPr>
          <w:rFonts w:hint="default" w:ascii="Times New Roman" w:hAnsi="Times New Roman" w:eastAsia="方正仿宋简体" w:cs="Times New Roman"/>
          <w:b/>
          <w:bCs/>
          <w:sz w:val="32"/>
          <w:szCs w:val="32"/>
          <w:lang w:val="en-US" w:eastAsia="zh-CN"/>
        </w:rPr>
        <w:t>2.开展了无线电频率使用和在用无线电台（站）监督检查工作。</w:t>
      </w:r>
      <w:r>
        <w:rPr>
          <w:rFonts w:hint="default" w:ascii="Times New Roman" w:hAnsi="Times New Roman" w:eastAsia="方正仿宋简体" w:cs="Times New Roman"/>
          <w:sz w:val="32"/>
          <w:szCs w:val="32"/>
          <w:lang w:val="en-US" w:eastAsia="zh-CN"/>
        </w:rPr>
        <w:t>根据2024年度全省在用无线电发射设备检测工作安排，制定工作方案，抽查公众通信基站30多个，业余无线电台2个，雷达站1个。</w:t>
      </w:r>
      <w:r>
        <w:rPr>
          <w:rFonts w:hint="default" w:ascii="Times New Roman" w:hAnsi="Times New Roman" w:eastAsia="方正仿宋简体" w:cs="Times New Roman"/>
          <w:b/>
          <w:bCs/>
          <w:sz w:val="32"/>
          <w:szCs w:val="32"/>
          <w:lang w:val="en-US" w:eastAsia="zh-CN"/>
        </w:rPr>
        <w:t>3.开展了无线电发射设备销售市场进行了监督检查。</w:t>
      </w:r>
      <w:r>
        <w:rPr>
          <w:rFonts w:hint="default" w:ascii="Times New Roman" w:hAnsi="Times New Roman" w:eastAsia="方正仿宋简体" w:cs="Times New Roman"/>
          <w:sz w:val="32"/>
          <w:szCs w:val="32"/>
          <w:lang w:val="en-US" w:eastAsia="zh-CN"/>
        </w:rPr>
        <w:t>制定销售备案工作方案，通过在媒体和3.15消费者权益日对销售备案工作进行宣传。日常采用“双随机、一公开”的方式，每季度开展1次无线电发射设备线上、线下销售检查。按审核程序对无线电发射设备销售企业提交的备案申请进行审核，销售主体备案数从去年的20多家增至258家，位居全省第2。</w:t>
      </w:r>
    </w:p>
    <w:p w14:paraId="173A52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（四）规范使用无线电频率占用费</w:t>
      </w:r>
    </w:p>
    <w:p w14:paraId="1E5970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 w:val="0"/>
          <w:bCs w:val="0"/>
          <w:sz w:val="32"/>
          <w:szCs w:val="32"/>
          <w:lang w:val="en-US" w:eastAsia="zh-CN"/>
        </w:rPr>
        <w:t>1.</w:t>
      </w:r>
      <w:r>
        <w:rPr>
          <w:rFonts w:hint="default" w:ascii="Times New Roman" w:hAnsi="Times New Roman" w:eastAsia="方正仿宋简体" w:cs="Times New Roman"/>
          <w:sz w:val="32"/>
          <w:szCs w:val="32"/>
          <w:lang w:val="en-US" w:eastAsia="zh-CN"/>
        </w:rPr>
        <w:t>根据我市设台数量和频率占用费收取标准，制定了年度征收清单，对6家设台单位收取频率占用费共计3.336万元。征收比例达到100%，确定规费足额上缴国库。</w:t>
      </w:r>
    </w:p>
    <w:p w14:paraId="1C39A3C7">
      <w:pPr>
        <w:keepNext w:val="0"/>
        <w:keepLines w:val="0"/>
        <w:pageBreakBefore w:val="0"/>
        <w:kinsoku/>
        <w:wordWrap/>
        <w:overflowPunct/>
        <w:topLinePunct w:val="0"/>
        <w:autoSpaceDE/>
        <w:autoSpaceDN/>
        <w:bidi w:val="0"/>
        <w:adjustRightInd/>
        <w:spacing w:line="600" w:lineRule="exact"/>
        <w:ind w:firstLine="640"/>
        <w:jc w:val="center"/>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 w:val="0"/>
          <w:bCs w:val="0"/>
          <w:sz w:val="32"/>
          <w:szCs w:val="32"/>
          <w:lang w:val="en-US" w:eastAsia="zh-CN"/>
        </w:rPr>
        <w:t>2.</w:t>
      </w:r>
      <w:r>
        <w:rPr>
          <w:rFonts w:hint="default" w:ascii="Times New Roman" w:hAnsi="Times New Roman" w:eastAsia="方正仿宋简体" w:cs="Times New Roman"/>
          <w:sz w:val="32"/>
          <w:szCs w:val="32"/>
          <w:lang w:val="en-US" w:eastAsia="zh-CN"/>
        </w:rPr>
        <w:t>制定了《2024年廉政风险电及防控措施清单》，</w:t>
      </w:r>
      <w:r>
        <w:rPr>
          <w:rFonts w:hint="default" w:ascii="Times New Roman" w:hAnsi="Times New Roman" w:eastAsia="方正仿宋简体" w:cs="Times New Roman"/>
          <w:kern w:val="0"/>
          <w:sz w:val="32"/>
          <w:szCs w:val="32"/>
          <w:lang w:val="en" w:eastAsia="zh-CN" w:bidi="ar-SA"/>
        </w:rPr>
        <w:t>积极配合</w:t>
      </w:r>
      <w:r>
        <w:rPr>
          <w:rFonts w:hint="default" w:ascii="Times New Roman" w:hAnsi="Times New Roman" w:eastAsia="方正仿宋简体" w:cs="Times New Roman"/>
          <w:kern w:val="0"/>
          <w:sz w:val="32"/>
          <w:szCs w:val="32"/>
          <w:lang w:val="en-US" w:eastAsia="zh-CN" w:bidi="ar-SA"/>
        </w:rPr>
        <w:t>省厅委托湖南同仁联合会计师事务所，对我们开展2023年中央财政无线电频率占用费转移支付资金绩效评价和专项审计工作，</w:t>
      </w:r>
      <w:r>
        <w:rPr>
          <w:rFonts w:hint="default" w:ascii="Times New Roman" w:hAnsi="Times New Roman" w:eastAsia="方正仿宋简体" w:cs="Times New Roman"/>
          <w:sz w:val="32"/>
          <w:szCs w:val="32"/>
          <w:lang w:val="en-US" w:eastAsia="zh-CN"/>
        </w:rPr>
        <w:t>开展了2023年无线电管理经费使用廉政风险防控自查，并向省</w:t>
      </w:r>
    </w:p>
    <w:p w14:paraId="22410FBC">
      <w:pPr>
        <w:keepNext w:val="0"/>
        <w:keepLines w:val="0"/>
        <w:pageBreakBefore w:val="0"/>
        <w:kinsoku/>
        <w:wordWrap/>
        <w:overflowPunct/>
        <w:topLinePunct w:val="0"/>
        <w:autoSpaceDE/>
        <w:autoSpaceDN/>
        <w:bidi w:val="0"/>
        <w:adjustRightInd/>
        <w:spacing w:line="600" w:lineRule="exact"/>
        <w:jc w:val="both"/>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sz w:val="32"/>
          <w:szCs w:val="32"/>
          <w:lang w:val="en-US" w:eastAsia="zh-CN"/>
        </w:rPr>
        <w:t>办提交了了《202</w:t>
      </w:r>
      <w:r>
        <w:rPr>
          <w:rFonts w:hint="default" w:ascii="Times New Roman" w:hAnsi="Times New Roman" w:eastAsia="方正仿宋简体" w:cs="Times New Roman"/>
          <w:sz w:val="32"/>
          <w:szCs w:val="32"/>
          <w:lang w:val="en" w:eastAsia="zh-CN"/>
        </w:rPr>
        <w:t>3</w:t>
      </w:r>
      <w:r>
        <w:rPr>
          <w:rFonts w:hint="default" w:ascii="Times New Roman" w:hAnsi="Times New Roman" w:eastAsia="方正仿宋简体" w:cs="Times New Roman"/>
          <w:sz w:val="32"/>
          <w:szCs w:val="32"/>
          <w:lang w:val="en-US" w:eastAsia="zh-CN"/>
        </w:rPr>
        <w:t>年度无线电</w:t>
      </w:r>
      <w:r>
        <w:rPr>
          <w:rFonts w:hint="default" w:ascii="Times New Roman" w:hAnsi="Times New Roman" w:eastAsia="方正仿宋简体" w:cs="Times New Roman"/>
          <w:sz w:val="32"/>
          <w:szCs w:val="32"/>
          <w:lang w:val="en" w:eastAsia="zh-CN"/>
        </w:rPr>
        <w:t>管理经</w:t>
      </w:r>
      <w:r>
        <w:rPr>
          <w:rFonts w:hint="default" w:ascii="Times New Roman" w:hAnsi="Times New Roman" w:eastAsia="方正仿宋简体" w:cs="Times New Roman"/>
          <w:sz w:val="32"/>
          <w:szCs w:val="32"/>
          <w:lang w:val="en-US" w:eastAsia="zh-CN"/>
        </w:rPr>
        <w:t>费绩效自评报告》、《2023年无线电管理经费使用廉政风险防控自查报告》。湖南同仁联合会计师事务所出具了2023年益阳市无线电监测站无线电频率占用费转移支付资金收支情况专项审计报告、湖南源成会计师事务所出具了益阳市无线电监测站资产清查审计报告，确保了工作落实到位。按时按质向上级部门报送资金使用报表及资料。</w:t>
      </w:r>
    </w:p>
    <w:p w14:paraId="06BACC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（五）打击违法行为，维护电波秩序</w:t>
      </w:r>
    </w:p>
    <w:p w14:paraId="41E51B53">
      <w:pPr>
        <w:keepNext w:val="0"/>
        <w:keepLines w:val="0"/>
        <w:pageBreakBefore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
          <w:bCs/>
          <w:sz w:val="32"/>
          <w:szCs w:val="32"/>
          <w:lang w:val="en-US" w:eastAsia="zh-CN"/>
        </w:rPr>
        <w:t>1.开展打击“黑广播”、“伪基站”、GoIP诈骗专项行动。</w:t>
      </w:r>
      <w:r>
        <w:rPr>
          <w:rFonts w:hint="default" w:ascii="Times New Roman" w:hAnsi="Times New Roman" w:eastAsia="方正仿宋简体" w:cs="Times New Roman"/>
          <w:sz w:val="32"/>
          <w:szCs w:val="32"/>
        </w:rPr>
        <w:t>每月不定期组织技术人员在城区人流较多的地方和区县市开展24小时保护性监测</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共累计出动监测车121台次，派出技术人员279人，动用监测定位设备121人次，总计监测时间为515余小时，专项行动未发现“黑广播”和“伪基站”。</w:t>
      </w:r>
      <w:r>
        <w:rPr>
          <w:rFonts w:hint="default" w:ascii="Times New Roman" w:hAnsi="Times New Roman" w:eastAsia="方正仿宋简体" w:cs="Times New Roman"/>
          <w:b/>
          <w:bCs/>
          <w:sz w:val="32"/>
          <w:szCs w:val="32"/>
          <w:lang w:val="en-US" w:eastAsia="zh-CN"/>
        </w:rPr>
        <w:t>2.完成重大活动、重要节点无线电安全保障。</w:t>
      </w:r>
      <w:r>
        <w:rPr>
          <w:rFonts w:hint="default" w:ascii="Times New Roman" w:hAnsi="Times New Roman" w:eastAsia="方正仿宋简体" w:cs="Times New Roman"/>
          <w:sz w:val="32"/>
          <w:szCs w:val="32"/>
          <w:lang w:val="en-US" w:eastAsia="zh-CN"/>
        </w:rPr>
        <w:t>完成了“春节”“两会”“五一”“国庆”等期间的无线电安全战备值班工作，制定了值班安排表，实行24小时应急战备值班制度，</w:t>
      </w:r>
      <w:r>
        <w:rPr>
          <w:rFonts w:hint="default" w:ascii="Times New Roman" w:hAnsi="Times New Roman" w:eastAsia="方正仿宋简体" w:cs="Times New Roman"/>
          <w:kern w:val="2"/>
          <w:sz w:val="32"/>
          <w:szCs w:val="32"/>
          <w:lang w:val="en-US" w:eastAsia="zh-CN" w:bidi="ar-SA"/>
        </w:rPr>
        <w:t>做到“有事随时报情况、无事交班报平安”落实工作，没有发生一起缺岗、脱岗情况。</w:t>
      </w:r>
      <w:r>
        <w:rPr>
          <w:rFonts w:hint="default" w:ascii="Times New Roman" w:hAnsi="Times New Roman" w:eastAsia="方正仿宋简体" w:cs="Times New Roman"/>
          <w:sz w:val="32"/>
          <w:szCs w:val="32"/>
          <w:lang w:val="en-US" w:eastAsia="zh-CN"/>
        </w:rPr>
        <w:t>6月端午节期间，开展了益阳市赫山区第二届兰溪双桡龙舟表演赛无线电安全保障。11月20-28日，益阳派8名技术人员赴岳阳参加第一届全国青少年三大球运动会无线电通信保障。</w:t>
      </w:r>
      <w:r>
        <w:rPr>
          <w:rFonts w:hint="default" w:ascii="Times New Roman" w:hAnsi="Times New Roman" w:eastAsia="方正仿宋简体" w:cs="Times New Roman"/>
          <w:b/>
          <w:bCs/>
          <w:sz w:val="32"/>
          <w:szCs w:val="32"/>
          <w:lang w:val="en-US" w:eastAsia="zh-CN"/>
        </w:rPr>
        <w:t>3.完成重要考试无线电安全保障。</w:t>
      </w:r>
      <w:r>
        <w:rPr>
          <w:rFonts w:hint="default" w:ascii="Times New Roman" w:hAnsi="Times New Roman" w:eastAsia="方正仿宋简体" w:cs="Times New Roman"/>
          <w:sz w:val="32"/>
          <w:szCs w:val="32"/>
          <w:lang w:val="en-US" w:eastAsia="zh-CN"/>
        </w:rPr>
        <w:t>完成“高考”“学考”、国家公务员、研究生招生等考试无线电安全保障任务29次，出动监测车67车次，监测设备120余台次，监测人员200余人次，维护考试的公平公正。</w:t>
      </w:r>
    </w:p>
    <w:p w14:paraId="56244A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（六）开展无线电设施设备安全隐患排查</w:t>
      </w:r>
    </w:p>
    <w:p w14:paraId="57E5FA7D">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每月组织技术人员组前往区县市8个固定监测站进行安全巡检。对机房环境、设备运行状态、室外天线塔杆、消防设施等进行全面的维护和检查，</w:t>
      </w:r>
      <w:r>
        <w:rPr>
          <w:rFonts w:hint="default" w:ascii="Times New Roman" w:hAnsi="Times New Roman" w:eastAsia="方正仿宋简体" w:cs="Times New Roman"/>
          <w:kern w:val="2"/>
          <w:sz w:val="32"/>
          <w:szCs w:val="32"/>
          <w:lang w:val="en-US" w:eastAsia="zh-CN" w:bidi="ar-SA"/>
        </w:rPr>
        <w:t>每次进行设施设备维护均进行了台账记录、留有影像资料，</w:t>
      </w:r>
      <w:r>
        <w:rPr>
          <w:rFonts w:hint="default" w:ascii="Times New Roman" w:hAnsi="Times New Roman" w:eastAsia="方正仿宋简体" w:cs="Times New Roman"/>
          <w:sz w:val="32"/>
          <w:szCs w:val="32"/>
          <w:lang w:val="en-US" w:eastAsia="zh-CN"/>
        </w:rPr>
        <w:t>确保了设施设备安全稳定运行，同时也提升了人员的安全意识和应急处置能力。</w:t>
      </w:r>
      <w:r>
        <w:rPr>
          <w:rFonts w:hint="default" w:ascii="Times New Roman" w:hAnsi="Times New Roman" w:eastAsia="方正仿宋简体" w:cs="Times New Roman"/>
          <w:i w:val="0"/>
          <w:iCs w:val="0"/>
          <w:snapToGrid/>
          <w:color w:val="0C0C0C"/>
          <w:kern w:val="2"/>
          <w:sz w:val="32"/>
          <w:szCs w:val="32"/>
          <w:u w:val="none"/>
          <w:lang w:val="en-US" w:eastAsia="zh-CN" w:bidi="ar-SA"/>
        </w:rPr>
        <w:t>2023年湖南省无线电监测设施运行维护项目第四次运维报告中提出益阳市无线电监测站需更换的项目是市世纪大厦固定监测站、沅江五斗固定监测站机房内的蓄电池组，因生产年限在2012年和2018年，且蓄电池组损坏严重，并且出现了严重的漏液现象。我们根据运维报告提出的要求，按财务审批程序和采购程序对两个站的蓄电池组进行了更换。</w:t>
      </w:r>
    </w:p>
    <w:p w14:paraId="6CF947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（七）开展无线电宣传活动</w:t>
      </w:r>
    </w:p>
    <w:p w14:paraId="4E790A50">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3月15日，联合市场监管部门在资阳区鹅羊池广场开展无</w:t>
      </w:r>
    </w:p>
    <w:p w14:paraId="01F9C6B6">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sz w:val="32"/>
          <w:szCs w:val="32"/>
          <w:lang w:val="en-US" w:eastAsia="zh-CN"/>
        </w:rPr>
        <w:t>线电发射设备销售备案专题宣传。5月17日，以世界电信日为契机，联合三大运营商，在赫山区沃尔玛广场开展无线电法律法规宣传活动。9月是全国的无线电宣传月，9月11日，在中心城区万达广场开展以“‘无限’电波 无处不在”为主题的无线电管理现场宣传活动，在各区县进行巡检、打击“黑广播”、“伪基站”、GoIP诈骗等专项行动中开展了为期一个月的无线电宣传活动。全年，</w:t>
      </w:r>
      <w:r>
        <w:rPr>
          <w:rFonts w:hint="default" w:ascii="Times New Roman" w:hAnsi="Times New Roman" w:eastAsia="方正仿宋简体" w:cs="Times New Roman"/>
          <w:kern w:val="2"/>
          <w:sz w:val="32"/>
          <w:szCs w:val="32"/>
          <w:lang w:val="en-US" w:eastAsia="zh-CN" w:bidi="ar-SA"/>
        </w:rPr>
        <w:t>在各级媒体平台发表新闻稿件26篇（中国无线电管理官网上发布新闻信息4篇、在中国无线电杂志上发布信息新闻4篇、湖南无线电管理网站上发布简讯信息3篇、益阳市政府官网上发布新闻信息2篇、三湘无线公众号上发布简讯信息7篇、益阳日报6篇）、在益阳日报发布无线电以案释法违法案例3篇、通过益阳广电、益阳新闻电视台发布专题宣传片和以案释法违法案例的滚动宣传。</w:t>
      </w:r>
    </w:p>
    <w:p w14:paraId="495BF2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（八）压紧压实抓好队伍建设</w:t>
      </w:r>
    </w:p>
    <w:p w14:paraId="1471C5A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
          <w:bCs/>
          <w:sz w:val="32"/>
          <w:szCs w:val="32"/>
          <w:lang w:val="en-US" w:eastAsia="zh-CN"/>
        </w:rPr>
        <w:t>一是强化队伍</w:t>
      </w:r>
      <w:r>
        <w:rPr>
          <w:rStyle w:val="6"/>
          <w:rFonts w:hint="default" w:ascii="Times New Roman" w:hAnsi="Times New Roman" w:eastAsia="方正仿宋简体" w:cs="Times New Roman"/>
          <w:b/>
          <w:bCs/>
          <w:sz w:val="32"/>
          <w:szCs w:val="32"/>
          <w:lang w:val="en-US" w:eastAsia="zh-CN"/>
        </w:rPr>
        <w:t>纪律意识和规矩意识</w:t>
      </w:r>
      <w:r>
        <w:rPr>
          <w:rFonts w:hint="default"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sz w:val="32"/>
          <w:szCs w:val="32"/>
          <w:lang w:val="en-US" w:eastAsia="zh-CN"/>
        </w:rPr>
        <w:t>我们采取“三会一课”、“一月一课一片一实践”“主题党日”等形式，进一步提高党员学习主动性和积极性，将党纪学习教育和集中学习二十届三中会全精神做为全面从严治党的重要工作任务来抓，坚持党纪学习教育工作与业务工作同部署同要求，制定《中共益阳市无线电监测站党支部2024年党纪学习教育工作方案》，《中共益阳市无线电监测站支部委员会党的二十届三中全会精神集中学习计划》，成立党纪学习教育领导小组，召开党支部会议、专题学习、会议学习，开展微党课12次，集中观看警示教育片。3月和9月组织全体党员和入党积极分子前往胡林翼故居、岳阳平江起义纪念馆、湘鄂赣革命根据地、平江烈士陵园等地开展党纪、党史教育，集中学习违纪违法案例，开展“典型案例大家谈”，避免身边人沦为案中人，学纪、知纪、明纪、守纪，进一步强化纪律意识。</w:t>
      </w:r>
    </w:p>
    <w:p w14:paraId="1DF5F790">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rPr>
          <w:rFonts w:hint="default" w:ascii="Times New Roman" w:hAnsi="Times New Roman" w:eastAsia="方正仿宋简体" w:cs="Times New Roman"/>
          <w:color w:val="0C0C0C"/>
          <w:kern w:val="2"/>
          <w:sz w:val="32"/>
          <w:szCs w:val="32"/>
          <w:lang w:val="en-US" w:eastAsia="zh-CN" w:bidi="ar-SA"/>
        </w:rPr>
      </w:pPr>
      <w:r>
        <w:rPr>
          <w:rFonts w:hint="default" w:ascii="Times New Roman" w:hAnsi="Times New Roman" w:eastAsia="方正仿宋简体" w:cs="Times New Roman"/>
          <w:b/>
          <w:bCs/>
          <w:sz w:val="32"/>
          <w:szCs w:val="32"/>
          <w:lang w:val="en-US" w:eastAsia="zh-CN"/>
        </w:rPr>
        <w:t>二是强化队伍业务能力。</w:t>
      </w:r>
      <w:r>
        <w:rPr>
          <w:rFonts w:hint="default" w:ascii="Times New Roman" w:hAnsi="Times New Roman" w:eastAsia="方正仿宋简体" w:cs="Times New Roman"/>
          <w:b w:val="0"/>
          <w:bCs w:val="0"/>
          <w:kern w:val="0"/>
          <w:sz w:val="32"/>
          <w:szCs w:val="32"/>
          <w:lang w:val="en-US" w:eastAsia="zh-CN" w:bidi="ar"/>
        </w:rPr>
        <w:t xml:space="preserve"> </w:t>
      </w:r>
      <w:r>
        <w:rPr>
          <w:rFonts w:hint="default" w:ascii="Times New Roman" w:hAnsi="Times New Roman" w:eastAsia="方正仿宋简体" w:cs="Times New Roman"/>
          <w:kern w:val="2"/>
          <w:sz w:val="32"/>
          <w:szCs w:val="32"/>
          <w:lang w:val="en-US" w:eastAsia="zh-CN" w:bidi="ar-SA"/>
        </w:rPr>
        <w:t>制定了《2024年无线电管理年度培训方案》，并按年度培训计划一一进行了落实，培训有记录、有照片，人均培训学时达到24学时以上。积极参加省办组织的各项业务培训，5月27日-31日，参加了2024年泛湘西北无线电管理联合演练岗位练兵。</w:t>
      </w:r>
      <w:r>
        <w:rPr>
          <w:rFonts w:hint="default" w:ascii="Times New Roman" w:hAnsi="Times New Roman" w:eastAsia="方正仿宋简体" w:cs="Times New Roman"/>
          <w:sz w:val="32"/>
          <w:szCs w:val="32"/>
          <w:lang w:val="en-US" w:eastAsia="zh-CN"/>
        </w:rPr>
        <w:t>全年，我们共</w:t>
      </w:r>
      <w:r>
        <w:rPr>
          <w:rFonts w:hint="default" w:ascii="Times New Roman" w:hAnsi="Times New Roman" w:eastAsia="方正仿宋简体" w:cs="Times New Roman"/>
          <w:b w:val="0"/>
          <w:bCs w:val="0"/>
          <w:color w:val="0C0C0C"/>
          <w:kern w:val="2"/>
          <w:sz w:val="32"/>
          <w:szCs w:val="32"/>
          <w:lang w:val="en-US" w:eastAsia="zh-CN" w:bidi="ar-SA"/>
        </w:rPr>
        <w:t>参加</w:t>
      </w:r>
      <w:r>
        <w:rPr>
          <w:rFonts w:hint="default" w:ascii="Times New Roman" w:hAnsi="Times New Roman" w:eastAsia="方正仿宋简体" w:cs="Times New Roman"/>
          <w:color w:val="0C0C0C"/>
          <w:kern w:val="2"/>
          <w:sz w:val="32"/>
          <w:szCs w:val="32"/>
          <w:lang w:val="en-US" w:eastAsia="zh-CN" w:bidi="ar-SA"/>
        </w:rPr>
        <w:t>中国无线电协会、省工信厅、省无委办和市级各相关部门举办的各类培训和技术演练</w:t>
      </w:r>
      <w:r>
        <w:rPr>
          <w:rFonts w:hint="default" w:ascii="Times New Roman" w:hAnsi="Times New Roman" w:eastAsia="方正仿宋简体" w:cs="Times New Roman"/>
          <w:b w:val="0"/>
          <w:bCs w:val="0"/>
          <w:color w:val="0C0C0C"/>
          <w:kern w:val="2"/>
          <w:sz w:val="32"/>
          <w:szCs w:val="32"/>
          <w:lang w:val="en-US" w:eastAsia="zh-CN" w:bidi="ar-SA"/>
        </w:rPr>
        <w:t>线上、线下业务培训共计</w:t>
      </w:r>
      <w:r>
        <w:rPr>
          <w:rFonts w:hint="default" w:ascii="Times New Roman" w:hAnsi="Times New Roman" w:eastAsia="方正仿宋简体" w:cs="Times New Roman"/>
          <w:b w:val="0"/>
          <w:bCs w:val="0"/>
          <w:i w:val="0"/>
          <w:iCs w:val="0"/>
          <w:snapToGrid/>
          <w:color w:val="0C0C0C"/>
          <w:kern w:val="2"/>
          <w:sz w:val="32"/>
          <w:szCs w:val="32"/>
          <w:lang w:val="en-US" w:eastAsia="zh-CN" w:bidi="ar-SA"/>
        </w:rPr>
        <w:t>20</w:t>
      </w:r>
      <w:r>
        <w:rPr>
          <w:rFonts w:hint="default" w:ascii="Times New Roman" w:hAnsi="Times New Roman" w:eastAsia="方正仿宋简体" w:cs="Times New Roman"/>
          <w:b w:val="0"/>
          <w:bCs w:val="0"/>
          <w:color w:val="0C0C0C"/>
          <w:kern w:val="2"/>
          <w:sz w:val="32"/>
          <w:szCs w:val="32"/>
          <w:lang w:val="en-US" w:eastAsia="zh-CN" w:bidi="ar-SA"/>
        </w:rPr>
        <w:t>次，户外无线电干扰排查实战模拟演练</w:t>
      </w:r>
      <w:r>
        <w:rPr>
          <w:rFonts w:hint="default" w:ascii="Times New Roman" w:hAnsi="Times New Roman" w:eastAsia="方正仿宋简体" w:cs="Times New Roman"/>
          <w:b w:val="0"/>
          <w:bCs w:val="0"/>
          <w:i w:val="0"/>
          <w:iCs w:val="0"/>
          <w:snapToGrid/>
          <w:color w:val="0C0C0C"/>
          <w:kern w:val="2"/>
          <w:sz w:val="32"/>
          <w:szCs w:val="32"/>
          <w:lang w:val="en-US" w:eastAsia="zh-CN" w:bidi="ar-SA"/>
        </w:rPr>
        <w:t>3</w:t>
      </w:r>
      <w:r>
        <w:rPr>
          <w:rFonts w:hint="default" w:ascii="Times New Roman" w:hAnsi="Times New Roman" w:eastAsia="方正仿宋简体" w:cs="Times New Roman"/>
          <w:b w:val="0"/>
          <w:bCs w:val="0"/>
          <w:color w:val="0C0C0C"/>
          <w:kern w:val="2"/>
          <w:sz w:val="32"/>
          <w:szCs w:val="32"/>
          <w:lang w:val="en-US" w:eastAsia="zh-CN" w:bidi="ar-SA"/>
        </w:rPr>
        <w:t>次，邀请厂家的技术人员来益授课4次。</w:t>
      </w:r>
      <w:r>
        <w:rPr>
          <w:rFonts w:hint="default" w:ascii="Times New Roman" w:hAnsi="Times New Roman" w:eastAsia="方正仿宋简体" w:cs="Times New Roman"/>
          <w:color w:val="0C0C0C"/>
          <w:kern w:val="2"/>
          <w:sz w:val="32"/>
          <w:szCs w:val="32"/>
          <w:lang w:val="en-US" w:eastAsia="zh-CN" w:bidi="ar-SA"/>
        </w:rPr>
        <w:t>通过培训，有效提升了全体干职工自身的技术水平与专业素质，大大提高了无线电监测水平。</w:t>
      </w:r>
    </w:p>
    <w:p w14:paraId="3D31BEC6">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七、存在的问题及原因分析</w:t>
      </w:r>
    </w:p>
    <w:p w14:paraId="676D4D71">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我</w:t>
      </w:r>
      <w:r>
        <w:rPr>
          <w:rFonts w:hint="default" w:ascii="Times New Roman" w:hAnsi="Times New Roman" w:eastAsia="方正仿宋简体" w:cs="Times New Roman"/>
          <w:color w:val="000000"/>
          <w:kern w:val="0"/>
          <w:sz w:val="32"/>
          <w:szCs w:val="32"/>
          <w:lang w:eastAsia="zh-CN"/>
        </w:rPr>
        <w:t>站</w:t>
      </w:r>
      <w:r>
        <w:rPr>
          <w:rFonts w:hint="default" w:ascii="Times New Roman" w:hAnsi="Times New Roman" w:eastAsia="方正仿宋简体" w:cs="Times New Roman"/>
          <w:color w:val="000000"/>
          <w:kern w:val="0"/>
          <w:sz w:val="32"/>
          <w:szCs w:val="32"/>
        </w:rPr>
        <w:t>虽然在绩效考核上取得一定成绩，但目前在整体支出的预算编制、执行和管理过程中，依然存在一些问题和不足：</w:t>
      </w:r>
    </w:p>
    <w:p w14:paraId="1D0ACF7A">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i w:val="0"/>
          <w:iCs w:val="0"/>
          <w:snapToGrid/>
          <w:color w:val="0C0C0C"/>
          <w:kern w:val="2"/>
          <w:sz w:val="32"/>
          <w:szCs w:val="32"/>
          <w:lang w:val="en-US" w:eastAsia="zh-CN" w:bidi="ar-SA"/>
        </w:rPr>
        <w:t>1.</w:t>
      </w:r>
      <w:r>
        <w:rPr>
          <w:rFonts w:hint="default" w:ascii="Times New Roman" w:hAnsi="Times New Roman" w:eastAsia="方正仿宋简体" w:cs="Times New Roman"/>
          <w:color w:val="000000"/>
          <w:kern w:val="0"/>
          <w:sz w:val="32"/>
          <w:szCs w:val="32"/>
        </w:rPr>
        <w:t>由于经费预算编制方面的不完善、不系统、不精细，预算执行的灵活度相对较大，预算管理的指导性和管理性作用不强。</w:t>
      </w:r>
    </w:p>
    <w:p w14:paraId="79A308FF">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i w:val="0"/>
          <w:iCs w:val="0"/>
          <w:snapToGrid/>
          <w:color w:val="0C0C0C"/>
          <w:kern w:val="2"/>
          <w:sz w:val="32"/>
          <w:szCs w:val="32"/>
          <w:lang w:val="en-US" w:eastAsia="zh-CN" w:bidi="ar-SA"/>
        </w:rPr>
        <w:t>2.部</w:t>
      </w:r>
      <w:r>
        <w:rPr>
          <w:rFonts w:hint="default" w:ascii="Times New Roman" w:hAnsi="Times New Roman" w:eastAsia="方正仿宋简体" w:cs="Times New Roman"/>
          <w:color w:val="000000"/>
          <w:kern w:val="0"/>
          <w:sz w:val="32"/>
          <w:szCs w:val="32"/>
        </w:rPr>
        <w:t>分指标下达时间晚，造成年终资金结余，影响项目的支付进度。</w:t>
      </w:r>
    </w:p>
    <w:p w14:paraId="7CBA5AF3">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i w:val="0"/>
          <w:iCs w:val="0"/>
          <w:snapToGrid/>
          <w:color w:val="0C0C0C"/>
          <w:kern w:val="2"/>
          <w:sz w:val="32"/>
          <w:szCs w:val="32"/>
          <w:lang w:val="en-US" w:eastAsia="zh-CN" w:bidi="ar-SA"/>
        </w:rPr>
        <w:t>3.</w:t>
      </w:r>
      <w:r>
        <w:rPr>
          <w:rFonts w:hint="default" w:ascii="Times New Roman" w:hAnsi="Times New Roman" w:eastAsia="方正仿宋简体" w:cs="Times New Roman"/>
          <w:color w:val="000000"/>
          <w:kern w:val="0"/>
          <w:sz w:val="32"/>
          <w:szCs w:val="32"/>
        </w:rPr>
        <w:t>上年结余和本年追加项目预算没有进行预算的编制，不便于对经费实行深入、细化的预算管理。</w:t>
      </w:r>
    </w:p>
    <w:p w14:paraId="40E8BAA8">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八、下一步改进措施</w:t>
      </w:r>
    </w:p>
    <w:p w14:paraId="594E526F">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i w:val="0"/>
          <w:iCs w:val="0"/>
          <w:snapToGrid/>
          <w:color w:val="0C0C0C"/>
          <w:kern w:val="2"/>
          <w:sz w:val="32"/>
          <w:szCs w:val="32"/>
          <w:lang w:val="en-US" w:eastAsia="zh-CN" w:bidi="ar-SA"/>
        </w:rPr>
        <w:t>1.细</w:t>
      </w:r>
      <w:r>
        <w:rPr>
          <w:rFonts w:hint="default" w:ascii="Times New Roman" w:hAnsi="Times New Roman" w:eastAsia="方正仿宋简体" w:cs="Times New Roman"/>
          <w:color w:val="000000"/>
          <w:kern w:val="0"/>
          <w:sz w:val="32"/>
          <w:szCs w:val="32"/>
        </w:rPr>
        <w:t>化预算编制工作，认真做好预算的编制。严格按照预算编制的相关制度和要求，公用经费根据单位的年度工作重点和项目专项工作规划，本着“勤俭节约、保障运转”的原则进行预算的编制；编制范围尽可能的全面，不漏项；进一步提高预算编制的科学性、合理性、严谨性和可控性。</w:t>
      </w:r>
    </w:p>
    <w:p w14:paraId="3329121F">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i w:val="0"/>
          <w:iCs w:val="0"/>
          <w:snapToGrid/>
          <w:color w:val="0C0C0C"/>
          <w:kern w:val="2"/>
          <w:sz w:val="32"/>
          <w:szCs w:val="32"/>
          <w:lang w:val="en-US" w:eastAsia="zh-CN" w:bidi="ar-SA"/>
        </w:rPr>
        <w:t>2.</w:t>
      </w:r>
      <w:r>
        <w:rPr>
          <w:rFonts w:hint="default" w:ascii="Times New Roman" w:hAnsi="Times New Roman" w:eastAsia="方正仿宋简体" w:cs="Times New Roman"/>
          <w:color w:val="000000"/>
          <w:kern w:val="0"/>
          <w:sz w:val="32"/>
          <w:szCs w:val="32"/>
        </w:rPr>
        <w:t>遵循预算管理办法，对于年度无法预计的临时追加的相关工作所需费用和结余资金确保资金严格按照预算专项资金使用程序申报及使用，按照预算项目和使用用途执行，杜绝费用项目之间调剂使用现象的发生。</w:t>
      </w:r>
    </w:p>
    <w:p w14:paraId="10D7EE91">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i w:val="0"/>
          <w:iCs w:val="0"/>
          <w:snapToGrid/>
          <w:color w:val="0C0C0C"/>
          <w:kern w:val="2"/>
          <w:sz w:val="32"/>
          <w:szCs w:val="32"/>
          <w:lang w:val="en-US" w:eastAsia="zh-CN" w:bidi="ar-SA"/>
        </w:rPr>
        <w:t>3.</w:t>
      </w:r>
      <w:r>
        <w:rPr>
          <w:rFonts w:hint="default" w:ascii="Times New Roman" w:hAnsi="Times New Roman" w:eastAsia="方正仿宋简体" w:cs="Times New Roman"/>
          <w:color w:val="000000"/>
          <w:kern w:val="0"/>
          <w:sz w:val="32"/>
          <w:szCs w:val="32"/>
        </w:rPr>
        <w:t>预算财务分析常态化。定期做好支出预算财务分析，及时对费用预算执行情况进行通报，做好部门整体支出预算评价工作。</w:t>
      </w:r>
    </w:p>
    <w:p w14:paraId="06FD1F70">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i w:val="0"/>
          <w:iCs w:val="0"/>
          <w:snapToGrid/>
          <w:color w:val="0C0C0C"/>
          <w:kern w:val="2"/>
          <w:sz w:val="32"/>
          <w:szCs w:val="32"/>
          <w:lang w:val="en-US" w:eastAsia="zh-CN" w:bidi="ar-SA"/>
        </w:rPr>
        <w:t>4.</w:t>
      </w:r>
      <w:r>
        <w:rPr>
          <w:rFonts w:hint="default" w:ascii="Times New Roman" w:hAnsi="Times New Roman" w:eastAsia="方正仿宋简体" w:cs="Times New Roman"/>
          <w:color w:val="000000"/>
          <w:kern w:val="0"/>
          <w:sz w:val="32"/>
          <w:szCs w:val="32"/>
        </w:rPr>
        <w:t>加强财务管理，严格财务审核，提高财务的精细化管理。在费用报账支付时，按照预算规定的费用项目和用途进行资金使用的审核，在预算金额内严格控制费用的支出，控制超支现象的发生；严格按照实际的费用支出内容进行财务核算，确保财务核算的真实、及时、准确、完整。</w:t>
      </w:r>
    </w:p>
    <w:p w14:paraId="239934BE">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i w:val="0"/>
          <w:iCs w:val="0"/>
          <w:snapToGrid/>
          <w:color w:val="0C0C0C"/>
          <w:kern w:val="2"/>
          <w:sz w:val="32"/>
          <w:szCs w:val="32"/>
          <w:lang w:val="en-US" w:eastAsia="zh-CN" w:bidi="ar-SA"/>
        </w:rPr>
        <w:t>5.</w:t>
      </w:r>
      <w:r>
        <w:rPr>
          <w:rFonts w:hint="default" w:ascii="Times New Roman" w:hAnsi="Times New Roman" w:eastAsia="方正仿宋简体" w:cs="Times New Roman"/>
          <w:color w:val="000000"/>
          <w:kern w:val="0"/>
          <w:sz w:val="32"/>
          <w:szCs w:val="32"/>
        </w:rPr>
        <w:t>根据中央、省、市党政机关厉行节约工作的精神，进一步严控三公经费支出，严格控制规模和比例、审核审批流程，进一步细化三公经费的管理，抓好公车的节能降耗工作，进一步压缩三公经费支出。</w:t>
      </w:r>
    </w:p>
    <w:p w14:paraId="19CCD0CC">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九、部门整体支出绩效自评结果拟应用和公开情况</w:t>
      </w:r>
    </w:p>
    <w:p w14:paraId="2D439A90">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i w:val="0"/>
          <w:iCs w:val="0"/>
          <w:snapToGrid/>
          <w:color w:val="0C0C0C"/>
          <w:kern w:val="2"/>
          <w:sz w:val="32"/>
          <w:szCs w:val="32"/>
          <w:lang w:val="en" w:eastAsia="zh-CN" w:bidi="ar-SA"/>
        </w:rPr>
        <w:t>202</w:t>
      </w:r>
      <w:r>
        <w:rPr>
          <w:rFonts w:hint="default" w:ascii="Times New Roman" w:hAnsi="Times New Roman" w:eastAsia="方正仿宋简体" w:cs="Times New Roman"/>
          <w:i w:val="0"/>
          <w:iCs w:val="0"/>
          <w:snapToGrid/>
          <w:color w:val="0C0C0C"/>
          <w:kern w:val="2"/>
          <w:sz w:val="32"/>
          <w:szCs w:val="32"/>
          <w:lang w:val="en-US" w:eastAsia="zh-CN" w:bidi="ar-SA"/>
        </w:rPr>
        <w:t>4</w:t>
      </w:r>
      <w:r>
        <w:rPr>
          <w:rFonts w:hint="default" w:ascii="Times New Roman" w:hAnsi="Times New Roman" w:eastAsia="方正仿宋简体" w:cs="Times New Roman"/>
          <w:color w:val="000000"/>
          <w:kern w:val="0"/>
          <w:sz w:val="32"/>
          <w:szCs w:val="32"/>
        </w:rPr>
        <w:t>年部门整体支出绩效评价自查自评结果为优秀。拟通过市工信局门户网站向社会公开，接受社会监督。</w:t>
      </w:r>
    </w:p>
    <w:p w14:paraId="1E09C25E">
      <w:pPr>
        <w:keepNext w:val="0"/>
        <w:keepLines w:val="0"/>
        <w:pageBreakBefore w:val="0"/>
        <w:widowControl/>
        <w:kinsoku/>
        <w:wordWrap/>
        <w:overflowPunct/>
        <w:topLinePunct w:val="0"/>
        <w:autoSpaceDE/>
        <w:autoSpaceDN/>
        <w:bidi w:val="0"/>
        <w:spacing w:line="600" w:lineRule="exact"/>
        <w:jc w:val="left"/>
        <w:textAlignment w:val="auto"/>
        <w:rPr>
          <w:rFonts w:hint="default" w:ascii="Times New Roman" w:hAnsi="Times New Roman" w:eastAsia="方正仿宋简体" w:cs="Times New Roman"/>
          <w:color w:val="000000"/>
          <w:kern w:val="0"/>
          <w:sz w:val="32"/>
          <w:szCs w:val="32"/>
        </w:rPr>
      </w:pPr>
    </w:p>
    <w:p w14:paraId="6FB2D603">
      <w:pPr>
        <w:keepNext w:val="0"/>
        <w:keepLines w:val="0"/>
        <w:pageBreakBefore w:val="0"/>
        <w:widowControl/>
        <w:kinsoku/>
        <w:wordWrap/>
        <w:overflowPunct/>
        <w:topLinePunct w:val="0"/>
        <w:autoSpaceDE/>
        <w:autoSpaceDN/>
        <w:bidi w:val="0"/>
        <w:spacing w:line="600" w:lineRule="exact"/>
        <w:jc w:val="left"/>
        <w:textAlignment w:val="auto"/>
        <w:rPr>
          <w:rFonts w:hint="default" w:ascii="Times New Roman" w:hAnsi="Times New Roman" w:eastAsia="方正仿宋简体" w:cs="Times New Roman"/>
          <w:color w:val="000000"/>
          <w:kern w:val="0"/>
          <w:sz w:val="32"/>
          <w:szCs w:val="32"/>
        </w:rPr>
      </w:pPr>
    </w:p>
    <w:p w14:paraId="3F7773AD">
      <w:pPr>
        <w:pStyle w:val="3"/>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简体" w:cs="Times New Roman"/>
        </w:rPr>
      </w:pPr>
    </w:p>
    <w:p w14:paraId="6327160F">
      <w:pPr>
        <w:pStyle w:val="3"/>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简体" w:cs="Times New Roman"/>
        </w:rPr>
      </w:pPr>
    </w:p>
    <w:p w14:paraId="5D61716E">
      <w:pPr>
        <w:keepNext w:val="0"/>
        <w:keepLines w:val="0"/>
        <w:pageBreakBefore w:val="0"/>
        <w:widowControl/>
        <w:kinsoku/>
        <w:wordWrap/>
        <w:overflowPunct/>
        <w:topLinePunct w:val="0"/>
        <w:autoSpaceDE/>
        <w:autoSpaceDN/>
        <w:bidi w:val="0"/>
        <w:spacing w:line="600" w:lineRule="exact"/>
        <w:jc w:val="left"/>
        <w:textAlignment w:val="auto"/>
        <w:rPr>
          <w:rFonts w:hint="default" w:ascii="Times New Roman" w:hAnsi="Times New Roman" w:eastAsia="方正仿宋简体" w:cs="Times New Roman"/>
          <w:color w:val="000000"/>
          <w:kern w:val="0"/>
          <w:sz w:val="32"/>
          <w:szCs w:val="32"/>
          <w:lang w:eastAsia="zh-CN"/>
        </w:rPr>
      </w:pPr>
      <w:r>
        <w:rPr>
          <w:rFonts w:hint="default" w:ascii="Times New Roman" w:hAnsi="Times New Roman" w:eastAsia="方正仿宋简体" w:cs="Times New Roman"/>
          <w:color w:val="000000"/>
          <w:kern w:val="0"/>
          <w:sz w:val="32"/>
          <w:szCs w:val="32"/>
        </w:rPr>
        <w:t xml:space="preserve">                      </w:t>
      </w:r>
      <w:r>
        <w:rPr>
          <w:rFonts w:hint="default" w:ascii="Times New Roman" w:hAnsi="Times New Roman" w:eastAsia="方正仿宋简体" w:cs="Times New Roman"/>
          <w:color w:val="000000"/>
          <w:kern w:val="0"/>
          <w:sz w:val="32"/>
          <w:szCs w:val="32"/>
          <w:lang w:val="en-US" w:eastAsia="zh-CN"/>
        </w:rPr>
        <w:t xml:space="preserve">   </w:t>
      </w:r>
      <w:r>
        <w:rPr>
          <w:rFonts w:hint="default" w:ascii="Times New Roman" w:hAnsi="Times New Roman" w:eastAsia="方正仿宋简体" w:cs="Times New Roman"/>
          <w:color w:val="000000"/>
          <w:kern w:val="0"/>
          <w:sz w:val="32"/>
          <w:szCs w:val="32"/>
        </w:rPr>
        <w:t xml:space="preserve">   </w:t>
      </w:r>
      <w:r>
        <w:rPr>
          <w:rFonts w:hint="default" w:ascii="Times New Roman" w:hAnsi="Times New Roman" w:eastAsia="方正仿宋简体" w:cs="Times New Roman"/>
          <w:color w:val="000000"/>
          <w:kern w:val="0"/>
          <w:sz w:val="32"/>
          <w:szCs w:val="32"/>
          <w:lang w:val="en-US" w:eastAsia="zh-CN"/>
        </w:rPr>
        <w:t xml:space="preserve">   </w:t>
      </w:r>
      <w:r>
        <w:rPr>
          <w:rFonts w:hint="default" w:ascii="Times New Roman" w:hAnsi="Times New Roman" w:eastAsia="方正仿宋简体" w:cs="Times New Roman"/>
          <w:color w:val="000000"/>
          <w:kern w:val="0"/>
          <w:sz w:val="32"/>
          <w:szCs w:val="32"/>
        </w:rPr>
        <w:t>益阳市</w:t>
      </w:r>
      <w:r>
        <w:rPr>
          <w:rFonts w:hint="default" w:ascii="Times New Roman" w:hAnsi="Times New Roman" w:eastAsia="方正仿宋简体" w:cs="Times New Roman"/>
          <w:color w:val="000000"/>
          <w:kern w:val="0"/>
          <w:sz w:val="32"/>
          <w:szCs w:val="32"/>
          <w:lang w:eastAsia="zh-CN"/>
        </w:rPr>
        <w:t>无线电监测站</w:t>
      </w:r>
    </w:p>
    <w:p w14:paraId="3DC4F377">
      <w:pPr>
        <w:keepNext w:val="0"/>
        <w:keepLines w:val="0"/>
        <w:pageBreakBefore w:val="0"/>
        <w:widowControl/>
        <w:kinsoku/>
        <w:wordWrap/>
        <w:overflowPunct/>
        <w:topLinePunct w:val="0"/>
        <w:autoSpaceDE/>
        <w:autoSpaceDN/>
        <w:bidi w:val="0"/>
        <w:spacing w:line="600" w:lineRule="exact"/>
        <w:jc w:val="left"/>
        <w:textAlignment w:val="auto"/>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 xml:space="preserve">                       </w:t>
      </w:r>
      <w:r>
        <w:rPr>
          <w:rFonts w:hint="default" w:ascii="Times New Roman" w:hAnsi="Times New Roman" w:eastAsia="方正仿宋简体" w:cs="Times New Roman"/>
          <w:color w:val="000000"/>
          <w:kern w:val="0"/>
          <w:sz w:val="32"/>
          <w:szCs w:val="32"/>
          <w:lang w:val="en-US" w:eastAsia="zh-CN"/>
        </w:rPr>
        <w:t xml:space="preserve">  </w:t>
      </w:r>
      <w:r>
        <w:rPr>
          <w:rFonts w:hint="default" w:ascii="Times New Roman" w:hAnsi="Times New Roman" w:eastAsia="方正仿宋简体" w:cs="Times New Roman"/>
          <w:color w:val="000000"/>
          <w:kern w:val="0"/>
          <w:sz w:val="32"/>
          <w:szCs w:val="32"/>
        </w:rPr>
        <w:t xml:space="preserve"> </w:t>
      </w:r>
      <w:r>
        <w:rPr>
          <w:rFonts w:hint="default" w:ascii="Times New Roman" w:hAnsi="Times New Roman" w:eastAsia="方正仿宋简体" w:cs="Times New Roman"/>
          <w:color w:val="000000"/>
          <w:kern w:val="0"/>
          <w:sz w:val="32"/>
          <w:szCs w:val="32"/>
          <w:lang w:val="en-US" w:eastAsia="zh-CN"/>
        </w:rPr>
        <w:t xml:space="preserve">    </w:t>
      </w:r>
      <w:r>
        <w:rPr>
          <w:rFonts w:hint="default" w:ascii="Times New Roman" w:hAnsi="Times New Roman" w:eastAsia="方正仿宋简体" w:cs="Times New Roman"/>
          <w:color w:val="000000"/>
          <w:kern w:val="0"/>
          <w:sz w:val="32"/>
          <w:szCs w:val="32"/>
        </w:rPr>
        <w:t xml:space="preserve">  </w:t>
      </w:r>
      <w:r>
        <w:rPr>
          <w:rFonts w:hint="default" w:ascii="Times New Roman" w:hAnsi="Times New Roman" w:eastAsia="方正仿宋简体" w:cs="Times New Roman"/>
          <w:i w:val="0"/>
          <w:iCs w:val="0"/>
          <w:snapToGrid/>
          <w:color w:val="0C0C0C"/>
          <w:kern w:val="2"/>
          <w:sz w:val="32"/>
          <w:szCs w:val="32"/>
          <w:lang w:val="zh-CN" w:eastAsia="zh-CN" w:bidi="ar-SA"/>
        </w:rPr>
        <w:t>202</w:t>
      </w:r>
      <w:r>
        <w:rPr>
          <w:rFonts w:hint="default" w:ascii="Times New Roman" w:hAnsi="Times New Roman" w:eastAsia="方正仿宋简体" w:cs="Times New Roman"/>
          <w:i w:val="0"/>
          <w:iCs w:val="0"/>
          <w:snapToGrid/>
          <w:color w:val="0C0C0C"/>
          <w:kern w:val="2"/>
          <w:sz w:val="32"/>
          <w:szCs w:val="32"/>
          <w:lang w:val="en-US" w:eastAsia="zh-CN" w:bidi="ar-SA"/>
        </w:rPr>
        <w:t>5</w:t>
      </w:r>
      <w:r>
        <w:rPr>
          <w:rFonts w:hint="default" w:ascii="Times New Roman" w:hAnsi="Times New Roman" w:eastAsia="方正仿宋简体" w:cs="Times New Roman"/>
          <w:color w:val="000000"/>
          <w:kern w:val="0"/>
          <w:sz w:val="32"/>
          <w:szCs w:val="32"/>
        </w:rPr>
        <w:t>年</w:t>
      </w:r>
      <w:r>
        <w:rPr>
          <w:rFonts w:hint="default" w:ascii="Times New Roman" w:hAnsi="Times New Roman" w:eastAsia="方正仿宋简体" w:cs="Times New Roman"/>
          <w:i w:val="0"/>
          <w:iCs w:val="0"/>
          <w:snapToGrid/>
          <w:color w:val="0C0C0C"/>
          <w:kern w:val="2"/>
          <w:sz w:val="32"/>
          <w:szCs w:val="32"/>
          <w:lang w:val="en" w:eastAsia="zh-CN" w:bidi="ar-SA"/>
        </w:rPr>
        <w:t>5</w:t>
      </w:r>
      <w:r>
        <w:rPr>
          <w:rFonts w:hint="default" w:ascii="Times New Roman" w:hAnsi="Times New Roman" w:eastAsia="方正仿宋简体" w:cs="Times New Roman"/>
          <w:color w:val="000000"/>
          <w:kern w:val="0"/>
          <w:sz w:val="32"/>
          <w:szCs w:val="32"/>
        </w:rPr>
        <w:t>月</w:t>
      </w:r>
      <w:bookmarkStart w:id="0" w:name="_GoBack"/>
      <w:bookmarkEnd w:id="0"/>
      <w:r>
        <w:rPr>
          <w:rFonts w:hint="default" w:ascii="Times New Roman" w:hAnsi="Times New Roman" w:eastAsia="方正仿宋简体" w:cs="Times New Roman"/>
          <w:i w:val="0"/>
          <w:iCs w:val="0"/>
          <w:snapToGrid/>
          <w:color w:val="0C0C0C"/>
          <w:kern w:val="2"/>
          <w:sz w:val="32"/>
          <w:szCs w:val="32"/>
          <w:lang w:val="en-US" w:eastAsia="zh-CN" w:bidi="ar-SA"/>
        </w:rPr>
        <w:t>8</w:t>
      </w:r>
      <w:r>
        <w:rPr>
          <w:rFonts w:hint="default" w:ascii="Times New Roman" w:hAnsi="Times New Roman" w:eastAsia="方正仿宋简体" w:cs="Times New Roman"/>
          <w:color w:val="000000"/>
          <w:kern w:val="0"/>
          <w:sz w:val="32"/>
          <w:szCs w:val="32"/>
        </w:rPr>
        <w:t>日</w:t>
      </w:r>
    </w:p>
    <w:p w14:paraId="2C063804">
      <w:pPr>
        <w:pStyle w:val="3"/>
        <w:keepNext w:val="0"/>
        <w:keepLines w:val="0"/>
        <w:pageBreakBefore w:val="0"/>
        <w:kinsoku/>
        <w:wordWrap/>
        <w:overflowPunct/>
        <w:topLinePunct w:val="0"/>
        <w:autoSpaceDE/>
        <w:autoSpaceDN/>
        <w:bidi w:val="0"/>
        <w:spacing w:line="600" w:lineRule="exact"/>
        <w:textAlignment w:val="auto"/>
        <w:rPr>
          <w:rFonts w:hint="eastAsia" w:ascii="方正仿宋简体" w:hAnsi="Arial" w:eastAsia="方正仿宋简体" w:cs="Arial"/>
          <w:color w:val="000000"/>
          <w:kern w:val="0"/>
          <w:sz w:val="32"/>
          <w:szCs w:val="32"/>
        </w:rPr>
      </w:pPr>
    </w:p>
    <w:p w14:paraId="0E42C3CA">
      <w:pPr>
        <w:keepNext w:val="0"/>
        <w:keepLines w:val="0"/>
        <w:pageBreakBefore w:val="0"/>
        <w:widowControl/>
        <w:kinsoku/>
        <w:wordWrap/>
        <w:overflowPunct/>
        <w:topLinePunct w:val="0"/>
        <w:autoSpaceDE/>
        <w:autoSpaceDN/>
        <w:bidi w:val="0"/>
        <w:spacing w:line="600" w:lineRule="exact"/>
        <w:jc w:val="left"/>
        <w:textAlignment w:val="auto"/>
        <w:rPr>
          <w:rFonts w:eastAsia="黑体"/>
          <w:sz w:val="32"/>
          <w:szCs w:val="32"/>
        </w:rPr>
      </w:pPr>
    </w:p>
    <w:p w14:paraId="1BB928D1">
      <w:pPr>
        <w:keepNext w:val="0"/>
        <w:keepLines w:val="0"/>
        <w:pageBreakBefore w:val="0"/>
        <w:widowControl/>
        <w:kinsoku/>
        <w:wordWrap/>
        <w:overflowPunct/>
        <w:topLinePunct w:val="0"/>
        <w:autoSpaceDE/>
        <w:autoSpaceDN/>
        <w:bidi w:val="0"/>
        <w:spacing w:line="600" w:lineRule="exact"/>
        <w:jc w:val="left"/>
        <w:textAlignment w:val="auto"/>
        <w:rPr>
          <w:rFonts w:eastAsia="黑体"/>
          <w:sz w:val="32"/>
          <w:szCs w:val="32"/>
        </w:rPr>
      </w:pPr>
    </w:p>
    <w:p w14:paraId="436CDB49">
      <w:pPr>
        <w:keepNext w:val="0"/>
        <w:keepLines w:val="0"/>
        <w:pageBreakBefore w:val="0"/>
        <w:widowControl/>
        <w:kinsoku/>
        <w:wordWrap/>
        <w:overflowPunct/>
        <w:topLinePunct w:val="0"/>
        <w:autoSpaceDE/>
        <w:autoSpaceDN/>
        <w:bidi w:val="0"/>
        <w:spacing w:line="600" w:lineRule="exact"/>
        <w:jc w:val="left"/>
        <w:textAlignment w:val="auto"/>
        <w:rPr>
          <w:rFonts w:eastAsia="黑体"/>
          <w:sz w:val="32"/>
          <w:szCs w:val="32"/>
        </w:rPr>
      </w:pPr>
    </w:p>
    <w:p w14:paraId="3C3ACFC8">
      <w:pPr>
        <w:keepNext w:val="0"/>
        <w:keepLines w:val="0"/>
        <w:pageBreakBefore w:val="0"/>
        <w:widowControl/>
        <w:kinsoku/>
        <w:wordWrap/>
        <w:overflowPunct/>
        <w:topLinePunct w:val="0"/>
        <w:autoSpaceDE/>
        <w:autoSpaceDN/>
        <w:bidi w:val="0"/>
        <w:spacing w:line="600" w:lineRule="exact"/>
        <w:jc w:val="left"/>
        <w:textAlignment w:val="auto"/>
        <w:rPr>
          <w:rFonts w:eastAsia="黑体"/>
          <w:sz w:val="32"/>
          <w:szCs w:val="32"/>
        </w:rPr>
      </w:pPr>
    </w:p>
    <w:p w14:paraId="3695E040">
      <w:pPr>
        <w:keepNext w:val="0"/>
        <w:keepLines w:val="0"/>
        <w:pageBreakBefore w:val="0"/>
        <w:widowControl/>
        <w:kinsoku/>
        <w:wordWrap/>
        <w:overflowPunct/>
        <w:topLinePunct w:val="0"/>
        <w:autoSpaceDE/>
        <w:autoSpaceDN/>
        <w:bidi w:val="0"/>
        <w:spacing w:line="600" w:lineRule="exact"/>
        <w:jc w:val="left"/>
        <w:textAlignment w:val="auto"/>
        <w:rPr>
          <w:rFonts w:eastAsia="黑体"/>
          <w:sz w:val="32"/>
          <w:szCs w:val="32"/>
        </w:rPr>
      </w:pPr>
    </w:p>
    <w:p w14:paraId="70A89C4B">
      <w:pPr>
        <w:keepNext w:val="0"/>
        <w:keepLines w:val="0"/>
        <w:pageBreakBefore w:val="0"/>
        <w:widowControl/>
        <w:kinsoku/>
        <w:wordWrap/>
        <w:overflowPunct/>
        <w:topLinePunct w:val="0"/>
        <w:autoSpaceDE/>
        <w:autoSpaceDN/>
        <w:bidi w:val="0"/>
        <w:spacing w:line="600" w:lineRule="exact"/>
        <w:jc w:val="left"/>
        <w:textAlignment w:val="auto"/>
        <w:rPr>
          <w:rFonts w:eastAsia="黑体"/>
          <w:sz w:val="32"/>
          <w:szCs w:val="32"/>
        </w:rPr>
      </w:pPr>
    </w:p>
    <w:p w14:paraId="768A7FF3">
      <w:pPr>
        <w:keepNext w:val="0"/>
        <w:keepLines w:val="0"/>
        <w:pageBreakBefore w:val="0"/>
        <w:widowControl/>
        <w:kinsoku/>
        <w:wordWrap/>
        <w:overflowPunct/>
        <w:topLinePunct w:val="0"/>
        <w:autoSpaceDE/>
        <w:autoSpaceDN/>
        <w:bidi w:val="0"/>
        <w:spacing w:line="600" w:lineRule="exact"/>
        <w:jc w:val="left"/>
        <w:textAlignment w:val="auto"/>
        <w:rPr>
          <w:rFonts w:eastAsia="黑体"/>
          <w:sz w:val="32"/>
          <w:szCs w:val="32"/>
        </w:rPr>
      </w:pPr>
    </w:p>
    <w:p w14:paraId="25FD6372">
      <w:pPr>
        <w:keepNext w:val="0"/>
        <w:keepLines w:val="0"/>
        <w:pageBreakBefore w:val="0"/>
        <w:widowControl/>
        <w:kinsoku/>
        <w:wordWrap/>
        <w:overflowPunct/>
        <w:topLinePunct w:val="0"/>
        <w:autoSpaceDE/>
        <w:autoSpaceDN/>
        <w:bidi w:val="0"/>
        <w:spacing w:line="600" w:lineRule="exact"/>
        <w:jc w:val="left"/>
        <w:textAlignment w:val="auto"/>
        <w:rPr>
          <w:rFonts w:eastAsia="黑体"/>
          <w:sz w:val="32"/>
          <w:szCs w:val="32"/>
        </w:rPr>
      </w:pPr>
    </w:p>
    <w:p w14:paraId="4570591C">
      <w:pPr>
        <w:keepNext w:val="0"/>
        <w:keepLines w:val="0"/>
        <w:pageBreakBefore w:val="0"/>
        <w:widowControl/>
        <w:kinsoku/>
        <w:wordWrap/>
        <w:overflowPunct/>
        <w:topLinePunct w:val="0"/>
        <w:autoSpaceDE/>
        <w:autoSpaceDN/>
        <w:bidi w:val="0"/>
        <w:spacing w:line="600" w:lineRule="exact"/>
        <w:jc w:val="left"/>
        <w:textAlignment w:val="auto"/>
        <w:rPr>
          <w:rFonts w:eastAsia="黑体"/>
          <w:sz w:val="32"/>
          <w:szCs w:val="32"/>
        </w:rPr>
      </w:pPr>
    </w:p>
    <w:p w14:paraId="710EA6EC">
      <w:pPr>
        <w:keepNext w:val="0"/>
        <w:keepLines w:val="0"/>
        <w:pageBreakBefore w:val="0"/>
        <w:widowControl/>
        <w:kinsoku/>
        <w:wordWrap/>
        <w:overflowPunct/>
        <w:topLinePunct w:val="0"/>
        <w:autoSpaceDE/>
        <w:autoSpaceDN/>
        <w:bidi w:val="0"/>
        <w:spacing w:line="600" w:lineRule="exact"/>
        <w:jc w:val="left"/>
        <w:textAlignment w:val="auto"/>
        <w:rPr>
          <w:rFonts w:eastAsia="黑体"/>
          <w:sz w:val="32"/>
          <w:szCs w:val="32"/>
        </w:rPr>
      </w:pPr>
    </w:p>
    <w:p w14:paraId="359AFDB7">
      <w:pPr>
        <w:keepNext w:val="0"/>
        <w:keepLines w:val="0"/>
        <w:pageBreakBefore w:val="0"/>
        <w:widowControl/>
        <w:kinsoku/>
        <w:wordWrap/>
        <w:overflowPunct/>
        <w:topLinePunct w:val="0"/>
        <w:autoSpaceDE/>
        <w:autoSpaceDN/>
        <w:bidi w:val="0"/>
        <w:spacing w:line="600" w:lineRule="exact"/>
        <w:jc w:val="left"/>
        <w:textAlignment w:val="auto"/>
        <w:rPr>
          <w:rFonts w:eastAsia="黑体"/>
          <w:sz w:val="32"/>
          <w:szCs w:val="32"/>
        </w:rPr>
      </w:pPr>
    </w:p>
    <w:p w14:paraId="651C024F">
      <w:pPr>
        <w:keepNext w:val="0"/>
        <w:keepLines w:val="0"/>
        <w:pageBreakBefore w:val="0"/>
        <w:widowControl/>
        <w:kinsoku/>
        <w:wordWrap/>
        <w:overflowPunct/>
        <w:topLinePunct w:val="0"/>
        <w:autoSpaceDE/>
        <w:autoSpaceDN/>
        <w:bidi w:val="0"/>
        <w:spacing w:line="600" w:lineRule="exact"/>
        <w:jc w:val="left"/>
        <w:textAlignment w:val="auto"/>
        <w:rPr>
          <w:rFonts w:eastAsia="黑体"/>
          <w:sz w:val="32"/>
          <w:szCs w:val="32"/>
        </w:rPr>
      </w:pPr>
    </w:p>
    <w:p w14:paraId="5D9004BB">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sz w:val="32"/>
          <w:szCs w:val="32"/>
        </w:rPr>
      </w:pPr>
    </w:p>
    <w:p w14:paraId="7D04C031">
      <w:pPr>
        <w:keepNext w:val="0"/>
        <w:keepLines w:val="0"/>
        <w:pageBreakBefore w:val="0"/>
        <w:kinsoku/>
        <w:wordWrap/>
        <w:overflowPunct/>
        <w:topLinePunct w:val="0"/>
        <w:autoSpaceDE/>
        <w:autoSpaceDN/>
        <w:bidi w:val="0"/>
        <w:spacing w:line="600" w:lineRule="exact"/>
        <w:textAlignment w:val="auto"/>
      </w:pPr>
    </w:p>
    <w:sectPr>
      <w:pgSz w:w="11906" w:h="16838"/>
      <w:pgMar w:top="1701" w:right="1417" w:bottom="1701" w:left="141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altName w:val="微软雅黑"/>
    <w:panose1 w:val="02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Nimbus Roman">
    <w:altName w:val="Segoe Print"/>
    <w:panose1 w:val="00000500000000000000"/>
    <w:charset w:val="00"/>
    <w:family w:val="auto"/>
    <w:pitch w:val="default"/>
    <w:sig w:usb0="00000000" w:usb1="00000000" w:usb2="00000000" w:usb3="00000000" w:csb0="6000009F" w:csb1="00000000"/>
  </w:font>
  <w:font w:name="方正隶书_GBK">
    <w:altName w:val="宋体"/>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880C32"/>
    <w:rsid w:val="03107802"/>
    <w:rsid w:val="05880C32"/>
    <w:rsid w:val="4A215812"/>
    <w:rsid w:val="4EC7464B"/>
    <w:rsid w:val="77B7AE52"/>
    <w:rsid w:val="7F7A5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line="600" w:lineRule="exact"/>
      <w:ind w:firstLine="641"/>
    </w:pPr>
    <w:rPr>
      <w:rFonts w:ascii="方正楷体_GBK" w:hAnsi="Cambria" w:eastAsia="方正楷体_GBK"/>
      <w:kern w:val="44"/>
      <w:sz w:val="32"/>
      <w:szCs w:val="32"/>
    </w:rPr>
  </w:style>
  <w:style w:type="paragraph" w:styleId="3">
    <w:name w:val="Body Text"/>
    <w:basedOn w:val="1"/>
    <w:next w:val="1"/>
    <w:qFormat/>
    <w:uiPriority w:val="0"/>
    <w:pPr>
      <w:spacing w:after="120"/>
    </w:pPr>
    <w:rPr>
      <w:rFonts w:ascii="Calibri" w:hAnsi="Calibri" w:eastAsia="宋体" w:cs="Times New Roman"/>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769</Words>
  <Characters>902</Characters>
  <Lines>0</Lines>
  <Paragraphs>0</Paragraphs>
  <TotalTime>8</TotalTime>
  <ScaleCrop>false</ScaleCrop>
  <LinksUpToDate>false</LinksUpToDate>
  <CharactersWithSpaces>906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2025-05-08T10:31:00Z</dcterms:created>
  <dc:creator>飞龙</dc:creator>
  <cp:lastModifiedBy>J&amp;K</cp:lastModifiedBy>
  <dcterms:modified xsi:type="dcterms:W3CDTF">2025-09-29T07:47:33Z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5696E4F40B0A46E9AC17B99911D49AD5_11</vt:lpwstr>
  </property>
  <property fmtid="{D5CDD505-2E9C-101B-9397-08002B2CF9AE}" pid="4" name="KSOTemplateDocerSaveRecord">
    <vt:lpwstr>eyJoZGlkIjoiZmQ3YjgxMzdkNTQ4YWE1MzAzNTM1YTI1ZDUxNGZkZWIiLCJ1c2VySWQiOiIyMzIwNjc3ODQifQ==</vt:lpwstr>
  </property>
</Properties>
</file>