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86F4">
      <w:pPr>
        <w:pStyle w:val="15"/>
        <w:numPr>
          <w:ilvl w:val="1"/>
          <w:numId w:val="0"/>
        </w:numPr>
        <w:tabs>
          <w:tab w:val="clear" w:pos="312"/>
        </w:tabs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《</w:t>
      </w:r>
      <w:r>
        <w:rPr>
          <w:rFonts w:hint="eastAsia" w:ascii="Times New Roman" w:hAnsi="Times New Roman" w:eastAsia="方正小标宋简体"/>
          <w:sz w:val="44"/>
          <w:szCs w:val="44"/>
        </w:rPr>
        <w:t>益阳市中心城区梓山湖</w:t>
      </w:r>
      <w:r>
        <w:rPr>
          <w:rFonts w:ascii="Times New Roman" w:hAnsi="Times New Roman" w:eastAsia="方正小标宋简体"/>
          <w:sz w:val="44"/>
          <w:szCs w:val="44"/>
        </w:rPr>
        <w:t>片区（</w:t>
      </w:r>
      <w:r>
        <w:rPr>
          <w:rFonts w:hint="eastAsia" w:ascii="Times New Roman" w:hAnsi="Times New Roman" w:eastAsia="方正小标宋简体"/>
          <w:sz w:val="44"/>
          <w:szCs w:val="44"/>
        </w:rPr>
        <w:t>GX03单元</w:t>
      </w:r>
      <w:r>
        <w:rPr>
          <w:rFonts w:ascii="Times New Roman" w:hAnsi="Times New Roman" w:eastAsia="方正小标宋简体"/>
          <w:sz w:val="44"/>
          <w:szCs w:val="44"/>
        </w:rPr>
        <w:t>）</w:t>
      </w:r>
      <w:r>
        <w:rPr>
          <w:rFonts w:hint="eastAsia" w:ascii="Times New Roman" w:hAnsi="Times New Roman" w:eastAsia="方正小标宋简体"/>
          <w:sz w:val="44"/>
          <w:szCs w:val="44"/>
        </w:rPr>
        <w:t>详细规划</w:t>
      </w:r>
      <w:r>
        <w:rPr>
          <w:rFonts w:ascii="Times New Roman" w:hAnsi="Times New Roman" w:eastAsia="方正小标宋简体"/>
          <w:sz w:val="44"/>
          <w:szCs w:val="44"/>
        </w:rPr>
        <w:t>》</w:t>
      </w:r>
      <w:r>
        <w:rPr>
          <w:rFonts w:hint="eastAsia" w:ascii="Times New Roman" w:hAnsi="Times New Roman" w:eastAsia="方正小标宋简体"/>
          <w:sz w:val="44"/>
          <w:szCs w:val="44"/>
        </w:rPr>
        <w:t>简要说明</w:t>
      </w:r>
    </w:p>
    <w:p w14:paraId="150241E7">
      <w:pPr>
        <w:pStyle w:val="15"/>
        <w:numPr>
          <w:ilvl w:val="1"/>
          <w:numId w:val="0"/>
        </w:numPr>
        <w:tabs>
          <w:tab w:val="clear" w:pos="312"/>
        </w:tabs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060B5CE4">
      <w:pPr>
        <w:spacing w:line="600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一、编制依据</w:t>
      </w:r>
    </w:p>
    <w:p w14:paraId="75D424C0"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次规划主要依据《中华人民共和国城乡规划法》《中华人民共和国土地管理法》《自然资源部关于加强国土空间详细规划工作的通知》（自然资发〔2023〕43号）《益阳市国土空间总体规划（2021-2035年）》《益阳市城市规划管理技术规定(2019年修订)》益阳市各专项规划以及其它相关法律、法规及行业规范标准编制而成。</w:t>
      </w:r>
    </w:p>
    <w:p w14:paraId="146F7342">
      <w:pPr>
        <w:spacing w:line="600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二、编制基本情况</w:t>
      </w:r>
    </w:p>
    <w:p w14:paraId="04111B2F">
      <w:pPr>
        <w:spacing w:line="600" w:lineRule="exact"/>
        <w:ind w:firstLine="643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1.规划范围</w:t>
      </w:r>
    </w:p>
    <w:p w14:paraId="688F1AA1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本规划范围为益阳大道、龙洲路、迎宾路、团圆路围合的范围，总用地面积</w:t>
      </w:r>
      <w:r>
        <w:rPr>
          <w:rFonts w:ascii="仿宋" w:hAnsi="仿宋" w:eastAsia="仿宋" w:cs="仿宋"/>
          <w:color w:val="000000"/>
          <w:sz w:val="32"/>
          <w:szCs w:val="32"/>
        </w:rPr>
        <w:t>713.06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公顷。</w:t>
      </w:r>
    </w:p>
    <w:p w14:paraId="237AD19F">
      <w:pPr>
        <w:spacing w:line="600" w:lineRule="exact"/>
        <w:ind w:firstLine="643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.功能定位</w:t>
      </w:r>
    </w:p>
    <w:p w14:paraId="42C547EF"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综合考虑规划目标与区域优势，将规划区定位为：生态优越、蓝绿交织的城市生态绿心，设施完备、全民共享的文化服务中心，配套齐全、全龄友好的高品质生活区。</w:t>
      </w:r>
    </w:p>
    <w:p w14:paraId="7E8C4384">
      <w:pPr>
        <w:spacing w:line="60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三、主要内容</w:t>
      </w:r>
    </w:p>
    <w:p w14:paraId="6E383CCE">
      <w:pPr>
        <w:spacing w:line="600" w:lineRule="exact"/>
        <w:ind w:firstLine="643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1.用地布局</w:t>
      </w:r>
    </w:p>
    <w:p w14:paraId="0CF5E9EB">
      <w:pPr>
        <w:spacing w:line="600" w:lineRule="exact"/>
        <w:ind w:firstLine="6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详细规划整体的用地布局基本符合国土空间总体规划。城镇开发边界内，充分保障公共服务设施</w:t>
      </w:r>
      <w:r>
        <w:rPr>
          <w:rFonts w:ascii="仿宋" w:hAnsi="仿宋" w:eastAsia="仿宋" w:cs="仿宋"/>
          <w:sz w:val="32"/>
          <w:szCs w:val="32"/>
        </w:rPr>
        <w:t>的用地需求</w:t>
      </w:r>
      <w:r>
        <w:rPr>
          <w:rFonts w:hint="eastAsia" w:ascii="仿宋" w:hAnsi="仿宋" w:eastAsia="仿宋" w:cs="仿宋"/>
          <w:sz w:val="32"/>
          <w:szCs w:val="32"/>
        </w:rPr>
        <w:t>，并配套落实市政公用设施及其防护要求。居住用地主要分布在益阳大道、</w:t>
      </w:r>
      <w:r>
        <w:rPr>
          <w:rFonts w:ascii="仿宋" w:hAnsi="仿宋" w:eastAsia="仿宋" w:cs="仿宋"/>
          <w:sz w:val="32"/>
          <w:szCs w:val="32"/>
        </w:rPr>
        <w:t>龙洲南路、团圆南路沿线</w:t>
      </w:r>
      <w:r>
        <w:rPr>
          <w:rFonts w:hint="eastAsia" w:ascii="仿宋" w:hAnsi="仿宋" w:eastAsia="仿宋" w:cs="仿宋"/>
          <w:sz w:val="32"/>
          <w:szCs w:val="32"/>
        </w:rPr>
        <w:t>，高等教育</w:t>
      </w:r>
      <w:r>
        <w:rPr>
          <w:rFonts w:ascii="仿宋" w:hAnsi="仿宋" w:eastAsia="仿宋" w:cs="仿宋"/>
          <w:sz w:val="32"/>
          <w:szCs w:val="32"/>
        </w:rPr>
        <w:t>用地、文化用地</w:t>
      </w:r>
      <w:r>
        <w:rPr>
          <w:rFonts w:hint="eastAsia" w:ascii="仿宋" w:hAnsi="仿宋" w:eastAsia="仿宋" w:cs="仿宋"/>
          <w:sz w:val="32"/>
          <w:szCs w:val="32"/>
        </w:rPr>
        <w:t>主要</w:t>
      </w:r>
      <w:r>
        <w:rPr>
          <w:rFonts w:ascii="仿宋" w:hAnsi="仿宋" w:eastAsia="仿宋" w:cs="仿宋"/>
          <w:sz w:val="32"/>
          <w:szCs w:val="32"/>
        </w:rPr>
        <w:t>位于迎宾路沿线</w:t>
      </w:r>
      <w:r>
        <w:rPr>
          <w:rFonts w:hint="eastAsia" w:ascii="仿宋" w:hAnsi="仿宋" w:eastAsia="仿宋" w:cs="仿宋"/>
          <w:sz w:val="32"/>
          <w:szCs w:val="32"/>
        </w:rPr>
        <w:t>，公共开敞</w:t>
      </w:r>
      <w:r>
        <w:rPr>
          <w:rFonts w:ascii="仿宋" w:hAnsi="仿宋" w:eastAsia="仿宋" w:cs="仿宋"/>
          <w:sz w:val="32"/>
          <w:szCs w:val="32"/>
        </w:rPr>
        <w:t>空间主要位于梓山湖东侧及南侧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2DF762D">
      <w:pPr>
        <w:spacing w:line="600" w:lineRule="exact"/>
        <w:ind w:firstLine="643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道路交通</w:t>
      </w:r>
    </w:p>
    <w:p w14:paraId="6975C6BF">
      <w:pPr>
        <w:spacing w:line="600" w:lineRule="exact"/>
        <w:ind w:firstLine="6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规划形成“三横两纵”的路网骨架。三横为益阳大道、迎宾路、梓山湖通道；两纵为龙洲南路和团圆南路。</w:t>
      </w:r>
    </w:p>
    <w:p w14:paraId="6DAFC4B3">
      <w:pPr>
        <w:spacing w:line="600" w:lineRule="exact"/>
        <w:ind w:firstLine="643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公服设施</w:t>
      </w:r>
    </w:p>
    <w:p w14:paraId="0AADA5D9">
      <w:pPr>
        <w:spacing w:line="600" w:lineRule="exact"/>
        <w:ind w:firstLine="6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规划构建“十五分钟、十分钟</w:t>
      </w:r>
      <w:r>
        <w:rPr>
          <w:rFonts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五分钟”生活圈公共服务设施体系。规划行政办公设施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处，用地面积</w:t>
      </w:r>
      <w:r>
        <w:rPr>
          <w:rFonts w:ascii="仿宋" w:hAnsi="仿宋" w:eastAsia="仿宋" w:cs="仿宋"/>
          <w:sz w:val="32"/>
          <w:szCs w:val="32"/>
        </w:rPr>
        <w:t>5.98</w:t>
      </w:r>
      <w:r>
        <w:rPr>
          <w:rFonts w:hint="eastAsia" w:ascii="仿宋" w:hAnsi="仿宋" w:eastAsia="仿宋" w:cs="仿宋"/>
          <w:sz w:val="32"/>
          <w:szCs w:val="32"/>
        </w:rPr>
        <w:t>公顷；保留现状</w:t>
      </w:r>
      <w:r>
        <w:rPr>
          <w:rFonts w:ascii="仿宋" w:hAnsi="仿宋" w:eastAsia="仿宋" w:cs="仿宋"/>
          <w:sz w:val="32"/>
          <w:szCs w:val="32"/>
        </w:rPr>
        <w:t>文化设施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处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用地面积</w:t>
      </w:r>
      <w:r>
        <w:rPr>
          <w:rFonts w:hint="eastAsia" w:ascii="仿宋" w:hAnsi="仿宋" w:eastAsia="仿宋" w:cs="仿宋"/>
          <w:sz w:val="32"/>
          <w:szCs w:val="32"/>
        </w:rPr>
        <w:t>18.13公顷；规划教育设施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处，用地面积</w:t>
      </w:r>
      <w:r>
        <w:rPr>
          <w:rFonts w:ascii="仿宋" w:hAnsi="仿宋" w:eastAsia="仿宋" w:cs="仿宋"/>
          <w:sz w:val="32"/>
          <w:szCs w:val="32"/>
        </w:rPr>
        <w:t>58</w:t>
      </w:r>
      <w:r>
        <w:rPr>
          <w:rFonts w:hint="eastAsia" w:ascii="仿宋" w:hAnsi="仿宋" w:eastAsia="仿宋" w:cs="仿宋"/>
          <w:sz w:val="32"/>
          <w:szCs w:val="32"/>
        </w:rPr>
        <w:t>公顷；规划体育设施1处，用地面积</w:t>
      </w:r>
      <w:r>
        <w:rPr>
          <w:rFonts w:ascii="仿宋" w:hAnsi="仿宋" w:eastAsia="仿宋" w:cs="仿宋"/>
          <w:sz w:val="32"/>
          <w:szCs w:val="32"/>
        </w:rPr>
        <w:t>3.03</w:t>
      </w:r>
      <w:r>
        <w:rPr>
          <w:rFonts w:hint="eastAsia" w:ascii="仿宋" w:hAnsi="仿宋" w:eastAsia="仿宋" w:cs="仿宋"/>
          <w:sz w:val="32"/>
          <w:szCs w:val="32"/>
        </w:rPr>
        <w:t>公顷；规划医疗卫生设施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处，用地面积</w:t>
      </w:r>
      <w:r>
        <w:rPr>
          <w:rFonts w:ascii="仿宋" w:hAnsi="仿宋" w:eastAsia="仿宋" w:cs="仿宋"/>
          <w:sz w:val="32"/>
          <w:szCs w:val="32"/>
        </w:rPr>
        <w:t>0.53</w:t>
      </w:r>
      <w:r>
        <w:rPr>
          <w:rFonts w:hint="eastAsia" w:ascii="仿宋" w:hAnsi="仿宋" w:eastAsia="仿宋" w:cs="仿宋"/>
          <w:sz w:val="32"/>
          <w:szCs w:val="32"/>
        </w:rPr>
        <w:t>公顷。</w:t>
      </w:r>
    </w:p>
    <w:p w14:paraId="49631C39">
      <w:pPr>
        <w:spacing w:line="600" w:lineRule="exact"/>
        <w:ind w:firstLine="643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地块开发控制引导</w:t>
      </w:r>
    </w:p>
    <w:p w14:paraId="6E6AAD39">
      <w:pPr>
        <w:spacing w:line="600" w:lineRule="exact"/>
        <w:ind w:firstLine="60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容积率：</w:t>
      </w:r>
      <w:r>
        <w:rPr>
          <w:rFonts w:hint="eastAsia" w:ascii="仿宋" w:hAnsi="仿宋" w:eastAsia="仿宋" w:cs="仿宋"/>
          <w:sz w:val="32"/>
          <w:szCs w:val="32"/>
        </w:rPr>
        <w:t>Ⅰ</w:t>
      </w:r>
      <w:r>
        <w:rPr>
          <w:rFonts w:ascii="仿宋" w:hAnsi="仿宋" w:eastAsia="仿宋" w:cs="仿宋"/>
          <w:sz w:val="32"/>
          <w:szCs w:val="32"/>
        </w:rPr>
        <w:t>级强度分区，容积率不超过0.5，主要为</w:t>
      </w:r>
      <w:r>
        <w:rPr>
          <w:rFonts w:hint="eastAsia" w:ascii="仿宋" w:hAnsi="仿宋" w:eastAsia="仿宋" w:cs="仿宋"/>
          <w:sz w:val="32"/>
          <w:szCs w:val="32"/>
        </w:rPr>
        <w:t>绿地与开敞空间用地</w:t>
      </w:r>
      <w:r>
        <w:rPr>
          <w:rFonts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Ⅱ</w:t>
      </w:r>
      <w:r>
        <w:rPr>
          <w:rFonts w:ascii="仿宋" w:hAnsi="仿宋" w:eastAsia="仿宋" w:cs="仿宋"/>
          <w:sz w:val="32"/>
          <w:szCs w:val="32"/>
        </w:rPr>
        <w:t>级强度分区，容积率不低于0.5且不超过1.5，主要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ascii="仿宋" w:hAnsi="仿宋" w:eastAsia="仿宋" w:cs="仿宋"/>
          <w:sz w:val="32"/>
          <w:szCs w:val="32"/>
        </w:rPr>
        <w:t>市民文化中心、中小学用地等</w:t>
      </w:r>
      <w:r>
        <w:rPr>
          <w:rFonts w:hint="eastAsia" w:ascii="仿宋" w:hAnsi="仿宋" w:eastAsia="仿宋" w:cs="仿宋"/>
          <w:sz w:val="32"/>
          <w:szCs w:val="32"/>
        </w:rPr>
        <w:t>公共管理与公共服务用地、公用设施用地和交通运输用地</w:t>
      </w:r>
      <w:r>
        <w:rPr>
          <w:rFonts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Ⅲ</w:t>
      </w:r>
      <w:r>
        <w:rPr>
          <w:rFonts w:ascii="仿宋" w:hAnsi="仿宋" w:eastAsia="仿宋" w:cs="仿宋"/>
          <w:sz w:val="32"/>
          <w:szCs w:val="32"/>
        </w:rPr>
        <w:t>级强度分区，容积率不低于1.5且不超过2.0，主要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医疗卫生用地、高等教育用地和机关团体用地</w:t>
      </w:r>
      <w:r>
        <w:rPr>
          <w:rFonts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Ⅳ级强度分区，</w:t>
      </w:r>
      <w:r>
        <w:rPr>
          <w:rFonts w:ascii="仿宋" w:hAnsi="仿宋" w:eastAsia="仿宋" w:cs="仿宋"/>
          <w:sz w:val="32"/>
          <w:szCs w:val="32"/>
        </w:rPr>
        <w:t>容积率不低于2.0且不超过2.5，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</w:t>
      </w:r>
      <w:r>
        <w:rPr>
          <w:rFonts w:hint="eastAsia" w:ascii="仿宋" w:hAnsi="仿宋" w:eastAsia="仿宋" w:cs="仿宋"/>
          <w:sz w:val="32"/>
          <w:szCs w:val="32"/>
        </w:rPr>
        <w:t>为金塘小区等部分中强度</w:t>
      </w:r>
      <w:r>
        <w:rPr>
          <w:rFonts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城镇住宅用地和部分商业用地</w:t>
      </w:r>
      <w:r>
        <w:rPr>
          <w:rFonts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Ⅴ级强度分区，容积率不低于</w:t>
      </w:r>
      <w:r>
        <w:rPr>
          <w:rFonts w:ascii="仿宋" w:hAnsi="仿宋" w:eastAsia="仿宋" w:cs="仿宋"/>
          <w:sz w:val="32"/>
          <w:szCs w:val="32"/>
        </w:rPr>
        <w:t>2.5</w:t>
      </w:r>
      <w:r>
        <w:rPr>
          <w:rFonts w:hint="eastAsia" w:ascii="仿宋" w:hAnsi="仿宋" w:eastAsia="仿宋" w:cs="仿宋"/>
          <w:sz w:val="32"/>
          <w:szCs w:val="32"/>
        </w:rPr>
        <w:t>且不超过</w:t>
      </w:r>
      <w:r>
        <w:rPr>
          <w:rFonts w:ascii="仿宋" w:hAnsi="仿宋" w:eastAsia="仿宋" w:cs="仿宋"/>
          <w:sz w:val="32"/>
          <w:szCs w:val="32"/>
        </w:rPr>
        <w:t>3.0</w:t>
      </w:r>
      <w:r>
        <w:rPr>
          <w:rFonts w:hint="eastAsia" w:ascii="仿宋" w:hAnsi="仿宋" w:eastAsia="仿宋" w:cs="仿宋"/>
          <w:sz w:val="32"/>
          <w:szCs w:val="32"/>
        </w:rPr>
        <w:t>，主要为高新活力</w:t>
      </w:r>
      <w:r>
        <w:rPr>
          <w:rFonts w:ascii="仿宋" w:hAnsi="仿宋" w:eastAsia="仿宋" w:cs="仿宋"/>
          <w:sz w:val="32"/>
          <w:szCs w:val="32"/>
        </w:rPr>
        <w:t>城小区</w:t>
      </w:r>
      <w:r>
        <w:rPr>
          <w:rFonts w:hint="eastAsia" w:ascii="仿宋" w:hAnsi="仿宋" w:eastAsia="仿宋" w:cs="仿宋"/>
          <w:sz w:val="32"/>
          <w:szCs w:val="32"/>
        </w:rPr>
        <w:t>等中高</w:t>
      </w:r>
      <w:r>
        <w:rPr>
          <w:rFonts w:ascii="仿宋" w:hAnsi="仿宋" w:eastAsia="仿宋" w:cs="仿宋"/>
          <w:sz w:val="32"/>
          <w:szCs w:val="32"/>
        </w:rPr>
        <w:t>强度</w:t>
      </w:r>
      <w:r>
        <w:rPr>
          <w:rFonts w:hint="eastAsia" w:ascii="仿宋" w:hAnsi="仿宋" w:eastAsia="仿宋" w:cs="仿宋"/>
          <w:sz w:val="32"/>
          <w:szCs w:val="32"/>
        </w:rPr>
        <w:t>城镇住宅用地。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Ⅵ级</w:t>
      </w:r>
      <w:r>
        <w:rPr>
          <w:rFonts w:hint="eastAsia" w:ascii="仿宋" w:hAnsi="仿宋" w:eastAsia="仿宋" w:cs="仿宋"/>
          <w:sz w:val="32"/>
          <w:szCs w:val="32"/>
        </w:rPr>
        <w:t>强度分区，容积率超过</w:t>
      </w:r>
      <w:r>
        <w:rPr>
          <w:rFonts w:ascii="仿宋" w:hAnsi="仿宋" w:eastAsia="仿宋" w:cs="仿宋"/>
          <w:sz w:val="32"/>
          <w:szCs w:val="32"/>
        </w:rPr>
        <w:t>3.0</w:t>
      </w:r>
      <w:r>
        <w:rPr>
          <w:rFonts w:hint="eastAsia" w:ascii="仿宋" w:hAnsi="仿宋" w:eastAsia="仿宋" w:cs="仿宋"/>
          <w:sz w:val="32"/>
          <w:szCs w:val="32"/>
        </w:rPr>
        <w:t>，主要为梓湖观邸、碧桂园梓山府等高强度城镇住宅用地和世纪大厦等</w:t>
      </w:r>
      <w:r>
        <w:rPr>
          <w:rFonts w:ascii="仿宋" w:hAnsi="仿宋" w:eastAsia="仿宋" w:cs="仿宋"/>
          <w:sz w:val="32"/>
          <w:szCs w:val="32"/>
        </w:rPr>
        <w:t>高强度</w:t>
      </w:r>
      <w:r>
        <w:rPr>
          <w:rFonts w:hint="eastAsia" w:ascii="仿宋" w:hAnsi="仿宋" w:eastAsia="仿宋" w:cs="仿宋"/>
          <w:sz w:val="32"/>
          <w:szCs w:val="32"/>
        </w:rPr>
        <w:t>商业用地。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51F6D8-0E54-4D03-B9EE-BB2081EFAD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C5610F5-9766-413D-9F87-8D58832C202F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75641A3-DF04-4A96-B767-36C984AD41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CD63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AAD7B">
                          <w:pPr>
                            <w:pStyle w:val="9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AAD7B">
                    <w:pPr>
                      <w:pStyle w:val="9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FE40F"/>
    <w:multiLevelType w:val="multilevel"/>
    <w:tmpl w:val="992FE40F"/>
    <w:lvl w:ilvl="0" w:tentative="0">
      <w:start w:val="1"/>
      <w:numFmt w:val="decimal"/>
      <w:pStyle w:val="2"/>
      <w:lvlText w:val="第%1章 "/>
      <w:lvlJc w:val="left"/>
      <w:pPr>
        <w:tabs>
          <w:tab w:val="left" w:pos="3119"/>
        </w:tabs>
        <w:ind w:left="3119" w:firstLine="0"/>
      </w:pPr>
      <w:rPr>
        <w:rFonts w:hint="eastAsia" w:ascii="黑体" w:hAnsi="黑体" w:eastAsia="黑体"/>
      </w:rPr>
    </w:lvl>
    <w:lvl w:ilvl="1" w:tentative="0">
      <w:start w:val="1"/>
      <w:numFmt w:val="decimal"/>
      <w:lvlRestart w:val="0"/>
      <w:pStyle w:val="3"/>
      <w:lvlText w:val="第%2条 "/>
      <w:lvlJc w:val="left"/>
      <w:pPr>
        <w:tabs>
          <w:tab w:val="left" w:pos="142"/>
        </w:tabs>
        <w:ind w:left="142" w:firstLine="0"/>
      </w:pPr>
      <w:rPr>
        <w:rFonts w:hint="eastAsia" w:ascii="黑体" w:hAnsi="黑体" w:eastAsia="黑体" w:cs="黑体"/>
      </w:rPr>
    </w:lvl>
    <w:lvl w:ilvl="2" w:tentative="0">
      <w:start w:val="1"/>
      <w:numFmt w:val="decimal"/>
      <w:pStyle w:val="4"/>
      <w:lvlText w:val="%3. "/>
      <w:lvlJc w:val="left"/>
      <w:pPr>
        <w:tabs>
          <w:tab w:val="left" w:pos="-2836"/>
        </w:tabs>
        <w:ind w:left="-2836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lvlText w:val="%3.%4 "/>
      <w:lvlJc w:val="left"/>
      <w:pPr>
        <w:tabs>
          <w:tab w:val="left" w:pos="-2836"/>
        </w:tabs>
        <w:ind w:left="-2836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6"/>
      <w:lvlText w:val="%3.%4.%5 "/>
      <w:lvlJc w:val="left"/>
      <w:pPr>
        <w:tabs>
          <w:tab w:val="left" w:pos="-2836"/>
        </w:tabs>
        <w:ind w:left="-2836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-1702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-1561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-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-1278" w:hanging="155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3NDE0OTk2NDA5ZDU4Y2MwZjk1YjRkZWUyNjM0NDMifQ=="/>
  </w:docVars>
  <w:rsids>
    <w:rsidRoot w:val="00000000"/>
    <w:rsid w:val="62B1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142"/>
      </w:tabs>
      <w:outlineLvl w:val="1"/>
    </w:pPr>
    <w:rPr>
      <w:rFonts w:ascii="黑体" w:hAnsi="黑体" w:eastAsia="黑体"/>
      <w:b/>
      <w:sz w:val="32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</w:style>
  <w:style w:type="paragraph" w:styleId="8">
    <w:name w:val="Balloon Text"/>
    <w:basedOn w:val="1"/>
    <w:link w:val="16"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Body Text First Indent 2"/>
    <w:basedOn w:val="7"/>
    <w:unhideWhenUsed/>
    <w:qFormat/>
    <w:uiPriority w:val="99"/>
    <w:pPr>
      <w:ind w:firstLine="420"/>
    </w:pPr>
  </w:style>
  <w:style w:type="character" w:customStyle="1" w:styleId="14">
    <w:name w:val="标题 2 字符"/>
    <w:basedOn w:val="13"/>
    <w:link w:val="3"/>
    <w:autoRedefine/>
    <w:qFormat/>
    <w:uiPriority w:val="9"/>
    <w:rPr>
      <w:rFonts w:ascii="黑体" w:hAnsi="黑体" w:eastAsia="黑体"/>
      <w:b/>
      <w:sz w:val="32"/>
      <w:szCs w:val="30"/>
    </w:rPr>
  </w:style>
  <w:style w:type="paragraph" w:customStyle="1" w:styleId="15">
    <w:name w:val="样式9"/>
    <w:basedOn w:val="1"/>
    <w:qFormat/>
    <w:uiPriority w:val="0"/>
    <w:pPr>
      <w:tabs>
        <w:tab w:val="left" w:pos="312"/>
        <w:tab w:val="left" w:pos="575"/>
      </w:tabs>
    </w:pPr>
    <w:rPr>
      <w:rFonts w:ascii="Calibri" w:hAnsi="Calibri" w:eastAsia="宋体" w:cs="Times New Roman"/>
    </w:rPr>
  </w:style>
  <w:style w:type="character" w:customStyle="1" w:styleId="16">
    <w:name w:val="批注框文本 字符"/>
    <w:basedOn w:val="13"/>
    <w:link w:val="8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978</Characters>
  <Lines>1</Lines>
  <Paragraphs>1</Paragraphs>
  <TotalTime>18</TotalTime>
  <ScaleCrop>false</ScaleCrop>
  <LinksUpToDate>false</LinksUpToDate>
  <CharactersWithSpaces>978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2025-09-18T08:18:00Z</dcterms:created>
  <dc:creator>Dell</dc:creator>
  <cp:lastModifiedBy>唔唁</cp:lastModifiedBy>
  <cp:lastPrinted>2025-09-18T08:16:00Z</cp:lastPrinted>
  <dcterms:modified xsi:type="dcterms:W3CDTF">2025-10-09T08:27:33Z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F5E3E2B827C043C18021DD5CBE399EC1_12</vt:lpwstr>
  </property>
  <property fmtid="{D5CDD505-2E9C-101B-9397-08002B2CF9AE}" pid="4" name="KSOTemplateDocerSaveRecord">
    <vt:lpwstr>eyJoZGlkIjoiYTllOThjZTFlZWQxYzFmNmZkYjgwNTU5Zjc1NTk4NDEiLCJ1c2VySWQiOiIxMTIxMTUwNTA4In0=</vt:lpwstr>
  </property>
</Properties>
</file>