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06" w:rsidRDefault="00601A06">
      <w:pPr>
        <w:spacing w:line="600" w:lineRule="exact"/>
        <w:rPr>
          <w:rFonts w:ascii="Times New Roman" w:eastAsia="黑体" w:hAnsi="Times New Roman"/>
          <w:kern w:val="0"/>
          <w:sz w:val="32"/>
          <w:szCs w:val="32"/>
        </w:rPr>
      </w:pPr>
    </w:p>
    <w:p w:rsidR="00601A06" w:rsidRDefault="0063481A">
      <w:pPr>
        <w:spacing w:line="600" w:lineRule="exact"/>
        <w:rPr>
          <w:rFonts w:ascii="Times New Roman" w:eastAsia="黑体" w:hAnsi="Times New Roman"/>
          <w:kern w:val="0"/>
          <w:sz w:val="32"/>
          <w:szCs w:val="32"/>
        </w:rPr>
      </w:pPr>
      <w:r>
        <w:rPr>
          <w:rFonts w:ascii="Times New Roman" w:eastAsia="黑体" w:hAnsi="Times New Roman"/>
          <w:kern w:val="0"/>
          <w:sz w:val="32"/>
          <w:szCs w:val="32"/>
        </w:rPr>
        <w:t>附件</w:t>
      </w:r>
      <w:r>
        <w:rPr>
          <w:rFonts w:ascii="Times New Roman" w:eastAsia="黑体" w:hAnsi="Times New Roman"/>
          <w:kern w:val="0"/>
          <w:sz w:val="32"/>
          <w:szCs w:val="32"/>
        </w:rPr>
        <w:t>8</w:t>
      </w:r>
    </w:p>
    <w:p w:rsidR="00601A06" w:rsidRDefault="00601A06">
      <w:pPr>
        <w:spacing w:line="600" w:lineRule="exact"/>
        <w:rPr>
          <w:rFonts w:ascii="Times New Roman" w:eastAsia="仿宋" w:hAnsi="Times New Roman"/>
          <w:kern w:val="0"/>
          <w:sz w:val="32"/>
          <w:szCs w:val="32"/>
        </w:rPr>
      </w:pPr>
    </w:p>
    <w:p w:rsidR="00601A06" w:rsidRDefault="0063481A">
      <w:pPr>
        <w:jc w:val="center"/>
        <w:rPr>
          <w:rFonts w:ascii="Times New Roman" w:eastAsia="方正小标宋简体" w:hAnsi="Times New Roman"/>
          <w:sz w:val="44"/>
          <w:szCs w:val="44"/>
        </w:rPr>
      </w:pPr>
      <w:r>
        <w:rPr>
          <w:rFonts w:ascii="Times New Roman" w:eastAsia="方正小标宋简体" w:hAnsi="Times New Roman" w:hint="eastAsia"/>
          <w:sz w:val="44"/>
          <w:szCs w:val="44"/>
        </w:rPr>
        <w:t>202</w:t>
      </w:r>
      <w:r w:rsidR="00E137BB">
        <w:rPr>
          <w:rFonts w:ascii="Times New Roman" w:eastAsia="方正小标宋简体" w:hAnsi="Times New Roman" w:hint="eastAsia"/>
          <w:sz w:val="44"/>
          <w:szCs w:val="44"/>
        </w:rPr>
        <w:t>4</w:t>
      </w:r>
      <w:r>
        <w:rPr>
          <w:rFonts w:ascii="Times New Roman" w:eastAsia="方正小标宋简体" w:hAnsi="Times New Roman"/>
          <w:sz w:val="44"/>
          <w:szCs w:val="44"/>
        </w:rPr>
        <w:t>年度</w:t>
      </w:r>
      <w:r>
        <w:rPr>
          <w:rFonts w:ascii="Times New Roman" w:eastAsia="方正小标宋简体" w:hAnsi="Times New Roman" w:hint="eastAsia"/>
          <w:sz w:val="44"/>
          <w:szCs w:val="44"/>
        </w:rPr>
        <w:t>益阳市儿童福利院</w:t>
      </w:r>
      <w:bookmarkStart w:id="0" w:name="_GoBack"/>
      <w:bookmarkEnd w:id="0"/>
      <w:r>
        <w:rPr>
          <w:rFonts w:ascii="Times New Roman" w:eastAsia="方正小标宋简体" w:hAnsi="Times New Roman"/>
          <w:sz w:val="44"/>
          <w:szCs w:val="44"/>
        </w:rPr>
        <w:t>整体支出</w:t>
      </w:r>
    </w:p>
    <w:p w:rsidR="00601A06" w:rsidRDefault="0063481A">
      <w:pPr>
        <w:jc w:val="center"/>
        <w:rPr>
          <w:rFonts w:ascii="Times New Roman" w:eastAsia="方正小标宋简体" w:hAnsi="Times New Roman"/>
          <w:sz w:val="44"/>
          <w:szCs w:val="44"/>
        </w:rPr>
      </w:pPr>
      <w:r>
        <w:rPr>
          <w:rFonts w:ascii="Times New Roman" w:eastAsia="方正小标宋简体" w:hAnsi="Times New Roman"/>
          <w:sz w:val="44"/>
          <w:szCs w:val="44"/>
        </w:rPr>
        <w:t>绩效自评报告</w:t>
      </w:r>
    </w:p>
    <w:p w:rsidR="00601A06" w:rsidRDefault="00601A06">
      <w:pPr>
        <w:rPr>
          <w:rFonts w:ascii="Times New Roman" w:eastAsia="黑体" w:hAnsi="Times New Roman"/>
          <w:sz w:val="32"/>
          <w:szCs w:val="32"/>
        </w:rPr>
      </w:pPr>
    </w:p>
    <w:p w:rsidR="00601A06" w:rsidRDefault="00601A06">
      <w:pPr>
        <w:jc w:val="center"/>
        <w:rPr>
          <w:rFonts w:ascii="Times New Roman" w:eastAsia="黑体" w:hAnsi="Times New Roman"/>
          <w:sz w:val="32"/>
          <w:szCs w:val="32"/>
        </w:rPr>
      </w:pPr>
    </w:p>
    <w:p w:rsidR="00601A06" w:rsidRDefault="00601A06">
      <w:pPr>
        <w:rPr>
          <w:rFonts w:ascii="Times New Roman" w:eastAsia="黑体" w:hAnsi="Times New Roman"/>
          <w:sz w:val="32"/>
          <w:szCs w:val="32"/>
        </w:rPr>
      </w:pPr>
    </w:p>
    <w:p w:rsidR="00601A06" w:rsidRDefault="00601A06">
      <w:pPr>
        <w:rPr>
          <w:rFonts w:ascii="Times New Roman" w:eastAsia="黑体" w:hAnsi="Times New Roman"/>
          <w:sz w:val="32"/>
          <w:szCs w:val="32"/>
        </w:rPr>
      </w:pPr>
    </w:p>
    <w:p w:rsidR="00601A06" w:rsidRDefault="00601A06">
      <w:pPr>
        <w:jc w:val="center"/>
        <w:rPr>
          <w:rFonts w:ascii="Times New Roman" w:eastAsia="黑体" w:hAnsi="Times New Roman"/>
          <w:sz w:val="32"/>
          <w:szCs w:val="32"/>
        </w:rPr>
      </w:pPr>
    </w:p>
    <w:p w:rsidR="00601A06" w:rsidRDefault="00601A06">
      <w:pPr>
        <w:jc w:val="center"/>
        <w:rPr>
          <w:rFonts w:ascii="Times New Roman" w:eastAsia="黑体" w:hAnsi="Times New Roman"/>
          <w:sz w:val="32"/>
          <w:szCs w:val="32"/>
        </w:rPr>
      </w:pPr>
    </w:p>
    <w:p w:rsidR="00601A06" w:rsidRDefault="00601A06">
      <w:pPr>
        <w:jc w:val="center"/>
        <w:rPr>
          <w:rFonts w:ascii="Times New Roman" w:eastAsia="黑体" w:hAnsi="Times New Roman"/>
          <w:sz w:val="32"/>
          <w:szCs w:val="32"/>
        </w:rPr>
      </w:pPr>
    </w:p>
    <w:p w:rsidR="00601A06" w:rsidRDefault="00601A06">
      <w:pPr>
        <w:jc w:val="center"/>
        <w:rPr>
          <w:rFonts w:ascii="Times New Roman" w:eastAsia="黑体" w:hAnsi="Times New Roman"/>
          <w:sz w:val="32"/>
          <w:szCs w:val="32"/>
        </w:rPr>
      </w:pPr>
    </w:p>
    <w:p w:rsidR="00601A06" w:rsidRDefault="00601A06">
      <w:pPr>
        <w:jc w:val="center"/>
        <w:rPr>
          <w:rFonts w:ascii="Times New Roman" w:eastAsia="黑体" w:hAnsi="Times New Roman"/>
          <w:sz w:val="32"/>
          <w:szCs w:val="32"/>
        </w:rPr>
      </w:pPr>
    </w:p>
    <w:p w:rsidR="00601A06" w:rsidRDefault="00601A06">
      <w:pPr>
        <w:jc w:val="center"/>
        <w:rPr>
          <w:rFonts w:ascii="Times New Roman" w:eastAsia="黑体" w:hAnsi="Times New Roman"/>
          <w:sz w:val="32"/>
          <w:szCs w:val="32"/>
        </w:rPr>
      </w:pPr>
    </w:p>
    <w:p w:rsidR="00601A06" w:rsidRDefault="00601A06">
      <w:pPr>
        <w:jc w:val="center"/>
        <w:rPr>
          <w:rFonts w:ascii="Times New Roman" w:eastAsia="黑体" w:hAnsi="Times New Roman"/>
          <w:sz w:val="32"/>
          <w:szCs w:val="32"/>
        </w:rPr>
      </w:pPr>
    </w:p>
    <w:p w:rsidR="00601A06" w:rsidRDefault="0063481A">
      <w:pPr>
        <w:jc w:val="center"/>
        <w:rPr>
          <w:rFonts w:ascii="Times New Roman" w:eastAsia="黑体" w:hAnsi="Times New Roman"/>
          <w:sz w:val="32"/>
          <w:szCs w:val="32"/>
        </w:rPr>
      </w:pPr>
      <w:r>
        <w:rPr>
          <w:rFonts w:ascii="Times New Roman" w:eastAsia="黑体" w:hAnsi="Times New Roman"/>
          <w:sz w:val="32"/>
          <w:szCs w:val="32"/>
        </w:rPr>
        <w:t>单位名称（盖章）</w:t>
      </w:r>
    </w:p>
    <w:p w:rsidR="00601A06" w:rsidRDefault="00601A06">
      <w:pPr>
        <w:jc w:val="center"/>
        <w:rPr>
          <w:rFonts w:ascii="Times New Roman" w:eastAsia="黑体" w:hAnsi="Times New Roman"/>
          <w:sz w:val="32"/>
          <w:szCs w:val="32"/>
        </w:rPr>
      </w:pPr>
    </w:p>
    <w:p w:rsidR="00601A06" w:rsidRDefault="0063481A">
      <w:pPr>
        <w:jc w:val="center"/>
        <w:rPr>
          <w:rFonts w:ascii="Times New Roman" w:eastAsia="黑体" w:hAnsi="Times New Roman"/>
          <w:sz w:val="32"/>
          <w:szCs w:val="32"/>
        </w:rPr>
      </w:pPr>
      <w:r>
        <w:rPr>
          <w:rFonts w:ascii="Times New Roman" w:eastAsia="黑体" w:hAnsi="Times New Roman"/>
          <w:sz w:val="32"/>
          <w:szCs w:val="32"/>
        </w:rPr>
        <w:br w:type="page"/>
      </w:r>
    </w:p>
    <w:p w:rsidR="00601A06" w:rsidRDefault="0063481A">
      <w:pPr>
        <w:ind w:firstLineChars="200" w:firstLine="640"/>
        <w:rPr>
          <w:rFonts w:ascii="Times New Roman" w:eastAsia="黑体" w:hAnsi="Times New Roman"/>
          <w:sz w:val="32"/>
          <w:szCs w:val="32"/>
        </w:rPr>
      </w:pPr>
      <w:r>
        <w:rPr>
          <w:rFonts w:ascii="仿宋_GB2312" w:eastAsia="仿宋_GB2312" w:hAnsi="仿宋" w:hint="eastAsia"/>
          <w:sz w:val="32"/>
          <w:szCs w:val="32"/>
        </w:rPr>
        <w:lastRenderedPageBreak/>
        <w:t>根据益阳市财政局下发的《关于开展202</w:t>
      </w:r>
      <w:r w:rsidR="00E137BB">
        <w:rPr>
          <w:rFonts w:ascii="仿宋_GB2312" w:eastAsia="仿宋_GB2312" w:hAnsi="仿宋" w:hint="eastAsia"/>
          <w:sz w:val="32"/>
          <w:szCs w:val="32"/>
        </w:rPr>
        <w:t>4</w:t>
      </w:r>
      <w:r>
        <w:rPr>
          <w:rFonts w:ascii="仿宋_GB2312" w:eastAsia="仿宋_GB2312" w:hAnsi="仿宋" w:hint="eastAsia"/>
          <w:sz w:val="32"/>
          <w:szCs w:val="32"/>
        </w:rPr>
        <w:t>年度部门绩效自评工作的通知》要求，我</w:t>
      </w:r>
      <w:r w:rsidR="00E137BB">
        <w:rPr>
          <w:rFonts w:ascii="仿宋_GB2312" w:eastAsia="仿宋_GB2312" w:hAnsi="仿宋" w:hint="eastAsia"/>
          <w:sz w:val="32"/>
          <w:szCs w:val="32"/>
        </w:rPr>
        <w:t>院</w:t>
      </w:r>
      <w:r>
        <w:rPr>
          <w:rFonts w:ascii="仿宋_GB2312" w:eastAsia="仿宋_GB2312" w:hAnsi="仿宋" w:hint="eastAsia"/>
          <w:sz w:val="32"/>
          <w:szCs w:val="32"/>
        </w:rPr>
        <w:t>积极组织对202</w:t>
      </w:r>
      <w:r w:rsidR="00E137BB">
        <w:rPr>
          <w:rFonts w:ascii="仿宋_GB2312" w:eastAsia="仿宋_GB2312" w:hAnsi="仿宋" w:hint="eastAsia"/>
          <w:sz w:val="32"/>
          <w:szCs w:val="32"/>
        </w:rPr>
        <w:t>4</w:t>
      </w:r>
      <w:r>
        <w:rPr>
          <w:rFonts w:ascii="仿宋_GB2312" w:eastAsia="仿宋_GB2312" w:hAnsi="仿宋" w:hint="eastAsia"/>
          <w:sz w:val="32"/>
          <w:szCs w:val="32"/>
        </w:rPr>
        <w:t>年度的部门整体支出开展绩效自评，现将情况汇报如下：</w:t>
      </w:r>
    </w:p>
    <w:p w:rsidR="00601A06" w:rsidRDefault="0063481A">
      <w:pPr>
        <w:pStyle w:val="1"/>
        <w:widowControl/>
        <w:numPr>
          <w:ilvl w:val="0"/>
          <w:numId w:val="1"/>
        </w:numPr>
        <w:tabs>
          <w:tab w:val="left" w:pos="578"/>
        </w:tabs>
        <w:spacing w:line="600" w:lineRule="exact"/>
        <w:ind w:firstLineChars="0"/>
        <w:rPr>
          <w:rFonts w:ascii="Times New Roman" w:eastAsia="黑体" w:hAnsi="Times New Roman"/>
          <w:sz w:val="32"/>
          <w:szCs w:val="32"/>
        </w:rPr>
      </w:pPr>
      <w:r>
        <w:rPr>
          <w:rFonts w:ascii="Times New Roman" w:eastAsia="黑体" w:hAnsi="Times New Roman"/>
          <w:sz w:val="32"/>
          <w:szCs w:val="32"/>
        </w:rPr>
        <w:t>部门（单位）基本情况</w:t>
      </w:r>
    </w:p>
    <w:p w:rsidR="00601A06" w:rsidRDefault="0063481A">
      <w:pPr>
        <w:ind w:firstLineChars="200" w:firstLine="640"/>
        <w:rPr>
          <w:rFonts w:ascii="Times New Roman" w:eastAsia="黑体" w:hAnsi="Times New Roman"/>
          <w:sz w:val="32"/>
          <w:szCs w:val="32"/>
        </w:rPr>
      </w:pPr>
      <w:r>
        <w:rPr>
          <w:rFonts w:ascii="仿宋" w:eastAsia="仿宋" w:hAnsi="仿宋"/>
          <w:sz w:val="32"/>
          <w:szCs w:val="32"/>
        </w:rPr>
        <w:t>益阳市</w:t>
      </w:r>
      <w:r>
        <w:rPr>
          <w:rFonts w:ascii="仿宋" w:eastAsia="仿宋" w:hAnsi="仿宋" w:hint="eastAsia"/>
          <w:sz w:val="32"/>
          <w:szCs w:val="32"/>
        </w:rPr>
        <w:t>儿童福利院</w:t>
      </w:r>
      <w:r>
        <w:rPr>
          <w:rFonts w:ascii="仿宋" w:eastAsia="仿宋" w:hAnsi="仿宋"/>
          <w:sz w:val="32"/>
          <w:szCs w:val="32"/>
        </w:rPr>
        <w:t>是市民政局下属公益一类全额拨款事业单位</w:t>
      </w:r>
      <w:r>
        <w:rPr>
          <w:rFonts w:ascii="仿宋" w:eastAsia="仿宋" w:hAnsi="仿宋" w:hint="eastAsia"/>
          <w:sz w:val="32"/>
          <w:szCs w:val="32"/>
        </w:rPr>
        <w:t>，</w:t>
      </w:r>
      <w:r>
        <w:rPr>
          <w:rFonts w:ascii="仿宋" w:eastAsia="仿宋" w:hAnsi="仿宋"/>
          <w:sz w:val="32"/>
          <w:szCs w:val="32"/>
        </w:rPr>
        <w:t>负责</w:t>
      </w:r>
      <w:r>
        <w:rPr>
          <w:rFonts w:ascii="仿宋_GB2312" w:eastAsia="仿宋_GB2312" w:hAnsi="仿宋" w:hint="eastAsia"/>
          <w:sz w:val="32"/>
          <w:szCs w:val="32"/>
        </w:rPr>
        <w:t>为全市孤、弃等困境儿童提供养育、医疗、教育、康复、安置等服务；提供社会化儿童服务，集中供养民政监护成年失智失能三无人员，提供社会化养老服务；对符合临时监护情况的未成年人实施帮扶救助。内设机构包括：内设办公室、财务部、保育科、医务室4个部门。 共有编制人员8人，退休人员2人，临聘人员13人。</w:t>
      </w:r>
    </w:p>
    <w:p w:rsidR="00601A06" w:rsidRDefault="0063481A">
      <w:pPr>
        <w:pStyle w:val="1"/>
        <w:widowControl/>
        <w:numPr>
          <w:ilvl w:val="0"/>
          <w:numId w:val="1"/>
        </w:numPr>
        <w:spacing w:line="600" w:lineRule="exact"/>
        <w:ind w:firstLineChars="0"/>
        <w:rPr>
          <w:rFonts w:ascii="Times New Roman" w:eastAsia="黑体" w:hAnsi="Times New Roman"/>
          <w:sz w:val="32"/>
          <w:szCs w:val="32"/>
        </w:rPr>
      </w:pPr>
      <w:r>
        <w:rPr>
          <w:rFonts w:ascii="Times New Roman" w:eastAsia="黑体" w:hAnsi="Times New Roman"/>
          <w:sz w:val="32"/>
          <w:szCs w:val="32"/>
        </w:rPr>
        <w:t>一般公共预算支出情况</w:t>
      </w:r>
    </w:p>
    <w:p w:rsidR="00601A06" w:rsidRDefault="0063481A">
      <w:pPr>
        <w:pStyle w:val="1"/>
        <w:widowControl/>
        <w:spacing w:line="600" w:lineRule="exact"/>
        <w:ind w:firstLine="640"/>
        <w:rPr>
          <w:rFonts w:ascii="仿宋_GB2312" w:eastAsia="仿宋_GB2312" w:hAnsi="仿宋"/>
          <w:sz w:val="32"/>
          <w:szCs w:val="32"/>
        </w:rPr>
      </w:pPr>
      <w:r>
        <w:rPr>
          <w:rFonts w:ascii="仿宋_GB2312" w:eastAsia="仿宋_GB2312" w:hAnsi="仿宋" w:hint="eastAsia"/>
          <w:sz w:val="32"/>
          <w:szCs w:val="32"/>
        </w:rPr>
        <w:t>202</w:t>
      </w:r>
      <w:r w:rsidR="00647675">
        <w:rPr>
          <w:rFonts w:ascii="仿宋_GB2312" w:eastAsia="仿宋_GB2312" w:hAnsi="仿宋" w:hint="eastAsia"/>
          <w:sz w:val="32"/>
          <w:szCs w:val="32"/>
        </w:rPr>
        <w:t>4</w:t>
      </w:r>
      <w:r>
        <w:rPr>
          <w:rFonts w:ascii="仿宋_GB2312" w:eastAsia="仿宋_GB2312" w:hAnsi="仿宋" w:hint="eastAsia"/>
          <w:sz w:val="32"/>
          <w:szCs w:val="32"/>
        </w:rPr>
        <w:t>年本单位一般公共预算支出</w:t>
      </w:r>
      <w:r w:rsidR="00894F78" w:rsidRPr="00894F78">
        <w:rPr>
          <w:rFonts w:ascii="仿宋_GB2312" w:eastAsia="仿宋_GB2312" w:hAnsi="仿宋"/>
          <w:sz w:val="32"/>
          <w:szCs w:val="32"/>
        </w:rPr>
        <w:t>489.59</w:t>
      </w:r>
      <w:r>
        <w:rPr>
          <w:rFonts w:ascii="仿宋_GB2312" w:eastAsia="仿宋_GB2312" w:hAnsi="仿宋" w:hint="eastAsia"/>
          <w:sz w:val="32"/>
          <w:szCs w:val="32"/>
        </w:rPr>
        <w:t>万元，其中基本支出</w:t>
      </w:r>
      <w:r w:rsidR="00894F78" w:rsidRPr="00894F78">
        <w:rPr>
          <w:rFonts w:ascii="仿宋_GB2312" w:eastAsia="仿宋_GB2312" w:hAnsi="仿宋"/>
          <w:sz w:val="32"/>
          <w:szCs w:val="32"/>
        </w:rPr>
        <w:t>177.31</w:t>
      </w:r>
      <w:r>
        <w:rPr>
          <w:rFonts w:ascii="仿宋_GB2312" w:eastAsia="仿宋_GB2312" w:hAnsi="仿宋" w:hint="eastAsia"/>
          <w:sz w:val="32"/>
          <w:szCs w:val="32"/>
        </w:rPr>
        <w:t>万元，项目支出</w:t>
      </w:r>
      <w:r w:rsidR="00894F78" w:rsidRPr="00894F78">
        <w:rPr>
          <w:rFonts w:ascii="仿宋_GB2312" w:eastAsia="仿宋_GB2312" w:hAnsi="仿宋"/>
          <w:sz w:val="32"/>
          <w:szCs w:val="32"/>
        </w:rPr>
        <w:t>312.28</w:t>
      </w:r>
      <w:r>
        <w:rPr>
          <w:rFonts w:ascii="仿宋_GB2312" w:eastAsia="仿宋_GB2312" w:hAnsi="仿宋" w:hint="eastAsia"/>
          <w:sz w:val="32"/>
          <w:szCs w:val="32"/>
        </w:rPr>
        <w:t>万元。</w:t>
      </w:r>
    </w:p>
    <w:p w:rsidR="00601A06" w:rsidRDefault="0063481A">
      <w:pPr>
        <w:pStyle w:val="1"/>
        <w:widowControl/>
        <w:numPr>
          <w:ilvl w:val="0"/>
          <w:numId w:val="2"/>
        </w:numPr>
        <w:spacing w:line="600" w:lineRule="exact"/>
        <w:ind w:firstLineChars="0"/>
        <w:rPr>
          <w:rFonts w:ascii="Times New Roman" w:eastAsia="黑体" w:hAnsi="Times New Roman"/>
          <w:sz w:val="32"/>
          <w:szCs w:val="32"/>
        </w:rPr>
      </w:pPr>
      <w:r>
        <w:rPr>
          <w:rFonts w:ascii="Times New Roman" w:eastAsia="黑体" w:hAnsi="Times New Roman"/>
          <w:sz w:val="32"/>
          <w:szCs w:val="32"/>
        </w:rPr>
        <w:t>基本支出情况</w:t>
      </w:r>
    </w:p>
    <w:p w:rsidR="00601A06" w:rsidRDefault="0063481A">
      <w:pPr>
        <w:pStyle w:val="1"/>
        <w:widowControl/>
        <w:spacing w:line="600" w:lineRule="exact"/>
        <w:ind w:firstLine="640"/>
        <w:rPr>
          <w:rFonts w:ascii="仿宋_GB2312" w:eastAsia="仿宋_GB2312" w:hAnsi="仿宋"/>
          <w:sz w:val="32"/>
          <w:szCs w:val="32"/>
        </w:rPr>
      </w:pPr>
      <w:r>
        <w:rPr>
          <w:rFonts w:ascii="仿宋_GB2312" w:eastAsia="仿宋_GB2312" w:hAnsi="仿宋" w:hint="eastAsia"/>
          <w:sz w:val="32"/>
          <w:szCs w:val="32"/>
        </w:rPr>
        <w:t>202</w:t>
      </w:r>
      <w:r w:rsidR="002234C1">
        <w:rPr>
          <w:rFonts w:ascii="仿宋_GB2312" w:eastAsia="仿宋_GB2312" w:hAnsi="仿宋" w:hint="eastAsia"/>
          <w:sz w:val="32"/>
          <w:szCs w:val="32"/>
        </w:rPr>
        <w:t>4</w:t>
      </w:r>
      <w:r>
        <w:rPr>
          <w:rFonts w:ascii="仿宋_GB2312" w:eastAsia="仿宋_GB2312" w:hAnsi="仿宋" w:hint="eastAsia"/>
          <w:sz w:val="32"/>
          <w:szCs w:val="32"/>
        </w:rPr>
        <w:t>年基本支出</w:t>
      </w:r>
      <w:r w:rsidR="002234C1" w:rsidRPr="00894F78">
        <w:rPr>
          <w:rFonts w:ascii="仿宋_GB2312" w:eastAsia="仿宋_GB2312" w:hAnsi="仿宋"/>
          <w:sz w:val="32"/>
          <w:szCs w:val="32"/>
        </w:rPr>
        <w:t>177.31</w:t>
      </w:r>
      <w:r>
        <w:rPr>
          <w:rFonts w:ascii="仿宋_GB2312" w:eastAsia="仿宋_GB2312" w:hAnsi="仿宋" w:hint="eastAsia"/>
          <w:sz w:val="32"/>
          <w:szCs w:val="32"/>
        </w:rPr>
        <w:t>万元，其中：工资福利支出</w:t>
      </w:r>
      <w:r w:rsidR="00620217">
        <w:rPr>
          <w:rFonts w:ascii="仿宋_GB2312" w:eastAsia="仿宋_GB2312" w:hAnsi="仿宋" w:hint="eastAsia"/>
          <w:sz w:val="32"/>
          <w:szCs w:val="32"/>
        </w:rPr>
        <w:t>115.74</w:t>
      </w:r>
      <w:r>
        <w:rPr>
          <w:rFonts w:ascii="仿宋_GB2312" w:eastAsia="仿宋_GB2312" w:hAnsi="仿宋" w:hint="eastAsia"/>
          <w:sz w:val="32"/>
          <w:szCs w:val="32"/>
        </w:rPr>
        <w:t>万元；商品服务支出</w:t>
      </w:r>
      <w:r w:rsidR="00620217">
        <w:rPr>
          <w:rFonts w:ascii="仿宋_GB2312" w:eastAsia="仿宋_GB2312" w:hAnsi="仿宋" w:hint="eastAsia"/>
          <w:sz w:val="32"/>
          <w:szCs w:val="32"/>
        </w:rPr>
        <w:t>54.95</w:t>
      </w:r>
      <w:r>
        <w:rPr>
          <w:rFonts w:ascii="仿宋_GB2312" w:eastAsia="仿宋_GB2312" w:hAnsi="仿宋" w:hint="eastAsia"/>
          <w:sz w:val="32"/>
          <w:szCs w:val="32"/>
        </w:rPr>
        <w:t>万元，对个人和家庭的补助6.</w:t>
      </w:r>
      <w:r w:rsidR="00620217">
        <w:rPr>
          <w:rFonts w:ascii="仿宋_GB2312" w:eastAsia="仿宋_GB2312" w:hAnsi="仿宋" w:hint="eastAsia"/>
          <w:sz w:val="32"/>
          <w:szCs w:val="32"/>
        </w:rPr>
        <w:t>62</w:t>
      </w:r>
      <w:r>
        <w:rPr>
          <w:rFonts w:ascii="仿宋_GB2312" w:eastAsia="仿宋_GB2312" w:hAnsi="仿宋" w:hint="eastAsia"/>
          <w:sz w:val="32"/>
          <w:szCs w:val="32"/>
        </w:rPr>
        <w:t>万元。</w:t>
      </w:r>
    </w:p>
    <w:p w:rsidR="00601A06" w:rsidRDefault="0063481A">
      <w:pPr>
        <w:pStyle w:val="1"/>
        <w:widowControl/>
        <w:spacing w:line="60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项目支出情况</w:t>
      </w:r>
    </w:p>
    <w:p w:rsidR="00787CAE" w:rsidRDefault="0063481A" w:rsidP="00787CAE">
      <w:pPr>
        <w:pStyle w:val="1"/>
        <w:widowControl/>
        <w:spacing w:line="600" w:lineRule="exact"/>
        <w:ind w:firstLine="640"/>
        <w:rPr>
          <w:rFonts w:ascii="仿宋_GB2312" w:eastAsia="仿宋_GB2312" w:hAnsi="仿宋"/>
          <w:sz w:val="32"/>
          <w:szCs w:val="32"/>
        </w:rPr>
      </w:pPr>
      <w:r>
        <w:rPr>
          <w:rFonts w:ascii="仿宋_GB2312" w:eastAsia="仿宋_GB2312" w:hAnsi="仿宋" w:hint="eastAsia"/>
          <w:sz w:val="32"/>
          <w:szCs w:val="32"/>
        </w:rPr>
        <w:t>202</w:t>
      </w:r>
      <w:r w:rsidR="001C3E98">
        <w:rPr>
          <w:rFonts w:ascii="仿宋_GB2312" w:eastAsia="仿宋_GB2312" w:hAnsi="仿宋" w:hint="eastAsia"/>
          <w:sz w:val="32"/>
          <w:szCs w:val="32"/>
        </w:rPr>
        <w:t>4</w:t>
      </w:r>
      <w:r>
        <w:rPr>
          <w:rFonts w:ascii="仿宋_GB2312" w:eastAsia="仿宋_GB2312" w:hAnsi="仿宋" w:hint="eastAsia"/>
          <w:sz w:val="32"/>
          <w:szCs w:val="32"/>
        </w:rPr>
        <w:t>年项目支出</w:t>
      </w:r>
      <w:r w:rsidR="001C3E98">
        <w:rPr>
          <w:rFonts w:ascii="仿宋_GB2312" w:eastAsia="仿宋_GB2312" w:hAnsi="仿宋" w:hint="eastAsia"/>
          <w:sz w:val="32"/>
          <w:szCs w:val="32"/>
        </w:rPr>
        <w:t>312.28</w:t>
      </w:r>
      <w:r>
        <w:rPr>
          <w:rFonts w:ascii="仿宋_GB2312" w:eastAsia="仿宋_GB2312" w:hAnsi="仿宋" w:hint="eastAsia"/>
          <w:sz w:val="32"/>
          <w:szCs w:val="32"/>
        </w:rPr>
        <w:t>万元，其中： 孤儿基本生活保障</w:t>
      </w:r>
      <w:r w:rsidR="001C3E98">
        <w:rPr>
          <w:rFonts w:ascii="仿宋_GB2312" w:eastAsia="仿宋_GB2312" w:hAnsi="仿宋" w:hint="eastAsia"/>
          <w:sz w:val="32"/>
          <w:szCs w:val="32"/>
        </w:rPr>
        <w:t>53.26</w:t>
      </w:r>
      <w:r>
        <w:rPr>
          <w:rFonts w:ascii="仿宋_GB2312" w:eastAsia="仿宋_GB2312" w:hAnsi="仿宋" w:hint="eastAsia"/>
          <w:sz w:val="32"/>
          <w:szCs w:val="32"/>
        </w:rPr>
        <w:t>万元，</w:t>
      </w:r>
      <w:r>
        <w:rPr>
          <w:rFonts w:ascii="仿宋_GB2312" w:eastAsia="仿宋_GB2312" w:hAnsi="仿宋"/>
          <w:sz w:val="32"/>
          <w:szCs w:val="32"/>
        </w:rPr>
        <w:t>城市特困人员救助供养</w:t>
      </w:r>
      <w:r w:rsidR="001C3E98">
        <w:rPr>
          <w:rFonts w:ascii="仿宋_GB2312" w:eastAsia="仿宋_GB2312" w:hAnsi="仿宋" w:hint="eastAsia"/>
          <w:sz w:val="32"/>
          <w:szCs w:val="32"/>
        </w:rPr>
        <w:t>121.13</w:t>
      </w:r>
      <w:r>
        <w:rPr>
          <w:rFonts w:ascii="仿宋_GB2312" w:eastAsia="仿宋_GB2312" w:hAnsi="仿宋" w:hint="eastAsia"/>
          <w:sz w:val="32"/>
          <w:szCs w:val="32"/>
        </w:rPr>
        <w:t>万元，彩票公益金</w:t>
      </w:r>
      <w:r>
        <w:rPr>
          <w:rFonts w:ascii="仿宋_GB2312" w:eastAsia="仿宋_GB2312" w:hAnsi="仿宋" w:hint="eastAsia"/>
          <w:sz w:val="32"/>
          <w:szCs w:val="32"/>
        </w:rPr>
        <w:lastRenderedPageBreak/>
        <w:t>儿童福利机构设施</w:t>
      </w:r>
      <w:r w:rsidR="00787CAE">
        <w:rPr>
          <w:rFonts w:ascii="仿宋_GB2312" w:eastAsia="仿宋_GB2312" w:hAnsi="仿宋" w:hint="eastAsia"/>
          <w:sz w:val="32"/>
          <w:szCs w:val="32"/>
        </w:rPr>
        <w:t>61.91</w:t>
      </w:r>
      <w:r>
        <w:rPr>
          <w:rFonts w:ascii="仿宋_GB2312" w:eastAsia="仿宋_GB2312" w:hAnsi="仿宋" w:hint="eastAsia"/>
          <w:sz w:val="32"/>
          <w:szCs w:val="32"/>
        </w:rPr>
        <w:t>万元，</w:t>
      </w:r>
      <w:r w:rsidR="00787CAE">
        <w:rPr>
          <w:rFonts w:ascii="仿宋_GB2312" w:eastAsia="仿宋_GB2312" w:hAnsi="仿宋" w:hint="eastAsia"/>
          <w:sz w:val="32"/>
          <w:szCs w:val="32"/>
        </w:rPr>
        <w:t>孤儿专项护理60万元，未成年保护项目15.38万元，儿童助学金0.6万元。主要用于孤残儿童和城市特困人员生活费和护理人员的专项经费开支。</w:t>
      </w:r>
    </w:p>
    <w:p w:rsidR="00601A06" w:rsidRDefault="0063481A" w:rsidP="00787CAE">
      <w:pPr>
        <w:pStyle w:val="1"/>
        <w:widowControl/>
        <w:spacing w:line="600" w:lineRule="exact"/>
        <w:ind w:firstLine="640"/>
        <w:rPr>
          <w:rFonts w:ascii="Times New Roman" w:eastAsia="黑体" w:hAnsi="Times New Roman"/>
          <w:sz w:val="32"/>
          <w:szCs w:val="32"/>
        </w:rPr>
      </w:pPr>
      <w:r>
        <w:rPr>
          <w:rFonts w:ascii="Times New Roman" w:eastAsia="黑体" w:hAnsi="Times New Roman"/>
          <w:sz w:val="32"/>
          <w:szCs w:val="32"/>
        </w:rPr>
        <w:t>政府性基金预算支出情况</w:t>
      </w:r>
    </w:p>
    <w:p w:rsidR="00601A06" w:rsidRDefault="0063481A">
      <w:pPr>
        <w:ind w:firstLineChars="200" w:firstLine="640"/>
        <w:rPr>
          <w:rFonts w:ascii="仿宋_GB2312" w:eastAsia="仿宋_GB2312" w:hAnsi="仿宋"/>
          <w:sz w:val="32"/>
          <w:szCs w:val="32"/>
        </w:rPr>
      </w:pPr>
      <w:r>
        <w:rPr>
          <w:rFonts w:ascii="仿宋_GB2312" w:eastAsia="仿宋_GB2312" w:hAnsi="仿宋" w:hint="eastAsia"/>
          <w:sz w:val="32"/>
          <w:szCs w:val="32"/>
        </w:rPr>
        <w:t>本部门202</w:t>
      </w:r>
      <w:r w:rsidR="00C01B18">
        <w:rPr>
          <w:rFonts w:ascii="仿宋_GB2312" w:eastAsia="仿宋_GB2312" w:hAnsi="仿宋" w:hint="eastAsia"/>
          <w:sz w:val="32"/>
          <w:szCs w:val="32"/>
        </w:rPr>
        <w:t>4</w:t>
      </w:r>
      <w:r>
        <w:rPr>
          <w:rFonts w:ascii="仿宋_GB2312" w:eastAsia="仿宋_GB2312" w:hAnsi="仿宋" w:hint="eastAsia"/>
          <w:sz w:val="32"/>
          <w:szCs w:val="32"/>
        </w:rPr>
        <w:t>年政府性基金安排的支出</w:t>
      </w:r>
      <w:r w:rsidR="00787CAE">
        <w:rPr>
          <w:rFonts w:ascii="仿宋_GB2312" w:eastAsia="仿宋_GB2312" w:hAnsi="仿宋" w:hint="eastAsia"/>
          <w:sz w:val="32"/>
          <w:szCs w:val="32"/>
        </w:rPr>
        <w:t>61.91</w:t>
      </w:r>
      <w:r>
        <w:rPr>
          <w:rFonts w:ascii="仿宋_GB2312" w:eastAsia="仿宋_GB2312" w:hAnsi="仿宋" w:hint="eastAsia"/>
          <w:sz w:val="32"/>
          <w:szCs w:val="32"/>
        </w:rPr>
        <w:t>万元，主要用于社会福利的彩票公益金儿童福利机构设施设备支出。</w:t>
      </w:r>
    </w:p>
    <w:p w:rsidR="00601A06" w:rsidRDefault="0063481A">
      <w:pPr>
        <w:widowControl/>
        <w:numPr>
          <w:ilvl w:val="0"/>
          <w:numId w:val="1"/>
        </w:numPr>
        <w:spacing w:line="600" w:lineRule="exact"/>
        <w:jc w:val="left"/>
        <w:rPr>
          <w:rFonts w:ascii="Times New Roman" w:eastAsia="黑体" w:hAnsi="Times New Roman"/>
          <w:sz w:val="32"/>
          <w:szCs w:val="32"/>
        </w:rPr>
      </w:pPr>
      <w:r>
        <w:rPr>
          <w:rFonts w:ascii="Times New Roman" w:eastAsia="黑体" w:hAnsi="Times New Roman"/>
          <w:sz w:val="32"/>
          <w:szCs w:val="32"/>
        </w:rPr>
        <w:t>国有资本经营预算支出情况</w:t>
      </w:r>
    </w:p>
    <w:p w:rsidR="00601A06" w:rsidRDefault="0063481A">
      <w:pPr>
        <w:spacing w:after="2"/>
        <w:ind w:firstLineChars="200" w:firstLine="640"/>
        <w:rPr>
          <w:rFonts w:ascii="仿宋_GB2312" w:eastAsia="仿宋_GB2312" w:hAnsi="仿宋"/>
          <w:sz w:val="32"/>
          <w:szCs w:val="32"/>
        </w:rPr>
      </w:pPr>
      <w:r>
        <w:rPr>
          <w:rFonts w:ascii="仿宋_GB2312" w:eastAsia="仿宋_GB2312" w:hAnsi="仿宋" w:hint="eastAsia"/>
          <w:sz w:val="32"/>
          <w:szCs w:val="32"/>
        </w:rPr>
        <w:t>本部门无国有资本经营预算支出。</w:t>
      </w:r>
    </w:p>
    <w:p w:rsidR="00601A06" w:rsidRDefault="0063481A">
      <w:pPr>
        <w:widowControl/>
        <w:numPr>
          <w:ilvl w:val="0"/>
          <w:numId w:val="1"/>
        </w:numPr>
        <w:spacing w:line="600" w:lineRule="exact"/>
        <w:jc w:val="left"/>
        <w:rPr>
          <w:rFonts w:ascii="Times New Roman" w:eastAsia="黑体" w:hAnsi="Times New Roman"/>
          <w:sz w:val="32"/>
          <w:szCs w:val="32"/>
        </w:rPr>
      </w:pPr>
      <w:r>
        <w:rPr>
          <w:rFonts w:ascii="Times New Roman" w:eastAsia="黑体" w:hAnsi="Times New Roman"/>
          <w:sz w:val="32"/>
          <w:szCs w:val="32"/>
        </w:rPr>
        <w:t>社会保险基金预算支出情况</w:t>
      </w:r>
    </w:p>
    <w:p w:rsidR="00601A06" w:rsidRDefault="0063481A">
      <w:pPr>
        <w:spacing w:after="2"/>
        <w:ind w:firstLineChars="200" w:firstLine="640"/>
        <w:rPr>
          <w:rFonts w:ascii="仿宋_GB2312" w:eastAsia="仿宋_GB2312" w:hAnsi="仿宋"/>
          <w:sz w:val="32"/>
          <w:szCs w:val="32"/>
        </w:rPr>
      </w:pPr>
      <w:r>
        <w:rPr>
          <w:rFonts w:ascii="仿宋_GB2312" w:eastAsia="仿宋_GB2312" w:hAnsi="仿宋" w:hint="eastAsia"/>
          <w:sz w:val="32"/>
          <w:szCs w:val="32"/>
        </w:rPr>
        <w:t>本部门无社会保险基金预算支出。</w:t>
      </w:r>
    </w:p>
    <w:p w:rsidR="00601A06" w:rsidRDefault="0063481A">
      <w:pPr>
        <w:widowControl/>
        <w:numPr>
          <w:ilvl w:val="0"/>
          <w:numId w:val="1"/>
        </w:numPr>
        <w:spacing w:line="600" w:lineRule="exact"/>
        <w:jc w:val="left"/>
        <w:rPr>
          <w:rFonts w:ascii="Times New Roman" w:eastAsia="黑体" w:hAnsi="Times New Roman"/>
          <w:sz w:val="32"/>
          <w:szCs w:val="32"/>
        </w:rPr>
      </w:pPr>
      <w:r>
        <w:rPr>
          <w:rFonts w:ascii="Times New Roman" w:eastAsia="黑体" w:hAnsi="Times New Roman"/>
          <w:sz w:val="32"/>
          <w:szCs w:val="32"/>
        </w:rPr>
        <w:t>部门整体支出绩效情况</w:t>
      </w:r>
    </w:p>
    <w:p w:rsidR="00601A06" w:rsidRDefault="0063481A">
      <w:pPr>
        <w:widowControl/>
        <w:spacing w:line="600" w:lineRule="exact"/>
        <w:ind w:left="640"/>
        <w:jc w:val="left"/>
        <w:rPr>
          <w:rFonts w:ascii="仿宋_GB2312" w:eastAsia="仿宋_GB2312" w:hAnsi="仿宋"/>
          <w:sz w:val="32"/>
          <w:szCs w:val="32"/>
        </w:rPr>
      </w:pPr>
      <w:r>
        <w:rPr>
          <w:rFonts w:ascii="仿宋_GB2312" w:eastAsia="仿宋_GB2312" w:hAnsi="仿宋" w:hint="eastAsia"/>
          <w:sz w:val="32"/>
          <w:szCs w:val="32"/>
        </w:rPr>
        <w:t>（一）整体支出情况</w:t>
      </w:r>
    </w:p>
    <w:p w:rsidR="00601A06" w:rsidRDefault="0063481A">
      <w:pPr>
        <w:pStyle w:val="1"/>
        <w:widowControl/>
        <w:spacing w:line="600" w:lineRule="exact"/>
        <w:ind w:firstLine="640"/>
        <w:rPr>
          <w:rFonts w:ascii="仿宋_GB2312" w:eastAsia="仿宋_GB2312" w:hAnsi="仿宋"/>
          <w:sz w:val="32"/>
          <w:szCs w:val="32"/>
        </w:rPr>
      </w:pPr>
      <w:r>
        <w:rPr>
          <w:rFonts w:ascii="仿宋_GB2312" w:eastAsia="仿宋_GB2312" w:hAnsi="仿宋" w:hint="eastAsia"/>
          <w:sz w:val="32"/>
          <w:szCs w:val="32"/>
        </w:rPr>
        <w:t>202</w:t>
      </w:r>
      <w:r w:rsidR="00787CAE">
        <w:rPr>
          <w:rFonts w:ascii="仿宋_GB2312" w:eastAsia="仿宋_GB2312" w:hAnsi="仿宋" w:hint="eastAsia"/>
          <w:sz w:val="32"/>
          <w:szCs w:val="32"/>
        </w:rPr>
        <w:t>4</w:t>
      </w:r>
      <w:r>
        <w:rPr>
          <w:rFonts w:ascii="仿宋_GB2312" w:eastAsia="仿宋_GB2312" w:hAnsi="仿宋" w:hint="eastAsia"/>
          <w:sz w:val="32"/>
          <w:szCs w:val="32"/>
        </w:rPr>
        <w:t>年本单位年初一般公共预算收入185.47万元，年末决算一般公共预算收入</w:t>
      </w:r>
      <w:r w:rsidRPr="00894F78">
        <w:rPr>
          <w:rFonts w:ascii="仿宋_GB2312" w:eastAsia="仿宋_GB2312" w:hAnsi="仿宋"/>
          <w:sz w:val="32"/>
          <w:szCs w:val="32"/>
        </w:rPr>
        <w:t>489.59</w:t>
      </w:r>
      <w:r>
        <w:rPr>
          <w:rFonts w:ascii="仿宋_GB2312" w:eastAsia="仿宋_GB2312" w:hAnsi="仿宋" w:hint="eastAsia"/>
          <w:sz w:val="32"/>
          <w:szCs w:val="32"/>
        </w:rPr>
        <w:t>万元，其中一般公共预算收入427.08万元，政府基金收入61.91万元，其他资金收入0.6万元。</w:t>
      </w:r>
    </w:p>
    <w:p w:rsidR="0063481A" w:rsidRDefault="0063481A" w:rsidP="0063481A">
      <w:pPr>
        <w:pStyle w:val="1"/>
        <w:widowControl/>
        <w:spacing w:line="600" w:lineRule="exact"/>
        <w:ind w:firstLine="640"/>
        <w:rPr>
          <w:rFonts w:ascii="仿宋_GB2312" w:eastAsia="仿宋_GB2312" w:hAnsi="仿宋"/>
          <w:sz w:val="32"/>
          <w:szCs w:val="32"/>
        </w:rPr>
      </w:pPr>
      <w:r>
        <w:rPr>
          <w:rFonts w:ascii="仿宋_GB2312" w:eastAsia="仿宋_GB2312" w:hAnsi="仿宋" w:hint="eastAsia"/>
          <w:sz w:val="32"/>
          <w:szCs w:val="32"/>
        </w:rPr>
        <w:t>2024年财政拨款支出合计489.59万元，基本支出</w:t>
      </w:r>
      <w:r w:rsidRPr="00894F78">
        <w:rPr>
          <w:rFonts w:ascii="仿宋_GB2312" w:eastAsia="仿宋_GB2312" w:hAnsi="仿宋"/>
          <w:sz w:val="32"/>
          <w:szCs w:val="32"/>
        </w:rPr>
        <w:t>177.31</w:t>
      </w:r>
      <w:r>
        <w:rPr>
          <w:rFonts w:ascii="仿宋_GB2312" w:eastAsia="仿宋_GB2312" w:hAnsi="仿宋" w:hint="eastAsia"/>
          <w:sz w:val="32"/>
          <w:szCs w:val="32"/>
        </w:rPr>
        <w:t>万元，其中：工资福利支出115.74万元；商品服务支出54.95万元，对个人和家庭的补助6.62万元。项目支出312.28万元，其中： 孤儿基本生活保障53.26万元，</w:t>
      </w:r>
      <w:r>
        <w:rPr>
          <w:rFonts w:ascii="仿宋_GB2312" w:eastAsia="仿宋_GB2312" w:hAnsi="仿宋"/>
          <w:sz w:val="32"/>
          <w:szCs w:val="32"/>
        </w:rPr>
        <w:t>城市特困人员救助供养</w:t>
      </w:r>
      <w:r>
        <w:rPr>
          <w:rFonts w:ascii="仿宋_GB2312" w:eastAsia="仿宋_GB2312" w:hAnsi="仿宋" w:hint="eastAsia"/>
          <w:sz w:val="32"/>
          <w:szCs w:val="32"/>
        </w:rPr>
        <w:t>121.13万元，彩票公益金儿童福利机构设施61.91万元，孤儿</w:t>
      </w:r>
      <w:r>
        <w:rPr>
          <w:rFonts w:ascii="仿宋_GB2312" w:eastAsia="仿宋_GB2312" w:hAnsi="仿宋" w:hint="eastAsia"/>
          <w:sz w:val="32"/>
          <w:szCs w:val="32"/>
        </w:rPr>
        <w:lastRenderedPageBreak/>
        <w:t>专项护理60万元，未成年保护项目15.38万元，儿童助学金0.6万元。主要用于孤残儿童和城市特困人员生活费和护理人员的专项经费开支。</w:t>
      </w:r>
    </w:p>
    <w:p w:rsidR="00601A06" w:rsidRDefault="0063481A" w:rsidP="0063481A">
      <w:pPr>
        <w:pStyle w:val="1"/>
        <w:widowControl/>
        <w:spacing w:line="600" w:lineRule="exact"/>
        <w:ind w:firstLine="640"/>
        <w:rPr>
          <w:rFonts w:ascii="仿宋_GB2312" w:eastAsia="仿宋_GB2312" w:hAnsi="仿宋"/>
          <w:sz w:val="32"/>
          <w:szCs w:val="32"/>
        </w:rPr>
      </w:pPr>
      <w:r>
        <w:rPr>
          <w:rFonts w:ascii="仿宋_GB2312" w:eastAsia="仿宋_GB2312" w:hAnsi="仿宋" w:hint="eastAsia"/>
          <w:sz w:val="32"/>
          <w:szCs w:val="32"/>
        </w:rPr>
        <w:t>整体绩效情况</w:t>
      </w:r>
    </w:p>
    <w:p w:rsidR="00601A06" w:rsidRDefault="0063481A">
      <w:pPr>
        <w:ind w:firstLineChars="200" w:firstLine="640"/>
        <w:rPr>
          <w:rFonts w:ascii="仿宋_GB2312" w:eastAsia="仿宋_GB2312" w:hAnsi="仿宋"/>
          <w:sz w:val="32"/>
          <w:szCs w:val="32"/>
        </w:rPr>
      </w:pPr>
      <w:r>
        <w:rPr>
          <w:rFonts w:ascii="仿宋_GB2312" w:eastAsia="仿宋_GB2312" w:hAnsi="仿宋" w:hint="eastAsia"/>
          <w:sz w:val="32"/>
          <w:szCs w:val="32"/>
        </w:rPr>
        <w:t>1、 预算配置控制较好。财政供养人员控制在预算编制以内，编制内在职人员控制率≦100%；“三公”经费预算总额</w:t>
      </w:r>
      <w:r w:rsidR="00641C2A">
        <w:rPr>
          <w:rFonts w:ascii="仿宋_GB2312" w:eastAsia="仿宋_GB2312" w:hAnsi="仿宋" w:hint="eastAsia"/>
          <w:sz w:val="32"/>
          <w:szCs w:val="32"/>
        </w:rPr>
        <w:t>与上年持平</w:t>
      </w:r>
      <w:r>
        <w:rPr>
          <w:rFonts w:ascii="仿宋_GB2312" w:eastAsia="仿宋_GB2312" w:hAnsi="仿宋" w:hint="eastAsia"/>
          <w:sz w:val="32"/>
          <w:szCs w:val="32"/>
        </w:rPr>
        <w:t>。</w:t>
      </w:r>
    </w:p>
    <w:p w:rsidR="00601A06" w:rsidRDefault="0063481A">
      <w:pPr>
        <w:ind w:firstLineChars="200" w:firstLine="640"/>
        <w:rPr>
          <w:rFonts w:ascii="仿宋_GB2312" w:eastAsia="仿宋_GB2312" w:hAnsi="仿宋"/>
          <w:sz w:val="32"/>
          <w:szCs w:val="32"/>
        </w:rPr>
      </w:pPr>
      <w:r>
        <w:rPr>
          <w:rFonts w:ascii="仿宋_GB2312" w:eastAsia="仿宋_GB2312" w:hAnsi="仿宋" w:hint="eastAsia"/>
          <w:sz w:val="32"/>
          <w:szCs w:val="32"/>
        </w:rPr>
        <w:t>2、 预算执行比较到位。支出总额控制在预算总额以内，预算完成率达到100%，全年无截留或滞留专项资金情况。</w:t>
      </w:r>
    </w:p>
    <w:p w:rsidR="00601A06" w:rsidRDefault="0063481A">
      <w:pPr>
        <w:ind w:firstLineChars="200" w:firstLine="640"/>
        <w:rPr>
          <w:rFonts w:ascii="仿宋_GB2312" w:eastAsia="仿宋_GB2312" w:hAnsi="仿宋"/>
          <w:sz w:val="32"/>
          <w:szCs w:val="32"/>
        </w:rPr>
      </w:pPr>
      <w:r>
        <w:rPr>
          <w:rFonts w:ascii="仿宋_GB2312" w:eastAsia="仿宋_GB2312" w:hAnsi="仿宋" w:hint="eastAsia"/>
          <w:sz w:val="32"/>
          <w:szCs w:val="32"/>
        </w:rPr>
        <w:t>3、预算管理较为理想。制度执行总体较为有效，但仍需进一步强化。全年公用经费控制率为100%；“三公”经费总体控制较好，未超过202</w:t>
      </w:r>
      <w:r w:rsidR="00641C2A">
        <w:rPr>
          <w:rFonts w:ascii="仿宋_GB2312" w:eastAsia="仿宋_GB2312" w:hAnsi="仿宋" w:hint="eastAsia"/>
          <w:sz w:val="32"/>
          <w:szCs w:val="32"/>
        </w:rPr>
        <w:t>4</w:t>
      </w:r>
      <w:r>
        <w:rPr>
          <w:rFonts w:ascii="仿宋_GB2312" w:eastAsia="仿宋_GB2312" w:hAnsi="仿宋" w:hint="eastAsia"/>
          <w:sz w:val="32"/>
          <w:szCs w:val="32"/>
        </w:rPr>
        <w:t>年预算，“三公”经费控制率为100%。</w:t>
      </w:r>
    </w:p>
    <w:p w:rsidR="00601A06" w:rsidRDefault="0063481A">
      <w:pPr>
        <w:ind w:firstLineChars="200" w:firstLine="640"/>
        <w:rPr>
          <w:rFonts w:ascii="仿宋_GB2312" w:eastAsia="仿宋_GB2312" w:hAnsi="仿宋"/>
          <w:sz w:val="32"/>
          <w:szCs w:val="32"/>
        </w:rPr>
      </w:pPr>
      <w:r>
        <w:rPr>
          <w:rFonts w:ascii="仿宋_GB2312" w:eastAsia="仿宋_GB2312" w:hAnsi="仿宋" w:hint="eastAsia"/>
          <w:sz w:val="32"/>
          <w:szCs w:val="32"/>
        </w:rPr>
        <w:t>4、政府采购项目，凡单位购买属于政府采购范围内的货物、工程和服务，严格遵守政府采购相关法律法规的规定办理相关审批手续，政府采购执行率达到100%。</w:t>
      </w:r>
    </w:p>
    <w:p w:rsidR="00601A06" w:rsidRDefault="0063481A">
      <w:pPr>
        <w:ind w:firstLineChars="200" w:firstLine="640"/>
        <w:rPr>
          <w:rFonts w:ascii="仿宋_GB2312" w:eastAsia="仿宋_GB2312" w:hAnsi="仿宋"/>
          <w:sz w:val="32"/>
          <w:szCs w:val="32"/>
        </w:rPr>
      </w:pPr>
      <w:r>
        <w:rPr>
          <w:rFonts w:ascii="仿宋_GB2312" w:eastAsia="仿宋_GB2312" w:hAnsi="仿宋" w:hint="eastAsia"/>
          <w:sz w:val="32"/>
          <w:szCs w:val="32"/>
        </w:rPr>
        <w:t>5、管理制度健全。我们严格预算管理，坚持执行财经和财务制度，修改完善了《财务管理制度》、《资产管理制度》等工作制度，进一步明确了财政预算资金审批手续和拨付程序、部门行政经费审批手续和报销程序，加强了财务管理，规范了收支行为，保证了财务管理工作规范有序进行。</w:t>
      </w:r>
    </w:p>
    <w:p w:rsidR="00601A06" w:rsidRDefault="0063481A">
      <w:pPr>
        <w:spacing w:after="2"/>
        <w:ind w:firstLineChars="200" w:firstLine="640"/>
        <w:rPr>
          <w:rFonts w:ascii="仿宋_GB2312" w:eastAsia="仿宋_GB2312" w:hAnsi="仿宋"/>
          <w:sz w:val="32"/>
          <w:szCs w:val="32"/>
        </w:rPr>
      </w:pPr>
      <w:r>
        <w:rPr>
          <w:rFonts w:ascii="仿宋_GB2312" w:eastAsia="仿宋_GB2312" w:hAnsi="仿宋" w:hint="eastAsia"/>
          <w:sz w:val="32"/>
          <w:szCs w:val="32"/>
        </w:rPr>
        <w:t>6、预算绩效目标说明：</w:t>
      </w:r>
    </w:p>
    <w:p w:rsidR="00601A06" w:rsidRDefault="0063481A">
      <w:pPr>
        <w:spacing w:after="2"/>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完善社会福利，提高孤残儿童和城市特困人员基本生活保障水平；开展对全市老年人、残疾人、孤残儿童的社会服务工作及对社区服务指导工作；整体支出严格依照相关财务管理规定执行，特别重视量财办事、量力而行，严格控制标准、注重节约，少花钱办好事。</w:t>
      </w:r>
    </w:p>
    <w:p w:rsidR="00601A06" w:rsidRDefault="0063481A">
      <w:pPr>
        <w:spacing w:after="2"/>
        <w:ind w:firstLineChars="200" w:firstLine="640"/>
        <w:rPr>
          <w:rFonts w:ascii="仿宋_GB2312" w:eastAsia="仿宋_GB2312" w:hAnsi="仿宋"/>
          <w:sz w:val="32"/>
          <w:szCs w:val="32"/>
        </w:rPr>
      </w:pPr>
      <w:r>
        <w:rPr>
          <w:rFonts w:ascii="仿宋_GB2312" w:eastAsia="仿宋_GB2312" w:hAnsi="仿宋" w:hint="eastAsia"/>
          <w:sz w:val="32"/>
          <w:szCs w:val="32"/>
        </w:rPr>
        <w:t>对于社会孤残儿童、城市特困人员和临时监护未成年人我单位做到应收尽收；保障每个救助孤儿生活达到1600元/月的标准，城市特困人员标准达到910元/月的标准。开展未成年保护活动策划宣传活动，不断强化未成年人保护和思想道德建设工作和法制宣传工作。给孤儿和城市特困人员营造快乐和谐的成长和生活环境；社会好评率达到100%；</w:t>
      </w:r>
    </w:p>
    <w:p w:rsidR="00601A06" w:rsidRDefault="0063481A">
      <w:pPr>
        <w:spacing w:after="2"/>
        <w:ind w:firstLineChars="200" w:firstLine="640"/>
        <w:rPr>
          <w:rFonts w:ascii="仿宋_GB2312" w:eastAsia="仿宋_GB2312" w:hAnsi="仿宋"/>
          <w:sz w:val="32"/>
          <w:szCs w:val="32"/>
        </w:rPr>
      </w:pPr>
      <w:r>
        <w:rPr>
          <w:rFonts w:ascii="仿宋_GB2312" w:eastAsia="仿宋_GB2312" w:hAnsi="仿宋" w:hint="eastAsia"/>
          <w:sz w:val="32"/>
          <w:szCs w:val="32"/>
        </w:rPr>
        <w:t>严格规范内部管理，加强了后勤保障与食品安全管理，消除了安全隐患，加强了消防安全管理，坚持了24小时值班与干部带班制度。</w:t>
      </w:r>
    </w:p>
    <w:p w:rsidR="00601A06" w:rsidRDefault="0063481A">
      <w:pPr>
        <w:pStyle w:val="1"/>
        <w:widowControl/>
        <w:numPr>
          <w:ilvl w:val="0"/>
          <w:numId w:val="1"/>
        </w:numPr>
        <w:spacing w:line="600" w:lineRule="exact"/>
        <w:ind w:firstLineChars="0"/>
        <w:jc w:val="left"/>
        <w:rPr>
          <w:rFonts w:ascii="Times New Roman" w:eastAsia="黑体" w:hAnsi="Times New Roman"/>
          <w:sz w:val="32"/>
          <w:szCs w:val="32"/>
        </w:rPr>
      </w:pPr>
      <w:r>
        <w:rPr>
          <w:rFonts w:ascii="Times New Roman" w:eastAsia="黑体" w:hAnsi="Times New Roman"/>
          <w:sz w:val="32"/>
          <w:szCs w:val="32"/>
        </w:rPr>
        <w:t>存在的问题及原因分析</w:t>
      </w:r>
    </w:p>
    <w:p w:rsidR="00641C2A" w:rsidRDefault="0063481A" w:rsidP="00641C2A">
      <w:pPr>
        <w:ind w:firstLineChars="150" w:firstLine="480"/>
        <w:rPr>
          <w:rFonts w:ascii="Times New Roman" w:eastAsia="黑体" w:hAnsi="Times New Roman"/>
          <w:sz w:val="32"/>
          <w:szCs w:val="32"/>
        </w:rPr>
      </w:pPr>
      <w:r>
        <w:rPr>
          <w:rFonts w:ascii="仿宋_GB2312" w:eastAsia="仿宋_GB2312" w:hAnsi="仿宋" w:hint="eastAsia"/>
          <w:sz w:val="32"/>
          <w:szCs w:val="32"/>
        </w:rPr>
        <w:t>1、益阳市儿童福利院增加了社会福利院和未成年保护中心职责范围，业务范围扩大，运转经费严重不足，不能满足日常工作需求。</w:t>
      </w:r>
    </w:p>
    <w:p w:rsidR="00601A06" w:rsidRPr="00641C2A" w:rsidRDefault="0063481A" w:rsidP="00641C2A">
      <w:pPr>
        <w:ind w:firstLineChars="150" w:firstLine="480"/>
        <w:rPr>
          <w:rFonts w:ascii="Times New Roman" w:eastAsia="黑体" w:hAnsi="Times New Roman"/>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、在政策允许的范围内，尽可能的盘活资产，保障国有资产的安全。</w:t>
      </w:r>
    </w:p>
    <w:p w:rsidR="00601A06" w:rsidRDefault="0063481A">
      <w:pPr>
        <w:widowControl/>
        <w:spacing w:line="600" w:lineRule="exact"/>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八</w:t>
      </w:r>
      <w:r>
        <w:rPr>
          <w:rFonts w:ascii="Times New Roman" w:eastAsia="黑体" w:hAnsi="Times New Roman"/>
          <w:sz w:val="32"/>
          <w:szCs w:val="32"/>
        </w:rPr>
        <w:t>、下一步改进措施</w:t>
      </w:r>
    </w:p>
    <w:p w:rsidR="00601A06" w:rsidRDefault="0063481A">
      <w:pPr>
        <w:widowControl/>
        <w:spacing w:line="600" w:lineRule="exact"/>
        <w:ind w:firstLine="645"/>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、加大福利服务基础设施建设。</w:t>
      </w:r>
    </w:p>
    <w:p w:rsidR="00601A06" w:rsidRDefault="0063481A">
      <w:pPr>
        <w:widowControl/>
        <w:spacing w:line="600" w:lineRule="exact"/>
        <w:ind w:firstLine="645"/>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、在预算、收支、政府采购、资产管理、工程管理、合同管理等方面严格遵守各项制度，共同推动单位内部控制水平的整体提升。</w:t>
      </w:r>
    </w:p>
    <w:p w:rsidR="00601A06" w:rsidRDefault="0063481A">
      <w:pPr>
        <w:widowControl/>
        <w:spacing w:line="600" w:lineRule="exact"/>
        <w:ind w:firstLine="645"/>
        <w:jc w:val="left"/>
        <w:rPr>
          <w:rFonts w:ascii="Times New Roman" w:eastAsia="黑体" w:hAnsi="Times New Roman"/>
          <w:sz w:val="32"/>
          <w:szCs w:val="32"/>
        </w:rPr>
      </w:pPr>
      <w:r>
        <w:rPr>
          <w:rFonts w:ascii="Times New Roman" w:eastAsia="黑体" w:hAnsi="Times New Roman" w:hint="eastAsia"/>
          <w:sz w:val="32"/>
          <w:szCs w:val="32"/>
        </w:rPr>
        <w:t>九</w:t>
      </w:r>
      <w:r>
        <w:rPr>
          <w:rFonts w:ascii="Times New Roman" w:eastAsia="黑体" w:hAnsi="Times New Roman"/>
          <w:sz w:val="32"/>
          <w:szCs w:val="32"/>
        </w:rPr>
        <w:t>、绩效自评结果拟应用和公开情况</w:t>
      </w:r>
    </w:p>
    <w:p w:rsidR="00601A06" w:rsidRDefault="0063481A">
      <w:pPr>
        <w:ind w:firstLineChars="200" w:firstLine="664"/>
        <w:rPr>
          <w:rFonts w:ascii="Times New Roman" w:eastAsia="黑体" w:hAnsi="Times New Roman"/>
          <w:sz w:val="32"/>
          <w:szCs w:val="32"/>
        </w:rPr>
      </w:pPr>
      <w:r>
        <w:rPr>
          <w:rFonts w:ascii="Times New Roman" w:eastAsia="仿宋_GB2312" w:hAnsi="Times New Roman" w:hint="eastAsia"/>
          <w:spacing w:val="6"/>
          <w:sz w:val="32"/>
          <w:szCs w:val="32"/>
        </w:rPr>
        <w:t>我单位根据绩效自评的要求</w:t>
      </w:r>
      <w:r>
        <w:rPr>
          <w:rFonts w:ascii="Times New Roman" w:eastAsia="仿宋_GB2312" w:hAnsi="Times New Roman"/>
          <w:spacing w:val="6"/>
          <w:sz w:val="32"/>
          <w:szCs w:val="32"/>
        </w:rPr>
        <w:t>成立绩效评价工作组。为保障本项目绩效评价工作顺利开展，</w:t>
      </w:r>
      <w:r>
        <w:rPr>
          <w:rFonts w:ascii="Times New Roman" w:eastAsia="仿宋_GB2312" w:hAnsi="Times New Roman" w:hint="eastAsia"/>
          <w:spacing w:val="6"/>
          <w:sz w:val="32"/>
          <w:szCs w:val="32"/>
        </w:rPr>
        <w:t>由院长</w:t>
      </w:r>
      <w:r>
        <w:rPr>
          <w:rFonts w:ascii="Times New Roman" w:eastAsia="仿宋_GB2312" w:hAnsi="Times New Roman"/>
          <w:spacing w:val="6"/>
          <w:sz w:val="32"/>
          <w:szCs w:val="32"/>
        </w:rPr>
        <w:t>任组长，</w:t>
      </w:r>
      <w:r>
        <w:rPr>
          <w:rFonts w:ascii="Times New Roman" w:eastAsia="仿宋_GB2312" w:hAnsi="Times New Roman" w:hint="eastAsia"/>
          <w:spacing w:val="6"/>
          <w:sz w:val="32"/>
          <w:szCs w:val="32"/>
        </w:rPr>
        <w:t>其他科室</w:t>
      </w:r>
      <w:r>
        <w:rPr>
          <w:rFonts w:ascii="Times New Roman" w:eastAsia="仿宋_GB2312" w:hAnsi="Times New Roman"/>
          <w:spacing w:val="6"/>
          <w:sz w:val="32"/>
          <w:szCs w:val="32"/>
        </w:rPr>
        <w:t>成员</w:t>
      </w:r>
      <w:r>
        <w:rPr>
          <w:rFonts w:ascii="Times New Roman" w:eastAsia="仿宋_GB2312" w:hAnsi="Times New Roman" w:hint="eastAsia"/>
          <w:spacing w:val="6"/>
          <w:sz w:val="32"/>
          <w:szCs w:val="32"/>
        </w:rPr>
        <w:t>组成</w:t>
      </w:r>
      <w:r>
        <w:rPr>
          <w:rFonts w:ascii="Times New Roman" w:eastAsia="仿宋_GB2312" w:hAnsi="Times New Roman"/>
          <w:spacing w:val="6"/>
          <w:sz w:val="32"/>
          <w:szCs w:val="32"/>
        </w:rPr>
        <w:t>绩效评价工作小组。</w:t>
      </w:r>
      <w:r>
        <w:rPr>
          <w:rFonts w:ascii="仿宋_GB2312" w:eastAsia="仿宋_GB2312" w:hAnsi="仿宋"/>
          <w:sz w:val="32"/>
          <w:szCs w:val="32"/>
        </w:rPr>
        <w:t>围绕年度确定的重点工作目标及综合业绩考核的要求，梳理了各项工作的完成情况</w:t>
      </w:r>
      <w:r>
        <w:rPr>
          <w:rFonts w:ascii="仿宋_GB2312" w:eastAsia="仿宋_GB2312" w:hAnsi="仿宋" w:hint="eastAsia"/>
          <w:sz w:val="32"/>
          <w:szCs w:val="32"/>
        </w:rPr>
        <w:t>，组织实施和分析评价，采取座谈等方式听取情况，检查基本支出、项目支出有关账目，收集整理支出相关资料，并根据各部门报送的绩效自评材料进行分析，</w:t>
      </w:r>
      <w:r>
        <w:rPr>
          <w:rFonts w:ascii="仿宋_GB2312" w:eastAsia="仿宋_GB2312" w:hAnsi="仿宋"/>
          <w:sz w:val="32"/>
          <w:szCs w:val="32"/>
        </w:rPr>
        <w:t>撰写</w:t>
      </w:r>
      <w:r>
        <w:rPr>
          <w:rFonts w:ascii="仿宋_GB2312" w:eastAsia="仿宋_GB2312" w:hAnsi="仿宋" w:hint="eastAsia"/>
          <w:sz w:val="32"/>
          <w:szCs w:val="32"/>
        </w:rPr>
        <w:t>评价报告。</w:t>
      </w:r>
    </w:p>
    <w:p w:rsidR="00601A06" w:rsidRDefault="0063481A">
      <w:pPr>
        <w:widowControl/>
        <w:spacing w:line="600" w:lineRule="exact"/>
        <w:ind w:firstLine="645"/>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我单位绩效评价结果接受社会监督。同时，积极运用绩效评价结果，结合贯彻落实文件精神，完善资金的使用管理，提高绩效意识和财政资金的使用效益。</w:t>
      </w:r>
    </w:p>
    <w:p w:rsidR="00601A06" w:rsidRDefault="00601A06">
      <w:pPr>
        <w:widowControl/>
        <w:spacing w:line="600" w:lineRule="exact"/>
        <w:jc w:val="left"/>
        <w:rPr>
          <w:rFonts w:ascii="Times New Roman" w:eastAsia="仿宋_GB2312" w:hAnsi="Times New Roman"/>
          <w:sz w:val="32"/>
          <w:szCs w:val="32"/>
        </w:rPr>
      </w:pPr>
    </w:p>
    <w:p w:rsidR="00601A06" w:rsidRDefault="0063481A">
      <w:pPr>
        <w:widowControl/>
        <w:spacing w:line="600" w:lineRule="exact"/>
        <w:ind w:firstLine="645"/>
        <w:jc w:val="left"/>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sz w:val="32"/>
          <w:szCs w:val="32"/>
        </w:rPr>
        <w:t>．部门整体支出绩效评价基础数据表</w:t>
      </w:r>
    </w:p>
    <w:p w:rsidR="00601A06" w:rsidRPr="00641C2A" w:rsidRDefault="0063481A" w:rsidP="00641C2A">
      <w:pPr>
        <w:widowControl/>
        <w:spacing w:line="600" w:lineRule="exact"/>
        <w:ind w:firstLineChars="503" w:firstLine="1610"/>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．部门整体支出绩效自评表</w:t>
      </w:r>
    </w:p>
    <w:sectPr w:rsidR="00601A06" w:rsidRPr="00641C2A" w:rsidSect="00601A06">
      <w:footerReference w:type="default" r:id="rId7"/>
      <w:pgSz w:w="11906" w:h="16838"/>
      <w:pgMar w:top="2154" w:right="1474" w:bottom="1361" w:left="1587" w:header="0" w:footer="141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A06" w:rsidRDefault="00601A06" w:rsidP="00601A06">
      <w:r>
        <w:separator/>
      </w:r>
    </w:p>
  </w:endnote>
  <w:endnote w:type="continuationSeparator" w:id="1">
    <w:p w:rsidR="00601A06" w:rsidRDefault="00601A06" w:rsidP="00601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2" w:usb3="00000000" w:csb0="00040001" w:csb1="00000000"/>
  </w:font>
  <w:font w:name="仿宋_GB2312">
    <w:altName w:val="仿宋"/>
    <w:charset w:val="86"/>
    <w:family w:val="modern"/>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06" w:rsidRDefault="0063481A" w:rsidP="00AC0C01">
    <w:pPr>
      <w:pStyle w:val="a3"/>
      <w:framePr w:w="1161" w:wrap="around" w:vAnchor="text" w:hAnchor="page" w:x="5581" w:y="117"/>
      <w:rPr>
        <w:rStyle w:val="a4"/>
        <w:rFonts w:ascii="宋体" w:cs="宋体"/>
        <w:sz w:val="28"/>
        <w:szCs w:val="28"/>
      </w:rPr>
    </w:pPr>
    <w:r>
      <w:rPr>
        <w:rStyle w:val="a4"/>
        <w:rFonts w:ascii="宋体" w:cs="宋体" w:hint="eastAsia"/>
        <w:sz w:val="28"/>
        <w:szCs w:val="28"/>
      </w:rPr>
      <w:t xml:space="preserve">— </w:t>
    </w:r>
    <w:r w:rsidR="00E2192A">
      <w:rPr>
        <w:rFonts w:ascii="宋体" w:cs="宋体" w:hint="eastAsia"/>
        <w:sz w:val="28"/>
        <w:szCs w:val="28"/>
      </w:rPr>
      <w:fldChar w:fldCharType="begin"/>
    </w:r>
    <w:r>
      <w:rPr>
        <w:rStyle w:val="a4"/>
        <w:rFonts w:ascii="宋体" w:cs="宋体" w:hint="eastAsia"/>
        <w:sz w:val="28"/>
        <w:szCs w:val="28"/>
      </w:rPr>
      <w:instrText xml:space="preserve">PAGE  </w:instrText>
    </w:r>
    <w:r w:rsidR="00E2192A">
      <w:rPr>
        <w:rFonts w:ascii="宋体" w:cs="宋体" w:hint="eastAsia"/>
        <w:sz w:val="28"/>
        <w:szCs w:val="28"/>
      </w:rPr>
      <w:fldChar w:fldCharType="separate"/>
    </w:r>
    <w:r w:rsidR="005B5361">
      <w:rPr>
        <w:rStyle w:val="a4"/>
        <w:rFonts w:ascii="宋体" w:cs="宋体"/>
        <w:noProof/>
        <w:sz w:val="28"/>
        <w:szCs w:val="28"/>
      </w:rPr>
      <w:t>2</w:t>
    </w:r>
    <w:r w:rsidR="00E2192A">
      <w:rPr>
        <w:rFonts w:ascii="宋体" w:cs="宋体" w:hint="eastAsia"/>
        <w:sz w:val="28"/>
        <w:szCs w:val="28"/>
      </w:rPr>
      <w:fldChar w:fldCharType="end"/>
    </w:r>
    <w:r>
      <w:rPr>
        <w:rStyle w:val="a4"/>
        <w:rFonts w:ascii="宋体" w:cs="宋体" w:hint="eastAsia"/>
        <w:sz w:val="28"/>
        <w:szCs w:val="28"/>
      </w:rPr>
      <w:t xml:space="preserve"> —</w:t>
    </w:r>
  </w:p>
  <w:p w:rsidR="00601A06" w:rsidRDefault="00601A06">
    <w:pPr>
      <w:pStyle w:val="a3"/>
      <w:wordWrap w:val="0"/>
      <w:ind w:right="360" w:firstLine="360"/>
      <w:jc w:val="right"/>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A06" w:rsidRDefault="00601A06" w:rsidP="00601A06">
      <w:r>
        <w:separator/>
      </w:r>
    </w:p>
  </w:footnote>
  <w:footnote w:type="continuationSeparator" w:id="1">
    <w:p w:rsidR="00601A06" w:rsidRDefault="00601A06" w:rsidP="00601A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206AD"/>
    <w:multiLevelType w:val="multilevel"/>
    <w:tmpl w:val="318206AD"/>
    <w:lvl w:ilvl="0">
      <w:start w:val="1"/>
      <w:numFmt w:val="japaneseCounting"/>
      <w:lvlText w:val="%1、"/>
      <w:lvlJc w:val="left"/>
      <w:pPr>
        <w:tabs>
          <w:tab w:val="left" w:pos="0"/>
        </w:tabs>
        <w:ind w:left="1360" w:hanging="720"/>
      </w:pPr>
      <w:rPr>
        <w:rFonts w:hint="default"/>
      </w:rPr>
    </w:lvl>
    <w:lvl w:ilvl="1">
      <w:start w:val="1"/>
      <w:numFmt w:val="lowerLetter"/>
      <w:lvlText w:val="%2)"/>
      <w:lvlJc w:val="left"/>
      <w:pPr>
        <w:tabs>
          <w:tab w:val="left" w:pos="0"/>
        </w:tabs>
        <w:ind w:left="1480" w:hanging="420"/>
      </w:pPr>
    </w:lvl>
    <w:lvl w:ilvl="2">
      <w:start w:val="1"/>
      <w:numFmt w:val="lowerRoman"/>
      <w:lvlText w:val="%3."/>
      <w:lvlJc w:val="right"/>
      <w:pPr>
        <w:tabs>
          <w:tab w:val="left" w:pos="0"/>
        </w:tabs>
        <w:ind w:left="1900" w:hanging="420"/>
      </w:pPr>
    </w:lvl>
    <w:lvl w:ilvl="3">
      <w:start w:val="1"/>
      <w:numFmt w:val="decimal"/>
      <w:lvlText w:val="%4."/>
      <w:lvlJc w:val="left"/>
      <w:pPr>
        <w:tabs>
          <w:tab w:val="left" w:pos="0"/>
        </w:tabs>
        <w:ind w:left="2320" w:hanging="420"/>
      </w:pPr>
    </w:lvl>
    <w:lvl w:ilvl="4">
      <w:start w:val="1"/>
      <w:numFmt w:val="lowerLetter"/>
      <w:lvlText w:val="%5)"/>
      <w:lvlJc w:val="left"/>
      <w:pPr>
        <w:tabs>
          <w:tab w:val="left" w:pos="0"/>
        </w:tabs>
        <w:ind w:left="2740" w:hanging="420"/>
      </w:pPr>
    </w:lvl>
    <w:lvl w:ilvl="5">
      <w:start w:val="1"/>
      <w:numFmt w:val="lowerRoman"/>
      <w:lvlText w:val="%6."/>
      <w:lvlJc w:val="right"/>
      <w:pPr>
        <w:tabs>
          <w:tab w:val="left" w:pos="0"/>
        </w:tabs>
        <w:ind w:left="3160" w:hanging="420"/>
      </w:pPr>
    </w:lvl>
    <w:lvl w:ilvl="6">
      <w:start w:val="1"/>
      <w:numFmt w:val="decimal"/>
      <w:lvlText w:val="%7."/>
      <w:lvlJc w:val="left"/>
      <w:pPr>
        <w:tabs>
          <w:tab w:val="left" w:pos="0"/>
        </w:tabs>
        <w:ind w:left="3580" w:hanging="420"/>
      </w:pPr>
    </w:lvl>
    <w:lvl w:ilvl="7">
      <w:start w:val="1"/>
      <w:numFmt w:val="lowerLetter"/>
      <w:lvlText w:val="%8)"/>
      <w:lvlJc w:val="left"/>
      <w:pPr>
        <w:tabs>
          <w:tab w:val="left" w:pos="0"/>
        </w:tabs>
        <w:ind w:left="4000" w:hanging="420"/>
      </w:pPr>
    </w:lvl>
    <w:lvl w:ilvl="8">
      <w:start w:val="1"/>
      <w:numFmt w:val="lowerRoman"/>
      <w:lvlText w:val="%9."/>
      <w:lvlJc w:val="right"/>
      <w:pPr>
        <w:tabs>
          <w:tab w:val="left" w:pos="0"/>
        </w:tabs>
        <w:ind w:left="4420" w:hanging="420"/>
      </w:pPr>
    </w:lvl>
  </w:abstractNum>
  <w:abstractNum w:abstractNumId="1">
    <w:nsid w:val="79AC1E24"/>
    <w:multiLevelType w:val="multilevel"/>
    <w:tmpl w:val="79AC1E24"/>
    <w:lvl w:ilvl="0">
      <w:start w:val="1"/>
      <w:numFmt w:val="japaneseCounting"/>
      <w:lvlText w:val="（%1）"/>
      <w:lvlJc w:val="left"/>
      <w:pPr>
        <w:tabs>
          <w:tab w:val="left" w:pos="0"/>
        </w:tabs>
        <w:ind w:left="1720" w:hanging="1080"/>
      </w:pPr>
      <w:rPr>
        <w:rFonts w:hint="default"/>
      </w:rPr>
    </w:lvl>
    <w:lvl w:ilvl="1">
      <w:start w:val="1"/>
      <w:numFmt w:val="lowerLetter"/>
      <w:lvlText w:val="%2)"/>
      <w:lvlJc w:val="left"/>
      <w:pPr>
        <w:tabs>
          <w:tab w:val="left" w:pos="0"/>
        </w:tabs>
        <w:ind w:left="1480" w:hanging="420"/>
      </w:pPr>
    </w:lvl>
    <w:lvl w:ilvl="2">
      <w:start w:val="1"/>
      <w:numFmt w:val="lowerRoman"/>
      <w:lvlText w:val="%3."/>
      <w:lvlJc w:val="right"/>
      <w:pPr>
        <w:tabs>
          <w:tab w:val="left" w:pos="0"/>
        </w:tabs>
        <w:ind w:left="1900" w:hanging="420"/>
      </w:pPr>
    </w:lvl>
    <w:lvl w:ilvl="3">
      <w:start w:val="1"/>
      <w:numFmt w:val="decimal"/>
      <w:lvlText w:val="%4."/>
      <w:lvlJc w:val="left"/>
      <w:pPr>
        <w:tabs>
          <w:tab w:val="left" w:pos="0"/>
        </w:tabs>
        <w:ind w:left="2320" w:hanging="420"/>
      </w:pPr>
    </w:lvl>
    <w:lvl w:ilvl="4">
      <w:start w:val="1"/>
      <w:numFmt w:val="lowerLetter"/>
      <w:lvlText w:val="%5)"/>
      <w:lvlJc w:val="left"/>
      <w:pPr>
        <w:tabs>
          <w:tab w:val="left" w:pos="0"/>
        </w:tabs>
        <w:ind w:left="2740" w:hanging="420"/>
      </w:pPr>
    </w:lvl>
    <w:lvl w:ilvl="5">
      <w:start w:val="1"/>
      <w:numFmt w:val="lowerRoman"/>
      <w:lvlText w:val="%6."/>
      <w:lvlJc w:val="right"/>
      <w:pPr>
        <w:tabs>
          <w:tab w:val="left" w:pos="0"/>
        </w:tabs>
        <w:ind w:left="3160" w:hanging="420"/>
      </w:pPr>
    </w:lvl>
    <w:lvl w:ilvl="6">
      <w:start w:val="1"/>
      <w:numFmt w:val="decimal"/>
      <w:lvlText w:val="%7."/>
      <w:lvlJc w:val="left"/>
      <w:pPr>
        <w:tabs>
          <w:tab w:val="left" w:pos="0"/>
        </w:tabs>
        <w:ind w:left="3580" w:hanging="420"/>
      </w:pPr>
    </w:lvl>
    <w:lvl w:ilvl="7">
      <w:start w:val="1"/>
      <w:numFmt w:val="lowerLetter"/>
      <w:lvlText w:val="%8)"/>
      <w:lvlJc w:val="left"/>
      <w:pPr>
        <w:tabs>
          <w:tab w:val="left" w:pos="0"/>
        </w:tabs>
        <w:ind w:left="4000" w:hanging="420"/>
      </w:pPr>
    </w:lvl>
    <w:lvl w:ilvl="8">
      <w:start w:val="1"/>
      <w:numFmt w:val="lowerRoman"/>
      <w:lvlText w:val="%9."/>
      <w:lvlJc w:val="right"/>
      <w:pPr>
        <w:tabs>
          <w:tab w:val="left" w:pos="0"/>
        </w:tabs>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A5NTJlYTdmNDk4MGMwNmIyZmY0OTcwNjc1MmZmYTIifQ=="/>
  </w:docVars>
  <w:rsids>
    <w:rsidRoot w:val="10C55213"/>
    <w:rsid w:val="DF973AD5"/>
    <w:rsid w:val="001C3E98"/>
    <w:rsid w:val="002234C1"/>
    <w:rsid w:val="002C0263"/>
    <w:rsid w:val="00320F7C"/>
    <w:rsid w:val="005B5361"/>
    <w:rsid w:val="00601A06"/>
    <w:rsid w:val="00620217"/>
    <w:rsid w:val="0063481A"/>
    <w:rsid w:val="00641C2A"/>
    <w:rsid w:val="00647675"/>
    <w:rsid w:val="00766813"/>
    <w:rsid w:val="00787CAE"/>
    <w:rsid w:val="00894F78"/>
    <w:rsid w:val="00AC0C01"/>
    <w:rsid w:val="00B804ED"/>
    <w:rsid w:val="00C01B18"/>
    <w:rsid w:val="00E137BB"/>
    <w:rsid w:val="00E2192A"/>
    <w:rsid w:val="08FB36E6"/>
    <w:rsid w:val="0A27610A"/>
    <w:rsid w:val="10C55213"/>
    <w:rsid w:val="15051099"/>
    <w:rsid w:val="1767531A"/>
    <w:rsid w:val="1D152A87"/>
    <w:rsid w:val="23843155"/>
    <w:rsid w:val="29477907"/>
    <w:rsid w:val="37047B9C"/>
    <w:rsid w:val="37BA6C67"/>
    <w:rsid w:val="382C144D"/>
    <w:rsid w:val="3B8E3425"/>
    <w:rsid w:val="3C2B6C47"/>
    <w:rsid w:val="3F390E12"/>
    <w:rsid w:val="40A85DEB"/>
    <w:rsid w:val="5DEF74E2"/>
    <w:rsid w:val="60202C27"/>
    <w:rsid w:val="61910E58"/>
    <w:rsid w:val="65F603A9"/>
    <w:rsid w:val="676E43BF"/>
    <w:rsid w:val="684F31FD"/>
    <w:rsid w:val="69BF40A3"/>
    <w:rsid w:val="79FEFBAB"/>
    <w:rsid w:val="7B934A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01A0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601A06"/>
    <w:pPr>
      <w:tabs>
        <w:tab w:val="center" w:pos="4153"/>
        <w:tab w:val="right" w:pos="8306"/>
      </w:tabs>
      <w:snapToGrid w:val="0"/>
      <w:jc w:val="left"/>
    </w:pPr>
    <w:rPr>
      <w:sz w:val="18"/>
      <w:szCs w:val="18"/>
    </w:rPr>
  </w:style>
  <w:style w:type="character" w:styleId="a4">
    <w:name w:val="page number"/>
    <w:basedOn w:val="a0"/>
    <w:autoRedefine/>
    <w:qFormat/>
    <w:rsid w:val="00601A06"/>
  </w:style>
  <w:style w:type="paragraph" w:customStyle="1" w:styleId="1">
    <w:name w:val="列出段落1"/>
    <w:basedOn w:val="a"/>
    <w:autoRedefine/>
    <w:qFormat/>
    <w:rsid w:val="00601A06"/>
    <w:pPr>
      <w:ind w:firstLineChars="200" w:firstLine="200"/>
    </w:pPr>
  </w:style>
  <w:style w:type="character" w:customStyle="1" w:styleId="peoplefilling">
    <w:name w:val="peoplefilling"/>
    <w:basedOn w:val="a0"/>
    <w:autoRedefine/>
    <w:rsid w:val="00601A06"/>
  </w:style>
  <w:style w:type="paragraph" w:styleId="a5">
    <w:name w:val="header"/>
    <w:basedOn w:val="a"/>
    <w:link w:val="Char"/>
    <w:rsid w:val="00E137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137B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346</Words>
  <Characters>1974</Characters>
  <Application>Microsoft Office Word</Application>
  <DocSecurity>0</DocSecurity>
  <Lines>16</Lines>
  <Paragraphs>4</Paragraphs>
  <ScaleCrop>false</ScaleCrop>
  <Company>微软中国</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办公室</dc:creator>
  <cp:lastModifiedBy>Administrator</cp:lastModifiedBy>
  <cp:revision>2</cp:revision>
  <cp:lastPrinted>2024-03-12T15:52:00Z</cp:lastPrinted>
  <dcterms:created xsi:type="dcterms:W3CDTF">2025-04-23T01:41:00Z</dcterms:created>
  <dcterms:modified xsi:type="dcterms:W3CDTF">2025-04-23T01:41:00Z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D36301B7E93F47CC908EFAFE7DBA4389_13</vt:lpwstr>
  </property>
</Properties>
</file>