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45D0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</w:t>
      </w:r>
    </w:p>
    <w:p w14:paraId="370E8930">
      <w:pPr>
        <w:spacing w:line="600" w:lineRule="exact"/>
        <w:rPr>
          <w:rFonts w:eastAsia="黑体"/>
          <w:kern w:val="0"/>
          <w:szCs w:val="32"/>
        </w:rPr>
      </w:pPr>
    </w:p>
    <w:p w14:paraId="0761F8F7">
      <w:pPr>
        <w:spacing w:line="600" w:lineRule="exact"/>
        <w:rPr>
          <w:rFonts w:eastAsia="黑体"/>
          <w:kern w:val="0"/>
          <w:szCs w:val="32"/>
        </w:rPr>
      </w:pPr>
    </w:p>
    <w:p w14:paraId="7AAB005F">
      <w:pPr>
        <w:spacing w:line="600" w:lineRule="exact"/>
        <w:rPr>
          <w:rFonts w:eastAsia="黑体"/>
          <w:kern w:val="0"/>
          <w:szCs w:val="32"/>
        </w:rPr>
      </w:pPr>
    </w:p>
    <w:p w14:paraId="3E11D688">
      <w:pPr>
        <w:spacing w:line="600" w:lineRule="exact"/>
        <w:rPr>
          <w:rFonts w:eastAsia="黑体"/>
          <w:kern w:val="0"/>
          <w:szCs w:val="32"/>
        </w:rPr>
      </w:pPr>
    </w:p>
    <w:p w14:paraId="0BEE5774">
      <w:pPr>
        <w:spacing w:line="600" w:lineRule="exact"/>
        <w:rPr>
          <w:rFonts w:eastAsia="黑体"/>
          <w:kern w:val="0"/>
          <w:szCs w:val="32"/>
        </w:rPr>
      </w:pPr>
    </w:p>
    <w:p w14:paraId="6919041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2024年度益阳市物业维修资金管理服务中心部门整体支出绩效自评报告</w:t>
      </w:r>
    </w:p>
    <w:p w14:paraId="56860F0C">
      <w:pPr>
        <w:jc w:val="center"/>
        <w:rPr>
          <w:rFonts w:eastAsia="黑体"/>
          <w:szCs w:val="32"/>
        </w:rPr>
      </w:pPr>
    </w:p>
    <w:p w14:paraId="2DF0B808">
      <w:pPr>
        <w:jc w:val="center"/>
        <w:rPr>
          <w:rFonts w:eastAsia="黑体"/>
          <w:szCs w:val="32"/>
        </w:rPr>
      </w:pPr>
    </w:p>
    <w:p w14:paraId="5AF36F25">
      <w:pPr>
        <w:jc w:val="center"/>
        <w:rPr>
          <w:rFonts w:eastAsia="黑体"/>
          <w:szCs w:val="32"/>
        </w:rPr>
      </w:pPr>
    </w:p>
    <w:p w14:paraId="4006D292">
      <w:pPr>
        <w:jc w:val="center"/>
        <w:rPr>
          <w:rFonts w:eastAsia="黑体"/>
          <w:szCs w:val="32"/>
        </w:rPr>
      </w:pPr>
    </w:p>
    <w:p w14:paraId="7C2E2745">
      <w:pPr>
        <w:jc w:val="center"/>
        <w:rPr>
          <w:rFonts w:eastAsia="黑体"/>
          <w:szCs w:val="32"/>
        </w:rPr>
      </w:pPr>
    </w:p>
    <w:p w14:paraId="07D32DE1">
      <w:pPr>
        <w:jc w:val="center"/>
        <w:rPr>
          <w:rFonts w:eastAsia="黑体"/>
          <w:szCs w:val="32"/>
        </w:rPr>
      </w:pPr>
    </w:p>
    <w:p w14:paraId="1A58E250">
      <w:pPr>
        <w:jc w:val="center"/>
        <w:rPr>
          <w:rFonts w:eastAsia="黑体"/>
          <w:szCs w:val="32"/>
        </w:rPr>
      </w:pPr>
    </w:p>
    <w:p w14:paraId="13F33FB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3AE9FEB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2FBC1A26">
      <w:pPr>
        <w:ind w:firstLine="720" w:firstLineChars="200"/>
        <w:rPr>
          <w:rFonts w:hint="eastAsia" w:eastAsia="黑体"/>
          <w:sz w:val="36"/>
          <w:szCs w:val="36"/>
        </w:rPr>
      </w:pPr>
    </w:p>
    <w:p w14:paraId="70064076">
      <w:pPr>
        <w:ind w:firstLine="720" w:firstLineChars="200"/>
        <w:rPr>
          <w:rFonts w:hint="eastAsia" w:eastAsia="黑体"/>
          <w:sz w:val="36"/>
          <w:szCs w:val="36"/>
        </w:rPr>
      </w:pPr>
    </w:p>
    <w:p w14:paraId="77675F6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部门（单位）名称：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  <w:lang w:val="en-US" w:eastAsia="zh-CN"/>
        </w:rPr>
        <w:t>益阳市物业维修资金管理服务中</w:t>
      </w:r>
    </w:p>
    <w:p w14:paraId="5AB41DA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2025  年 4 月 23 日</w:t>
      </w:r>
    </w:p>
    <w:p w14:paraId="5A3622E2">
      <w:pPr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3F6F867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2024年度益阳市物业维修资金管理服务中心部门整体支出绩效自评报告</w:t>
      </w:r>
    </w:p>
    <w:p w14:paraId="41A2F0F4">
      <w:pPr>
        <w:spacing w:line="600" w:lineRule="exact"/>
        <w:ind w:firstLine="964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</w:p>
    <w:p w14:paraId="1EFFD31A">
      <w:pPr>
        <w:pStyle w:val="5"/>
        <w:spacing w:line="520" w:lineRule="exact"/>
        <w:ind w:firstLine="632"/>
        <w:rPr>
          <w:rFonts w:hint="eastAsia" w:ascii="Times New Roman" w:hAnsi="Times New Roman" w:eastAsia="黑体"/>
          <w:szCs w:val="32"/>
          <w:lang w:val="en-US" w:eastAsia="zh-CN"/>
        </w:rPr>
      </w:pPr>
      <w:r>
        <w:rPr>
          <w:rFonts w:hint="eastAsia" w:ascii="Times New Roman" w:hAnsi="Times New Roman" w:eastAsia="黑体"/>
          <w:szCs w:val="32"/>
          <w:lang w:val="en-US" w:eastAsia="zh-CN"/>
        </w:rPr>
        <w:t>一、部门（单位）基本情况</w:t>
      </w:r>
    </w:p>
    <w:p w14:paraId="2798F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本单位于2006年7月成立，性质为全额拨款事业单位，2019年9月机构改革从市房地产管理局划入市住房和城乡建设局，归口</w:t>
      </w:r>
      <w:r>
        <w:rPr>
          <w:rFonts w:hint="eastAsia" w:ascii="仿宋_GB2312" w:hAnsi="仿宋" w:cs="Times New Roman"/>
          <w:b w:val="0"/>
          <w:bCs w:val="0"/>
          <w:sz w:val="32"/>
          <w:szCs w:val="32"/>
          <w:lang w:eastAsia="zh-CN"/>
        </w:rPr>
        <w:t>益阳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市住房和城乡建设局管理。负责城市规划区内房屋共用部位共用设施设备维修资金的归集、管理、监督使用。 2020年根据益编办发【2020】74号文件精神，本单位名称由“益阳市住宅共用部位共用设施设备维修资金管理中心”变更为“益阳市物业维修资金管理服务中心”。</w:t>
      </w:r>
    </w:p>
    <w:p w14:paraId="1E3B5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2．机构情况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  <w:t>中心内设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综合科、归集科、使用科</w:t>
      </w:r>
      <w:r>
        <w:rPr>
          <w:rFonts w:hint="eastAsia" w:ascii="仿宋_GB2312" w:hAnsi="仿宋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个科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  <w:t>室。机构无异动情况。</w:t>
      </w:r>
    </w:p>
    <w:p w14:paraId="4664E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3．人员情况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：我单位有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  <w:t>非参公事业单位人员1</w:t>
      </w:r>
      <w:r>
        <w:rPr>
          <w:rFonts w:hint="eastAsia" w:ascii="仿宋_GB2312" w:hAnsi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  <w:t>人，退休人员2人，临时工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  <w:t>人。本年度</w:t>
      </w:r>
      <w:r>
        <w:rPr>
          <w:rFonts w:hint="eastAsia" w:ascii="仿宋_GB2312" w:hAnsi="仿宋" w:cs="Times New Roman"/>
          <w:b w:val="0"/>
          <w:bCs w:val="0"/>
          <w:sz w:val="32"/>
          <w:szCs w:val="32"/>
          <w:lang w:eastAsia="zh-CN"/>
        </w:rPr>
        <w:t>调出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1人。</w:t>
      </w:r>
    </w:p>
    <w:p w14:paraId="44FD4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二、一般公共预算支出情况</w:t>
      </w:r>
    </w:p>
    <w:p w14:paraId="544F5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年度年初预算收入</w:t>
      </w:r>
      <w:r>
        <w:rPr>
          <w:rFonts w:hint="eastAsia" w:ascii="仿宋_GB2312" w:hAnsi="仿宋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179.06万元，预算支出</w:t>
      </w:r>
      <w:r>
        <w:rPr>
          <w:rFonts w:hint="eastAsia" w:ascii="仿宋_GB2312" w:hAnsi="仿宋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179.06万元，其中一般公共预算收入支出均为156.06万元，其他资金收支均为23万元</w:t>
      </w:r>
      <w:r>
        <w:rPr>
          <w:rFonts w:hint="eastAsia" w:ascii="仿宋_GB2312" w:hAnsi="仿宋"/>
          <w:sz w:val="32"/>
          <w:szCs w:val="32"/>
          <w:lang w:val="en-US" w:eastAsia="zh-CN"/>
        </w:rPr>
        <w:t>。本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年度年末决算收入</w:t>
      </w:r>
      <w:r>
        <w:rPr>
          <w:rFonts w:hint="eastAsia" w:ascii="仿宋_GB2312" w:hAnsi="仿宋"/>
          <w:sz w:val="32"/>
          <w:szCs w:val="32"/>
          <w:lang w:val="en-US" w:eastAsia="zh-CN"/>
        </w:rPr>
        <w:t>209.52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万元，决算支出</w:t>
      </w:r>
      <w:r>
        <w:rPr>
          <w:rFonts w:hint="eastAsia" w:ascii="仿宋_GB2312" w:hAnsi="仿宋"/>
          <w:sz w:val="32"/>
          <w:szCs w:val="32"/>
          <w:lang w:val="en-US" w:eastAsia="zh-CN"/>
        </w:rPr>
        <w:t>为209.52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万元，其中一般公共预算收入支出均为</w:t>
      </w:r>
      <w:r>
        <w:rPr>
          <w:rFonts w:hint="eastAsia" w:ascii="仿宋_GB2312" w:hAnsi="仿宋"/>
          <w:sz w:val="32"/>
          <w:szCs w:val="32"/>
          <w:lang w:val="en-US" w:eastAsia="zh-CN"/>
        </w:rPr>
        <w:t>189.52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万元，其他资金收</w:t>
      </w:r>
      <w:r>
        <w:rPr>
          <w:rFonts w:hint="eastAsia" w:ascii="仿宋_GB2312" w:hAnsi="仿宋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</w:t>
      </w:r>
      <w:r>
        <w:rPr>
          <w:rFonts w:hint="eastAsia" w:ascii="仿宋_GB2312" w:hAnsi="仿宋"/>
          <w:sz w:val="32"/>
          <w:szCs w:val="32"/>
          <w:lang w:val="en-US" w:eastAsia="zh-CN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均为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</w:t>
      </w:r>
    </w:p>
    <w:p w14:paraId="6CA29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黑体"/>
          <w:szCs w:val="32"/>
        </w:rPr>
      </w:pPr>
    </w:p>
    <w:p w14:paraId="491A68B3">
      <w:pPr>
        <w:pStyle w:val="5"/>
        <w:spacing w:line="520" w:lineRule="exact"/>
        <w:ind w:firstLine="634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（一）基本支出情况</w:t>
      </w:r>
    </w:p>
    <w:p w14:paraId="563F4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基本支出是保障我单位机构正常运转、完成日常工作任务而发生的各项支出，包括用于在职和离退休人员基本工资、津贴补贴等人员经费以及办公费、水电费等日常公用经费。</w:t>
      </w:r>
    </w:p>
    <w:p w14:paraId="114E7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年初预算基本支出为156.06万元,年末决算基本支出为</w:t>
      </w:r>
      <w:r>
        <w:rPr>
          <w:rFonts w:hint="eastAsia" w:ascii="仿宋_GB2312" w:hAnsi="仿宋"/>
          <w:sz w:val="32"/>
          <w:szCs w:val="32"/>
          <w:lang w:val="en-US" w:eastAsia="zh-CN"/>
        </w:rPr>
        <w:t>189.52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万元。基本支出年末决算数比年初</w:t>
      </w:r>
      <w:r>
        <w:rPr>
          <w:rFonts w:hint="eastAsia" w:ascii="仿宋_GB2312" w:hAnsi="仿宋"/>
          <w:sz w:val="32"/>
          <w:szCs w:val="32"/>
          <w:lang w:val="en-US" w:eastAsia="zh-CN"/>
        </w:rPr>
        <w:t>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算数增加</w:t>
      </w:r>
      <w:r>
        <w:rPr>
          <w:rFonts w:hint="eastAsia" w:ascii="仿宋_GB2312" w:hAnsi="仿宋"/>
          <w:sz w:val="32"/>
          <w:szCs w:val="32"/>
          <w:lang w:val="en-US" w:eastAsia="zh-CN"/>
        </w:rPr>
        <w:t>33.46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万元，主要原因</w:t>
      </w:r>
      <w:r>
        <w:rPr>
          <w:rFonts w:hint="eastAsia" w:ascii="仿宋_GB2312" w:hAnsi="仿宋"/>
          <w:sz w:val="32"/>
          <w:szCs w:val="32"/>
          <w:lang w:val="en-US" w:eastAsia="zh-CN"/>
        </w:rPr>
        <w:t>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年市直单位财政供养人员增人增资</w:t>
      </w:r>
      <w:r>
        <w:rPr>
          <w:rFonts w:hint="eastAsia" w:ascii="仿宋_GB2312" w:hAnsi="仿宋"/>
          <w:sz w:val="32"/>
          <w:szCs w:val="32"/>
          <w:lang w:val="en-US" w:eastAsia="zh-CN"/>
        </w:rPr>
        <w:t>；2、发放2023年度在职奖励性绩效奖；3、在职奖励性绩效奖计提公积金等。本年度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年末决算基本支出主要构成为：工资福利支出</w:t>
      </w:r>
      <w:r>
        <w:rPr>
          <w:rFonts w:hint="eastAsia" w:ascii="仿宋_GB2312" w:hAnsi="仿宋"/>
          <w:sz w:val="32"/>
          <w:szCs w:val="32"/>
          <w:lang w:val="en-US" w:eastAsia="zh-CN"/>
        </w:rPr>
        <w:t>163.68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万元，商品和服务支出</w:t>
      </w:r>
      <w:r>
        <w:rPr>
          <w:rFonts w:hint="eastAsia" w:ascii="仿宋_GB2312" w:hAnsi="仿宋"/>
          <w:sz w:val="32"/>
          <w:szCs w:val="32"/>
          <w:lang w:val="en-US" w:eastAsia="zh-CN"/>
        </w:rPr>
        <w:t>22.42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万元，对个人和家庭的补助</w:t>
      </w:r>
      <w:r>
        <w:rPr>
          <w:rFonts w:hint="eastAsia" w:ascii="仿宋_GB2312" w:hAnsi="仿宋"/>
          <w:sz w:val="32"/>
          <w:szCs w:val="32"/>
          <w:lang w:val="en-US" w:eastAsia="zh-CN"/>
        </w:rPr>
        <w:t>3.42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万元，共</w:t>
      </w:r>
      <w:r>
        <w:rPr>
          <w:rFonts w:hint="eastAsia" w:ascii="仿宋_GB2312" w:hAnsi="仿宋"/>
          <w:sz w:val="32"/>
          <w:szCs w:val="32"/>
          <w:lang w:val="en-US" w:eastAsia="zh-CN"/>
        </w:rPr>
        <w:t>189.52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</w:t>
      </w:r>
    </w:p>
    <w:p w14:paraId="246CD64D">
      <w:pPr>
        <w:pStyle w:val="5"/>
        <w:spacing w:line="520" w:lineRule="exact"/>
        <w:ind w:firstLine="634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（二）项目支出情况</w:t>
      </w:r>
    </w:p>
    <w:p w14:paraId="1A060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年初预算项目支出为23万元，年末决算项目支出为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万元。项目支出全部为公用经费，其组成为</w:t>
      </w:r>
      <w:r>
        <w:rPr>
          <w:rFonts w:hint="eastAsia" w:ascii="仿宋_GB2312" w:hAnsi="仿宋"/>
          <w:sz w:val="32"/>
          <w:szCs w:val="32"/>
          <w:lang w:val="en-US" w:eastAsia="zh-CN"/>
        </w:rPr>
        <w:t>办公费、印刷费、咨询费、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劳务费、委托业务费、其他交通费用、其他商品和服务支出</w:t>
      </w:r>
      <w:r>
        <w:rPr>
          <w:rFonts w:hint="eastAsia" w:ascii="仿宋_GB2312" w:hAnsi="仿宋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。该项目支出为主管局益阳市住房和城乡建设局拨付，是保障我单位正常运转的日常公用经费（与部门整体绩效自评表和自评报告无异）。</w:t>
      </w:r>
    </w:p>
    <w:p w14:paraId="5C47D12D">
      <w:pPr>
        <w:pStyle w:val="5"/>
        <w:spacing w:line="520" w:lineRule="exact"/>
        <w:ind w:firstLine="632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三、政府性基金预算支出情况</w:t>
      </w:r>
    </w:p>
    <w:p w14:paraId="67FD7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1068B735">
      <w:pPr>
        <w:pStyle w:val="5"/>
        <w:numPr>
          <w:ilvl w:val="0"/>
          <w:numId w:val="1"/>
        </w:numPr>
        <w:spacing w:line="520" w:lineRule="exact"/>
        <w:ind w:firstLine="632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国有资本经营预算支出情况</w:t>
      </w:r>
    </w:p>
    <w:p w14:paraId="7A23BE20">
      <w:pPr>
        <w:pStyle w:val="5"/>
        <w:numPr>
          <w:ilvl w:val="0"/>
          <w:numId w:val="0"/>
        </w:numPr>
        <w:spacing w:line="520" w:lineRule="exact"/>
        <w:rPr>
          <w:rFonts w:hint="default" w:ascii="Times New Roman" w:hAnsi="Times New Roman" w:eastAsia="黑体"/>
          <w:szCs w:val="32"/>
          <w:lang w:val="en-US" w:eastAsia="zh-CN"/>
        </w:rPr>
      </w:pPr>
      <w:r>
        <w:rPr>
          <w:rFonts w:hint="eastAsia" w:ascii="Times New Roman" w:hAnsi="Times New Roman" w:eastAsia="黑体"/>
          <w:szCs w:val="32"/>
          <w:lang w:val="en-US" w:eastAsia="zh-CN"/>
        </w:rPr>
        <w:t xml:space="preserve">    </w:t>
      </w:r>
      <w:r>
        <w:rPr>
          <w:rFonts w:hint="eastAsia" w:ascii="仿宋_GB2312" w:hAnsi="仿宋"/>
          <w:sz w:val="32"/>
          <w:szCs w:val="32"/>
          <w:lang w:val="en-US" w:eastAsia="zh-CN"/>
        </w:rPr>
        <w:t>无。</w:t>
      </w:r>
    </w:p>
    <w:p w14:paraId="4828EBB3">
      <w:pPr>
        <w:pStyle w:val="5"/>
        <w:spacing w:line="520" w:lineRule="exact"/>
        <w:ind w:firstLine="632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五、社会保险基金预算支出情况</w:t>
      </w:r>
    </w:p>
    <w:p w14:paraId="5399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22353ABF">
      <w:pPr>
        <w:spacing w:line="5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六、部门整体支出绩效情况</w:t>
      </w:r>
    </w:p>
    <w:p w14:paraId="3DC30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工作计划，认真履行职责，较好地完成了年初确定的各项工作任务。我</w:t>
      </w:r>
      <w:r>
        <w:rPr>
          <w:rFonts w:hint="eastAsia" w:ascii="仿宋_GB2312" w:hAnsi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从资金使用、产出指标、效益指标、满意度指标等方面进行评价，全年绩效评价总评为100分（详见附件3），全年主要工作绩效如下：</w:t>
      </w:r>
    </w:p>
    <w:p w14:paraId="76310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1.资金使用：</w:t>
      </w:r>
      <w:r>
        <w:rPr>
          <w:rFonts w:hint="eastAsia" w:ascii="仿宋_GB2312" w:hAnsi="仿宋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年度预算配置控制较好，预算执行率为</w:t>
      </w:r>
      <w:r>
        <w:rPr>
          <w:rFonts w:hint="eastAsia" w:ascii="仿宋_GB2312" w:hAnsi="仿宋"/>
          <w:sz w:val="32"/>
          <w:szCs w:val="32"/>
          <w:lang w:val="en-US" w:eastAsia="zh-CN"/>
        </w:rPr>
        <w:t>99.99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%。</w:t>
      </w:r>
      <w:r>
        <w:rPr>
          <w:rFonts w:hint="eastAsia" w:ascii="仿宋_GB2312" w:hAnsi="仿宋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年度年初预算数为179.06万元，年末执行数为</w:t>
      </w:r>
      <w:r>
        <w:rPr>
          <w:rFonts w:hint="eastAsia" w:ascii="仿宋_GB2312" w:hAnsi="仿宋"/>
          <w:sz w:val="32"/>
          <w:szCs w:val="32"/>
          <w:lang w:val="en-US" w:eastAsia="zh-CN"/>
        </w:rPr>
        <w:t>209.52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万元，其中一般公共预算</w:t>
      </w:r>
      <w:r>
        <w:rPr>
          <w:rFonts w:hint="eastAsia" w:ascii="仿宋_GB2312" w:hAnsi="仿宋"/>
          <w:sz w:val="32"/>
          <w:szCs w:val="32"/>
          <w:lang w:val="en-US" w:eastAsia="zh-CN"/>
        </w:rPr>
        <w:t>189.52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万元，其他资金</w:t>
      </w:r>
      <w:r>
        <w:rPr>
          <w:rFonts w:hint="eastAsia" w:ascii="仿宋_GB2312" w:hAnsi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万元。年末执行数比年初</w:t>
      </w:r>
      <w:r>
        <w:rPr>
          <w:rFonts w:hint="eastAsia" w:ascii="仿宋_GB2312" w:hAnsi="仿宋"/>
          <w:sz w:val="32"/>
          <w:szCs w:val="32"/>
          <w:lang w:val="en-US" w:eastAsia="zh-CN"/>
        </w:rPr>
        <w:t>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算数增加</w:t>
      </w:r>
      <w:r>
        <w:rPr>
          <w:rFonts w:hint="eastAsia" w:ascii="仿宋_GB2312" w:hAnsi="仿宋"/>
          <w:sz w:val="32"/>
          <w:szCs w:val="32"/>
          <w:lang w:val="en-US" w:eastAsia="zh-CN"/>
        </w:rPr>
        <w:t>30.46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万元，主要原因为：</w:t>
      </w:r>
      <w:r>
        <w:rPr>
          <w:rFonts w:hint="eastAsia" w:ascii="仿宋_GB2312" w:hAnsi="仿宋"/>
          <w:sz w:val="32"/>
          <w:szCs w:val="32"/>
          <w:lang w:val="en-US" w:eastAsia="zh-CN"/>
        </w:rPr>
        <w:t>（1）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年市直单位财政供养人员增人增资</w:t>
      </w:r>
      <w:r>
        <w:rPr>
          <w:rFonts w:hint="eastAsia" w:ascii="仿宋_GB2312" w:hAnsi="仿宋"/>
          <w:sz w:val="32"/>
          <w:szCs w:val="32"/>
          <w:lang w:val="en-US" w:eastAsia="zh-CN"/>
        </w:rPr>
        <w:t>；（2）发放2023年度在职奖励性绩效奖；（3）在职奖励性绩效奖计提公积金等。其他资金为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益阳市住房和城乡建设局拨付</w:t>
      </w:r>
      <w:r>
        <w:rPr>
          <w:rFonts w:hint="eastAsia" w:ascii="仿宋_GB2312" w:hAnsi="仿宋"/>
          <w:sz w:val="32"/>
          <w:szCs w:val="32"/>
          <w:lang w:val="en-US" w:eastAsia="zh-CN"/>
        </w:rPr>
        <w:t>，用以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保证</w:t>
      </w:r>
      <w:r>
        <w:rPr>
          <w:rFonts w:hint="eastAsia" w:ascii="仿宋_GB2312" w:hAnsi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正常运转。评价得分10分。</w:t>
      </w:r>
    </w:p>
    <w:p w14:paraId="074DE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2.产出指标：我</w:t>
      </w:r>
      <w:r>
        <w:rPr>
          <w:rFonts w:hint="eastAsia" w:ascii="仿宋_GB2312" w:hAnsi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保证了正常运转，按时足额发放了职工工资以及及时缴纳</w:t>
      </w:r>
      <w:r>
        <w:rPr>
          <w:rFonts w:hint="eastAsia" w:ascii="仿宋_GB2312" w:hAnsi="仿宋"/>
          <w:sz w:val="32"/>
          <w:szCs w:val="32"/>
          <w:lang w:val="en-US"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政策性社会保障资金。</w:t>
      </w:r>
      <w:r>
        <w:rPr>
          <w:rFonts w:hint="eastAsia" w:ascii="仿宋_GB2312" w:hAnsi="仿宋"/>
          <w:sz w:val="32"/>
          <w:szCs w:val="32"/>
          <w:lang w:val="en-US" w:eastAsia="zh-CN"/>
        </w:rPr>
        <w:t>全年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商品房维修资金完成归集6874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派发利息2573.97万元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派发增值收益6454.23万元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公有住房维修资金归集3.79万元；商品房使用业务受理1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宗，拨付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445.43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万元；公有住房使用受理3宗，拨付32610元。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评价得分50分。</w:t>
      </w:r>
    </w:p>
    <w:p w14:paraId="7E1469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3.效益指标：按经济、社会、生态效益、可持续影响四方面评价。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（1）不断创新管理服务理念和模式，不断优化完善维修资金管理。维修资金电子票据功能于12月16日上线试运行，维修资金的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交存变得更加高效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快捷，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提高办事效率，提升人民群众的获得感和幸福感。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加强对电梯配件、电气设备等材料的市场调查和询价，做到心中有数。创新工作思路，提出解决问题的办法。对小区业委会不配合申请，维保单位逼着业主就范、一拖再拖的，我们把电梯配件长沙询价情况告知维保单位的同时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可以走应急维修程序由街道出面来组织维修的相关政策告知业委会，当天定设备、第二天到货、第三天修复；某小区配电屏烧毁停电，街道、社区、物业、业主代表等协商未果，维修单位开口就是5万元才动工维修，为减少对业主正常生活的影响，我们直接联系电气厂家，根据现场情况确认维修范围，现场报价，最后以2.5万元的价格、3个小时不到就完成修复并供电。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（3）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强化维修资金管理，确保资金保值增值最大化。市住建局会同市财政局通过公开招标方式，选择存款利率高、信誉好、服务优的商业银行作为维修资金的专户银行，维修资金利息采取一年一结的方式，除当年交存或使用部分按照同期银行活期存款利率计息外，其余部分所产生的利息全部滚存至业主维修资金个人账户，确保维修资金最大限度实现保值增值。评价得分30分。</w:t>
      </w:r>
    </w:p>
    <w:p w14:paraId="1ABFF6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满意度指标：加大维修资金宣传力度，推进维修资金使用便利化。完善维修资金功能模块，构建便民服务体系。开通微信公众号，点对点地主动向业主推送维修资金的使用申请、业主表决、资金拨付、资金余额、年度结息等各个环节信息，更好服务于社会，保障业主知情权和参与度。下一步，市住建局将继续围绕“优化营商环境”开展益阳市维修资金的各项工作，通过推出维修资金电子票据等举措，更好地满足人民群众不断增长的生活需要。评价得分10分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。</w:t>
      </w:r>
    </w:p>
    <w:p w14:paraId="19475466">
      <w:pPr>
        <w:pStyle w:val="5"/>
        <w:spacing w:line="520" w:lineRule="exact"/>
        <w:ind w:firstLine="632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七、存在的问题及原因分析</w:t>
      </w:r>
    </w:p>
    <w:p w14:paraId="03E8F0B6">
      <w:pPr>
        <w:pStyle w:val="5"/>
        <w:spacing w:line="520" w:lineRule="exact"/>
        <w:ind w:firstLine="632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06B21368">
      <w:pPr>
        <w:numPr>
          <w:ilvl w:val="0"/>
          <w:numId w:val="2"/>
        </w:numPr>
        <w:spacing w:line="5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下一步改进措施</w:t>
      </w:r>
    </w:p>
    <w:p w14:paraId="2F911F90">
      <w:pPr>
        <w:pStyle w:val="5"/>
        <w:spacing w:line="520" w:lineRule="exact"/>
        <w:ind w:firstLine="632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6AF42B2A">
      <w:pPr>
        <w:spacing w:line="5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九、绩效自评结果拟应用和公开情况</w:t>
      </w:r>
    </w:p>
    <w:p w14:paraId="642BD00C">
      <w:pPr>
        <w:spacing w:line="520" w:lineRule="exact"/>
        <w:ind w:firstLine="640" w:firstLineChars="200"/>
        <w:rPr>
          <w:rFonts w:eastAsia="黑体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绩效自评结果将在主管</w:t>
      </w:r>
      <w:r>
        <w:rPr>
          <w:rFonts w:hint="eastAsia" w:ascii="仿宋_GB2312" w:hAnsi="仿宋"/>
          <w:sz w:val="32"/>
          <w:szCs w:val="32"/>
          <w:lang w:val="en-US" w:eastAsia="zh-CN"/>
        </w:rPr>
        <w:t>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益阳市住房和城乡建设局门户网站上进行公开。</w:t>
      </w:r>
    </w:p>
    <w:p w14:paraId="0792376F">
      <w:pPr>
        <w:spacing w:line="52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十、</w:t>
      </w:r>
      <w:r>
        <w:rPr>
          <w:rFonts w:eastAsia="黑体"/>
          <w:szCs w:val="32"/>
        </w:rPr>
        <w:t>其他需要说明的情况</w:t>
      </w:r>
    </w:p>
    <w:p w14:paraId="408991F4">
      <w:pPr>
        <w:pStyle w:val="5"/>
        <w:spacing w:line="520" w:lineRule="exact"/>
        <w:ind w:firstLine="632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7DFB9846">
      <w:pPr>
        <w:spacing w:line="520" w:lineRule="exact"/>
        <w:ind w:firstLine="640" w:firstLineChars="200"/>
        <w:rPr>
          <w:szCs w:val="32"/>
        </w:rPr>
      </w:pPr>
    </w:p>
    <w:p w14:paraId="3F34CF5F">
      <w:pPr>
        <w:spacing w:line="520" w:lineRule="exact"/>
        <w:ind w:firstLine="640" w:firstLineChars="200"/>
        <w:rPr>
          <w:szCs w:val="32"/>
        </w:rPr>
      </w:pPr>
    </w:p>
    <w:p w14:paraId="0C563FB5">
      <w:pPr>
        <w:spacing w:line="520" w:lineRule="exact"/>
        <w:ind w:firstLine="640" w:firstLineChars="200"/>
        <w:rPr>
          <w:szCs w:val="32"/>
        </w:rPr>
      </w:pPr>
    </w:p>
    <w:p w14:paraId="04A14E86">
      <w:pPr>
        <w:spacing w:line="520" w:lineRule="exact"/>
        <w:ind w:firstLine="640" w:firstLineChars="200"/>
        <w:rPr>
          <w:szCs w:val="32"/>
        </w:rPr>
      </w:pPr>
    </w:p>
    <w:p w14:paraId="3792B1AD">
      <w:pPr>
        <w:spacing w:line="520" w:lineRule="exact"/>
        <w:ind w:firstLine="640" w:firstLineChars="200"/>
        <w:rPr>
          <w:szCs w:val="32"/>
        </w:rPr>
      </w:pPr>
    </w:p>
    <w:p w14:paraId="0BE4DB48">
      <w:pPr>
        <w:spacing w:line="520" w:lineRule="exact"/>
        <w:ind w:firstLine="640" w:firstLineChars="200"/>
        <w:rPr>
          <w:szCs w:val="32"/>
        </w:rPr>
      </w:pPr>
    </w:p>
    <w:p w14:paraId="2AC35CE9">
      <w:pPr>
        <w:spacing w:line="520" w:lineRule="exact"/>
        <w:ind w:firstLine="640" w:firstLineChars="200"/>
        <w:rPr>
          <w:szCs w:val="32"/>
        </w:rPr>
      </w:pPr>
    </w:p>
    <w:p w14:paraId="3CBDBF50">
      <w:pPr>
        <w:spacing w:line="520" w:lineRule="exact"/>
        <w:ind w:firstLine="640" w:firstLineChars="200"/>
        <w:rPr>
          <w:szCs w:val="32"/>
        </w:rPr>
      </w:pPr>
    </w:p>
    <w:p w14:paraId="4F63E16E">
      <w:pPr>
        <w:spacing w:line="520" w:lineRule="exact"/>
        <w:ind w:firstLine="640" w:firstLineChars="200"/>
        <w:rPr>
          <w:szCs w:val="32"/>
        </w:rPr>
      </w:pPr>
    </w:p>
    <w:p w14:paraId="32F276F6">
      <w:pPr>
        <w:spacing w:line="520" w:lineRule="exact"/>
        <w:ind w:firstLine="640" w:firstLineChars="200"/>
        <w:rPr>
          <w:szCs w:val="32"/>
        </w:rPr>
      </w:pPr>
    </w:p>
    <w:p w14:paraId="68B547D6">
      <w:pPr>
        <w:spacing w:line="520" w:lineRule="exact"/>
        <w:rPr>
          <w:rFonts w:hint="eastAsia"/>
          <w:szCs w:val="32"/>
        </w:rPr>
      </w:pPr>
      <w:r>
        <w:rPr>
          <w:rFonts w:hint="eastAsia"/>
          <w:szCs w:val="32"/>
        </w:rPr>
        <w:t>附件：</w:t>
      </w:r>
    </w:p>
    <w:p w14:paraId="159F5769"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1、部门整体支出绩效评价基础数据表</w:t>
      </w:r>
    </w:p>
    <w:p w14:paraId="6FE81BC2"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2、部门整体支出绩效自评表</w:t>
      </w:r>
    </w:p>
    <w:p w14:paraId="316935CB"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3、项目支出绩效自评表（</w:t>
      </w:r>
      <w:r>
        <w:rPr>
          <w:rFonts w:hint="eastAsia"/>
          <w:szCs w:val="32"/>
          <w:lang w:eastAsia="zh-CN"/>
        </w:rPr>
        <w:t>无</w:t>
      </w:r>
      <w:r>
        <w:rPr>
          <w:szCs w:val="32"/>
        </w:rPr>
        <w:t>）</w:t>
      </w:r>
    </w:p>
    <w:p w14:paraId="64169E03"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4、政府性基金预算支出情况表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无</w:t>
      </w:r>
      <w:r>
        <w:rPr>
          <w:rFonts w:hint="eastAsia"/>
          <w:szCs w:val="32"/>
        </w:rPr>
        <w:t>）</w:t>
      </w:r>
    </w:p>
    <w:p w14:paraId="252FCB1D"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5、国有资本经营预算支出情况表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无</w:t>
      </w:r>
      <w:r>
        <w:rPr>
          <w:rFonts w:hint="eastAsia"/>
          <w:szCs w:val="32"/>
        </w:rPr>
        <w:t>）</w:t>
      </w:r>
      <w:bookmarkStart w:id="0" w:name="_GoBack"/>
      <w:bookmarkEnd w:id="0"/>
    </w:p>
    <w:p w14:paraId="79BC1DD5"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6、社会保险基金预算支出情况表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无</w:t>
      </w:r>
      <w:r>
        <w:rPr>
          <w:rFonts w:hint="eastAsia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5BFE6"/>
    <w:multiLevelType w:val="singleLevel"/>
    <w:tmpl w:val="CBC5BFE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541109"/>
    <w:multiLevelType w:val="singleLevel"/>
    <w:tmpl w:val="2E54110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F44F3"/>
    <w:rsid w:val="0A5F2E2C"/>
    <w:rsid w:val="0D051AEA"/>
    <w:rsid w:val="15D23CBE"/>
    <w:rsid w:val="25014A9C"/>
    <w:rsid w:val="426D0C07"/>
    <w:rsid w:val="4BD3620D"/>
    <w:rsid w:val="58E51E46"/>
    <w:rsid w:val="63B21C24"/>
    <w:rsid w:val="753F44F3"/>
    <w:rsid w:val="787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2308</Words>
  <Characters>2480</Characters>
  <Lines>0</Lines>
  <Paragraphs>0</Paragraphs>
  <TotalTime>11</TotalTime>
  <ScaleCrop>false</ScaleCrop>
  <LinksUpToDate>false</LinksUpToDate>
  <CharactersWithSpaces>2492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2025-04-23T03:40:00Z</dcterms:created>
  <dc:creator>Administrator</dc:creator>
  <cp:lastModifiedBy>Administrator</cp:lastModifiedBy>
  <dcterms:modified xsi:type="dcterms:W3CDTF">2025-04-24T00:50:27Z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31AD7F96AD154C55BDFFE9C5F0EA2BAB_11</vt:lpwstr>
  </property>
  <property fmtid="{D5CDD505-2E9C-101B-9397-08002B2CF9AE}" pid="4" name="KSOTemplateDocerSaveRecord">
    <vt:lpwstr>eyJoZGlkIjoiYjA5OGI5N2I3N2U3MGJjMGNkZWQwNzU3NmIzMWNmY2UifQ==</vt:lpwstr>
  </property>
</Properties>
</file>