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kern w:val="0"/>
          <w:szCs w:val="32"/>
        </w:rPr>
      </w:pPr>
    </w:p>
    <w:p>
      <w:pPr>
        <w:spacing w:line="600" w:lineRule="exact"/>
        <w:rPr>
          <w:rFonts w:eastAsia="黑体"/>
          <w:kern w:val="0"/>
          <w:szCs w:val="32"/>
        </w:rPr>
      </w:pPr>
    </w:p>
    <w:p>
      <w:pPr>
        <w:jc w:val="center"/>
        <w:rPr>
          <w:rFonts w:ascii="方正小标宋简体" w:hAnsi="方正小标宋简体" w:eastAsia="方正小标宋简体"/>
          <w:sz w:val="48"/>
          <w:szCs w:val="48"/>
        </w:rPr>
      </w:pPr>
      <w:r>
        <w:rPr>
          <w:rFonts w:hint="eastAsia" w:ascii="方正小标宋简体" w:hAnsi="方正小标宋简体" w:eastAsia="方正小标宋简体"/>
          <w:sz w:val="48"/>
          <w:szCs w:val="48"/>
        </w:rPr>
        <w:t>2024</w:t>
      </w:r>
      <w:r>
        <w:rPr>
          <w:rFonts w:ascii="方正小标宋简体" w:hAnsi="方正小标宋简体" w:eastAsia="方正小标宋简体"/>
          <w:sz w:val="48"/>
          <w:szCs w:val="48"/>
        </w:rPr>
        <w:t>年度</w:t>
      </w:r>
      <w:r>
        <w:rPr>
          <w:rFonts w:hint="eastAsia" w:ascii="方正小标宋简体" w:hAnsi="方正小标宋简体" w:eastAsia="方正小标宋简体"/>
          <w:sz w:val="48"/>
          <w:szCs w:val="48"/>
          <w:lang w:val="en-US" w:eastAsia="zh-CN"/>
        </w:rPr>
        <w:t>益阳市市场监督管理局</w:t>
      </w:r>
      <w:r>
        <w:rPr>
          <w:rFonts w:hint="eastAsia" w:ascii="方正小标宋简体" w:hAnsi="方正小标宋简体" w:eastAsia="方正小标宋简体"/>
          <w:sz w:val="48"/>
          <w:szCs w:val="48"/>
          <w:lang w:val="en-US" w:eastAsia="zh-CN"/>
        </w:rPr>
        <w:br w:type="textWrapping"/>
      </w:r>
      <w:r>
        <w:rPr>
          <w:rFonts w:ascii="方正小标宋简体" w:hAnsi="方正小标宋简体" w:eastAsia="方正小标宋简体"/>
          <w:sz w:val="48"/>
          <w:szCs w:val="48"/>
        </w:rPr>
        <w:t>整体支出绩效自评报告</w:t>
      </w:r>
    </w:p>
    <w:p>
      <w:pPr>
        <w:jc w:val="center"/>
        <w:rPr>
          <w:rFonts w:eastAsia="黑体"/>
          <w:szCs w:val="32"/>
        </w:rPr>
      </w:pPr>
    </w:p>
    <w:p>
      <w:pPr>
        <w:jc w:val="center"/>
        <w:rPr>
          <w:rFonts w:eastAsia="黑体"/>
          <w:szCs w:val="32"/>
        </w:rPr>
      </w:pPr>
    </w:p>
    <w:p>
      <w:pPr>
        <w:jc w:val="center"/>
        <w:rPr>
          <w:rFonts w:eastAsia="黑体"/>
          <w:szCs w:val="32"/>
        </w:rPr>
      </w:pPr>
    </w:p>
    <w:p>
      <w:pPr>
        <w:jc w:val="center"/>
        <w:rPr>
          <w:rFonts w:eastAsia="黑体"/>
          <w:szCs w:val="32"/>
        </w:rPr>
      </w:pPr>
    </w:p>
    <w:p>
      <w:pPr>
        <w:jc w:val="center"/>
        <w:rPr>
          <w:rFonts w:eastAsia="黑体"/>
          <w:szCs w:val="32"/>
        </w:rPr>
      </w:pPr>
    </w:p>
    <w:p>
      <w:pPr>
        <w:jc w:val="center"/>
        <w:rPr>
          <w:rFonts w:eastAsia="黑体"/>
          <w:szCs w:val="32"/>
        </w:rPr>
      </w:pPr>
    </w:p>
    <w:p>
      <w:pPr>
        <w:jc w:val="center"/>
        <w:rPr>
          <w:rFonts w:eastAsia="黑体"/>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rPr>
          <w:rFonts w:hint="eastAsia" w:eastAsia="黑体"/>
          <w:sz w:val="36"/>
          <w:szCs w:val="36"/>
        </w:rPr>
      </w:pPr>
    </w:p>
    <w:p>
      <w:pPr>
        <w:ind w:firstLine="720" w:firstLineChars="200"/>
        <w:rPr>
          <w:rFonts w:hint="eastAsia" w:eastAsia="黑体"/>
          <w:sz w:val="36"/>
          <w:szCs w:val="36"/>
        </w:rPr>
      </w:pPr>
    </w:p>
    <w:p>
      <w:pPr>
        <w:ind w:firstLine="720" w:firstLineChars="200"/>
        <w:rPr>
          <w:rFonts w:hint="eastAsia" w:eastAsia="黑体"/>
          <w:sz w:val="36"/>
          <w:szCs w:val="36"/>
        </w:rPr>
      </w:pPr>
      <w:r>
        <w:rPr>
          <w:rFonts w:hint="eastAsia" w:eastAsia="黑体"/>
          <w:sz w:val="36"/>
          <w:szCs w:val="36"/>
        </w:rPr>
        <w:t>部门（</w:t>
      </w:r>
      <w:r>
        <w:rPr>
          <w:rFonts w:eastAsia="黑体"/>
          <w:sz w:val="36"/>
          <w:szCs w:val="36"/>
        </w:rPr>
        <w:t>单位</w:t>
      </w:r>
      <w:r>
        <w:rPr>
          <w:rFonts w:hint="eastAsia" w:eastAsia="黑体"/>
          <w:sz w:val="36"/>
          <w:szCs w:val="36"/>
        </w:rPr>
        <w:t>）</w:t>
      </w:r>
      <w:r>
        <w:rPr>
          <w:rFonts w:eastAsia="黑体"/>
          <w:sz w:val="36"/>
          <w:szCs w:val="36"/>
        </w:rPr>
        <w:t>名称：</w:t>
      </w:r>
      <w:r>
        <w:rPr>
          <w:rFonts w:hint="eastAsia" w:eastAsia="黑体"/>
          <w:sz w:val="36"/>
          <w:szCs w:val="36"/>
        </w:rPr>
        <w:t xml:space="preserve"> </w:t>
      </w:r>
      <w:r>
        <w:rPr>
          <w:rFonts w:hint="eastAsia" w:eastAsia="黑体"/>
          <w:sz w:val="36"/>
          <w:szCs w:val="36"/>
          <w:u w:val="single"/>
        </w:rPr>
        <w:t xml:space="preserve">      </w:t>
      </w:r>
      <w:r>
        <w:rPr>
          <w:rFonts w:hint="eastAsia" w:eastAsia="黑体"/>
          <w:sz w:val="36"/>
          <w:szCs w:val="36"/>
          <w:u w:val="single"/>
          <w:lang w:val="en-US" w:eastAsia="zh-CN"/>
        </w:rPr>
        <w:t xml:space="preserve">        </w:t>
      </w:r>
      <w:r>
        <w:rPr>
          <w:rFonts w:hint="eastAsia" w:eastAsia="黑体"/>
          <w:sz w:val="36"/>
          <w:szCs w:val="36"/>
          <w:u w:val="single"/>
        </w:rPr>
        <w:t xml:space="preserve"> </w:t>
      </w:r>
    </w:p>
    <w:p>
      <w:pPr>
        <w:ind w:firstLine="3240" w:firstLineChars="900"/>
        <w:rPr>
          <w:rFonts w:eastAsia="黑体"/>
          <w:sz w:val="36"/>
          <w:szCs w:val="36"/>
          <w:u w:val="single"/>
        </w:rPr>
      </w:pPr>
      <w:r>
        <w:rPr>
          <w:rFonts w:hint="eastAsia" w:eastAsia="黑体"/>
          <w:sz w:val="36"/>
          <w:szCs w:val="36"/>
          <w:lang w:val="en-US" w:eastAsia="zh-CN"/>
        </w:rPr>
        <w:t>2025</w:t>
      </w:r>
      <w:r>
        <w:rPr>
          <w:rFonts w:hint="eastAsia" w:eastAsia="黑体"/>
          <w:sz w:val="36"/>
          <w:szCs w:val="36"/>
        </w:rPr>
        <w:t>年</w:t>
      </w:r>
      <w:r>
        <w:rPr>
          <w:rFonts w:hint="eastAsia" w:eastAsia="黑体"/>
          <w:sz w:val="36"/>
          <w:szCs w:val="36"/>
          <w:lang w:val="en-US" w:eastAsia="zh-CN"/>
        </w:rPr>
        <w:t>4</w:t>
      </w:r>
      <w:r>
        <w:rPr>
          <w:rFonts w:hint="eastAsia" w:eastAsia="黑体"/>
          <w:sz w:val="36"/>
          <w:szCs w:val="36"/>
        </w:rPr>
        <w:t>月</w:t>
      </w:r>
      <w:r>
        <w:rPr>
          <w:rFonts w:hint="eastAsia" w:eastAsia="黑体"/>
          <w:sz w:val="36"/>
          <w:szCs w:val="36"/>
          <w:lang w:val="en-US" w:eastAsia="zh-CN"/>
        </w:rPr>
        <w:t>15</w:t>
      </w:r>
      <w:r>
        <w:rPr>
          <w:rFonts w:hint="eastAsia" w:eastAsia="黑体"/>
          <w:sz w:val="36"/>
          <w:szCs w:val="36"/>
        </w:rPr>
        <w:t>日</w:t>
      </w:r>
    </w:p>
    <w:p>
      <w:pPr>
        <w:jc w:val="center"/>
        <w:rPr>
          <w:rFonts w:eastAsia="黑体"/>
          <w:szCs w:val="32"/>
        </w:rPr>
      </w:pPr>
    </w:p>
    <w:p>
      <w:pPr>
        <w:jc w:val="center"/>
        <w:rPr>
          <w:szCs w:val="32"/>
        </w:rPr>
      </w:pPr>
      <w:r>
        <w:rPr>
          <w:rFonts w:hint="eastAsia"/>
          <w:szCs w:val="32"/>
        </w:rPr>
        <w:t xml:space="preserve">  </w:t>
      </w:r>
    </w:p>
    <w:p>
      <w:pPr>
        <w:rPr>
          <w:rFonts w:hint="eastAsia" w:ascii="方正小标宋简体" w:hAnsi="方正小标宋简体" w:eastAsia="方正小标宋简体"/>
          <w:sz w:val="44"/>
          <w:szCs w:val="44"/>
        </w:rPr>
        <w:sectPr>
          <w:pgSz w:w="11906" w:h="16838"/>
          <w:pgMar w:top="1928" w:right="1474" w:bottom="1701" w:left="1587" w:header="851" w:footer="992" w:gutter="0"/>
          <w:pgNumType w:fmt="numberInDash"/>
          <w:cols w:space="425" w:num="1"/>
          <w:docGrid w:type="lines" w:linePitch="312" w:charSpace="0"/>
        </w:sectPr>
      </w:pPr>
    </w:p>
    <w:p>
      <w:pPr>
        <w:spacing w:line="700" w:lineRule="exact"/>
        <w:jc w:val="center"/>
        <w:rPr>
          <w:rFonts w:hint="eastAsia" w:ascii="方正小标宋简体" w:hAnsi="方正小标宋简体" w:eastAsia="方正小标宋简体"/>
          <w:sz w:val="44"/>
          <w:szCs w:val="44"/>
        </w:rPr>
        <w:sectPr>
          <w:footerReference r:id="rId3" w:type="default"/>
          <w:pgSz w:w="11906" w:h="16838"/>
          <w:pgMar w:top="1928" w:right="1474" w:bottom="1701" w:left="1587" w:header="851" w:footer="992" w:gutter="0"/>
          <w:pgNumType w:fmt="numberInDash" w:start="1"/>
          <w:cols w:space="425" w:num="1"/>
          <w:docGrid w:type="lines" w:linePitch="312" w:charSpace="0"/>
        </w:sectPr>
      </w:pPr>
    </w:p>
    <w:p>
      <w:pPr>
        <w:spacing w:line="700" w:lineRule="exact"/>
        <w:jc w:val="center"/>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rPr>
        <w:t>2024年度</w:t>
      </w:r>
      <w:r>
        <w:rPr>
          <w:rFonts w:hint="eastAsia" w:ascii="方正小标宋简体" w:hAnsi="方正小标宋简体" w:eastAsia="方正小标宋简体"/>
          <w:sz w:val="44"/>
          <w:szCs w:val="44"/>
          <w:lang w:val="en-US" w:eastAsia="zh-CN"/>
        </w:rPr>
        <w:t>益阳市市场监督管理局</w:t>
      </w:r>
    </w:p>
    <w:p>
      <w:pPr>
        <w:spacing w:line="7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整体支出绩效自评报告</w:t>
      </w:r>
    </w:p>
    <w:p>
      <w:pPr>
        <w:spacing w:line="600" w:lineRule="exact"/>
        <w:ind w:firstLine="640" w:firstLineChars="200"/>
        <w:rPr>
          <w:rFonts w:hint="eastAsia"/>
          <w:szCs w:val="32"/>
          <w:lang w:val="en-US" w:eastAsia="zh-CN"/>
        </w:rPr>
      </w:pPr>
    </w:p>
    <w:p>
      <w:pPr>
        <w:keepNext w:val="0"/>
        <w:keepLines w:val="0"/>
        <w:pageBreakBefore w:val="0"/>
        <w:kinsoku/>
        <w:wordWrap/>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为认真落实</w:t>
      </w:r>
      <w:r>
        <w:rPr>
          <w:rFonts w:hint="eastAsia" w:ascii="仿宋_GB2312" w:hAnsi="仿宋_GB2312" w:eastAsia="仿宋_GB2312" w:cs="仿宋_GB2312"/>
          <w:sz w:val="32"/>
          <w:szCs w:val="32"/>
        </w:rPr>
        <w:t>《益阳市财政局关于开</w:t>
      </w:r>
      <w:r>
        <w:rPr>
          <w:rFonts w:hint="eastAsia" w:ascii="Times New Roman" w:hAnsi="Times New Roman" w:eastAsia="仿宋_GB2312" w:cs="Times New Roman"/>
          <w:sz w:val="32"/>
          <w:szCs w:val="32"/>
          <w:lang w:val="en-US" w:eastAsia="zh-CN"/>
        </w:rPr>
        <w:t>展2024年度市级预算部门绩效自评和部门评价工作的通知》精神，严格按要求对2024</w:t>
      </w:r>
      <w:r>
        <w:rPr>
          <w:rFonts w:hint="eastAsia" w:ascii="仿宋_GB2312" w:hAnsi="仿宋_GB2312" w:eastAsia="仿宋_GB2312" w:cs="仿宋_GB2312"/>
          <w:sz w:val="32"/>
          <w:szCs w:val="32"/>
        </w:rPr>
        <w:t>年度部门整体支出进行</w:t>
      </w:r>
      <w:r>
        <w:rPr>
          <w:rFonts w:hint="eastAsia" w:ascii="仿宋_GB2312" w:hAnsi="仿宋_GB2312" w:eastAsia="仿宋_GB2312" w:cs="仿宋_GB2312"/>
          <w:sz w:val="32"/>
          <w:szCs w:val="32"/>
          <w:lang w:val="en-US" w:eastAsia="zh-CN"/>
        </w:rPr>
        <w:t>绩效</w:t>
      </w:r>
      <w:r>
        <w:rPr>
          <w:rFonts w:hint="eastAsia" w:ascii="仿宋_GB2312" w:hAnsi="仿宋_GB2312" w:eastAsia="仿宋_GB2312" w:cs="仿宋_GB2312"/>
          <w:sz w:val="32"/>
          <w:szCs w:val="32"/>
        </w:rPr>
        <w:t>自评，现</w:t>
      </w:r>
      <w:r>
        <w:rPr>
          <w:rFonts w:hint="eastAsia" w:ascii="仿宋_GB2312" w:hAnsi="仿宋_GB2312" w:eastAsia="仿宋_GB2312" w:cs="仿宋_GB2312"/>
          <w:sz w:val="32"/>
          <w:szCs w:val="32"/>
          <w:lang w:val="en-US" w:eastAsia="zh-CN"/>
        </w:rPr>
        <w:t>将有关</w:t>
      </w:r>
      <w:r>
        <w:rPr>
          <w:rFonts w:hint="eastAsia" w:ascii="仿宋_GB2312" w:hAnsi="仿宋_GB2312" w:eastAsia="仿宋_GB2312" w:cs="仿宋_GB2312"/>
          <w:sz w:val="32"/>
          <w:szCs w:val="32"/>
        </w:rPr>
        <w:t>报告如下：</w:t>
      </w:r>
    </w:p>
    <w:p>
      <w:pPr>
        <w:keepNext w:val="0"/>
        <w:keepLines w:val="0"/>
        <w:pageBreakBefore w:val="0"/>
        <w:kinsoku/>
        <w:wordWrap/>
        <w:autoSpaceDE/>
        <w:autoSpaceDN/>
        <w:bidi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一、部门（单位）基本情况</w:t>
      </w:r>
    </w:p>
    <w:p>
      <w:pPr>
        <w:keepNext w:val="0"/>
        <w:keepLines w:val="0"/>
        <w:pageBreakBefore w:val="0"/>
        <w:kinsoku/>
        <w:wordWrap/>
        <w:autoSpaceDE/>
        <w:autoSpaceDN/>
        <w:bidi w:val="0"/>
        <w:spacing w:line="600" w:lineRule="exact"/>
        <w:ind w:firstLine="643" w:firstLineChars="20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（一）单位基本情况</w:t>
      </w:r>
    </w:p>
    <w:p>
      <w:pPr>
        <w:keepNext w:val="0"/>
        <w:keepLines w:val="0"/>
        <w:pageBreakBefore w:val="0"/>
        <w:kinsoku/>
        <w:wordWrap/>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益阳市市场监督管理局（以下简称“我局”）是市政府工作部门，为正处级。我局</w:t>
      </w:r>
      <w:r>
        <w:rPr>
          <w:rFonts w:hint="eastAsia" w:ascii="仿宋_GB2312" w:hAnsi="仿宋_GB2312" w:eastAsia="仿宋_GB2312" w:cs="仿宋_GB2312"/>
          <w:sz w:val="32"/>
          <w:szCs w:val="32"/>
          <w:lang w:val="en-US" w:eastAsia="zh-CN"/>
        </w:rPr>
        <w:t>旨在</w:t>
      </w:r>
      <w:r>
        <w:rPr>
          <w:rFonts w:hint="eastAsia" w:ascii="仿宋_GB2312" w:hAnsi="仿宋_GB2312" w:eastAsia="仿宋_GB2312" w:cs="仿宋_GB2312"/>
          <w:sz w:val="32"/>
          <w:szCs w:val="32"/>
        </w:rPr>
        <w:t>贯彻落实党中央关于市场监督管理工作的方针政策和决策部署，全面落实省委、市委关于市场监督管理工作的部署要求，在履行职责过程中坚持和加强党对市场监督管理工作的集中统一领导。</w:t>
      </w:r>
    </w:p>
    <w:p>
      <w:pPr>
        <w:keepNext w:val="0"/>
        <w:keepLines w:val="0"/>
        <w:pageBreakBefore w:val="0"/>
        <w:kinsoku/>
        <w:wordWrap/>
        <w:autoSpaceDE/>
        <w:autoSpaceDN/>
        <w:bidi w:val="0"/>
        <w:spacing w:line="600" w:lineRule="exact"/>
        <w:ind w:firstLine="643" w:firstLineChars="20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（二）主要职能</w:t>
      </w:r>
    </w:p>
    <w:p>
      <w:pPr>
        <w:keepNext w:val="0"/>
        <w:keepLines w:val="0"/>
        <w:pageBreakBefore w:val="0"/>
        <w:kinsoku/>
        <w:wordWrap/>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根据三定方案，</w:t>
      </w:r>
      <w:r>
        <w:rPr>
          <w:rFonts w:hint="eastAsia" w:ascii="仿宋_GB2312" w:hAnsi="仿宋_GB2312" w:cs="仿宋_GB2312"/>
          <w:sz w:val="32"/>
          <w:szCs w:val="32"/>
          <w:lang w:val="en-US" w:eastAsia="zh-CN"/>
        </w:rPr>
        <w:t>我</w:t>
      </w:r>
      <w:r>
        <w:rPr>
          <w:rFonts w:hint="eastAsia" w:ascii="仿宋_GB2312" w:hAnsi="仿宋_GB2312" w:eastAsia="仿宋_GB2312" w:cs="仿宋_GB2312"/>
          <w:sz w:val="32"/>
          <w:szCs w:val="32"/>
        </w:rPr>
        <w:t>局职能具体如下：</w:t>
      </w:r>
    </w:p>
    <w:p>
      <w:pPr>
        <w:keepNext w:val="0"/>
        <w:keepLines w:val="0"/>
        <w:pageBreakBefore w:val="0"/>
        <w:kinsoku/>
        <w:wordWrap/>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市场综合监管管理。（二）负责市场主体统一登记注册。（三）负责组织和指导市场监管综合执法工作。（四）负责反垄断统一执法。（五）负责监督管理市场秩序。（六）负责宏观质量管理。（七）负责产品质量安全监督管理。（八）负责特种设备安全监督管理。（九）负责食品安全监督管理综合协调。（十）负责食品安全监督管理。（十一）负责统一管理计量工作。（十二）负责统一管理标准化工作。（十三）负责统一管理检验检测工作。（十四）负责统一管理、监督和综合协调全省认证认可工作。（十五）负责市场监督管理、知识产权领域科技和信息化建设、新闻宣传、对外交流与合作。（十六）负责实施知识产权战略，推进知识产权强市建设。（十七）负责保护知识产权。（十八）负责知识产权创造运用。（十九）负责组织开展有关服务领域消费维权工作，查处制售假冒伪劣等违法行为，指导消费者咨询、申诉、举报受理、处理和网络体系建设等工作，保护经营者、消费者合法权益。（二十）负责药品（含中药、民族药，下同）、医疗器械、化妆品安全监督管理。（二十一）负责药品、医疗器械、化妆品标准管理和质量管理。（二十二）负责药品、医疗器械、化妆品上市后风险管理。完成市委、市政府交办的其他任务。市场监督管理部门是一个与民生息息相关的职能部门，老百姓的“衣、食、住、行、医、用、娱”无一不与市场监督管理工作相关。</w:t>
      </w:r>
    </w:p>
    <w:p>
      <w:pPr>
        <w:keepNext w:val="0"/>
        <w:keepLines w:val="0"/>
        <w:pageBreakBefore w:val="0"/>
        <w:kinsoku/>
        <w:wordWrap/>
        <w:autoSpaceDE/>
        <w:autoSpaceDN/>
        <w:bidi w:val="0"/>
        <w:spacing w:line="600" w:lineRule="exact"/>
        <w:ind w:firstLine="643" w:firstLineChars="20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（三）机构情况</w:t>
      </w:r>
    </w:p>
    <w:p>
      <w:pPr>
        <w:keepNext w:val="0"/>
        <w:keepLines w:val="0"/>
        <w:pageBreakBefore w:val="0"/>
        <w:kinsoku/>
        <w:wordWrap/>
        <w:topLinePunct/>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1.内设机构（43个</w:t>
      </w:r>
      <w:r>
        <w:rPr>
          <w:rFonts w:hint="eastAsia" w:ascii="仿宋_GB2312" w:hAnsi="仿宋_GB2312" w:eastAsia="仿宋_GB2312" w:cs="仿宋_GB2312"/>
          <w:sz w:val="32"/>
          <w:szCs w:val="32"/>
        </w:rPr>
        <w:t>，均为正科级）：办公室、综合规划科、政策法规科、执法稽查科、行政审批改革科、登记注册科、信用监督管理科、反垄断和反不正当竞争科、打击传销和规范直销科、价格监督检查科、网络交易监督管理科、科技和新经济发展服务科、广告监督管理科、质量发展科、产品质量安全监督管理科、食品安全协调科、食品生产安全监督管理科、食品流通安全监督管理科、餐饮服务安全监督管理科、特殊食品安全监督管理科、盐业监督管理科、食品安全抽检监测科、特种设备安全监察科、计量科、标准化科、认证监督管理科、认可与检验检测监督管理科、知识产权促进运用科、知识产权保护科、药品生产服务科、药品流通监督管理科、医疗器械监督管理科、化妆品监督管理科、消费者权益保护科、市消费者委员会办公室、投诉举报科、新闻宣传和应急科、财务科、人事科、离退休人员管理科、机关党委、市非公有制经济组织综合党委、产业工会。</w:t>
      </w:r>
    </w:p>
    <w:p>
      <w:pPr>
        <w:keepNext w:val="0"/>
        <w:keepLines w:val="0"/>
        <w:pageBreakBefore w:val="0"/>
        <w:kinsoku/>
        <w:wordWrap/>
        <w:topLinePunct/>
        <w:autoSpaceDE/>
        <w:autoSpaceDN/>
        <w:bidi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直属二级机构单位（9个）。其中独立预算单位4个，即：计量测试检定所、纤维质量监测中心、产商品质量监督检验研究院、食品药品检验所。并入市局机关预算单位5个，即：综合行政执法支队、不良反应中心、信息中心、培训中心、</w:t>
      </w:r>
      <w:r>
        <w:rPr>
          <w:rFonts w:hint="default" w:ascii="Times New Roman" w:hAnsi="Times New Roman" w:eastAsia="仿宋_GB2312" w:cs="Times New Roman"/>
          <w:sz w:val="32"/>
          <w:szCs w:val="32"/>
          <w:lang w:val="en-US" w:eastAsia="zh-CN"/>
        </w:rPr>
        <w:t>知识产权保护</w:t>
      </w:r>
      <w:r>
        <w:rPr>
          <w:rFonts w:hint="default" w:ascii="Times New Roman" w:hAnsi="Times New Roman" w:eastAsia="仿宋_GB2312" w:cs="Times New Roman"/>
          <w:sz w:val="32"/>
          <w:szCs w:val="32"/>
        </w:rPr>
        <w:t>中心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原非公有制指导中心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kinsoku/>
        <w:wordWrap/>
        <w:autoSpaceDE/>
        <w:autoSpaceDN/>
        <w:bidi w:val="0"/>
        <w:spacing w:line="600" w:lineRule="exact"/>
        <w:ind w:firstLine="643" w:firstLineChars="20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（四）人员情况</w:t>
      </w:r>
    </w:p>
    <w:p>
      <w:pPr>
        <w:keepNext w:val="0"/>
        <w:keepLines w:val="0"/>
        <w:pageBreakBefore w:val="0"/>
        <w:kinsoku/>
        <w:wordWrap/>
        <w:topLinePunct/>
        <w:autoSpaceDE/>
        <w:autoSpaceDN/>
        <w:bidi w:val="0"/>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2024年末，市市场监管局共有编制 335名，其中行政编制96个，全额拨款事业编制233个，工勤编制6个。现有在职人员307人，离退休人员245人。市市场监管局局机关（含非独立核算二级机构）共有编制224名，行政编制96个，事业编制122人，工勤编制6人。局机关实有在职人员201人，离退休人员202人。</w:t>
      </w:r>
    </w:p>
    <w:p>
      <w:pPr>
        <w:pStyle w:val="12"/>
        <w:keepNext w:val="0"/>
        <w:keepLines w:val="0"/>
        <w:pageBreakBefore w:val="0"/>
        <w:kinsoku/>
        <w:wordWrap/>
        <w:autoSpaceDE/>
        <w:autoSpaceDN/>
        <w:bidi w:val="0"/>
        <w:spacing w:line="600" w:lineRule="exact"/>
        <w:ind w:firstLine="632"/>
        <w:rPr>
          <w:rFonts w:hint="eastAsia" w:ascii="黑体" w:hAnsi="黑体" w:eastAsia="黑体" w:cs="黑体"/>
          <w:sz w:val="32"/>
          <w:szCs w:val="32"/>
        </w:rPr>
      </w:pPr>
      <w:r>
        <w:rPr>
          <w:rFonts w:hint="eastAsia" w:ascii="黑体" w:hAnsi="黑体" w:eastAsia="黑体" w:cs="黑体"/>
          <w:sz w:val="32"/>
          <w:szCs w:val="32"/>
        </w:rPr>
        <w:t>二、一般公共预算支出情况</w:t>
      </w:r>
    </w:p>
    <w:p>
      <w:pPr>
        <w:pStyle w:val="12"/>
        <w:keepNext w:val="0"/>
        <w:keepLines w:val="0"/>
        <w:pageBreakBefore w:val="0"/>
        <w:kinsoku/>
        <w:wordWrap/>
        <w:autoSpaceDE/>
        <w:autoSpaceDN/>
        <w:bidi w:val="0"/>
        <w:spacing w:line="600" w:lineRule="exact"/>
        <w:ind w:firstLine="634"/>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rPr>
        <w:t>（一）</w:t>
      </w:r>
      <w:r>
        <w:rPr>
          <w:rFonts w:hint="eastAsia" w:ascii="楷体_GB2312" w:hAnsi="楷体_GB2312" w:eastAsia="楷体_GB2312" w:cs="楷体_GB2312"/>
          <w:b/>
          <w:sz w:val="32"/>
          <w:szCs w:val="32"/>
          <w:lang w:val="en-US" w:eastAsia="zh-CN"/>
        </w:rPr>
        <w:t>预算收入支出总体情况</w:t>
      </w:r>
    </w:p>
    <w:p>
      <w:pPr>
        <w:keepNext w:val="0"/>
        <w:keepLines w:val="0"/>
        <w:pageBreakBefore w:val="0"/>
        <w:kinsoku/>
        <w:wordWrap/>
        <w:topLinePunct/>
        <w:autoSpaceDE/>
        <w:autoSpaceDN/>
        <w:bidi w:val="0"/>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2024年一般公共预算年初结转和结余资金为零。</w:t>
      </w:r>
    </w:p>
    <w:p>
      <w:pPr>
        <w:keepNext w:val="0"/>
        <w:keepLines w:val="0"/>
        <w:pageBreakBefore w:val="0"/>
        <w:kinsoku/>
        <w:wordWrap/>
        <w:topLinePunct/>
        <w:autoSpaceDE/>
        <w:autoSpaceDN/>
        <w:bidi w:val="0"/>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2024年一般公共预算收入8</w:t>
      </w:r>
      <w:r>
        <w:rPr>
          <w:rFonts w:hint="eastAsia" w:cs="Times New Roman"/>
          <w:sz w:val="32"/>
          <w:szCs w:val="32"/>
          <w:lang w:val="en-US" w:eastAsia="zh-CN"/>
        </w:rPr>
        <w:t>805</w:t>
      </w:r>
      <w:r>
        <w:rPr>
          <w:rFonts w:hint="eastAsia" w:ascii="Times New Roman" w:hAnsi="Times New Roman" w:eastAsia="仿宋_GB2312" w:cs="Times New Roman"/>
          <w:sz w:val="32"/>
          <w:szCs w:val="32"/>
          <w:lang w:val="en-US" w:eastAsia="zh-CN"/>
        </w:rPr>
        <w:t>.39万元。其中基本支出预算收入6</w:t>
      </w:r>
      <w:r>
        <w:rPr>
          <w:rFonts w:hint="eastAsia" w:cs="Times New Roman"/>
          <w:sz w:val="32"/>
          <w:szCs w:val="32"/>
          <w:lang w:val="en-US" w:eastAsia="zh-CN"/>
        </w:rPr>
        <w:t>87</w:t>
      </w:r>
      <w:r>
        <w:rPr>
          <w:rFonts w:hint="eastAsia" w:ascii="Times New Roman" w:hAnsi="Times New Roman" w:eastAsia="仿宋_GB2312" w:cs="Times New Roman"/>
          <w:sz w:val="32"/>
          <w:szCs w:val="32"/>
          <w:lang w:val="en-US" w:eastAsia="zh-CN"/>
        </w:rPr>
        <w:t>9.35万元，项目支出预算收入19</w:t>
      </w:r>
      <w:r>
        <w:rPr>
          <w:rFonts w:hint="eastAsia" w:cs="Times New Roman"/>
          <w:sz w:val="32"/>
          <w:szCs w:val="32"/>
          <w:lang w:val="en-US" w:eastAsia="zh-CN"/>
        </w:rPr>
        <w:t>26</w:t>
      </w:r>
      <w:r>
        <w:rPr>
          <w:rFonts w:hint="eastAsia" w:ascii="Times New Roman" w:hAnsi="Times New Roman" w:eastAsia="仿宋_GB2312" w:cs="Times New Roman"/>
          <w:sz w:val="32"/>
          <w:szCs w:val="32"/>
          <w:lang w:val="en-US" w:eastAsia="zh-CN"/>
        </w:rPr>
        <w:t>.04万元。</w:t>
      </w:r>
    </w:p>
    <w:p>
      <w:pPr>
        <w:keepNext w:val="0"/>
        <w:keepLines w:val="0"/>
        <w:pageBreakBefore w:val="0"/>
        <w:kinsoku/>
        <w:wordWrap/>
        <w:topLinePunct/>
        <w:autoSpaceDE/>
        <w:autoSpaceDN/>
        <w:bidi w:val="0"/>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2024年支出总金额8</w:t>
      </w:r>
      <w:r>
        <w:rPr>
          <w:rFonts w:hint="eastAsia" w:cs="Times New Roman"/>
          <w:sz w:val="32"/>
          <w:szCs w:val="32"/>
          <w:lang w:val="en-US" w:eastAsia="zh-CN"/>
        </w:rPr>
        <w:t>805</w:t>
      </w:r>
      <w:r>
        <w:rPr>
          <w:rFonts w:hint="eastAsia" w:ascii="Times New Roman" w:hAnsi="Times New Roman" w:eastAsia="仿宋_GB2312" w:cs="Times New Roman"/>
          <w:sz w:val="32"/>
          <w:szCs w:val="32"/>
          <w:lang w:val="en-US" w:eastAsia="zh-CN"/>
        </w:rPr>
        <w:t>.39万元。其中基本支出6</w:t>
      </w:r>
      <w:r>
        <w:rPr>
          <w:rFonts w:hint="eastAsia" w:cs="Times New Roman"/>
          <w:sz w:val="32"/>
          <w:szCs w:val="32"/>
          <w:lang w:val="en-US" w:eastAsia="zh-CN"/>
        </w:rPr>
        <w:t>87</w:t>
      </w:r>
      <w:r>
        <w:rPr>
          <w:rFonts w:hint="eastAsia" w:ascii="Times New Roman" w:hAnsi="Times New Roman" w:eastAsia="仿宋_GB2312" w:cs="Times New Roman"/>
          <w:sz w:val="32"/>
          <w:szCs w:val="32"/>
          <w:lang w:val="en-US" w:eastAsia="zh-CN"/>
        </w:rPr>
        <w:t>9.35万元，项目支出19</w:t>
      </w:r>
      <w:r>
        <w:rPr>
          <w:rFonts w:hint="eastAsia" w:cs="Times New Roman"/>
          <w:sz w:val="32"/>
          <w:szCs w:val="32"/>
          <w:lang w:val="en-US" w:eastAsia="zh-CN"/>
        </w:rPr>
        <w:t>26</w:t>
      </w:r>
      <w:r>
        <w:rPr>
          <w:rFonts w:hint="eastAsia" w:ascii="Times New Roman" w:hAnsi="Times New Roman" w:eastAsia="仿宋_GB2312" w:cs="Times New Roman"/>
          <w:sz w:val="32"/>
          <w:szCs w:val="32"/>
          <w:lang w:val="en-US" w:eastAsia="zh-CN"/>
        </w:rPr>
        <w:t>.04万元。</w:t>
      </w:r>
    </w:p>
    <w:p>
      <w:pPr>
        <w:keepNext w:val="0"/>
        <w:keepLines w:val="0"/>
        <w:pageBreakBefore w:val="0"/>
        <w:kinsoku/>
        <w:wordWrap/>
        <w:topLinePunct/>
        <w:autoSpaceDE/>
        <w:autoSpaceDN/>
        <w:bidi w:val="0"/>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2024年年末结转和结余资金为零。</w:t>
      </w:r>
    </w:p>
    <w:p>
      <w:pPr>
        <w:keepNext w:val="0"/>
        <w:keepLines w:val="0"/>
        <w:pageBreakBefore w:val="0"/>
        <w:kinsoku/>
        <w:wordWrap/>
        <w:autoSpaceDE/>
        <w:autoSpaceDN/>
        <w:bidi w:val="0"/>
        <w:spacing w:line="600" w:lineRule="exact"/>
        <w:ind w:firstLine="643" w:firstLineChars="200"/>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000000"/>
          <w:kern w:val="0"/>
          <w:sz w:val="32"/>
          <w:szCs w:val="32"/>
        </w:rPr>
        <w:t>益阳市市场监督管理局</w:t>
      </w:r>
      <w:r>
        <w:rPr>
          <w:rFonts w:hint="eastAsia" w:ascii="仿宋_GB2312" w:hAnsi="仿宋_GB2312" w:cs="仿宋_GB2312"/>
          <w:b/>
          <w:bCs/>
          <w:color w:val="000000"/>
          <w:kern w:val="0"/>
          <w:sz w:val="32"/>
          <w:szCs w:val="32"/>
          <w:lang w:val="en-US" w:eastAsia="zh-CN"/>
        </w:rPr>
        <w:t>一般公共预算收支</w:t>
      </w:r>
      <w:r>
        <w:rPr>
          <w:rFonts w:hint="eastAsia" w:ascii="仿宋_GB2312" w:hAnsi="仿宋_GB2312" w:eastAsia="仿宋_GB2312" w:cs="仿宋_GB2312"/>
          <w:b/>
          <w:bCs/>
          <w:color w:val="000000"/>
          <w:kern w:val="0"/>
          <w:sz w:val="32"/>
          <w:szCs w:val="32"/>
        </w:rPr>
        <w:t>结转结余情况</w:t>
      </w:r>
    </w:p>
    <w:p>
      <w:pPr>
        <w:keepNext w:val="0"/>
        <w:keepLines w:val="0"/>
        <w:pageBreakBefore w:val="0"/>
        <w:widowControl/>
        <w:shd w:val="clear" w:color="auto" w:fill="FFFFFF"/>
        <w:kinsoku/>
        <w:wordWrap/>
        <w:autoSpaceDE/>
        <w:autoSpaceDN/>
        <w:bidi w:val="0"/>
        <w:spacing w:line="600" w:lineRule="exact"/>
        <w:ind w:firstLine="420"/>
        <w:jc w:val="righ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000000"/>
          <w:kern w:val="0"/>
          <w:sz w:val="32"/>
          <w:szCs w:val="32"/>
        </w:rPr>
        <w:t>（单位：万元）</w:t>
      </w:r>
    </w:p>
    <w:tbl>
      <w:tblPr>
        <w:tblStyle w:val="10"/>
        <w:tblW w:w="825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22"/>
        <w:gridCol w:w="928"/>
        <w:gridCol w:w="1356"/>
        <w:gridCol w:w="1396"/>
        <w:gridCol w:w="85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66" w:hRule="atLeast"/>
          <w:tblHeader/>
          <w:jc w:val="center"/>
        </w:trPr>
        <w:tc>
          <w:tcPr>
            <w:tcW w:w="372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单位名称</w:t>
            </w:r>
          </w:p>
        </w:tc>
        <w:tc>
          <w:tcPr>
            <w:tcW w:w="92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上年</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结余</w:t>
            </w:r>
          </w:p>
        </w:tc>
        <w:tc>
          <w:tcPr>
            <w:tcW w:w="135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本年收入</w:t>
            </w:r>
          </w:p>
        </w:tc>
        <w:tc>
          <w:tcPr>
            <w:tcW w:w="139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本年支出</w:t>
            </w:r>
          </w:p>
        </w:tc>
        <w:tc>
          <w:tcPr>
            <w:tcW w:w="85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期末</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结余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37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益阳市市场监督管理局机关</w:t>
            </w:r>
          </w:p>
        </w:tc>
        <w:tc>
          <w:tcPr>
            <w:tcW w:w="92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333333"/>
                <w:kern w:val="0"/>
                <w:sz w:val="28"/>
                <w:szCs w:val="28"/>
                <w:lang w:eastAsia="zh-CN"/>
              </w:rPr>
            </w:pPr>
            <w:r>
              <w:rPr>
                <w:rFonts w:hint="eastAsia" w:ascii="仿宋_GB2312" w:hAnsi="仿宋_GB2312" w:eastAsia="仿宋_GB2312" w:cs="仿宋_GB2312"/>
                <w:color w:val="333333"/>
                <w:kern w:val="0"/>
                <w:sz w:val="28"/>
                <w:szCs w:val="28"/>
                <w:lang w:val="en-US" w:eastAsia="zh-CN"/>
              </w:rPr>
              <w:t>/</w:t>
            </w: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59</w:t>
            </w:r>
            <w:r>
              <w:rPr>
                <w:rFonts w:hint="eastAsia" w:cs="Times New Roman"/>
                <w:sz w:val="28"/>
                <w:szCs w:val="28"/>
                <w:lang w:val="en-US" w:eastAsia="zh-CN"/>
              </w:rPr>
              <w:t>17</w:t>
            </w:r>
            <w:r>
              <w:rPr>
                <w:rFonts w:hint="default" w:ascii="Times New Roman" w:hAnsi="Times New Roman" w:eastAsia="仿宋_GB2312" w:cs="Times New Roman"/>
                <w:sz w:val="28"/>
                <w:szCs w:val="28"/>
                <w:lang w:val="en-US" w:eastAsia="zh-CN"/>
              </w:rPr>
              <w:t>.2</w:t>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59</w:t>
            </w:r>
            <w:r>
              <w:rPr>
                <w:rFonts w:hint="eastAsia" w:cs="Times New Roman"/>
                <w:sz w:val="28"/>
                <w:szCs w:val="28"/>
                <w:lang w:val="en-US" w:eastAsia="zh-CN"/>
              </w:rPr>
              <w:t>17</w:t>
            </w:r>
            <w:r>
              <w:rPr>
                <w:rFonts w:hint="default" w:ascii="Times New Roman" w:hAnsi="Times New Roman" w:eastAsia="仿宋_GB2312" w:cs="Times New Roman"/>
                <w:sz w:val="28"/>
                <w:szCs w:val="28"/>
                <w:lang w:val="en-US" w:eastAsia="zh-CN"/>
              </w:rPr>
              <w:t>.2</w:t>
            </w:r>
          </w:p>
        </w:tc>
        <w:tc>
          <w:tcPr>
            <w:tcW w:w="8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37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益阳市计量测试检定所</w:t>
            </w:r>
          </w:p>
        </w:tc>
        <w:tc>
          <w:tcPr>
            <w:tcW w:w="92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333333"/>
                <w:kern w:val="0"/>
                <w:sz w:val="28"/>
                <w:szCs w:val="28"/>
                <w:lang w:eastAsia="zh-CN"/>
              </w:rPr>
            </w:pPr>
            <w:r>
              <w:rPr>
                <w:rFonts w:hint="eastAsia" w:ascii="仿宋_GB2312" w:hAnsi="仿宋_GB2312" w:eastAsia="仿宋_GB2312" w:cs="仿宋_GB2312"/>
                <w:color w:val="333333"/>
                <w:kern w:val="0"/>
                <w:sz w:val="28"/>
                <w:szCs w:val="28"/>
                <w:lang w:val="en-US" w:eastAsia="zh-CN"/>
              </w:rPr>
              <w:t>/</w:t>
            </w: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w:t>
            </w:r>
            <w:r>
              <w:rPr>
                <w:rFonts w:hint="eastAsia" w:cs="Times New Roman"/>
                <w:sz w:val="28"/>
                <w:szCs w:val="28"/>
                <w:lang w:val="en-US" w:eastAsia="zh-CN"/>
              </w:rPr>
              <w:t>2</w:t>
            </w:r>
            <w:r>
              <w:rPr>
                <w:rFonts w:hint="default" w:ascii="Times New Roman" w:hAnsi="Times New Roman" w:eastAsia="仿宋_GB2312" w:cs="Times New Roman"/>
                <w:sz w:val="28"/>
                <w:szCs w:val="28"/>
                <w:lang w:val="en-US" w:eastAsia="zh-CN"/>
              </w:rPr>
              <w:t>9.64</w:t>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w:t>
            </w:r>
            <w:r>
              <w:rPr>
                <w:rFonts w:hint="eastAsia" w:cs="Times New Roman"/>
                <w:sz w:val="28"/>
                <w:szCs w:val="28"/>
                <w:lang w:val="en-US" w:eastAsia="zh-CN"/>
              </w:rPr>
              <w:t>2</w:t>
            </w:r>
            <w:r>
              <w:rPr>
                <w:rFonts w:hint="default" w:ascii="Times New Roman" w:hAnsi="Times New Roman" w:eastAsia="仿宋_GB2312" w:cs="Times New Roman"/>
                <w:sz w:val="28"/>
                <w:szCs w:val="28"/>
                <w:lang w:val="en-US" w:eastAsia="zh-CN"/>
              </w:rPr>
              <w:t>9.64</w:t>
            </w:r>
          </w:p>
        </w:tc>
        <w:tc>
          <w:tcPr>
            <w:tcW w:w="8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2" w:hRule="atLeast"/>
          <w:jc w:val="center"/>
        </w:trPr>
        <w:tc>
          <w:tcPr>
            <w:tcW w:w="37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益阳市纤维质量监测中心</w:t>
            </w:r>
          </w:p>
        </w:tc>
        <w:tc>
          <w:tcPr>
            <w:tcW w:w="92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w:t>
            </w: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229.7</w:t>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229.7</w:t>
            </w:r>
          </w:p>
        </w:tc>
        <w:tc>
          <w:tcPr>
            <w:tcW w:w="8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3" w:hRule="atLeast"/>
          <w:jc w:val="center"/>
        </w:trPr>
        <w:tc>
          <w:tcPr>
            <w:tcW w:w="37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益阳市产商品质量监督检验研究院</w:t>
            </w:r>
          </w:p>
        </w:tc>
        <w:tc>
          <w:tcPr>
            <w:tcW w:w="92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333333"/>
                <w:kern w:val="0"/>
                <w:sz w:val="28"/>
                <w:szCs w:val="28"/>
                <w:lang w:eastAsia="zh-CN"/>
              </w:rPr>
            </w:pPr>
            <w:r>
              <w:rPr>
                <w:rFonts w:hint="eastAsia" w:ascii="仿宋_GB2312" w:hAnsi="仿宋_GB2312" w:eastAsia="仿宋_GB2312" w:cs="仿宋_GB2312"/>
                <w:color w:val="333333"/>
                <w:kern w:val="0"/>
                <w:sz w:val="28"/>
                <w:szCs w:val="28"/>
                <w:lang w:val="en-US" w:eastAsia="zh-CN"/>
              </w:rPr>
              <w:t>/</w:t>
            </w: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sz w:val="28"/>
                <w:szCs w:val="28"/>
                <w:lang w:val="en-US" w:eastAsia="zh-CN"/>
              </w:rPr>
            </w:pPr>
            <w:r>
              <w:rPr>
                <w:rFonts w:hint="eastAsia" w:cs="Times New Roman"/>
                <w:sz w:val="28"/>
                <w:szCs w:val="28"/>
                <w:lang w:val="en-US" w:eastAsia="zh-CN"/>
              </w:rPr>
              <w:t>1232.04</w:t>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sz w:val="28"/>
                <w:szCs w:val="28"/>
                <w:lang w:val="en-US" w:eastAsia="zh-CN"/>
              </w:rPr>
            </w:pPr>
            <w:r>
              <w:rPr>
                <w:rFonts w:hint="eastAsia" w:cs="Times New Roman"/>
                <w:sz w:val="28"/>
                <w:szCs w:val="28"/>
                <w:lang w:val="en-US" w:eastAsia="zh-CN"/>
              </w:rPr>
              <w:t>123</w:t>
            </w:r>
            <w:r>
              <w:rPr>
                <w:rFonts w:hint="default" w:ascii="Times New Roman" w:hAnsi="Times New Roman" w:eastAsia="仿宋_GB2312" w:cs="Times New Roman"/>
                <w:sz w:val="28"/>
                <w:szCs w:val="28"/>
                <w:lang w:val="en-US" w:eastAsia="zh-CN"/>
              </w:rPr>
              <w:t>2.04</w:t>
            </w:r>
          </w:p>
        </w:tc>
        <w:tc>
          <w:tcPr>
            <w:tcW w:w="8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5" w:hRule="atLeast"/>
          <w:jc w:val="center"/>
        </w:trPr>
        <w:tc>
          <w:tcPr>
            <w:tcW w:w="37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益阳市药检所</w:t>
            </w:r>
          </w:p>
        </w:tc>
        <w:tc>
          <w:tcPr>
            <w:tcW w:w="92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w:t>
            </w: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796.81</w:t>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796.81</w:t>
            </w:r>
          </w:p>
        </w:tc>
        <w:tc>
          <w:tcPr>
            <w:tcW w:w="8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0" w:hRule="atLeast"/>
          <w:jc w:val="center"/>
        </w:trPr>
        <w:tc>
          <w:tcPr>
            <w:tcW w:w="37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000000"/>
                <w:kern w:val="0"/>
                <w:sz w:val="28"/>
                <w:szCs w:val="28"/>
              </w:rPr>
              <w:t>合     计</w:t>
            </w:r>
          </w:p>
        </w:tc>
        <w:tc>
          <w:tcPr>
            <w:tcW w:w="92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333333"/>
                <w:kern w:val="0"/>
                <w:sz w:val="28"/>
                <w:szCs w:val="28"/>
                <w:lang w:eastAsia="zh-CN"/>
              </w:rPr>
            </w:pPr>
            <w:r>
              <w:rPr>
                <w:rFonts w:hint="eastAsia" w:ascii="仿宋_GB2312" w:hAnsi="仿宋_GB2312" w:eastAsia="仿宋_GB2312" w:cs="仿宋_GB2312"/>
                <w:color w:val="333333"/>
                <w:kern w:val="0"/>
                <w:sz w:val="28"/>
                <w:szCs w:val="28"/>
                <w:lang w:val="en-US" w:eastAsia="zh-CN"/>
              </w:rPr>
              <w:t>/</w:t>
            </w: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=SUM(ABOVE)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8805.39</w:t>
            </w:r>
            <w:r>
              <w:rPr>
                <w:rFonts w:hint="default" w:ascii="Times New Roman" w:hAnsi="Times New Roman" w:eastAsia="仿宋_GB2312" w:cs="Times New Roman"/>
                <w:sz w:val="28"/>
                <w:szCs w:val="28"/>
                <w:lang w:eastAsia="zh-CN"/>
              </w:rPr>
              <w:fldChar w:fldCharType="end"/>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=SUM(ABOVE)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8805.39</w:t>
            </w:r>
            <w:r>
              <w:rPr>
                <w:rFonts w:hint="default" w:ascii="Times New Roman" w:hAnsi="Times New Roman" w:eastAsia="仿宋_GB2312" w:cs="Times New Roman"/>
                <w:sz w:val="28"/>
                <w:szCs w:val="28"/>
                <w:lang w:eastAsia="zh-CN"/>
              </w:rPr>
              <w:fldChar w:fldCharType="end"/>
            </w:r>
          </w:p>
        </w:tc>
        <w:tc>
          <w:tcPr>
            <w:tcW w:w="8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w:t>
            </w:r>
          </w:p>
        </w:tc>
      </w:tr>
    </w:tbl>
    <w:p>
      <w:pPr>
        <w:pStyle w:val="12"/>
        <w:keepNext w:val="0"/>
        <w:keepLines w:val="0"/>
        <w:pageBreakBefore w:val="0"/>
        <w:kinsoku/>
        <w:wordWrap/>
        <w:autoSpaceDE/>
        <w:autoSpaceDN/>
        <w:bidi w:val="0"/>
        <w:spacing w:line="600" w:lineRule="exact"/>
        <w:ind w:firstLine="634"/>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（二）基本支出情况</w:t>
      </w:r>
    </w:p>
    <w:p>
      <w:pPr>
        <w:keepNext w:val="0"/>
        <w:keepLines w:val="0"/>
        <w:pageBreakBefore w:val="0"/>
        <w:widowControl w:val="0"/>
        <w:kinsoku/>
        <w:wordWrap/>
        <w:overflowPunct/>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1.基本支出系保障本单位机构正常运转、完成日常工作任务而发生的各项支出，包括用于在职</w:t>
      </w:r>
      <w:r>
        <w:rPr>
          <w:rFonts w:hint="default" w:ascii="Times New Roman" w:hAnsi="Times New Roman" w:eastAsia="仿宋_GB2312" w:cs="Times New Roman"/>
          <w:sz w:val="32"/>
          <w:szCs w:val="32"/>
          <w:lang w:val="en-US" w:eastAsia="zh-CN"/>
        </w:rPr>
        <w:t>人员</w:t>
      </w:r>
      <w:r>
        <w:rPr>
          <w:rFonts w:hint="default" w:ascii="Times New Roman" w:hAnsi="Times New Roman" w:eastAsia="仿宋_GB2312" w:cs="Times New Roman"/>
          <w:sz w:val="32"/>
          <w:szCs w:val="32"/>
        </w:rPr>
        <w:t>基本工资、津贴补贴</w:t>
      </w:r>
      <w:r>
        <w:rPr>
          <w:rFonts w:hint="default" w:ascii="Times New Roman" w:hAnsi="Times New Roman" w:eastAsia="仿宋_GB2312" w:cs="Times New Roman"/>
          <w:sz w:val="32"/>
          <w:szCs w:val="32"/>
          <w:lang w:val="en-US" w:eastAsia="zh-CN"/>
        </w:rPr>
        <w:t>和社会保障费支出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离退休人员地方性补贴</w:t>
      </w:r>
      <w:r>
        <w:rPr>
          <w:rFonts w:hint="default" w:ascii="Times New Roman" w:hAnsi="Times New Roman" w:eastAsia="仿宋_GB2312" w:cs="Times New Roman"/>
          <w:sz w:val="32"/>
          <w:szCs w:val="32"/>
        </w:rPr>
        <w:t>等人员经费以及办公费、印刷费、水电费、</w:t>
      </w:r>
      <w:r>
        <w:rPr>
          <w:rFonts w:hint="default" w:ascii="Times New Roman" w:hAnsi="Times New Roman" w:eastAsia="仿宋_GB2312" w:cs="Times New Roman"/>
          <w:sz w:val="32"/>
          <w:szCs w:val="32"/>
          <w:lang w:val="en-US" w:eastAsia="zh-CN"/>
        </w:rPr>
        <w:t>物业费、</w:t>
      </w:r>
      <w:r>
        <w:rPr>
          <w:rFonts w:hint="default" w:ascii="Times New Roman" w:hAnsi="Times New Roman" w:eastAsia="仿宋_GB2312" w:cs="Times New Roman"/>
          <w:sz w:val="32"/>
          <w:szCs w:val="32"/>
        </w:rPr>
        <w:t>办公设备购置等日常公用经费。</w:t>
      </w:r>
    </w:p>
    <w:p>
      <w:pPr>
        <w:keepNext w:val="0"/>
        <w:keepLines w:val="0"/>
        <w:pageBreakBefore w:val="0"/>
        <w:widowControl w:val="0"/>
        <w:kinsoku/>
        <w:wordWrap/>
        <w:overflowPunct/>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年基本支出</w:t>
      </w:r>
      <w:r>
        <w:rPr>
          <w:rFonts w:hint="default" w:ascii="Times New Roman" w:hAnsi="Times New Roman" w:eastAsia="仿宋_GB2312" w:cs="Times New Roman"/>
          <w:sz w:val="32"/>
          <w:szCs w:val="32"/>
          <w:lang w:val="en-US" w:eastAsia="zh-CN"/>
        </w:rPr>
        <w:t>6</w:t>
      </w:r>
      <w:r>
        <w:rPr>
          <w:rFonts w:hint="eastAsia" w:cs="Times New Roman"/>
          <w:sz w:val="32"/>
          <w:szCs w:val="32"/>
          <w:lang w:val="en-US" w:eastAsia="zh-CN"/>
        </w:rPr>
        <w:t>87</w:t>
      </w:r>
      <w:r>
        <w:rPr>
          <w:rFonts w:hint="default" w:ascii="Times New Roman" w:hAnsi="Times New Roman" w:eastAsia="仿宋_GB2312" w:cs="Times New Roman"/>
          <w:sz w:val="32"/>
          <w:szCs w:val="32"/>
          <w:lang w:val="en-US" w:eastAsia="zh-CN"/>
        </w:rPr>
        <w:t>9.35</w:t>
      </w:r>
      <w:r>
        <w:rPr>
          <w:rFonts w:hint="default" w:ascii="Times New Roman" w:hAnsi="Times New Roman" w:eastAsia="仿宋_GB2312" w:cs="Times New Roman"/>
          <w:sz w:val="32"/>
          <w:szCs w:val="32"/>
        </w:rPr>
        <w:t>万元，其中工资福利支出</w:t>
      </w:r>
      <w:r>
        <w:rPr>
          <w:rFonts w:hint="eastAsia" w:cs="Times New Roman"/>
          <w:sz w:val="32"/>
          <w:szCs w:val="32"/>
          <w:lang w:val="en-US" w:eastAsia="zh-CN"/>
        </w:rPr>
        <w:t>4881.98</w:t>
      </w:r>
      <w:r>
        <w:rPr>
          <w:rFonts w:hint="default" w:ascii="Times New Roman" w:hAnsi="Times New Roman" w:eastAsia="仿宋_GB2312" w:cs="Times New Roman"/>
          <w:sz w:val="32"/>
          <w:szCs w:val="32"/>
        </w:rPr>
        <w:t>万元、一般商品和服务支出</w:t>
      </w:r>
      <w:r>
        <w:rPr>
          <w:rFonts w:hint="eastAsia" w:cs="Times New Roman"/>
          <w:sz w:val="32"/>
          <w:szCs w:val="32"/>
          <w:lang w:val="en-US" w:eastAsia="zh-CN"/>
        </w:rPr>
        <w:t>1148.34</w:t>
      </w:r>
      <w:r>
        <w:rPr>
          <w:rFonts w:hint="default" w:ascii="Times New Roman" w:hAnsi="Times New Roman" w:eastAsia="仿宋_GB2312" w:cs="Times New Roman"/>
          <w:sz w:val="32"/>
          <w:szCs w:val="32"/>
        </w:rPr>
        <w:t>万元、对个人和家庭的补助</w:t>
      </w:r>
      <w:r>
        <w:rPr>
          <w:rFonts w:hint="default" w:ascii="Times New Roman" w:hAnsi="Times New Roman" w:eastAsia="仿宋_GB2312" w:cs="Times New Roman"/>
          <w:sz w:val="32"/>
          <w:szCs w:val="32"/>
          <w:lang w:val="en-US" w:eastAsia="zh-CN"/>
        </w:rPr>
        <w:t>849.0</w:t>
      </w:r>
      <w:r>
        <w:rPr>
          <w:rFonts w:hint="eastAsia" w:cs="Times New Roman"/>
          <w:sz w:val="32"/>
          <w:szCs w:val="32"/>
          <w:lang w:val="en-US" w:eastAsia="zh-CN"/>
        </w:rPr>
        <w:t>3</w:t>
      </w:r>
      <w:r>
        <w:rPr>
          <w:rFonts w:hint="default" w:ascii="Times New Roman" w:hAnsi="Times New Roman" w:eastAsia="仿宋_GB2312" w:cs="Times New Roman"/>
          <w:sz w:val="32"/>
          <w:szCs w:val="32"/>
        </w:rPr>
        <w:t>万元。</w:t>
      </w:r>
    </w:p>
    <w:p>
      <w:pPr>
        <w:keepNext w:val="0"/>
        <w:keepLines w:val="0"/>
        <w:pageBreakBefore w:val="0"/>
        <w:widowControl w:val="0"/>
        <w:kinsoku/>
        <w:wordWrap/>
        <w:overflowPunct/>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“三公经费”使</w:t>
      </w:r>
      <w:r>
        <w:rPr>
          <w:rFonts w:hint="default" w:ascii="Times New Roman" w:hAnsi="Times New Roman" w:eastAsia="仿宋_GB2312" w:cs="Times New Roman"/>
          <w:sz w:val="32"/>
          <w:szCs w:val="32"/>
        </w:rPr>
        <w:t>用情况</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本单位坚持厉行节约、反对</w:t>
      </w:r>
      <w:r>
        <w:rPr>
          <w:rFonts w:hint="eastAsia" w:ascii="仿宋_GB2312" w:hAnsi="仿宋_GB2312" w:eastAsia="仿宋_GB2312" w:cs="仿宋_GB2312"/>
          <w:sz w:val="32"/>
          <w:szCs w:val="32"/>
          <w:lang w:val="en-US" w:eastAsia="zh-CN"/>
        </w:rPr>
        <w:t>铺张</w:t>
      </w:r>
      <w:r>
        <w:rPr>
          <w:rFonts w:hint="eastAsia" w:ascii="仿宋_GB2312" w:hAnsi="仿宋_GB2312" w:eastAsia="仿宋_GB2312" w:cs="仿宋_GB2312"/>
          <w:sz w:val="32"/>
          <w:szCs w:val="32"/>
        </w:rPr>
        <w:t>浪费的原则，严控公务接待、公务用车标准，坚决做到“三公经费”预算只减不增，严格执行压减一般行政性支出的规定，经费开支手续齐全，管理规范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并取得了良好的效果。</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度</w:t>
      </w:r>
      <w:r>
        <w:rPr>
          <w:rFonts w:hint="eastAsia" w:ascii="仿宋_GB2312" w:hAnsi="仿宋_GB2312" w:eastAsia="仿宋_GB2312" w:cs="仿宋_GB2312"/>
          <w:sz w:val="32"/>
          <w:szCs w:val="32"/>
        </w:rPr>
        <w:t>“三公”经费支</w:t>
      </w:r>
      <w:r>
        <w:rPr>
          <w:rFonts w:hint="eastAsia" w:ascii="Times New Roman" w:hAnsi="Times New Roman" w:eastAsia="仿宋_GB2312" w:cs="Times New Roman"/>
          <w:sz w:val="32"/>
          <w:szCs w:val="32"/>
          <w:lang w:eastAsia="zh-CN"/>
        </w:rPr>
        <w:t>出预算数为</w:t>
      </w:r>
      <w:r>
        <w:rPr>
          <w:rFonts w:hint="eastAsia" w:ascii="Times New Roman" w:hAnsi="Times New Roman" w:eastAsia="仿宋_GB2312" w:cs="Times New Roman"/>
          <w:sz w:val="32"/>
          <w:szCs w:val="32"/>
          <w:lang w:val="en-US" w:eastAsia="zh-CN"/>
        </w:rPr>
        <w:t>99.51</w:t>
      </w:r>
      <w:r>
        <w:rPr>
          <w:rFonts w:hint="eastAsia" w:ascii="Times New Roman" w:hAnsi="Times New Roman" w:eastAsia="仿宋_GB2312" w:cs="Times New Roman"/>
          <w:sz w:val="32"/>
          <w:szCs w:val="32"/>
          <w:lang w:eastAsia="zh-CN"/>
        </w:rPr>
        <w:t>万元，决算数为</w:t>
      </w:r>
      <w:r>
        <w:rPr>
          <w:rFonts w:hint="eastAsia" w:ascii="Times New Roman" w:hAnsi="Times New Roman" w:eastAsia="仿宋_GB2312" w:cs="Times New Roman"/>
          <w:sz w:val="32"/>
          <w:szCs w:val="32"/>
          <w:lang w:val="en-US" w:eastAsia="zh-CN"/>
        </w:rPr>
        <w:t>46.82</w:t>
      </w:r>
      <w:r>
        <w:rPr>
          <w:rFonts w:hint="eastAsia" w:ascii="Times New Roman" w:hAnsi="Times New Roman" w:eastAsia="仿宋_GB2312" w:cs="Times New Roman"/>
          <w:sz w:val="32"/>
          <w:szCs w:val="32"/>
          <w:lang w:eastAsia="zh-CN"/>
        </w:rPr>
        <w:t>万元，为年初预算的</w:t>
      </w:r>
      <w:r>
        <w:rPr>
          <w:rFonts w:hint="eastAsia" w:ascii="Times New Roman" w:hAnsi="Times New Roman" w:eastAsia="仿宋_GB2312" w:cs="Times New Roman"/>
          <w:sz w:val="32"/>
          <w:szCs w:val="32"/>
          <w:lang w:val="en-US" w:eastAsia="zh-CN"/>
        </w:rPr>
        <w:t>47.05</w:t>
      </w:r>
      <w:r>
        <w:rPr>
          <w:rFonts w:hint="eastAsia" w:ascii="Times New Roman" w:hAnsi="Times New Roman" w:eastAsia="仿宋_GB2312" w:cs="Times New Roman"/>
          <w:sz w:val="32"/>
          <w:szCs w:val="32"/>
          <w:lang w:eastAsia="zh-CN"/>
        </w:rPr>
        <w:t>%，其中：</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（1）公务接待费支出</w:t>
      </w:r>
      <w:r>
        <w:rPr>
          <w:rFonts w:hint="eastAsia" w:ascii="Times New Roman" w:hAnsi="Times New Roman" w:eastAsia="仿宋_GB2312" w:cs="Times New Roman"/>
          <w:sz w:val="32"/>
          <w:szCs w:val="32"/>
          <w:lang w:val="en-US" w:eastAsia="zh-CN"/>
        </w:rPr>
        <w:t>10.83</w:t>
      </w:r>
      <w:r>
        <w:rPr>
          <w:rFonts w:hint="eastAsia" w:ascii="Times New Roman" w:hAnsi="Times New Roman" w:eastAsia="仿宋_GB2312" w:cs="Times New Roman"/>
          <w:sz w:val="32"/>
          <w:szCs w:val="32"/>
          <w:lang w:eastAsia="zh-CN"/>
        </w:rPr>
        <w:t>万元，为年初预算</w:t>
      </w:r>
      <w:r>
        <w:rPr>
          <w:rFonts w:hint="eastAsia" w:ascii="Times New Roman" w:hAnsi="Times New Roman" w:eastAsia="仿宋_GB2312" w:cs="Times New Roman"/>
          <w:sz w:val="32"/>
          <w:szCs w:val="32"/>
          <w:lang w:val="en-US" w:eastAsia="zh-CN"/>
        </w:rPr>
        <w:t>23.51</w:t>
      </w:r>
      <w:r>
        <w:rPr>
          <w:rFonts w:hint="eastAsia" w:ascii="Times New Roman" w:hAnsi="Times New Roman" w:eastAsia="仿宋_GB2312" w:cs="Times New Roman"/>
          <w:sz w:val="32"/>
          <w:szCs w:val="32"/>
          <w:lang w:eastAsia="zh-CN"/>
        </w:rPr>
        <w:t>万元的</w:t>
      </w:r>
      <w:r>
        <w:rPr>
          <w:rFonts w:hint="eastAsia" w:ascii="Times New Roman" w:hAnsi="Times New Roman" w:eastAsia="仿宋_GB2312" w:cs="Times New Roman"/>
          <w:sz w:val="32"/>
          <w:szCs w:val="32"/>
          <w:lang w:val="en-US" w:eastAsia="zh-CN"/>
        </w:rPr>
        <w:t>46.07</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（2）因公出国（境）本年预算数和执行数均为0。</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（3）公务用车运行维护费支出</w:t>
      </w:r>
      <w:r>
        <w:rPr>
          <w:rFonts w:hint="eastAsia" w:ascii="Times New Roman" w:hAnsi="Times New Roman" w:eastAsia="仿宋_GB2312" w:cs="Times New Roman"/>
          <w:sz w:val="32"/>
          <w:szCs w:val="32"/>
          <w:lang w:val="en-US" w:eastAsia="zh-CN"/>
        </w:rPr>
        <w:t>35.99</w:t>
      </w:r>
      <w:r>
        <w:rPr>
          <w:rFonts w:hint="eastAsia" w:ascii="Times New Roman" w:hAnsi="Times New Roman" w:eastAsia="仿宋_GB2312" w:cs="Times New Roman"/>
          <w:sz w:val="32"/>
          <w:szCs w:val="32"/>
          <w:lang w:eastAsia="zh-CN"/>
        </w:rPr>
        <w:t>万元，为年初预算</w:t>
      </w:r>
      <w:r>
        <w:rPr>
          <w:rFonts w:hint="eastAsia" w:ascii="Times New Roman" w:hAnsi="Times New Roman" w:eastAsia="仿宋_GB2312" w:cs="Times New Roman"/>
          <w:sz w:val="32"/>
          <w:szCs w:val="32"/>
          <w:lang w:val="en-US" w:eastAsia="zh-CN"/>
        </w:rPr>
        <w:t>76</w:t>
      </w:r>
      <w:r>
        <w:rPr>
          <w:rFonts w:hint="eastAsia" w:ascii="Times New Roman" w:hAnsi="Times New Roman" w:eastAsia="仿宋_GB2312" w:cs="Times New Roman"/>
          <w:sz w:val="32"/>
          <w:szCs w:val="32"/>
          <w:lang w:eastAsia="zh-CN"/>
        </w:rPr>
        <w:t>万元的</w:t>
      </w:r>
      <w:r>
        <w:rPr>
          <w:rFonts w:hint="eastAsia" w:ascii="Times New Roman" w:hAnsi="Times New Roman" w:eastAsia="仿宋_GB2312" w:cs="Times New Roman"/>
          <w:sz w:val="32"/>
          <w:szCs w:val="32"/>
          <w:lang w:val="en-US" w:eastAsia="zh-CN"/>
        </w:rPr>
        <w:t>47.36</w:t>
      </w:r>
      <w:r>
        <w:rPr>
          <w:rFonts w:hint="eastAsia" w:ascii="Times New Roman" w:hAnsi="Times New Roman" w:eastAsia="仿宋_GB2312" w:cs="Times New Roman"/>
          <w:sz w:val="32"/>
          <w:szCs w:val="32"/>
          <w:lang w:eastAsia="zh-CN"/>
        </w:rPr>
        <w:t>%。</w:t>
      </w:r>
    </w:p>
    <w:p>
      <w:pPr>
        <w:keepNext w:val="0"/>
        <w:keepLines w:val="0"/>
        <w:pageBreakBefore w:val="0"/>
        <w:kinsoku/>
        <w:wordWrap/>
        <w:autoSpaceDE/>
        <w:autoSpaceDN/>
        <w:bidi w:val="0"/>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项目支出情况</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仿宋_GB2312" w:hAnsi="仿宋_GB2312" w:eastAsia="仿宋_GB2312" w:cs="仿宋_GB2312"/>
          <w:sz w:val="32"/>
          <w:szCs w:val="32"/>
        </w:rPr>
        <w:t>项目支出系本单位为完成特定行政工作任务或事业发展目标而发生的支出，包括</w:t>
      </w:r>
      <w:r>
        <w:rPr>
          <w:rFonts w:hint="eastAsia" w:ascii="仿宋_GB2312" w:hAnsi="仿宋_GB2312" w:eastAsia="仿宋_GB2312" w:cs="仿宋_GB2312"/>
          <w:sz w:val="32"/>
          <w:szCs w:val="32"/>
          <w:lang w:val="en-US" w:eastAsia="zh-CN"/>
        </w:rPr>
        <w:t>本级专项工作经费和</w:t>
      </w:r>
      <w:r>
        <w:rPr>
          <w:rFonts w:hint="eastAsia" w:ascii="仿宋_GB2312" w:hAnsi="仿宋_GB2312" w:eastAsia="仿宋_GB2312" w:cs="仿宋_GB2312"/>
          <w:sz w:val="32"/>
          <w:szCs w:val="32"/>
        </w:rPr>
        <w:t>业务工作经费。</w:t>
      </w:r>
      <w:r>
        <w:rPr>
          <w:rFonts w:hint="eastAsia" w:ascii="仿宋_GB2312" w:hAnsi="仿宋_GB2312" w:eastAsia="仿宋_GB2312" w:cs="仿宋_GB2312"/>
          <w:sz w:val="32"/>
          <w:szCs w:val="32"/>
          <w:lang w:val="en-US" w:eastAsia="zh-CN"/>
        </w:rPr>
        <w:t>本级专项</w:t>
      </w:r>
      <w:r>
        <w:rPr>
          <w:rFonts w:hint="eastAsia" w:ascii="仿宋_GB2312" w:hAnsi="仿宋_GB2312" w:eastAsia="仿宋_GB2312" w:cs="仿宋_GB2312"/>
          <w:sz w:val="32"/>
          <w:szCs w:val="32"/>
        </w:rPr>
        <w:t>工作经费支出主要用于市场监督管理，登记注册，</w:t>
      </w:r>
      <w:r>
        <w:rPr>
          <w:rFonts w:hint="eastAsia" w:ascii="仿宋_GB2312" w:hAnsi="仿宋_GB2312" w:eastAsia="仿宋_GB2312" w:cs="仿宋_GB2312"/>
          <w:sz w:val="32"/>
          <w:szCs w:val="32"/>
          <w:lang w:val="en-US" w:eastAsia="zh-CN"/>
        </w:rPr>
        <w:t>信用监管，广告监管，反不正当竞争、反垄断监管，网络监管，价格监管，打击传销，法治建设，综合</w:t>
      </w:r>
      <w:r>
        <w:rPr>
          <w:rFonts w:hint="eastAsia" w:ascii="仿宋_GB2312" w:hAnsi="仿宋_GB2312" w:eastAsia="仿宋_GB2312" w:cs="仿宋_GB2312"/>
          <w:sz w:val="32"/>
          <w:szCs w:val="32"/>
        </w:rPr>
        <w:t>执法，消费者权益保护，质量强市，产品质量监管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计量监管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标准化战略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特种设备监管，认证认可监管，知识产权维持与保护、知识产权战略，食品、保健品、化妆品、药品、医疗器械等监管、检测，</w:t>
      </w:r>
      <w:r>
        <w:rPr>
          <w:rFonts w:hint="eastAsia" w:ascii="仿宋_GB2312" w:hAnsi="仿宋_GB2312" w:eastAsia="仿宋_GB2312" w:cs="仿宋_GB2312"/>
          <w:sz w:val="32"/>
          <w:szCs w:val="32"/>
          <w:lang w:val="en-US" w:eastAsia="zh-CN"/>
        </w:rPr>
        <w:t>检验检测能力提升等支出，</w:t>
      </w:r>
      <w:r>
        <w:rPr>
          <w:rFonts w:hint="eastAsia" w:ascii="仿宋_GB2312" w:hAnsi="仿宋_GB2312" w:eastAsia="仿宋_GB2312" w:cs="仿宋_GB2312"/>
          <w:sz w:val="32"/>
          <w:szCs w:val="32"/>
        </w:rPr>
        <w:t>其他市场行政管理事务支出主要用于市场监督管理系统信息网络建设</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维护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上级部署的其他市场监管相关工作</w:t>
      </w:r>
      <w:r>
        <w:rPr>
          <w:rFonts w:hint="eastAsia" w:ascii="仿宋_GB2312" w:hAnsi="仿宋_GB2312" w:eastAsia="仿宋_GB2312" w:cs="仿宋_GB2312"/>
          <w:sz w:val="32"/>
          <w:szCs w:val="32"/>
        </w:rPr>
        <w:t>等方面等</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业务工作经费</w:t>
      </w:r>
      <w:r>
        <w:rPr>
          <w:rFonts w:hint="eastAsia" w:ascii="仿宋_GB2312" w:hAnsi="仿宋_GB2312" w:eastAsia="仿宋_GB2312" w:cs="仿宋_GB2312"/>
          <w:sz w:val="32"/>
          <w:szCs w:val="32"/>
        </w:rPr>
        <w:t>支出主要用</w:t>
      </w:r>
      <w:r>
        <w:rPr>
          <w:rFonts w:hint="eastAsia" w:ascii="Times New Roman" w:hAnsi="Times New Roman" w:eastAsia="仿宋_GB2312" w:cs="Times New Roman"/>
          <w:sz w:val="32"/>
          <w:szCs w:val="32"/>
          <w:lang w:eastAsia="zh-CN"/>
        </w:rPr>
        <w:t>于</w:t>
      </w:r>
      <w:r>
        <w:rPr>
          <w:rFonts w:hint="eastAsia" w:ascii="Times New Roman" w:hAnsi="Times New Roman" w:eastAsia="仿宋_GB2312" w:cs="Times New Roman"/>
          <w:sz w:val="32"/>
          <w:szCs w:val="32"/>
          <w:lang w:val="en-US" w:eastAsia="zh-CN"/>
        </w:rPr>
        <w:t>所属二级机构一般业务工作支出</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年项目支出</w:t>
      </w:r>
      <w:r>
        <w:rPr>
          <w:rFonts w:hint="eastAsia" w:ascii="Times New Roman" w:hAnsi="Times New Roman" w:eastAsia="仿宋_GB2312" w:cs="Times New Roman"/>
          <w:sz w:val="32"/>
          <w:szCs w:val="32"/>
          <w:lang w:val="en-US" w:eastAsia="zh-CN"/>
        </w:rPr>
        <w:t>1926.04</w:t>
      </w:r>
      <w:r>
        <w:rPr>
          <w:rFonts w:hint="eastAsia" w:ascii="Times New Roman" w:hAnsi="Times New Roman" w:eastAsia="仿宋_GB2312" w:cs="Times New Roman"/>
          <w:sz w:val="32"/>
          <w:szCs w:val="32"/>
          <w:lang w:eastAsia="zh-CN"/>
        </w:rPr>
        <w:t>万元，其中商品和服务支出</w:t>
      </w:r>
      <w:r>
        <w:rPr>
          <w:rFonts w:hint="eastAsia" w:ascii="Times New Roman" w:hAnsi="Times New Roman" w:eastAsia="仿宋_GB2312" w:cs="Times New Roman"/>
          <w:sz w:val="32"/>
          <w:szCs w:val="32"/>
          <w:lang w:val="en-US" w:eastAsia="zh-CN"/>
        </w:rPr>
        <w:t>1237.1</w:t>
      </w:r>
      <w:r>
        <w:rPr>
          <w:rFonts w:hint="eastAsia" w:ascii="Times New Roman" w:hAnsi="Times New Roman" w:eastAsia="仿宋_GB2312" w:cs="Times New Roman"/>
          <w:sz w:val="32"/>
          <w:szCs w:val="32"/>
          <w:lang w:eastAsia="zh-CN"/>
        </w:rPr>
        <w:t>万元，其他类资本性支出</w:t>
      </w:r>
      <w:r>
        <w:rPr>
          <w:rFonts w:hint="eastAsia" w:ascii="Times New Roman" w:hAnsi="Times New Roman" w:eastAsia="仿宋_GB2312" w:cs="Times New Roman"/>
          <w:sz w:val="32"/>
          <w:szCs w:val="32"/>
          <w:lang w:val="en-US" w:eastAsia="zh-CN"/>
        </w:rPr>
        <w:t>688.94</w:t>
      </w:r>
      <w:r>
        <w:rPr>
          <w:rFonts w:hint="eastAsia" w:ascii="Times New Roman" w:hAnsi="Times New Roman" w:eastAsia="仿宋_GB2312" w:cs="Times New Roman"/>
          <w:sz w:val="32"/>
          <w:szCs w:val="32"/>
          <w:lang w:eastAsia="zh-CN"/>
        </w:rPr>
        <w:t>万元。</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年度本单位市级专项有市场监督管理专项、药品医疗器械监管专项、质量基础与安全监督专项、知识产权战略专项、食品安全监管专项</w:t>
      </w:r>
      <w:r>
        <w:rPr>
          <w:rFonts w:hint="eastAsia" w:ascii="Times New Roman" w:hAnsi="Times New Roman" w:eastAsia="仿宋_GB2312" w:cs="Times New Roman"/>
          <w:sz w:val="32"/>
          <w:szCs w:val="32"/>
          <w:lang w:val="en-US" w:eastAsia="zh-CN"/>
        </w:rPr>
        <w:t>及电容器国检中心筹建经费等6</w:t>
      </w:r>
      <w:r>
        <w:rPr>
          <w:rFonts w:hint="eastAsia" w:ascii="Times New Roman" w:hAnsi="Times New Roman" w:eastAsia="仿宋_GB2312" w:cs="Times New Roman"/>
          <w:sz w:val="32"/>
          <w:szCs w:val="32"/>
          <w:lang w:eastAsia="zh-CN"/>
        </w:rPr>
        <w:t>个。</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eastAsia="zh-CN"/>
        </w:rPr>
        <w:t>（1）202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年共有市场监督管理专项资金</w:t>
      </w:r>
      <w:r>
        <w:rPr>
          <w:rFonts w:hint="eastAsia" w:ascii="Times New Roman" w:hAnsi="Times New Roman" w:eastAsia="仿宋_GB2312" w:cs="Times New Roman"/>
          <w:sz w:val="32"/>
          <w:szCs w:val="32"/>
          <w:lang w:val="en-US" w:eastAsia="zh-CN"/>
        </w:rPr>
        <w:t>338.72</w:t>
      </w:r>
      <w:r>
        <w:rPr>
          <w:rFonts w:hint="eastAsia" w:ascii="Times New Roman" w:hAnsi="Times New Roman" w:eastAsia="仿宋_GB2312" w:cs="Times New Roman"/>
          <w:sz w:val="32"/>
          <w:szCs w:val="32"/>
          <w:lang w:eastAsia="zh-CN"/>
        </w:rPr>
        <w:t>万元，其中</w:t>
      </w:r>
      <w:r>
        <w:rPr>
          <w:rFonts w:hint="eastAsia" w:ascii="Times New Roman" w:hAnsi="Times New Roman" w:eastAsia="仿宋_GB2312" w:cs="Times New Roman"/>
          <w:sz w:val="32"/>
          <w:szCs w:val="32"/>
          <w:lang w:val="en-US" w:eastAsia="zh-CN"/>
        </w:rPr>
        <w:t>公共财政</w:t>
      </w:r>
      <w:r>
        <w:rPr>
          <w:rFonts w:hint="eastAsia" w:ascii="Times New Roman" w:hAnsi="Times New Roman" w:eastAsia="仿宋_GB2312" w:cs="Times New Roman"/>
          <w:sz w:val="32"/>
          <w:szCs w:val="32"/>
          <w:lang w:eastAsia="zh-CN"/>
        </w:rPr>
        <w:t>预算资金</w:t>
      </w:r>
      <w:r>
        <w:rPr>
          <w:rFonts w:hint="eastAsia" w:ascii="Times New Roman" w:hAnsi="Times New Roman" w:eastAsia="仿宋_GB2312" w:cs="Times New Roman"/>
          <w:sz w:val="32"/>
          <w:szCs w:val="32"/>
          <w:lang w:val="en-US" w:eastAsia="zh-CN"/>
        </w:rPr>
        <w:t>66.75万元，纳入预算管理的非税收入</w:t>
      </w:r>
      <w:r>
        <w:rPr>
          <w:rFonts w:hint="eastAsia" w:ascii="仿宋_GB2312" w:hAnsi="仿宋_GB2312" w:eastAsia="仿宋_GB2312" w:cs="仿宋_GB2312"/>
          <w:sz w:val="32"/>
          <w:szCs w:val="32"/>
          <w:lang w:val="en-US" w:eastAsia="zh-CN"/>
        </w:rPr>
        <w:t>拨款</w:t>
      </w:r>
      <w:r>
        <w:rPr>
          <w:rFonts w:hint="eastAsia" w:ascii="Times New Roman" w:hAnsi="Times New Roman" w:eastAsia="仿宋_GB2312" w:cs="Times New Roman"/>
          <w:sz w:val="32"/>
          <w:szCs w:val="32"/>
          <w:lang w:val="en-US" w:eastAsia="zh-CN"/>
        </w:rPr>
        <w:t>76.22</w:t>
      </w:r>
      <w:r>
        <w:rPr>
          <w:rFonts w:hint="eastAsia" w:ascii="Times New Roman" w:hAnsi="Times New Roman" w:eastAsia="仿宋_GB2312" w:cs="Times New Roman"/>
          <w:sz w:val="32"/>
          <w:szCs w:val="32"/>
          <w:lang w:eastAsia="zh-CN"/>
        </w:rPr>
        <w:t>万元，省级追加资金</w:t>
      </w:r>
      <w:r>
        <w:rPr>
          <w:rFonts w:hint="eastAsia" w:ascii="Times New Roman" w:hAnsi="Times New Roman" w:eastAsia="仿宋_GB2312" w:cs="Times New Roman"/>
          <w:sz w:val="32"/>
          <w:szCs w:val="32"/>
          <w:lang w:val="en-US" w:eastAsia="zh-CN"/>
        </w:rPr>
        <w:t>198.75</w:t>
      </w:r>
      <w:r>
        <w:rPr>
          <w:rFonts w:hint="eastAsia" w:ascii="Times New Roman" w:hAnsi="Times New Roman" w:eastAsia="仿宋_GB2312" w:cs="Times New Roman"/>
          <w:sz w:val="32"/>
          <w:szCs w:val="32"/>
          <w:lang w:eastAsia="zh-CN"/>
        </w:rPr>
        <w:t>万元，</w:t>
      </w:r>
      <w:r>
        <w:rPr>
          <w:rFonts w:hint="eastAsia" w:ascii="仿宋_GB2312" w:hAnsi="仿宋_GB2312" w:eastAsia="仿宋_GB2312" w:cs="仿宋_GB2312"/>
          <w:sz w:val="32"/>
          <w:szCs w:val="32"/>
        </w:rPr>
        <w:t>全部用于市场监督管理工作，主要包括深化</w:t>
      </w:r>
      <w:r>
        <w:rPr>
          <w:rFonts w:hint="eastAsia" w:ascii="仿宋_GB2312" w:hAnsi="仿宋_GB2312" w:eastAsia="仿宋_GB2312" w:cs="仿宋_GB2312"/>
          <w:sz w:val="32"/>
          <w:szCs w:val="32"/>
          <w:lang w:eastAsia="zh-CN"/>
        </w:rPr>
        <w:t>注册登记</w:t>
      </w:r>
      <w:r>
        <w:rPr>
          <w:rFonts w:hint="eastAsia" w:ascii="仿宋_GB2312" w:hAnsi="仿宋_GB2312" w:eastAsia="仿宋_GB2312" w:cs="仿宋_GB2312"/>
          <w:sz w:val="32"/>
          <w:szCs w:val="32"/>
        </w:rPr>
        <w:t>支出、企业信用监管及双随机一公开支出、商品与网络交易监管支出、广告监测监管支出、反垄断反不正当竞争支出、打击传销（含烟草市场整治）支出、价格监督支出、法制建设支出、消费者保护支出、</w:t>
      </w:r>
      <w:r>
        <w:rPr>
          <w:rFonts w:hint="eastAsia" w:ascii="仿宋_GB2312" w:hAnsi="仿宋_GB2312" w:eastAsia="仿宋_GB2312" w:cs="仿宋_GB2312"/>
          <w:sz w:val="32"/>
          <w:szCs w:val="32"/>
          <w:lang w:val="en-US" w:eastAsia="zh-CN"/>
        </w:rPr>
        <w:t>行政执法支出、检验检测能力提升</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智慧综合指挥中心网络建设项目</w:t>
      </w:r>
      <w:r>
        <w:rPr>
          <w:rFonts w:hint="eastAsia" w:ascii="仿宋_GB2312" w:hAnsi="仿宋_GB2312" w:eastAsia="仿宋_GB2312" w:cs="仿宋_GB2312"/>
          <w:sz w:val="32"/>
          <w:szCs w:val="32"/>
        </w:rPr>
        <w:t>等方面。</w:t>
      </w:r>
    </w:p>
    <w:p>
      <w:pPr>
        <w:keepNext w:val="0"/>
        <w:keepLines w:val="0"/>
        <w:pageBreakBefore w:val="0"/>
        <w:widowControl w:val="0"/>
        <w:kinsoku/>
        <w:wordWrap/>
        <w:overflowPunct/>
        <w:topLinePunct/>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eastAsia="zh-CN"/>
        </w:rPr>
        <w:t>（2）202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年共有药品医疗器械监管资金</w:t>
      </w:r>
      <w:r>
        <w:rPr>
          <w:rFonts w:hint="eastAsia" w:ascii="Times New Roman" w:hAnsi="Times New Roman" w:eastAsia="仿宋_GB2312" w:cs="Times New Roman"/>
          <w:sz w:val="32"/>
          <w:szCs w:val="32"/>
          <w:lang w:val="en-US" w:eastAsia="zh-CN"/>
        </w:rPr>
        <w:t>264.35</w:t>
      </w:r>
      <w:r>
        <w:rPr>
          <w:rFonts w:hint="eastAsia" w:ascii="Times New Roman" w:hAnsi="Times New Roman" w:eastAsia="仿宋_GB2312" w:cs="Times New Roman"/>
          <w:sz w:val="32"/>
          <w:szCs w:val="32"/>
          <w:lang w:eastAsia="zh-CN"/>
        </w:rPr>
        <w:t>万元，其中年初预算资金</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中央和</w:t>
      </w:r>
      <w:r>
        <w:rPr>
          <w:rFonts w:hint="eastAsia" w:ascii="Times New Roman" w:hAnsi="Times New Roman" w:eastAsia="仿宋_GB2312" w:cs="Times New Roman"/>
          <w:sz w:val="32"/>
          <w:szCs w:val="32"/>
          <w:lang w:eastAsia="zh-CN"/>
        </w:rPr>
        <w:t>省级追加</w:t>
      </w:r>
      <w:r>
        <w:rPr>
          <w:rFonts w:hint="eastAsia" w:ascii="Times New Roman" w:hAnsi="Times New Roman" w:eastAsia="仿宋_GB2312" w:cs="Times New Roman"/>
          <w:sz w:val="32"/>
          <w:szCs w:val="32"/>
          <w:lang w:val="en-US" w:eastAsia="zh-CN"/>
        </w:rPr>
        <w:t>专项</w:t>
      </w:r>
      <w:r>
        <w:rPr>
          <w:rFonts w:hint="eastAsia" w:ascii="Times New Roman" w:hAnsi="Times New Roman" w:eastAsia="仿宋_GB2312" w:cs="Times New Roman"/>
          <w:sz w:val="32"/>
          <w:szCs w:val="32"/>
          <w:lang w:eastAsia="zh-CN"/>
        </w:rPr>
        <w:t>资金</w:t>
      </w:r>
      <w:r>
        <w:rPr>
          <w:rFonts w:hint="eastAsia" w:ascii="Times New Roman" w:hAnsi="Times New Roman" w:eastAsia="仿宋_GB2312" w:cs="Times New Roman"/>
          <w:sz w:val="32"/>
          <w:szCs w:val="32"/>
          <w:lang w:val="en-US" w:eastAsia="zh-CN"/>
        </w:rPr>
        <w:t>240.35</w:t>
      </w:r>
      <w:r>
        <w:rPr>
          <w:rFonts w:hint="eastAsia" w:ascii="Times New Roman" w:hAnsi="Times New Roman" w:eastAsia="仿宋_GB2312" w:cs="Times New Roman"/>
          <w:sz w:val="32"/>
          <w:szCs w:val="32"/>
          <w:lang w:eastAsia="zh-CN"/>
        </w:rPr>
        <w:t>万元，全部用于药品医疗器械监管工作，主</w:t>
      </w:r>
      <w:r>
        <w:rPr>
          <w:rFonts w:hint="eastAsia" w:ascii="仿宋_GB2312" w:hAnsi="仿宋_GB2312" w:eastAsia="仿宋_GB2312" w:cs="仿宋_GB2312"/>
          <w:sz w:val="32"/>
          <w:szCs w:val="32"/>
        </w:rPr>
        <w:t>要包括药品（含中药、民族药，下同）、医疗器械、化妆品标准管理、质量管理和安全监督管理和抽检支出；依法组织查处药品、医疗器械、化妆品经营、使用环节违法违规行为支出；监督实施药品、医疗器械、化妆品标准和分类管理制度支出；监督实施药品、医疗器械、化妆品经营质量管理规范支出；药品不良反应、医疗器械不良事件和化妆品不良反应的监测、评价和处置支出</w:t>
      </w:r>
      <w:r>
        <w:rPr>
          <w:rFonts w:hint="eastAsia" w:ascii="仿宋_GB2312" w:hAnsi="仿宋_GB2312" w:eastAsia="仿宋_GB2312" w:cs="仿宋_GB2312"/>
          <w:sz w:val="32"/>
          <w:szCs w:val="32"/>
          <w:lang w:val="en-US" w:eastAsia="zh-CN"/>
        </w:rPr>
        <w:t>以及食药检所的药械化检验、中药材标准修订等支出。</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（3）202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年共有质量监管专项</w:t>
      </w:r>
      <w:r>
        <w:rPr>
          <w:rFonts w:hint="eastAsia" w:ascii="Times New Roman" w:hAnsi="Times New Roman" w:eastAsia="仿宋_GB2312" w:cs="Times New Roman"/>
          <w:sz w:val="32"/>
          <w:szCs w:val="32"/>
          <w:lang w:val="en-US" w:eastAsia="zh-CN"/>
        </w:rPr>
        <w:t>80.57</w:t>
      </w:r>
      <w:r>
        <w:rPr>
          <w:rFonts w:hint="eastAsia" w:ascii="Times New Roman" w:hAnsi="Times New Roman" w:eastAsia="仿宋_GB2312" w:cs="Times New Roman"/>
          <w:sz w:val="32"/>
          <w:szCs w:val="32"/>
          <w:lang w:eastAsia="zh-CN"/>
        </w:rPr>
        <w:t>万元，其中年初</w:t>
      </w:r>
      <w:r>
        <w:rPr>
          <w:rFonts w:hint="eastAsia" w:ascii="Times New Roman" w:hAnsi="Times New Roman" w:eastAsia="仿宋_GB2312" w:cs="Times New Roman"/>
          <w:sz w:val="32"/>
          <w:szCs w:val="32"/>
          <w:lang w:val="en-US" w:eastAsia="zh-CN"/>
        </w:rPr>
        <w:t>公共</w:t>
      </w:r>
      <w:r>
        <w:rPr>
          <w:rFonts w:hint="eastAsia" w:ascii="Times New Roman" w:hAnsi="Times New Roman" w:eastAsia="仿宋_GB2312" w:cs="Times New Roman"/>
          <w:sz w:val="32"/>
          <w:szCs w:val="32"/>
          <w:lang w:eastAsia="zh-CN"/>
        </w:rPr>
        <w:t>财政拨款预算资金</w:t>
      </w:r>
      <w:r>
        <w:rPr>
          <w:rFonts w:hint="eastAsia" w:ascii="Times New Roman" w:hAnsi="Times New Roman" w:eastAsia="仿宋_GB2312" w:cs="Times New Roman"/>
          <w:sz w:val="32"/>
          <w:szCs w:val="32"/>
          <w:lang w:val="en-US" w:eastAsia="zh-CN"/>
        </w:rPr>
        <w:t>49</w:t>
      </w:r>
      <w:r>
        <w:rPr>
          <w:rFonts w:hint="eastAsia" w:ascii="Times New Roman" w:hAnsi="Times New Roman" w:eastAsia="仿宋_GB2312" w:cs="Times New Roman"/>
          <w:sz w:val="32"/>
          <w:szCs w:val="32"/>
          <w:lang w:eastAsia="zh-CN"/>
        </w:rPr>
        <w:t>万元，省级追加资金</w:t>
      </w:r>
      <w:r>
        <w:rPr>
          <w:rFonts w:hint="eastAsia" w:ascii="Times New Roman" w:hAnsi="Times New Roman" w:eastAsia="仿宋_GB2312" w:cs="Times New Roman"/>
          <w:sz w:val="32"/>
          <w:szCs w:val="32"/>
          <w:lang w:val="en-US" w:eastAsia="zh-CN"/>
        </w:rPr>
        <w:t>31.57</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全部用于质量</w:t>
      </w:r>
      <w:r>
        <w:rPr>
          <w:rFonts w:hint="eastAsia" w:ascii="Times New Roman" w:hAnsi="Times New Roman" w:eastAsia="仿宋_GB2312" w:cs="Times New Roman"/>
          <w:sz w:val="32"/>
          <w:szCs w:val="32"/>
          <w:lang w:val="en-US" w:eastAsia="zh-CN"/>
        </w:rPr>
        <w:t>发展</w:t>
      </w:r>
      <w:r>
        <w:rPr>
          <w:rFonts w:hint="eastAsia" w:ascii="Times New Roman" w:hAnsi="Times New Roman" w:eastAsia="仿宋_GB2312" w:cs="Times New Roman"/>
          <w:sz w:val="32"/>
          <w:szCs w:val="32"/>
          <w:lang w:eastAsia="zh-CN"/>
        </w:rPr>
        <w:t>工作和质量安全监督管理工作。主要包括质量</w:t>
      </w:r>
      <w:r>
        <w:rPr>
          <w:rFonts w:hint="eastAsia" w:ascii="Times New Roman" w:hAnsi="Times New Roman" w:eastAsia="仿宋_GB2312" w:cs="Times New Roman"/>
          <w:sz w:val="32"/>
          <w:szCs w:val="32"/>
          <w:lang w:val="en-US" w:eastAsia="zh-CN"/>
        </w:rPr>
        <w:t>发展</w:t>
      </w:r>
      <w:r>
        <w:rPr>
          <w:rFonts w:hint="eastAsia" w:ascii="Times New Roman" w:hAnsi="Times New Roman" w:eastAsia="仿宋_GB2312" w:cs="Times New Roman"/>
          <w:sz w:val="32"/>
          <w:szCs w:val="32"/>
          <w:lang w:eastAsia="zh-CN"/>
        </w:rPr>
        <w:t>支出、计量经费支出、产商品质量抽查与风险监控支出、标准化战略支出、认证与认可监管支出等方面。</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eastAsia="zh-CN"/>
        </w:rPr>
        <w:t>（4）202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年共有知识产权战略经费</w:t>
      </w:r>
      <w:r>
        <w:rPr>
          <w:rFonts w:hint="eastAsia" w:ascii="Times New Roman" w:hAnsi="Times New Roman" w:eastAsia="仿宋_GB2312" w:cs="Times New Roman"/>
          <w:sz w:val="32"/>
          <w:szCs w:val="32"/>
          <w:lang w:val="en-US" w:eastAsia="zh-CN"/>
        </w:rPr>
        <w:t>182.5</w:t>
      </w:r>
      <w:r>
        <w:rPr>
          <w:rFonts w:hint="eastAsia" w:ascii="Times New Roman" w:hAnsi="Times New Roman" w:eastAsia="仿宋_GB2312" w:cs="Times New Roman"/>
          <w:sz w:val="32"/>
          <w:szCs w:val="32"/>
          <w:lang w:eastAsia="zh-CN"/>
        </w:rPr>
        <w:t>万元，其中年初预算资金</w:t>
      </w:r>
      <w:r>
        <w:rPr>
          <w:rFonts w:hint="eastAsia" w:ascii="Times New Roman" w:hAnsi="Times New Roman" w:eastAsia="仿宋_GB2312" w:cs="Times New Roman"/>
          <w:sz w:val="32"/>
          <w:szCs w:val="32"/>
          <w:lang w:val="en-US" w:eastAsia="zh-CN"/>
        </w:rPr>
        <w:t>12.5</w:t>
      </w:r>
      <w:r>
        <w:rPr>
          <w:rFonts w:hint="eastAsia" w:ascii="Times New Roman" w:hAnsi="Times New Roman" w:eastAsia="仿宋_GB2312" w:cs="Times New Roman"/>
          <w:sz w:val="32"/>
          <w:szCs w:val="32"/>
          <w:lang w:eastAsia="zh-CN"/>
        </w:rPr>
        <w:t>万元，省级追加资金</w:t>
      </w:r>
      <w:r>
        <w:rPr>
          <w:rFonts w:hint="eastAsia" w:ascii="Times New Roman" w:hAnsi="Times New Roman" w:eastAsia="仿宋_GB2312" w:cs="Times New Roman"/>
          <w:sz w:val="32"/>
          <w:szCs w:val="32"/>
          <w:lang w:val="en-US" w:eastAsia="zh-CN"/>
        </w:rPr>
        <w:t>170</w:t>
      </w:r>
      <w:r>
        <w:rPr>
          <w:rFonts w:hint="eastAsia" w:ascii="Times New Roman" w:hAnsi="Times New Roman" w:eastAsia="仿宋_GB2312" w:cs="Times New Roman"/>
          <w:sz w:val="32"/>
          <w:szCs w:val="32"/>
          <w:lang w:eastAsia="zh-CN"/>
        </w:rPr>
        <w:t>万元，主要用于专利权转化支出、发明专利授权资助含国防专利、向国外专利</w:t>
      </w:r>
      <w:r>
        <w:rPr>
          <w:rFonts w:hint="eastAsia" w:ascii="仿宋_GB2312" w:hAnsi="仿宋_GB2312" w:eastAsia="仿宋_GB2312" w:cs="仿宋_GB2312"/>
          <w:sz w:val="32"/>
          <w:szCs w:val="32"/>
        </w:rPr>
        <w:t>申请资助、湖南专利奖、专利权质押融资评估费补贴、马德里商标国际申请资助、注册地理标志商标资助；知识产权创造保护运用</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（5）202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年共有食品安全监管经费</w:t>
      </w:r>
      <w:r>
        <w:rPr>
          <w:rFonts w:hint="eastAsia" w:ascii="Times New Roman" w:hAnsi="Times New Roman" w:eastAsia="仿宋_GB2312" w:cs="Times New Roman"/>
          <w:sz w:val="32"/>
          <w:szCs w:val="32"/>
          <w:lang w:val="en-US" w:eastAsia="zh-CN"/>
        </w:rPr>
        <w:t>362.18</w:t>
      </w:r>
      <w:r>
        <w:rPr>
          <w:rFonts w:hint="eastAsia" w:ascii="Times New Roman" w:hAnsi="Times New Roman" w:eastAsia="仿宋_GB2312" w:cs="Times New Roman"/>
          <w:sz w:val="32"/>
          <w:szCs w:val="32"/>
          <w:lang w:eastAsia="zh-CN"/>
        </w:rPr>
        <w:t>万元，其中预算资金</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lang w:eastAsia="zh-CN"/>
        </w:rPr>
        <w:t>万元，省级追加资金</w:t>
      </w:r>
      <w:r>
        <w:rPr>
          <w:rFonts w:hint="eastAsia" w:ascii="Times New Roman" w:hAnsi="Times New Roman" w:eastAsia="仿宋_GB2312" w:cs="Times New Roman"/>
          <w:sz w:val="32"/>
          <w:szCs w:val="32"/>
          <w:lang w:val="en-US" w:eastAsia="zh-CN"/>
        </w:rPr>
        <w:t>56</w:t>
      </w:r>
      <w:r>
        <w:rPr>
          <w:rFonts w:hint="eastAsia" w:ascii="Times New Roman" w:hAnsi="Times New Roman" w:eastAsia="仿宋_GB2312" w:cs="Times New Roman"/>
          <w:sz w:val="32"/>
          <w:szCs w:val="32"/>
          <w:lang w:eastAsia="zh-CN"/>
        </w:rPr>
        <w:t>万元，市级食安专项追加</w:t>
      </w:r>
      <w:r>
        <w:rPr>
          <w:rFonts w:hint="eastAsia" w:ascii="Times New Roman" w:hAnsi="Times New Roman" w:eastAsia="仿宋_GB2312" w:cs="Times New Roman"/>
          <w:sz w:val="32"/>
          <w:szCs w:val="32"/>
          <w:lang w:val="en-US" w:eastAsia="zh-CN"/>
        </w:rPr>
        <w:t>282.18</w:t>
      </w:r>
      <w:r>
        <w:rPr>
          <w:rFonts w:hint="eastAsia" w:ascii="Times New Roman" w:hAnsi="Times New Roman" w:eastAsia="仿宋_GB2312" w:cs="Times New Roman"/>
          <w:sz w:val="32"/>
          <w:szCs w:val="32"/>
          <w:lang w:eastAsia="zh-CN"/>
        </w:rPr>
        <w:t>万元，主要用于食品安全监管、抽检、协调等方面。</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2024年共有电容器中心筹建经费353.27万元，全部为市级追加资金。主要用于电容器国检中心资质申报配套检验检测</w:t>
      </w:r>
      <w:r>
        <w:rPr>
          <w:rFonts w:hint="eastAsia" w:ascii="仿宋_GB2312" w:hAnsi="仿宋_GB2312" w:eastAsia="仿宋_GB2312" w:cs="仿宋_GB2312"/>
          <w:sz w:val="32"/>
          <w:szCs w:val="32"/>
          <w:lang w:val="en-US" w:eastAsia="zh-CN"/>
        </w:rPr>
        <w:t>和科研</w:t>
      </w:r>
      <w:r>
        <w:rPr>
          <w:rFonts w:hint="eastAsia" w:ascii="Times New Roman" w:hAnsi="Times New Roman" w:eastAsia="仿宋_GB2312" w:cs="Times New Roman"/>
          <w:sz w:val="32"/>
          <w:szCs w:val="32"/>
          <w:lang w:val="en-US" w:eastAsia="zh-CN"/>
        </w:rPr>
        <w:t>设备大型仪器设备480台（套）的采购，设备正在验收中。</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eastAsia="zh-CN"/>
        </w:rPr>
        <w:t>2.202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年度本单位</w:t>
      </w:r>
      <w:r>
        <w:rPr>
          <w:rFonts w:hint="eastAsia" w:ascii="Times New Roman" w:hAnsi="Times New Roman" w:eastAsia="仿宋_GB2312" w:cs="Times New Roman"/>
          <w:sz w:val="32"/>
          <w:szCs w:val="32"/>
          <w:lang w:val="en-US" w:eastAsia="zh-CN"/>
        </w:rPr>
        <w:t>其他</w:t>
      </w:r>
      <w:r>
        <w:rPr>
          <w:rFonts w:hint="eastAsia" w:ascii="Times New Roman" w:hAnsi="Times New Roman" w:eastAsia="仿宋_GB2312" w:cs="Times New Roman"/>
          <w:sz w:val="32"/>
          <w:szCs w:val="32"/>
          <w:lang w:eastAsia="zh-CN"/>
        </w:rPr>
        <w:t>项目经费</w:t>
      </w:r>
      <w:r>
        <w:rPr>
          <w:rFonts w:hint="eastAsia" w:ascii="Times New Roman" w:hAnsi="Times New Roman" w:eastAsia="仿宋_GB2312" w:cs="Times New Roman"/>
          <w:sz w:val="32"/>
          <w:szCs w:val="32"/>
          <w:lang w:val="en-US" w:eastAsia="zh-CN"/>
        </w:rPr>
        <w:t>344.45</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含省级追加资金114.85万元），</w:t>
      </w:r>
      <w:r>
        <w:rPr>
          <w:rFonts w:hint="eastAsia" w:ascii="Times New Roman" w:hAnsi="Times New Roman" w:eastAsia="仿宋_GB2312" w:cs="Times New Roman"/>
          <w:sz w:val="32"/>
          <w:szCs w:val="32"/>
          <w:lang w:eastAsia="zh-CN"/>
        </w:rPr>
        <w:t>其中：质量事业运用</w:t>
      </w:r>
      <w:r>
        <w:rPr>
          <w:rFonts w:hint="eastAsia" w:ascii="Times New Roman" w:hAnsi="Times New Roman" w:eastAsia="仿宋_GB2312" w:cs="Times New Roman"/>
          <w:sz w:val="32"/>
          <w:szCs w:val="32"/>
          <w:lang w:val="en-US" w:eastAsia="zh-CN"/>
        </w:rPr>
        <w:t>62.87</w:t>
      </w:r>
      <w:r>
        <w:rPr>
          <w:rFonts w:hint="eastAsia" w:ascii="Times New Roman" w:hAnsi="Times New Roman" w:eastAsia="仿宋_GB2312" w:cs="Times New Roman"/>
          <w:sz w:val="32"/>
          <w:szCs w:val="32"/>
          <w:lang w:eastAsia="zh-CN"/>
        </w:rPr>
        <w:t>万元，主要</w:t>
      </w:r>
      <w:r>
        <w:rPr>
          <w:rFonts w:hint="eastAsia" w:ascii="Times New Roman" w:hAnsi="Times New Roman" w:eastAsia="仿宋_GB2312" w:cs="Times New Roman"/>
          <w:sz w:val="32"/>
          <w:szCs w:val="32"/>
          <w:lang w:val="en-US" w:eastAsia="zh-CN"/>
        </w:rPr>
        <w:t>是二级机构业务工作运行成本；省级追加棉花抽检专项114.85万元，主要是所属二级机构市纤检中心用于开展棉花质量监测业务工作；</w:t>
      </w:r>
      <w:r>
        <w:rPr>
          <w:rFonts w:hint="eastAsia" w:ascii="Times New Roman" w:hAnsi="Times New Roman" w:eastAsia="仿宋_GB2312" w:cs="Times New Roman"/>
          <w:sz w:val="32"/>
          <w:szCs w:val="32"/>
          <w:lang w:eastAsia="zh-CN"/>
        </w:rPr>
        <w:t>派驻纪检组专项</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；统合执法终端购置123.1万元；乡村振兴帮扶经费26.63万元；创文</w:t>
      </w:r>
      <w:r>
        <w:rPr>
          <w:rFonts w:hint="eastAsia" w:ascii="Times New Roman" w:hAnsi="Times New Roman" w:eastAsia="仿宋_GB2312" w:cs="Times New Roman"/>
          <w:sz w:val="32"/>
          <w:szCs w:val="32"/>
          <w:lang w:eastAsia="zh-CN"/>
        </w:rPr>
        <w:t>工作</w:t>
      </w:r>
      <w:r>
        <w:rPr>
          <w:rFonts w:hint="eastAsia" w:ascii="Times New Roman" w:hAnsi="Times New Roman" w:eastAsia="仿宋_GB2312" w:cs="Times New Roman"/>
          <w:sz w:val="32"/>
          <w:szCs w:val="32"/>
          <w:lang w:val="en-US" w:eastAsia="zh-CN"/>
        </w:rPr>
        <w:t>支出7</w:t>
      </w:r>
      <w:r>
        <w:rPr>
          <w:rFonts w:hint="eastAsia" w:ascii="Times New Roman" w:hAnsi="Times New Roman" w:eastAsia="仿宋_GB2312" w:cs="Times New Roman"/>
          <w:sz w:val="32"/>
          <w:szCs w:val="32"/>
          <w:lang w:eastAsia="zh-CN"/>
        </w:rPr>
        <w:t>万元。</w:t>
      </w:r>
    </w:p>
    <w:p>
      <w:pPr>
        <w:keepNext w:val="0"/>
        <w:keepLines w:val="0"/>
        <w:pageBreakBefore w:val="0"/>
        <w:kinsoku/>
        <w:wordWrap/>
        <w:autoSpaceDE/>
        <w:autoSpaceDN/>
        <w:bidi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三、政府性基金预算支出情况</w:t>
      </w:r>
    </w:p>
    <w:p>
      <w:pPr>
        <w:keepNext w:val="0"/>
        <w:keepLines w:val="0"/>
        <w:pageBreakBefore w:val="0"/>
        <w:widowControl w:val="0"/>
        <w:kinsoku/>
        <w:wordWrap/>
        <w:overflowPunct/>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2024年政府性基金预算收入23万元。其中市局机关3万元，为新型城镇化真抓实干放管服工作经费，主要用于社区帮扶工作；所属二级机构益阳市计量测试检定所20万元，主要用</w:t>
      </w:r>
      <w:r>
        <w:rPr>
          <w:rFonts w:hint="eastAsia" w:ascii="仿宋_GB2312" w:hAnsi="仿宋_GB2312" w:eastAsia="仿宋_GB2312" w:cs="仿宋_GB2312"/>
          <w:sz w:val="32"/>
          <w:szCs w:val="32"/>
          <w:lang w:val="en-US" w:eastAsia="zh-CN"/>
        </w:rPr>
        <w:t>于充电桩检定支出。政府性基金年初和年末均无结余。</w:t>
      </w:r>
    </w:p>
    <w:p>
      <w:pPr>
        <w:keepNext w:val="0"/>
        <w:keepLines w:val="0"/>
        <w:pageBreakBefore w:val="0"/>
        <w:kinsoku/>
        <w:wordWrap/>
        <w:autoSpaceDE/>
        <w:autoSpaceDN/>
        <w:bidi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四、国有资本经营预算支出情况</w:t>
      </w:r>
    </w:p>
    <w:p>
      <w:pPr>
        <w:pStyle w:val="12"/>
        <w:keepNext w:val="0"/>
        <w:keepLines w:val="0"/>
        <w:pageBreakBefore w:val="0"/>
        <w:kinsoku/>
        <w:wordWrap/>
        <w:autoSpaceDE/>
        <w:autoSpaceDN/>
        <w:bidi w:val="0"/>
        <w:spacing w:line="600" w:lineRule="exact"/>
        <w:ind w:firstLine="63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w:t>
      </w:r>
    </w:p>
    <w:p>
      <w:pPr>
        <w:keepNext w:val="0"/>
        <w:keepLines w:val="0"/>
        <w:pageBreakBefore w:val="0"/>
        <w:kinsoku/>
        <w:wordWrap/>
        <w:autoSpaceDE/>
        <w:autoSpaceDN/>
        <w:bidi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五、社会保险基金预算支出情况</w:t>
      </w:r>
    </w:p>
    <w:p>
      <w:pPr>
        <w:pStyle w:val="12"/>
        <w:keepNext w:val="0"/>
        <w:keepLines w:val="0"/>
        <w:pageBreakBefore w:val="0"/>
        <w:kinsoku/>
        <w:wordWrap/>
        <w:autoSpaceDE/>
        <w:autoSpaceDN/>
        <w:bidi w:val="0"/>
        <w:spacing w:line="600" w:lineRule="exact"/>
        <w:ind w:firstLine="63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w:t>
      </w:r>
    </w:p>
    <w:p>
      <w:pPr>
        <w:keepNext w:val="0"/>
        <w:keepLines w:val="0"/>
        <w:pageBreakBefore w:val="0"/>
        <w:kinsoku/>
        <w:wordWrap/>
        <w:autoSpaceDE/>
        <w:autoSpaceDN/>
        <w:bidi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六、部门整体支出绩效情况</w:t>
      </w:r>
    </w:p>
    <w:p>
      <w:pPr>
        <w:keepNext w:val="0"/>
        <w:keepLines w:val="0"/>
        <w:pageBreakBefore w:val="0"/>
        <w:kinsoku/>
        <w:wordWrap/>
        <w:autoSpaceDE/>
        <w:autoSpaceDN/>
        <w:bidi w:val="0"/>
        <w:spacing w:line="600" w:lineRule="exact"/>
        <w:ind w:firstLine="643" w:firstLineChars="200"/>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（一）推动预算绩效管理提质增效</w:t>
      </w:r>
    </w:p>
    <w:p>
      <w:pPr>
        <w:keepNext w:val="0"/>
        <w:keepLines w:val="0"/>
        <w:pageBreakBefore w:val="0"/>
        <w:kinsoku/>
        <w:wordWrap/>
        <w:autoSpaceDE/>
        <w:autoSpaceDN/>
        <w:bidi w:val="0"/>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科学编制预算。按照市委、市政府重大决策部署及我局重点工作，严把支出预算关，严控“三公”经费支出，把有限的财政资金用于保运转、保重点、保安全上。二是严格预算执行。坚持预算执行平时按季通报、四季度按月通报制度，督促机关科室、直属单位均衡推进预算执行。三是注重绩效全过程管理。实行绩效目标管理，组织机关科室、直属单位在申请预算资金时申报绩效目标，对绩效</w:t>
      </w:r>
      <w:r>
        <w:rPr>
          <w:rFonts w:hint="eastAsia" w:ascii="Times New Roman" w:hAnsi="Times New Roman" w:eastAsia="仿宋_GB2312" w:cs="Times New Roman"/>
          <w:sz w:val="32"/>
          <w:szCs w:val="32"/>
          <w:lang w:val="en-US" w:eastAsia="zh-CN"/>
        </w:rPr>
        <w:t>目标严格审核；强化绩效运行监控，于2024年9月由财务科组织对1-8月项目资金绩效目标实现程度和预算执行进度实行双监控，并对项目实施进度跟踪检</w:t>
      </w:r>
      <w:r>
        <w:rPr>
          <w:rFonts w:hint="eastAsia" w:ascii="仿宋_GB2312" w:hAnsi="仿宋_GB2312" w:eastAsia="仿宋_GB2312" w:cs="仿宋_GB2312"/>
          <w:kern w:val="2"/>
          <w:sz w:val="32"/>
          <w:szCs w:val="32"/>
          <w:lang w:val="en-US" w:eastAsia="zh-CN" w:bidi="ar-SA"/>
        </w:rPr>
        <w:t>查；组织机关科室、直属单位开展自评工作，汇总评价结果，强化绩效评价结果运用，将评价结果作为调整支出结构、科学安排预算的重要依据，做到花钱必问效。四是建立长效机制。强化财经纪律和法规意识，进一步完善制度建设，结合我局工作实际，修订了</w:t>
      </w:r>
      <w:r>
        <w:rPr>
          <w:rFonts w:hint="eastAsia" w:ascii="仿宋_GB2312" w:hAnsi="仿宋_GB2312" w:eastAsia="仿宋_GB2312" w:cs="仿宋_GB2312"/>
          <w:color w:val="auto"/>
          <w:kern w:val="0"/>
          <w:sz w:val="32"/>
          <w:szCs w:val="32"/>
          <w:highlight w:val="none"/>
          <w:lang w:val="en-US" w:eastAsia="zh-CN"/>
        </w:rPr>
        <w:t>《益阳市市场监督管理局差旅费管理办法》</w:t>
      </w:r>
      <w:r>
        <w:rPr>
          <w:rFonts w:hint="eastAsia" w:ascii="仿宋_GB2312" w:hAnsi="仿宋_GB2312" w:eastAsia="仿宋_GB2312" w:cs="仿宋_GB2312"/>
          <w:color w:val="auto"/>
          <w:kern w:val="0"/>
          <w:sz w:val="32"/>
          <w:szCs w:val="32"/>
          <w:lang w:val="en-US" w:eastAsia="zh-CN"/>
        </w:rPr>
        <w:t>《益阳市市场监督管理局公务接待管理制度》</w:t>
      </w:r>
      <w:r>
        <w:rPr>
          <w:rFonts w:hint="eastAsia" w:ascii="仿宋_GB2312" w:hAnsi="仿宋_GB2312" w:eastAsia="仿宋_GB2312" w:cs="仿宋_GB2312"/>
          <w:kern w:val="2"/>
          <w:sz w:val="32"/>
          <w:szCs w:val="32"/>
          <w:lang w:val="en-US" w:eastAsia="zh-CN" w:bidi="ar-SA"/>
        </w:rPr>
        <w:t>等管理办法，建立了招待费、差旅费、会议费、培训费等支出标准。五是加强预算项目绩效管理，</w:t>
      </w:r>
      <w:r>
        <w:rPr>
          <w:rFonts w:hint="eastAsia" w:ascii="仿宋_GB2312" w:hAnsi="仿宋_GB2312" w:eastAsia="仿宋_GB2312" w:cs="仿宋_GB2312"/>
          <w:color w:val="auto"/>
          <w:kern w:val="0"/>
          <w:sz w:val="32"/>
          <w:szCs w:val="32"/>
          <w:lang w:val="en-US" w:eastAsia="zh-CN"/>
        </w:rPr>
        <w:t>针对专项资金管理使用，我局责成相关业务科室制订工作计划、实施方案等，层层把关、严格审核，涉及须经合同办理的事项，认真执行合同会签制度，由局长、项目承办部门分管局领导、项目承办部门、法规科、办公室、财务科、机关纪委进行会签，再按市局相关财务管理制度办理签章手续，以确保专项资金合法合规使用。</w:t>
      </w:r>
    </w:p>
    <w:p>
      <w:pPr>
        <w:keepNext w:val="0"/>
        <w:keepLines w:val="0"/>
        <w:pageBreakBefore w:val="0"/>
        <w:kinsoku/>
        <w:wordWrap/>
        <w:autoSpaceDE/>
        <w:autoSpaceDN/>
        <w:bidi w:val="0"/>
        <w:spacing w:line="600" w:lineRule="exact"/>
        <w:ind w:firstLine="643" w:firstLineChars="200"/>
        <w:rPr>
          <w:rFonts w:hint="default"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eastAsia="zh-CN"/>
        </w:rPr>
        <w:t>（二）</w:t>
      </w:r>
      <w:r>
        <w:rPr>
          <w:rFonts w:hint="eastAsia" w:ascii="楷体_GB2312" w:hAnsi="楷体_GB2312" w:eastAsia="楷体_GB2312" w:cs="楷体_GB2312"/>
          <w:b/>
          <w:sz w:val="32"/>
          <w:szCs w:val="32"/>
          <w:lang w:val="en-US" w:eastAsia="zh-CN"/>
        </w:rPr>
        <w:t>依法依规使用</w:t>
      </w:r>
      <w:bookmarkStart w:id="0" w:name="_GoBack"/>
      <w:bookmarkEnd w:id="0"/>
      <w:r>
        <w:rPr>
          <w:rFonts w:hint="eastAsia" w:ascii="楷体_GB2312" w:hAnsi="楷体_GB2312" w:eastAsia="楷体_GB2312" w:cs="楷体_GB2312"/>
          <w:b/>
          <w:sz w:val="32"/>
          <w:szCs w:val="32"/>
          <w:lang w:val="en-US" w:eastAsia="zh-CN"/>
        </w:rPr>
        <w:t>资金，风险防控措施得当</w:t>
      </w:r>
    </w:p>
    <w:p>
      <w:pPr>
        <w:numPr>
          <w:ilvl w:val="0"/>
          <w:numId w:val="0"/>
        </w:numPr>
        <w:adjustRightInd/>
        <w:snapToGrid/>
        <w:spacing w:beforeLines="0" w:afterLines="0" w:line="360" w:lineRule="auto"/>
        <w:ind w:firstLine="640" w:firstLineChars="200"/>
        <w:jc w:val="both"/>
        <w:rPr>
          <w:rFonts w:hint="eastAsia" w:ascii="仿宋" w:hAnsi="仿宋" w:eastAsia="仿宋" w:cs="仿宋"/>
          <w:sz w:val="32"/>
          <w:szCs w:val="32"/>
          <w:lang w:bidi="ar"/>
        </w:rPr>
      </w:pPr>
      <w:r>
        <w:rPr>
          <w:rFonts w:hint="eastAsia" w:ascii="仿宋" w:hAnsi="仿宋" w:eastAsia="仿宋" w:cs="仿宋"/>
          <w:sz w:val="32"/>
          <w:szCs w:val="32"/>
          <w:lang w:bidi="ar"/>
        </w:rPr>
        <w:t>我局制定了《益阳市市场监督管理局专项资金管理办法》《益阳市市场监督管理局内部审计制度》《益阳市市场监督管理局机关政府采购内控管理办法》，对资金的申报、审批和使用、绩效评价与监督管理进行了规定，</w:t>
      </w:r>
      <w:r>
        <w:rPr>
          <w:rFonts w:hint="default" w:ascii="仿宋" w:hAnsi="仿宋" w:eastAsia="仿宋" w:cs="仿宋"/>
          <w:kern w:val="2"/>
          <w:sz w:val="32"/>
          <w:szCs w:val="32"/>
          <w:lang w:bidi="ar"/>
        </w:rPr>
        <w:t>专项经费使用遵循统筹安排、突出重点、专款专用、注重效益的原则，确保专项资金使用的规范、安全和高效。对依法应当实行政府采购的项目，均严格按照政府采购的有关规定执行。</w:t>
      </w:r>
      <w:r>
        <w:rPr>
          <w:rFonts w:hint="eastAsia" w:ascii="仿宋" w:hAnsi="仿宋" w:eastAsia="仿宋" w:cs="仿宋"/>
          <w:sz w:val="32"/>
          <w:szCs w:val="32"/>
          <w:lang w:bidi="ar"/>
        </w:rPr>
        <w:t>我局严格按照</w:t>
      </w:r>
      <w:r>
        <w:rPr>
          <w:rFonts w:hint="eastAsia" w:ascii="仿宋" w:hAnsi="仿宋" w:eastAsia="仿宋" w:cs="仿宋"/>
          <w:sz w:val="32"/>
          <w:szCs w:val="32"/>
          <w:lang w:val="en-US" w:eastAsia="zh-CN" w:bidi="ar"/>
        </w:rPr>
        <w:t>规定的</w:t>
      </w:r>
      <w:r>
        <w:rPr>
          <w:rFonts w:hint="eastAsia" w:ascii="仿宋" w:hAnsi="仿宋" w:eastAsia="仿宋" w:cs="仿宋"/>
          <w:sz w:val="32"/>
          <w:szCs w:val="32"/>
          <w:lang w:bidi="ar"/>
        </w:rPr>
        <w:t>管理办法</w:t>
      </w:r>
      <w:r>
        <w:rPr>
          <w:rFonts w:hint="eastAsia" w:ascii="仿宋" w:hAnsi="仿宋" w:eastAsia="仿宋" w:cs="仿宋"/>
          <w:sz w:val="32"/>
          <w:szCs w:val="32"/>
          <w:lang w:val="en-US" w:eastAsia="zh-CN" w:bidi="ar"/>
        </w:rPr>
        <w:t>及制度</w:t>
      </w:r>
      <w:r>
        <w:rPr>
          <w:rFonts w:hint="eastAsia" w:ascii="仿宋" w:hAnsi="仿宋" w:eastAsia="仿宋" w:cs="仿宋"/>
          <w:sz w:val="32"/>
          <w:szCs w:val="32"/>
          <w:lang w:bidi="ar"/>
        </w:rPr>
        <w:t>执行，对专项资金进行专账核算、专款专用，确保不存在截留、挤占、挪用、虚列支出等情况。</w:t>
      </w:r>
    </w:p>
    <w:p>
      <w:pPr>
        <w:keepNext w:val="0"/>
        <w:keepLines w:val="0"/>
        <w:pageBreakBefore w:val="0"/>
        <w:kinsoku/>
        <w:wordWrap/>
        <w:autoSpaceDE/>
        <w:autoSpaceDN/>
        <w:bidi w:val="0"/>
        <w:spacing w:line="600" w:lineRule="exact"/>
        <w:ind w:firstLine="643" w:firstLineChars="200"/>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三</w:t>
      </w:r>
      <w:r>
        <w:rPr>
          <w:rFonts w:hint="eastAsia" w:ascii="楷体_GB2312" w:hAnsi="楷体_GB2312" w:eastAsia="楷体_GB2312" w:cs="楷体_GB2312"/>
          <w:b/>
          <w:sz w:val="32"/>
          <w:szCs w:val="32"/>
          <w:lang w:eastAsia="zh-CN"/>
        </w:rPr>
        <w:t>）基本运维及日常业务工作平稳有序开展</w:t>
      </w:r>
    </w:p>
    <w:p>
      <w:pPr>
        <w:keepNext w:val="0"/>
        <w:keepLines w:val="0"/>
        <w:pageBreakBefore w:val="0"/>
        <w:widowControl w:val="0"/>
        <w:kinsoku/>
        <w:wordWrap/>
        <w:overflowPunct/>
        <w:topLinePunct/>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为满足局机关及直属事业单位日常业务工作需要，</w:t>
      </w:r>
      <w:r>
        <w:rPr>
          <w:rFonts w:hint="eastAsia" w:ascii="仿宋_GB2312" w:hAnsi="仿宋_GB2312" w:eastAsia="仿宋_GB2312" w:cs="仿宋_GB2312"/>
          <w:sz w:val="32"/>
          <w:szCs w:val="32"/>
          <w:lang w:val="en-US" w:eastAsia="zh-CN"/>
        </w:rPr>
        <w:t>保证局机关及直属事业单位各项工作</w:t>
      </w:r>
      <w:r>
        <w:rPr>
          <w:rFonts w:hint="default" w:ascii="Times New Roman" w:hAnsi="Times New Roman" w:eastAsia="仿宋_GB2312" w:cs="Times New Roman"/>
          <w:sz w:val="32"/>
          <w:szCs w:val="32"/>
          <w:lang w:val="en-US" w:eastAsia="zh-CN"/>
        </w:rPr>
        <w:t>顺利开展，2024年</w:t>
      </w:r>
      <w:r>
        <w:rPr>
          <w:rFonts w:hint="eastAsia" w:ascii="仿宋_GB2312" w:hAnsi="仿宋_GB2312" w:eastAsia="仿宋_GB2312" w:cs="仿宋_GB2312"/>
          <w:sz w:val="32"/>
          <w:szCs w:val="32"/>
          <w:lang w:val="en-US" w:eastAsia="zh-CN"/>
        </w:rPr>
        <w:t>我单位对照年初绩效目标高质量完成了以下工作：</w:t>
      </w:r>
    </w:p>
    <w:p>
      <w:pPr>
        <w:pStyle w:val="9"/>
        <w:keepNext w:val="0"/>
        <w:keepLines w:val="0"/>
        <w:pageBreakBefore w:val="0"/>
        <w:widowControl/>
        <w:suppressLineNumbers w:val="0"/>
        <w:shd w:val="clear" w:fill="FFFFFF"/>
        <w:kinsoku/>
        <w:wordWrap/>
        <w:autoSpaceDE/>
        <w:autoSpaceDN/>
        <w:bidi w:val="0"/>
        <w:spacing w:before="0" w:beforeAutospacing="0" w:after="0" w:afterAutospacing="0" w:line="600" w:lineRule="exact"/>
        <w:ind w:left="0" w:right="0" w:firstLine="642"/>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今年召开了市场</w:t>
      </w:r>
      <w:r>
        <w:rPr>
          <w:rFonts w:hint="eastAsia" w:ascii="Times New Roman" w:hAnsi="Times New Roman" w:eastAsia="仿宋_GB2312" w:cs="Times New Roman"/>
          <w:kern w:val="2"/>
          <w:sz w:val="32"/>
          <w:szCs w:val="32"/>
          <w:lang w:val="en-US" w:eastAsia="zh-CN" w:bidi="ar-SA"/>
        </w:rPr>
        <w:t>监管业务工作会议7次，外出开展主题党日28次，购置了办公设备14台；直属单位益阳市产商品质量监督检验研究院申报省局科研项目2个，获国家发明专利1项，申报了湖南省检验检测促进产业优化升级行动试点项目，成立了赫山区兰溪大米产业检验研究中心，发挥了国（省）检中心优势，提高了专业能力水平，服务了地方经济；益阳市计量所完成申报强制检定计量器具近7.3万台件，包含燃气表4.83万台件、压力表0.88万台件、充电桩0.11万枪、燃油加油机0.26万枪次等，通过不断提升强制检定工作能力和覆盖率，注重科技创新为主线，发挥了计量优势资源；益阳市纤维质量检测中心加强检验检测技术服务，承担棉花公检5.5万吨；为营造了良好的舆论氛围，维护良好市场秩序、树立良好社会形象，全市市场监管系统被人民日报、新华社客户端等央媒采发101 篇，在湖南日报（新湖南）、红网、湖南市场监管公众号等省级以上媒体发稿 510余篇，在益阳广电、益阳日报、市局公众号采发198篇，实现了新闻宣</w:t>
      </w:r>
      <w:r>
        <w:rPr>
          <w:rFonts w:hint="eastAsia" w:ascii="仿宋_GB2312" w:hAnsi="仿宋_GB2312" w:eastAsia="仿宋_GB2312" w:cs="仿宋_GB2312"/>
          <w:spacing w:val="-1"/>
          <w:kern w:val="0"/>
          <w:sz w:val="32"/>
          <w:szCs w:val="32"/>
          <w:lang w:val="en-US" w:eastAsia="zh-CN" w:bidi="ar"/>
        </w:rPr>
        <w:t>传工作在“服务经济发展、服务职能工作、服务基层建设、服</w:t>
      </w:r>
      <w:r>
        <w:rPr>
          <w:rFonts w:hint="eastAsia" w:ascii="仿宋_GB2312" w:hAnsi="仿宋_GB2312" w:eastAsia="仿宋_GB2312" w:cs="仿宋_GB2312"/>
          <w:b w:val="0"/>
          <w:bCs w:val="0"/>
          <w:spacing w:val="-1"/>
          <w:kern w:val="0"/>
          <w:sz w:val="32"/>
          <w:szCs w:val="32"/>
          <w:lang w:val="en-US" w:eastAsia="zh-CN" w:bidi="ar"/>
        </w:rPr>
        <w:t>务部门形象</w:t>
      </w:r>
      <w:r>
        <w:rPr>
          <w:rFonts w:hint="eastAsia" w:ascii="仿宋_GB2312" w:hAnsi="仿宋_GB2312" w:eastAsia="仿宋_GB2312" w:cs="仿宋_GB2312"/>
          <w:spacing w:val="-1"/>
          <w:kern w:val="0"/>
          <w:sz w:val="32"/>
          <w:szCs w:val="32"/>
          <w:lang w:val="en-US" w:eastAsia="zh-CN" w:bidi="ar"/>
        </w:rPr>
        <w:t>”四个方面的积极作用；我局还</w:t>
      </w:r>
      <w:r>
        <w:rPr>
          <w:rFonts w:hint="eastAsia" w:ascii="仿宋_GB2312" w:hAnsi="仿宋_GB2312" w:eastAsia="仿宋_GB2312" w:cs="仿宋_GB2312"/>
          <w:kern w:val="2"/>
          <w:sz w:val="32"/>
          <w:szCs w:val="32"/>
          <w:lang w:val="en-US" w:eastAsia="zh-CN" w:bidi="ar-SA"/>
        </w:rPr>
        <w:t>通过加强物业和食堂管理的精细化管理，干部职工满意率得到了进一步提升，确保了机关高效的运转，为持续加强市场监管综合执法、营造公平有序的市场环境提供了坚实的后盾。</w:t>
      </w:r>
    </w:p>
    <w:p>
      <w:pPr>
        <w:pStyle w:val="9"/>
        <w:keepNext w:val="0"/>
        <w:keepLines w:val="0"/>
        <w:pageBreakBefore w:val="0"/>
        <w:widowControl/>
        <w:suppressLineNumbers w:val="0"/>
        <w:shd w:val="clear" w:fill="FFFFFF"/>
        <w:kinsoku/>
        <w:wordWrap/>
        <w:autoSpaceDE/>
        <w:autoSpaceDN/>
        <w:bidi w:val="0"/>
        <w:spacing w:before="0" w:beforeAutospacing="0" w:after="0" w:afterAutospacing="0" w:line="600" w:lineRule="exact"/>
        <w:ind w:left="0" w:right="0" w:firstLine="642"/>
        <w:jc w:val="both"/>
        <w:rPr>
          <w:rFonts w:hint="eastAsia" w:ascii="楷体_GB2312" w:hAnsi="楷体_GB2312" w:eastAsia="楷体_GB2312" w:cs="楷体_GB2312"/>
          <w:b/>
          <w:kern w:val="2"/>
          <w:sz w:val="32"/>
          <w:szCs w:val="32"/>
          <w:lang w:val="en-US" w:eastAsia="zh-CN" w:bidi="ar-SA"/>
        </w:rPr>
      </w:pPr>
      <w:r>
        <w:rPr>
          <w:rFonts w:hint="eastAsia" w:ascii="楷体_GB2312" w:hAnsi="楷体_GB2312" w:eastAsia="楷体_GB2312" w:cs="楷体_GB2312"/>
          <w:b/>
          <w:kern w:val="2"/>
          <w:sz w:val="32"/>
          <w:szCs w:val="32"/>
          <w:lang w:val="en-US" w:eastAsia="zh-CN" w:bidi="ar-SA"/>
        </w:rPr>
        <w:t>（四）各类专项资金投入成效明显</w:t>
      </w:r>
    </w:p>
    <w:p>
      <w:pPr>
        <w:pStyle w:val="9"/>
        <w:keepNext w:val="0"/>
        <w:keepLines w:val="0"/>
        <w:pageBreakBefore w:val="0"/>
        <w:widowControl/>
        <w:suppressLineNumbers w:val="0"/>
        <w:shd w:val="clear" w:fill="FFFFFF"/>
        <w:kinsoku/>
        <w:wordWrap/>
        <w:autoSpaceDE/>
        <w:autoSpaceDN/>
        <w:bidi w:val="0"/>
        <w:spacing w:before="0" w:beforeAutospacing="0" w:after="0" w:afterAutospacing="0" w:line="600" w:lineRule="exact"/>
        <w:ind w:left="0" w:right="0" w:firstLine="642"/>
        <w:jc w:val="both"/>
        <w:rPr>
          <w:rFonts w:hint="eastAsia" w:ascii="仿宋_GB2312" w:hAnsi="仿宋_GB2312" w:eastAsia="仿宋_GB2312" w:cs="仿宋_GB2312"/>
          <w:b/>
          <w:kern w:val="2"/>
          <w:sz w:val="32"/>
          <w:szCs w:val="32"/>
          <w:lang w:val="en-US" w:eastAsia="zh-CN" w:bidi="ar-SA"/>
        </w:rPr>
      </w:pPr>
      <w:r>
        <w:rPr>
          <w:rFonts w:hint="eastAsia" w:ascii="仿宋_GB2312" w:hAnsi="仿宋_GB2312" w:cs="仿宋_GB2312"/>
          <w:b/>
          <w:kern w:val="2"/>
          <w:sz w:val="32"/>
          <w:szCs w:val="32"/>
          <w:lang w:val="en-US" w:eastAsia="zh-CN" w:bidi="ar-SA"/>
        </w:rPr>
        <w:t>1.</w:t>
      </w:r>
      <w:r>
        <w:rPr>
          <w:rFonts w:hint="eastAsia" w:ascii="仿宋_GB2312" w:hAnsi="仿宋_GB2312" w:eastAsia="仿宋_GB2312" w:cs="仿宋_GB2312"/>
          <w:b/>
          <w:kern w:val="2"/>
          <w:sz w:val="32"/>
          <w:szCs w:val="32"/>
          <w:lang w:val="en-US" w:eastAsia="zh-CN" w:bidi="ar-SA"/>
        </w:rPr>
        <w:t>坚持真抓实干，立足市场监管展现新作为</w:t>
      </w:r>
    </w:p>
    <w:p>
      <w:pPr>
        <w:pStyle w:val="9"/>
        <w:keepNext w:val="0"/>
        <w:keepLines w:val="0"/>
        <w:pageBreakBefore w:val="0"/>
        <w:widowControl/>
        <w:suppressLineNumbers w:val="0"/>
        <w:shd w:val="clear" w:fill="FFFFFF"/>
        <w:kinsoku/>
        <w:wordWrap/>
        <w:autoSpaceDE/>
        <w:autoSpaceDN/>
        <w:bidi w:val="0"/>
        <w:spacing w:before="0" w:beforeAutospacing="0" w:after="0" w:afterAutospacing="0" w:line="600" w:lineRule="exact"/>
        <w:ind w:left="0" w:right="0" w:firstLine="642"/>
        <w:jc w:val="both"/>
        <w:rPr>
          <w:rFonts w:hint="eastAsia" w:ascii="仿宋_GB2312" w:hAnsi="仿宋_GB2312" w:eastAsia="仿宋_GB2312" w:cs="仿宋_GB2312"/>
          <w:sz w:val="32"/>
          <w:szCs w:val="32"/>
          <w:lang w:val="en-US" w:eastAsia="zh-CN"/>
        </w:rPr>
      </w:pPr>
      <w:r>
        <w:rPr>
          <w:rStyle w:val="13"/>
          <w:rFonts w:hint="eastAsia" w:ascii="仿宋_GB2312" w:hAnsi="仿宋_GB2312" w:eastAsia="仿宋_GB2312" w:cs="仿宋_GB2312"/>
          <w:color w:val="auto"/>
          <w:sz w:val="32"/>
          <w:szCs w:val="32"/>
          <w:u w:val="none"/>
          <w:lang w:val="en-US" w:eastAsia="zh-CN" w:bidi="ar-SA"/>
        </w:rPr>
        <w:t>一是聚焦主体强身行动，激发市场发展活力。</w:t>
      </w:r>
      <w:r>
        <w:rPr>
          <w:rFonts w:hint="eastAsia" w:ascii="仿宋_GB2312" w:hAnsi="仿宋_GB2312" w:eastAsia="仿宋_GB2312" w:cs="仿宋_GB2312"/>
          <w:sz w:val="32"/>
          <w:szCs w:val="32"/>
          <w:lang w:val="en-US" w:eastAsia="zh-CN"/>
        </w:rPr>
        <w:t>深入实施主体强身行动，建立“链主+专班”推进机制，落实减税降费等16项工作任务，促推经营主体高质量发展。全市经营主体指标超额完成省定发展预期</w:t>
      </w:r>
      <w:r>
        <w:rPr>
          <w:rFonts w:hint="eastAsia" w:ascii="仿宋_GB2312" w:hAnsi="仿宋_GB2312" w:eastAsia="仿宋_GB2312" w:cs="仿宋_GB2312"/>
          <w:spacing w:val="0"/>
          <w:sz w:val="32"/>
          <w:szCs w:val="32"/>
          <w:u w:val="none" w:color="auto"/>
          <w:lang w:val="en-US" w:eastAsia="zh-CN"/>
        </w:rPr>
        <w:t>。</w:t>
      </w:r>
      <w:r>
        <w:rPr>
          <w:rFonts w:hint="eastAsia" w:ascii="仿宋_GB2312" w:hAnsi="仿宋_GB2312" w:eastAsia="仿宋_GB2312" w:cs="仿宋_GB2312"/>
          <w:color w:val="000000"/>
          <w:spacing w:val="0"/>
          <w:sz w:val="32"/>
          <w:szCs w:val="32"/>
          <w:lang w:eastAsia="zh-CN"/>
        </w:rPr>
        <w:t>全市实有经营</w:t>
      </w:r>
      <w:r>
        <w:rPr>
          <w:rFonts w:hint="eastAsia" w:ascii="Times New Roman" w:hAnsi="Times New Roman" w:eastAsia="仿宋_GB2312" w:cs="Times New Roman"/>
          <w:kern w:val="2"/>
          <w:sz w:val="32"/>
          <w:szCs w:val="32"/>
          <w:lang w:val="en-US" w:eastAsia="zh-CN" w:bidi="ar-SA"/>
        </w:rPr>
        <w:t>主体450134户，净增32226户；实有企业94153户，净增8883户；</w:t>
      </w:r>
      <w:r>
        <w:rPr>
          <w:rFonts w:hint="eastAsia" w:ascii="仿宋_GB2312" w:hAnsi="仿宋_GB2312" w:eastAsia="仿宋_GB2312" w:cs="仿宋_GB2312"/>
          <w:color w:val="000000"/>
          <w:spacing w:val="0"/>
          <w:sz w:val="32"/>
          <w:szCs w:val="32"/>
          <w:lang w:eastAsia="zh-CN"/>
        </w:rPr>
        <w:t>完成“个转企”培</w:t>
      </w:r>
      <w:r>
        <w:rPr>
          <w:rFonts w:hint="eastAsia" w:ascii="Times New Roman" w:hAnsi="Times New Roman" w:eastAsia="仿宋_GB2312" w:cs="Times New Roman"/>
          <w:kern w:val="2"/>
          <w:sz w:val="32"/>
          <w:szCs w:val="32"/>
          <w:lang w:val="en-US" w:eastAsia="zh-CN" w:bidi="ar-SA"/>
        </w:rPr>
        <w:t>育526家</w:t>
      </w:r>
      <w:r>
        <w:rPr>
          <w:rFonts w:hint="eastAsia" w:ascii="仿宋_GB2312" w:hAnsi="仿宋_GB2312" w:eastAsia="仿宋_GB2312" w:cs="仿宋_GB2312"/>
          <w:color w:val="000000"/>
          <w:spacing w:val="0"/>
          <w:sz w:val="32"/>
          <w:szCs w:val="32"/>
          <w:lang w:eastAsia="zh-CN"/>
        </w:rPr>
        <w:t>，企业占比提高至20.9%。</w:t>
      </w:r>
      <w:r>
        <w:rPr>
          <w:rFonts w:hint="eastAsia" w:ascii="仿宋_GB2312" w:hAnsi="仿宋_GB2312" w:eastAsia="仿宋_GB2312" w:cs="仿宋_GB2312"/>
          <w:sz w:val="32"/>
          <w:szCs w:val="32"/>
          <w:lang w:val="en-US" w:eastAsia="zh-CN"/>
        </w:rPr>
        <w:t>持续深化商事制度改革，创新“五办五零”极简审批益阳模式，让市场主体准入准营更加快捷便利，企业开办时间基本压缩至半个工作日内。持续优化一网通办服务，企业登记全程电子化率连续四年居全省第一。市局政务窗口优化证前指导，实行预警服务、应急服务，共办理食品生产、医疗器械、特种设备作业人员资格许</w:t>
      </w:r>
      <w:r>
        <w:rPr>
          <w:rFonts w:hint="eastAsia" w:ascii="Times New Roman" w:hAnsi="Times New Roman" w:eastAsia="仿宋_GB2312" w:cs="Times New Roman"/>
          <w:kern w:val="2"/>
          <w:sz w:val="32"/>
          <w:szCs w:val="32"/>
          <w:lang w:val="en-US" w:eastAsia="zh-CN" w:bidi="ar-SA"/>
        </w:rPr>
        <w:t>可共计1864件，</w:t>
      </w:r>
      <w:r>
        <w:rPr>
          <w:rFonts w:hint="eastAsia" w:ascii="仿宋_GB2312" w:hAnsi="仿宋_GB2312" w:eastAsia="仿宋_GB2312" w:cs="仿宋_GB2312"/>
          <w:sz w:val="32"/>
          <w:szCs w:val="32"/>
          <w:lang w:val="en-US" w:eastAsia="zh-CN"/>
        </w:rPr>
        <w:t>收到企业感谢锦</w:t>
      </w:r>
      <w:r>
        <w:rPr>
          <w:rFonts w:hint="eastAsia" w:ascii="Times New Roman" w:hAnsi="Times New Roman" w:eastAsia="仿宋_GB2312" w:cs="Times New Roman"/>
          <w:kern w:val="2"/>
          <w:sz w:val="32"/>
          <w:szCs w:val="32"/>
          <w:lang w:val="en-US" w:eastAsia="zh-CN" w:bidi="ar-SA"/>
        </w:rPr>
        <w:t>旗17面。</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推进“双随机一公开”监管。</w:t>
      </w:r>
      <w:r>
        <w:rPr>
          <w:rFonts w:hint="eastAsia" w:ascii="仿宋_GB2312" w:hAnsi="仿宋_GB2312" w:eastAsia="仿宋_GB2312" w:cs="仿宋_GB2312"/>
          <w:color w:val="000000"/>
          <w:sz w:val="32"/>
          <w:szCs w:val="32"/>
          <w:shd w:val="clear" w:color="auto" w:fill="FFFFFF"/>
        </w:rPr>
        <w:t>严控双随机抽查比例，检查人次数、检查企业数分别</w:t>
      </w:r>
      <w:r>
        <w:rPr>
          <w:rFonts w:hint="eastAsia" w:ascii="Times New Roman" w:hAnsi="Times New Roman" w:eastAsia="仿宋_GB2312" w:cs="Times New Roman"/>
          <w:sz w:val="32"/>
          <w:szCs w:val="32"/>
          <w:lang w:eastAsia="zh-CN"/>
        </w:rPr>
        <w:t>减少了</w:t>
      </w:r>
      <w:r>
        <w:rPr>
          <w:rFonts w:hint="eastAsia" w:ascii="Times New Roman" w:hAnsi="Times New Roman" w:eastAsia="仿宋_GB2312" w:cs="Times New Roman"/>
          <w:sz w:val="32"/>
          <w:szCs w:val="32"/>
          <w:lang w:val="en-US" w:eastAsia="zh-CN"/>
        </w:rPr>
        <w:t>27.9</w:t>
      </w:r>
      <w:r>
        <w:rPr>
          <w:rFonts w:hint="eastAsia"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lang w:val="en-US" w:eastAsia="zh-CN"/>
        </w:rPr>
        <w:t>33.56</w:t>
      </w:r>
      <w:r>
        <w:rPr>
          <w:rFonts w:hint="eastAsia" w:ascii="Times New Roman" w:hAnsi="Times New Roman" w:eastAsia="仿宋_GB2312" w:cs="Times New Roman"/>
          <w:sz w:val="32"/>
          <w:szCs w:val="32"/>
          <w:lang w:eastAsia="zh-CN"/>
        </w:rPr>
        <w:t>%。推</w:t>
      </w:r>
      <w:r>
        <w:rPr>
          <w:rFonts w:hint="eastAsia" w:ascii="仿宋_GB2312" w:hAnsi="仿宋_GB2312" w:eastAsia="仿宋_GB2312" w:cs="仿宋_GB2312"/>
          <w:sz w:val="32"/>
          <w:szCs w:val="32"/>
        </w:rPr>
        <w:t>进市场监管</w:t>
      </w:r>
      <w:r>
        <w:rPr>
          <w:rFonts w:hint="eastAsia" w:ascii="仿宋_GB2312" w:hAnsi="仿宋_GB2312" w:eastAsia="仿宋_GB2312" w:cs="仿宋_GB2312"/>
          <w:color w:val="000000"/>
          <w:sz w:val="32"/>
          <w:szCs w:val="32"/>
          <w:shd w:val="clear" w:color="auto" w:fill="FFFFFF"/>
        </w:rPr>
        <w:t>领域跨部门联合监管，我局联合或配合其他部门实施联合抽查任</w:t>
      </w:r>
      <w:r>
        <w:rPr>
          <w:rFonts w:hint="eastAsia" w:ascii="Times New Roman" w:hAnsi="Times New Roman" w:eastAsia="仿宋_GB2312" w:cs="Times New Roman"/>
          <w:sz w:val="32"/>
          <w:szCs w:val="32"/>
          <w:lang w:eastAsia="zh-CN"/>
        </w:rPr>
        <w:t>务</w:t>
      </w:r>
      <w:r>
        <w:rPr>
          <w:rFonts w:hint="eastAsia" w:ascii="Times New Roman" w:hAnsi="Times New Roman" w:eastAsia="仿宋_GB2312" w:cs="Times New Roman"/>
          <w:sz w:val="32"/>
          <w:szCs w:val="32"/>
          <w:lang w:val="en-US" w:eastAsia="zh-CN"/>
        </w:rPr>
        <w:t>544</w:t>
      </w:r>
      <w:r>
        <w:rPr>
          <w:rFonts w:hint="eastAsia" w:ascii="Times New Roman" w:hAnsi="Times New Roman" w:eastAsia="仿宋_GB2312" w:cs="Times New Roman"/>
          <w:sz w:val="32"/>
          <w:szCs w:val="32"/>
          <w:lang w:eastAsia="zh-CN"/>
        </w:rPr>
        <w:t>项，部门联合抽查任务占比</w:t>
      </w:r>
      <w:r>
        <w:rPr>
          <w:rFonts w:hint="eastAsia" w:ascii="Times New Roman" w:hAnsi="Times New Roman" w:eastAsia="仿宋_GB2312" w:cs="Times New Roman"/>
          <w:sz w:val="32"/>
          <w:szCs w:val="32"/>
          <w:lang w:val="en-US" w:eastAsia="zh-CN"/>
        </w:rPr>
        <w:t>66.91</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color w:val="000000"/>
          <w:sz w:val="32"/>
          <w:szCs w:val="32"/>
          <w:shd w:val="clear" w:color="auto" w:fill="FFFFFF"/>
        </w:rPr>
        <w:t>尽可能减少了对企业正常生产经营的干扰。</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三是</w:t>
      </w:r>
      <w:r>
        <w:rPr>
          <w:rFonts w:hint="eastAsia" w:ascii="仿宋_GB2312" w:hAnsi="仿宋_GB2312" w:eastAsia="仿宋_GB2312" w:cs="仿宋_GB2312"/>
          <w:sz w:val="32"/>
          <w:szCs w:val="32"/>
        </w:rPr>
        <w:t>认证认可质量管理体系逐步提升。</w:t>
      </w:r>
      <w:r>
        <w:rPr>
          <w:rFonts w:hint="eastAsia" w:ascii="仿宋_GB2312" w:hAnsi="仿宋_GB2312" w:eastAsia="仿宋_GB2312" w:cs="仿宋_GB2312"/>
          <w:color w:val="000000"/>
          <w:sz w:val="32"/>
          <w:szCs w:val="32"/>
          <w:shd w:val="clear" w:color="auto" w:fill="FFFFFF"/>
          <w:lang w:val="en-US" w:eastAsia="zh-CN"/>
        </w:rPr>
        <w:t>积极配合省局“双随机、一公开”监督检查。配合省局开展了七家企业的自愿性认证事后监督检查，和一家企业的自愿性认证事中监督检查。对检查发现的问题均交由属地局督促企业整改到位，形成闭环管理。</w:t>
      </w:r>
      <w:r>
        <w:rPr>
          <w:rFonts w:hint="eastAsia" w:ascii="仿宋_GB2312" w:hAnsi="仿宋_GB2312" w:eastAsia="仿宋_GB2312" w:cs="仿宋_GB2312"/>
          <w:sz w:val="32"/>
          <w:szCs w:val="32"/>
          <w:lang w:val="en-US" w:eastAsia="zh-CN"/>
        </w:rPr>
        <w:t>针对小微企业质量管理中存在的痛点、难点问题，实施精准帮扶，指导小微企业建立符合行业发展和满足自身需求的质量管理体系，通过质量管理体系认证，促进小微企业质量管理水平提升。</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四是强化法制建设</w:t>
      </w:r>
      <w:r>
        <w:rPr>
          <w:rFonts w:hint="eastAsia" w:ascii="仿宋_GB2312" w:hAnsi="仿宋_GB2312" w:eastAsia="仿宋_GB2312" w:cs="仿宋_GB2312"/>
          <w:sz w:val="32"/>
          <w:szCs w:val="32"/>
        </w:rPr>
        <w:t>。出台《规范涉企行政执法行为九条措施》，部署</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全市系统行政执法领域突出问题专项整治行动，</w:t>
      </w:r>
      <w:r>
        <w:rPr>
          <w:rFonts w:hint="eastAsia" w:ascii="仿宋_GB2312" w:hAnsi="仿宋_GB2312" w:eastAsia="仿宋_GB2312" w:cs="仿宋_GB2312"/>
          <w:color w:val="000000"/>
          <w:kern w:val="0"/>
          <w:sz w:val="32"/>
          <w:szCs w:val="32"/>
          <w:shd w:val="clear" w:color="auto" w:fill="FFFFFF"/>
        </w:rPr>
        <w:t>采</w:t>
      </w:r>
      <w:r>
        <w:rPr>
          <w:rFonts w:hint="eastAsia" w:ascii="仿宋_GB2312" w:hAnsi="仿宋_GB2312" w:eastAsia="仿宋_GB2312" w:cs="仿宋_GB2312"/>
          <w:sz w:val="32"/>
          <w:szCs w:val="32"/>
        </w:rPr>
        <w:t>取执法检查、案卷评查等方式，加强对各执法单位的监督检查，强化执法指导。开展执法案卷评</w:t>
      </w:r>
      <w:r>
        <w:rPr>
          <w:rFonts w:hint="eastAsia" w:ascii="Times New Roman" w:hAnsi="Times New Roman" w:eastAsia="仿宋_GB2312" w:cs="Times New Roman"/>
          <w:sz w:val="32"/>
          <w:szCs w:val="32"/>
          <w:lang w:eastAsia="zh-CN"/>
        </w:rPr>
        <w:t>查2次，评查案卷220余</w:t>
      </w:r>
      <w:r>
        <w:rPr>
          <w:rFonts w:hint="eastAsia" w:ascii="仿宋_GB2312" w:hAnsi="仿宋_GB2312" w:eastAsia="仿宋_GB2312" w:cs="仿宋_GB2312"/>
          <w:sz w:val="32"/>
          <w:szCs w:val="32"/>
        </w:rPr>
        <w:t>件，提升了办案能力水平，积极破解执法不公、过度执法等问题。</w:t>
      </w:r>
      <w:r>
        <w:rPr>
          <w:rFonts w:hint="eastAsia" w:ascii="仿宋_GB2312" w:hAnsi="仿宋_GB2312" w:eastAsia="仿宋_GB2312" w:cs="仿宋_GB2312"/>
          <w:sz w:val="32"/>
          <w:szCs w:val="32"/>
          <w:lang w:val="en-US" w:eastAsia="zh-CN"/>
        </w:rPr>
        <w:t>持续深入开展习近平法治思想学习，“党组领学、中层推进、全员参与”的学习格局日趋</w:t>
      </w:r>
      <w:r>
        <w:rPr>
          <w:rFonts w:hint="eastAsia" w:ascii="Times New Roman" w:hAnsi="Times New Roman" w:eastAsia="仿宋_GB2312" w:cs="Times New Roman"/>
          <w:sz w:val="32"/>
          <w:szCs w:val="32"/>
          <w:lang w:val="en-US" w:eastAsia="zh-CN"/>
        </w:rPr>
        <w:t>完善。11期法治专题培训讲座、近20件典</w:t>
      </w:r>
      <w:r>
        <w:rPr>
          <w:rFonts w:hint="eastAsia" w:ascii="仿宋_GB2312" w:hAnsi="仿宋_GB2312" w:eastAsia="仿宋_GB2312" w:cs="仿宋_GB2312"/>
          <w:sz w:val="32"/>
          <w:szCs w:val="32"/>
          <w:lang w:val="en-US" w:eastAsia="zh-CN"/>
        </w:rPr>
        <w:t>型案例评选发布，“依法行政”“职权法定”“权责一致”等法治理念深入人心。</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五是强力推动反垄断执法，取得显著成效。</w:t>
      </w:r>
      <w:r>
        <w:rPr>
          <w:rFonts w:hint="eastAsia" w:ascii="仿宋_GB2312" w:hAnsi="仿宋_GB2312" w:eastAsia="仿宋_GB2312" w:cs="仿宋_GB2312"/>
          <w:color w:val="000000"/>
          <w:sz w:val="32"/>
          <w:szCs w:val="32"/>
          <w:lang w:val="en-US" w:eastAsia="zh-CN"/>
        </w:rPr>
        <w:t>强化公平竞争审查，梳理政策措施</w:t>
      </w:r>
      <w:r>
        <w:rPr>
          <w:rFonts w:hint="eastAsia" w:ascii="Times New Roman" w:hAnsi="Times New Roman" w:eastAsia="仿宋_GB2312" w:cs="Times New Roman"/>
          <w:sz w:val="32"/>
          <w:szCs w:val="32"/>
          <w:lang w:val="en-US" w:eastAsia="zh-CN"/>
        </w:rPr>
        <w:t>667件，修改废止含有妨碍公平竞争内容的政策措施15件。开展了反不正当竞争“守护”专项行动、医药领域腐败问题集中整治、网络培训市场、老年消费市场等专项整治，全市办理反不正当竞争案件13件。</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六是畅通消费投诉举报渠道，助力提振消费信心。深入开展放心消费行动，</w:t>
      </w:r>
      <w:r>
        <w:rPr>
          <w:rFonts w:hint="eastAsia" w:ascii="Times New Roman" w:hAnsi="Times New Roman" w:eastAsia="仿宋_GB2312" w:cs="Times New Roman"/>
          <w:sz w:val="32"/>
          <w:szCs w:val="32"/>
          <w:lang w:val="en-US" w:eastAsia="zh-CN"/>
        </w:rPr>
        <w:t>累计5012家经营主体作出放心消费承诺。全市系统处理各类投诉举报21268件，为消费者挽回经济损失1012万元，按期办结率达99.98%。多措并举抓实ODR企业发展，有效推进消费纠纷线上和解。目前，全市共有ODR企业180家，ODR企业通过全国12315平台与消费者先行和解消费纠纷1955件。</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val="en-US" w:eastAsia="zh-CN"/>
        </w:rPr>
        <w:t>七是持</w:t>
      </w:r>
      <w:r>
        <w:rPr>
          <w:rFonts w:hint="eastAsia" w:ascii="仿宋_GB2312" w:hAnsi="仿宋_GB2312" w:eastAsia="仿宋_GB2312" w:cs="仿宋_GB2312"/>
          <w:sz w:val="32"/>
          <w:szCs w:val="32"/>
          <w:lang w:eastAsia="zh-CN"/>
        </w:rPr>
        <w:t>续落实广告属地监测责任。为持续加强对全市传统媒体、互联网广告、户外广告进行监测，购买了山东蓝天云数据科技有限公司监测服务。同时，加强广告监测业务培训和指导，督查指导基层监管人员的广告监测信息日常处理力度，要求对涉嫌违法广告线索派发和处理。</w:t>
      </w:r>
      <w:r>
        <w:rPr>
          <w:rFonts w:hint="eastAsia" w:ascii="Times New Roman" w:hAnsi="Times New Roman" w:eastAsia="仿宋_GB2312" w:cs="Times New Roman"/>
          <w:sz w:val="32"/>
          <w:szCs w:val="32"/>
          <w:lang w:eastAsia="zh-CN"/>
        </w:rPr>
        <w:t>截止1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月22日，共监测益阳市互联网媒体广告1</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292条，涉嫌违法广告1</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5条。无立案调查的案件。</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是聚焦事中事后监管，营造良好市场秩序。强化价格收费监督检查，办理违法案件41件，经济制裁合计2142余万元。创新监管模式，运用大数据技术搭建价格监测预警平台，建立20个监测点，对重要民生商品和服务价格进行实时采集、分析和预警。强化打击传销工作，开展排查活动75次，联合公安开展排查行动35次，捣毁传销窝点1处，查办网络传销案件2起。开展网络市场监管促发展保安全专项行动，督促网络交易平台删除违法商品信息18条次，责令整改网站2个次，责令停止平台服务的网店4个次，查处网络违法案件7件。</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九是夯实基础建设，着力能力提升。</w:t>
      </w:r>
      <w:r>
        <w:rPr>
          <w:rFonts w:hint="eastAsia" w:ascii="仿宋_GB2312" w:hAnsi="仿宋_GB2312" w:eastAsia="仿宋_GB2312" w:cs="仿宋_GB2312"/>
          <w:b w:val="0"/>
          <w:bCs w:val="0"/>
          <w:sz w:val="32"/>
          <w:szCs w:val="32"/>
          <w:lang w:val="en-US" w:eastAsia="zh-CN"/>
        </w:rPr>
        <w:t>为提升我市的检验检测能力，购置了一系列专业设备。如直属机构益阳市食品药品检验所</w:t>
      </w:r>
      <w:r>
        <w:rPr>
          <w:rFonts w:hint="eastAsia" w:ascii="仿宋_GB2312" w:hAnsi="仿宋_GB2312" w:eastAsia="仿宋_GB2312" w:cs="仿宋_GB2312"/>
          <w:b w:val="0"/>
          <w:i w:val="0"/>
          <w:caps w:val="0"/>
          <w:color w:val="000000"/>
          <w:spacing w:val="0"/>
          <w:sz w:val="32"/>
          <w:szCs w:val="32"/>
          <w:shd w:val="clear" w:color="auto" w:fill="FFFFFF"/>
          <w:lang w:val="en-US" w:eastAsia="zh-CN"/>
        </w:rPr>
        <w:t>配置了</w:t>
      </w:r>
      <w:r>
        <w:rPr>
          <w:rFonts w:hint="eastAsia" w:ascii="仿宋_GB2312" w:hAnsi="仿宋_GB2312" w:eastAsia="仿宋_GB2312" w:cs="仿宋_GB2312"/>
          <w:b w:val="0"/>
          <w:i w:val="0"/>
          <w:caps w:val="0"/>
          <w:color w:val="000000"/>
          <w:spacing w:val="0"/>
          <w:sz w:val="32"/>
          <w:szCs w:val="32"/>
          <w:shd w:val="clear" w:color="auto" w:fill="FFFFFF"/>
        </w:rPr>
        <w:t>溶</w:t>
      </w:r>
      <w:r>
        <w:rPr>
          <w:rFonts w:hint="eastAsia" w:ascii="Times New Roman" w:hAnsi="Times New Roman" w:eastAsia="仿宋_GB2312" w:cs="Times New Roman"/>
          <w:sz w:val="32"/>
          <w:szCs w:val="32"/>
          <w:lang w:eastAsia="zh-CN"/>
        </w:rPr>
        <w:t>出度测定仪</w:t>
      </w:r>
      <w:r>
        <w:rPr>
          <w:rFonts w:hint="eastAsia" w:ascii="Times New Roman" w:hAnsi="Times New Roman" w:eastAsia="仿宋_GB2312" w:cs="Times New Roman"/>
          <w:sz w:val="32"/>
          <w:szCs w:val="32"/>
          <w:lang w:val="en-US" w:eastAsia="zh-CN"/>
        </w:rPr>
        <w:t>1台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采</w:t>
      </w:r>
      <w:r>
        <w:rPr>
          <w:rFonts w:hint="eastAsia" w:ascii="仿宋_GB2312" w:hAnsi="仿宋_GB2312" w:eastAsia="仿宋_GB2312" w:cs="仿宋_GB2312"/>
          <w:strike w:val="0"/>
          <w:dstrike w:val="0"/>
          <w:color w:val="auto"/>
          <w:sz w:val="32"/>
          <w:szCs w:val="32"/>
          <w:lang w:val="en-US" w:eastAsia="zh-CN"/>
        </w:rPr>
        <w:t>购旋光仪、生</w:t>
      </w:r>
      <w:r>
        <w:rPr>
          <w:rFonts w:hint="eastAsia" w:ascii="Times New Roman" w:hAnsi="Times New Roman" w:eastAsia="仿宋_GB2312" w:cs="Times New Roman"/>
          <w:sz w:val="32"/>
          <w:szCs w:val="32"/>
          <w:lang w:val="en-US" w:eastAsia="zh-CN"/>
        </w:rPr>
        <w:t>物安全柜等7台小</w:t>
      </w:r>
      <w:r>
        <w:rPr>
          <w:rFonts w:hint="eastAsia" w:ascii="仿宋_GB2312" w:hAnsi="仿宋_GB2312" w:eastAsia="仿宋_GB2312" w:cs="仿宋_GB2312"/>
          <w:strike w:val="0"/>
          <w:dstrike w:val="0"/>
          <w:color w:val="auto"/>
          <w:sz w:val="32"/>
          <w:szCs w:val="32"/>
          <w:lang w:val="en-US" w:eastAsia="zh-CN"/>
        </w:rPr>
        <w:t>型仪器，</w:t>
      </w:r>
      <w:r>
        <w:rPr>
          <w:rFonts w:hint="eastAsia" w:ascii="仿宋_GB2312" w:hAnsi="仿宋_GB2312" w:eastAsia="仿宋_GB2312" w:cs="仿宋_GB2312"/>
          <w:color w:val="333333"/>
          <w:sz w:val="32"/>
          <w:szCs w:val="32"/>
          <w:lang w:val="en-US" w:eastAsia="zh-CN"/>
        </w:rPr>
        <w:t>对实验室整体布局进行合理规划，</w:t>
      </w:r>
      <w:r>
        <w:rPr>
          <w:rFonts w:hint="eastAsia" w:ascii="仿宋_GB2312" w:hAnsi="仿宋_GB2312" w:eastAsia="仿宋_GB2312" w:cs="仿宋_GB2312"/>
          <w:strike w:val="0"/>
          <w:dstrike w:val="0"/>
          <w:color w:val="auto"/>
          <w:sz w:val="32"/>
          <w:szCs w:val="32"/>
          <w:lang w:val="en-US" w:eastAsia="zh-CN"/>
        </w:rPr>
        <w:t>将实验室进行分区隔离，实验室环境得到了有效控制。在软件上加强信息化建设，在原药品系统的基础上更新构建符合当前形势的药品信息管理系统，</w:t>
      </w:r>
      <w:r>
        <w:rPr>
          <w:rFonts w:hint="eastAsia" w:ascii="仿宋_GB2312" w:hAnsi="仿宋_GB2312" w:eastAsia="仿宋_GB2312" w:cs="仿宋_GB2312"/>
          <w:b w:val="0"/>
          <w:bCs w:val="0"/>
          <w:sz w:val="32"/>
          <w:szCs w:val="32"/>
          <w:lang w:val="en-US" w:eastAsia="zh-CN"/>
        </w:rPr>
        <w:t>益阳市质检院采购</w:t>
      </w:r>
      <w:r>
        <w:rPr>
          <w:rFonts w:hint="eastAsia" w:ascii="仿宋_GB2312" w:hAnsi="仿宋_GB2312" w:eastAsia="仿宋_GB2312" w:cs="仿宋_GB2312"/>
          <w:kern w:val="2"/>
          <w:sz w:val="32"/>
          <w:szCs w:val="32"/>
        </w:rPr>
        <w:t>微波消解</w:t>
      </w:r>
      <w:r>
        <w:rPr>
          <w:rFonts w:hint="eastAsia" w:ascii="Times New Roman" w:hAnsi="Times New Roman" w:eastAsia="仿宋_GB2312" w:cs="Times New Roman"/>
          <w:sz w:val="32"/>
          <w:szCs w:val="32"/>
          <w:lang w:eastAsia="zh-CN"/>
        </w:rPr>
        <w:t>仪1台，</w:t>
      </w:r>
      <w:r>
        <w:rPr>
          <w:rFonts w:hint="eastAsia" w:ascii="Times New Roman" w:hAnsi="Times New Roman" w:eastAsia="仿宋_GB2312" w:cs="Times New Roman"/>
          <w:sz w:val="32"/>
          <w:szCs w:val="32"/>
          <w:lang w:val="en-US" w:eastAsia="zh-CN"/>
        </w:rPr>
        <w:t>该</w:t>
      </w:r>
      <w:r>
        <w:rPr>
          <w:rFonts w:hint="eastAsia" w:ascii="仿宋_GB2312" w:hAnsi="仿宋_GB2312" w:eastAsia="仿宋_GB2312" w:cs="仿宋_GB2312"/>
          <w:kern w:val="2"/>
          <w:sz w:val="32"/>
          <w:szCs w:val="32"/>
          <w:lang w:val="en-US" w:eastAsia="zh-CN"/>
        </w:rPr>
        <w:t>设备</w:t>
      </w:r>
      <w:r>
        <w:rPr>
          <w:rFonts w:hint="eastAsia" w:ascii="仿宋_GB2312" w:hAnsi="仿宋_GB2312" w:eastAsia="仿宋_GB2312" w:cs="仿宋_GB2312"/>
          <w:kern w:val="2"/>
          <w:sz w:val="32"/>
          <w:szCs w:val="32"/>
        </w:rPr>
        <w:t>提升</w:t>
      </w:r>
      <w:r>
        <w:rPr>
          <w:rFonts w:hint="eastAsia" w:ascii="仿宋_GB2312" w:hAnsi="仿宋_GB2312" w:eastAsia="仿宋_GB2312" w:cs="仿宋_GB2312"/>
          <w:sz w:val="32"/>
          <w:szCs w:val="32"/>
        </w:rPr>
        <w:t>食品塑料包装袋产品溶剂残留检</w:t>
      </w:r>
      <w:r>
        <w:rPr>
          <w:rFonts w:hint="eastAsia" w:ascii="仿宋_GB2312" w:hAnsi="仿宋_GB2312" w:eastAsia="仿宋_GB2312" w:cs="仿宋_GB2312"/>
          <w:kern w:val="2"/>
          <w:sz w:val="32"/>
          <w:szCs w:val="32"/>
        </w:rPr>
        <w:t>测水平，提高检测效率和准确度，</w:t>
      </w:r>
      <w:r>
        <w:rPr>
          <w:rFonts w:hint="eastAsia" w:ascii="仿宋_GB2312" w:hAnsi="仿宋_GB2312" w:eastAsia="仿宋_GB2312" w:cs="仿宋_GB2312"/>
          <w:sz w:val="32"/>
          <w:szCs w:val="32"/>
        </w:rPr>
        <w:t>设备安装调试到位后，一方面样品前处理速度提升，提高了检测效率；另一方面与其他前处理方法作对比，降低了食品中重金属质量事故率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还提高了工业相关产品的放射性核素限量及食品相关产品耐微波炉高频加热性能、微波炉耐温性的质量检测水平，降低了工业相关产品及食品相关产品质量事故率。</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年共使用</w:t>
      </w:r>
      <w:r>
        <w:rPr>
          <w:rFonts w:hint="eastAsia" w:ascii="Times New Roman" w:hAnsi="Times New Roman" w:eastAsia="仿宋_GB2312" w:cs="Times New Roman"/>
          <w:sz w:val="32"/>
          <w:szCs w:val="32"/>
          <w:lang w:val="en-US" w:eastAsia="zh-CN"/>
        </w:rPr>
        <w:t>市场</w:t>
      </w:r>
      <w:r>
        <w:rPr>
          <w:rFonts w:hint="eastAsia" w:ascii="Times New Roman" w:hAnsi="Times New Roman" w:eastAsia="仿宋_GB2312" w:cs="Times New Roman"/>
          <w:sz w:val="32"/>
          <w:szCs w:val="32"/>
          <w:lang w:eastAsia="zh-CN"/>
        </w:rPr>
        <w:t>监管资金</w:t>
      </w:r>
      <w:r>
        <w:rPr>
          <w:rFonts w:hint="eastAsia" w:ascii="Times New Roman" w:hAnsi="Times New Roman" w:eastAsia="仿宋_GB2312" w:cs="Times New Roman"/>
          <w:sz w:val="32"/>
          <w:szCs w:val="32"/>
          <w:lang w:val="en-US" w:eastAsia="zh-CN"/>
        </w:rPr>
        <w:t>338.72</w:t>
      </w:r>
      <w:r>
        <w:rPr>
          <w:rFonts w:hint="eastAsia" w:ascii="Times New Roman" w:hAnsi="Times New Roman" w:eastAsia="仿宋_GB2312" w:cs="Times New Roman"/>
          <w:sz w:val="32"/>
          <w:szCs w:val="32"/>
          <w:lang w:eastAsia="zh-CN"/>
        </w:rPr>
        <w:t>万元，</w:t>
      </w: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val="en-US" w:eastAsia="zh-CN"/>
        </w:rPr>
        <w:t>包括一是智慧综合指挥中心信息化建设。制服、能力提升设备购置等支出；二是</w:t>
      </w:r>
      <w:r>
        <w:rPr>
          <w:rFonts w:hint="eastAsia" w:ascii="仿宋_GB2312" w:hAnsi="仿宋_GB2312" w:eastAsia="仿宋_GB2312" w:cs="仿宋_GB2312"/>
          <w:sz w:val="32"/>
          <w:szCs w:val="32"/>
        </w:rPr>
        <w:t>市场监管各业务线</w:t>
      </w:r>
      <w:r>
        <w:rPr>
          <w:rFonts w:hint="eastAsia" w:ascii="仿宋_GB2312" w:hAnsi="仿宋_GB2312" w:eastAsia="仿宋_GB2312" w:cs="仿宋_GB2312"/>
          <w:sz w:val="32"/>
          <w:szCs w:val="32"/>
          <w:lang w:val="en-US" w:eastAsia="zh-CN"/>
        </w:rPr>
        <w:t>日常监管、</w:t>
      </w:r>
      <w:r>
        <w:rPr>
          <w:rFonts w:hint="eastAsia" w:ascii="仿宋_GB2312" w:hAnsi="仿宋_GB2312" w:eastAsia="仿宋_GB2312" w:cs="仿宋_GB2312"/>
          <w:sz w:val="32"/>
          <w:szCs w:val="32"/>
        </w:rPr>
        <w:t>专项整治行动、培训、会议、</w:t>
      </w:r>
      <w:r>
        <w:rPr>
          <w:rFonts w:hint="eastAsia" w:ascii="仿宋_GB2312" w:hAnsi="仿宋_GB2312" w:eastAsia="仿宋_GB2312" w:cs="仿宋_GB2312"/>
          <w:sz w:val="32"/>
          <w:szCs w:val="32"/>
          <w:lang w:val="en-US" w:eastAsia="zh-CN"/>
        </w:rPr>
        <w:t>印刷</w:t>
      </w:r>
      <w:r>
        <w:rPr>
          <w:rFonts w:hint="eastAsia" w:ascii="仿宋_GB2312" w:hAnsi="仿宋_GB2312" w:eastAsia="仿宋_GB2312" w:cs="仿宋_GB2312"/>
          <w:sz w:val="32"/>
          <w:szCs w:val="32"/>
        </w:rPr>
        <w:t>等方面支出</w:t>
      </w:r>
      <w:r>
        <w:rPr>
          <w:rFonts w:hint="eastAsia" w:ascii="仿宋_GB2312" w:hAnsi="仿宋_GB2312" w:eastAsia="仿宋_GB2312" w:cs="仿宋_GB2312"/>
          <w:sz w:val="32"/>
          <w:szCs w:val="32"/>
          <w:lang w:val="en-US" w:eastAsia="zh-CN"/>
        </w:rPr>
        <w:t>；三是市场主体培育监测与分析报告、公平竞争审查评估、消费质量合格测评、广告监管服务、网监分析服务、网络传销技术服务、执法办案律师代理等业务委托支出</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2024年在全市继续推行企业开办首套印章免费送，全年共计免费赠送印章10590套，全年为企业节省616万余元，其中市本级免费赠送1</w:t>
      </w:r>
      <w:r>
        <w:rPr>
          <w:rFonts w:hint="eastAsia" w:cs="Times New Roman"/>
          <w:sz w:val="32"/>
          <w:szCs w:val="32"/>
          <w:lang w:val="en-US" w:eastAsia="zh-CN"/>
        </w:rPr>
        <w:t>50余</w:t>
      </w:r>
      <w:r>
        <w:rPr>
          <w:rFonts w:hint="eastAsia" w:ascii="Times New Roman" w:hAnsi="Times New Roman" w:eastAsia="仿宋_GB2312" w:cs="Times New Roman"/>
          <w:sz w:val="32"/>
          <w:szCs w:val="32"/>
          <w:lang w:val="en-US" w:eastAsia="zh-CN"/>
        </w:rPr>
        <w:t>套，节省10万余元。我局坚持讲政治、提质量、强监管、促发展、保安全工作思路，</w:t>
      </w:r>
      <w:r>
        <w:rPr>
          <w:rFonts w:hint="eastAsia" w:ascii="仿宋_GB2312" w:hAnsi="仿宋_GB2312" w:eastAsia="仿宋_GB2312" w:cs="仿宋_GB2312"/>
          <w:sz w:val="32"/>
          <w:szCs w:val="32"/>
          <w:lang w:val="en-US" w:eastAsia="zh-CN"/>
        </w:rPr>
        <w:t>以推进“三个提升年”为抓手，真抓实干，履职尽责，优化服务，担当作为。</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eastAsia" w:ascii="仿宋_GB2312" w:hAnsi="仿宋_GB2312" w:eastAsia="仿宋_GB2312" w:cs="仿宋_GB2312"/>
          <w:b/>
          <w:kern w:val="2"/>
          <w:sz w:val="32"/>
          <w:szCs w:val="32"/>
          <w:lang w:val="en-US" w:eastAsia="zh-CN" w:bidi="ar-SA"/>
        </w:rPr>
      </w:pPr>
      <w:r>
        <w:rPr>
          <w:rFonts w:hint="eastAsia" w:ascii="Times New Roman" w:hAnsi="Times New Roman" w:eastAsia="仿宋_GB2312" w:cs="Times New Roman"/>
          <w:b/>
          <w:bCs/>
          <w:sz w:val="32"/>
          <w:szCs w:val="32"/>
          <w:lang w:val="en-US" w:eastAsia="zh-CN"/>
        </w:rPr>
        <w:t>2.以</w:t>
      </w:r>
      <w:r>
        <w:rPr>
          <w:rFonts w:hint="eastAsia" w:ascii="仿宋_GB2312" w:hAnsi="仿宋_GB2312" w:eastAsia="仿宋_GB2312" w:cs="仿宋_GB2312"/>
          <w:b/>
          <w:kern w:val="2"/>
          <w:sz w:val="32"/>
          <w:szCs w:val="32"/>
          <w:lang w:val="en-US" w:eastAsia="zh-CN" w:bidi="ar-SA"/>
        </w:rPr>
        <w:t>风险防控为核心，构建药械化全链条监管体系。</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Cs/>
          <w:i w:val="0"/>
          <w:iCs w:val="0"/>
          <w:caps w:val="0"/>
          <w:color w:val="auto"/>
          <w:spacing w:val="0"/>
          <w:sz w:val="32"/>
          <w:szCs w:val="32"/>
        </w:rPr>
      </w:pPr>
      <w:r>
        <w:rPr>
          <w:rFonts w:hint="eastAsia" w:ascii="仿宋_GB2312" w:hAnsi="仿宋_GB2312" w:eastAsia="仿宋_GB2312" w:cs="仿宋_GB2312"/>
          <w:bCs/>
          <w:i w:val="0"/>
          <w:iCs w:val="0"/>
          <w:caps w:val="0"/>
          <w:color w:val="auto"/>
          <w:spacing w:val="0"/>
          <w:sz w:val="32"/>
          <w:szCs w:val="32"/>
          <w:lang w:val="en-US" w:eastAsia="zh-CN"/>
        </w:rPr>
        <w:t>在药品、医疗器械和化妆品质量安全监管中，</w:t>
      </w:r>
      <w:r>
        <w:rPr>
          <w:rFonts w:hint="eastAsia" w:ascii="仿宋_GB2312" w:hAnsi="仿宋_GB2312" w:eastAsia="仿宋_GB2312" w:cs="仿宋_GB2312"/>
          <w:b w:val="0"/>
          <w:bCs/>
          <w:sz w:val="32"/>
          <w:szCs w:val="32"/>
        </w:rPr>
        <w:t>针对医疗器械领域，</w:t>
      </w:r>
      <w:r>
        <w:rPr>
          <w:rFonts w:hint="eastAsia" w:ascii="仿宋_GB2312" w:hAnsi="仿宋_GB2312" w:eastAsia="仿宋_GB2312" w:cs="仿宋_GB2312"/>
          <w:b w:val="0"/>
          <w:bCs/>
          <w:i w:val="0"/>
          <w:iCs w:val="0"/>
          <w:caps w:val="0"/>
          <w:color w:val="auto"/>
          <w:spacing w:val="0"/>
          <w:sz w:val="32"/>
          <w:szCs w:val="32"/>
        </w:rPr>
        <w:t>一是</w:t>
      </w:r>
      <w:r>
        <w:rPr>
          <w:rFonts w:hint="eastAsia" w:ascii="仿宋_GB2312" w:hAnsi="仿宋_GB2312" w:eastAsia="仿宋_GB2312" w:cs="仿宋_GB2312"/>
          <w:bCs/>
          <w:i w:val="0"/>
          <w:iCs w:val="0"/>
          <w:caps w:val="0"/>
          <w:color w:val="auto"/>
          <w:spacing w:val="0"/>
          <w:sz w:val="32"/>
          <w:szCs w:val="32"/>
        </w:rPr>
        <w:t>严格管控无菌、植入类医疗器械及创新产品等高风险品种；二是重点加强疫情防控器械、集中采购中选产品、医疗美容器械、辅助生殖器具，以及青少年近视防治产品（特别是激光近视/弱视治疗仪）等社会关注度高的品种监管。</w:t>
      </w:r>
      <w:r>
        <w:rPr>
          <w:rFonts w:hint="eastAsia" w:ascii="仿宋_GB2312" w:hAnsi="仿宋_GB2312" w:eastAsia="仿宋_GB2312" w:cs="仿宋_GB2312"/>
          <w:bCs/>
          <w:i w:val="0"/>
          <w:iCs w:val="0"/>
          <w:caps w:val="0"/>
          <w:color w:val="auto"/>
          <w:spacing w:val="0"/>
          <w:sz w:val="32"/>
          <w:szCs w:val="32"/>
          <w:lang w:val="en-US" w:eastAsia="zh-CN"/>
        </w:rPr>
        <w:t>三是</w:t>
      </w:r>
      <w:r>
        <w:rPr>
          <w:rFonts w:hint="eastAsia" w:ascii="仿宋_GB2312" w:hAnsi="仿宋_GB2312" w:eastAsia="仿宋_GB2312" w:cs="仿宋_GB2312"/>
          <w:bCs/>
          <w:i w:val="0"/>
          <w:iCs w:val="0"/>
          <w:caps w:val="0"/>
          <w:color w:val="auto"/>
          <w:spacing w:val="0"/>
          <w:sz w:val="32"/>
          <w:szCs w:val="32"/>
        </w:rPr>
        <w:t>同步推进网络销售专项整治行动，从严查处无证生产经营、使用过期医疗器械等违法违规行为。</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Cs/>
          <w:i w:val="0"/>
          <w:iCs w:val="0"/>
          <w:caps w:val="0"/>
          <w:color w:val="auto"/>
          <w:spacing w:val="0"/>
          <w:sz w:val="32"/>
          <w:szCs w:val="32"/>
          <w:lang w:val="en-US" w:eastAsia="zh-CN"/>
        </w:rPr>
        <w:t>针对</w:t>
      </w:r>
      <w:r>
        <w:rPr>
          <w:rFonts w:hint="eastAsia" w:ascii="仿宋_GB2312" w:hAnsi="仿宋_GB2312" w:eastAsia="仿宋_GB2312" w:cs="仿宋_GB2312"/>
          <w:b w:val="0"/>
          <w:bCs/>
          <w:sz w:val="32"/>
          <w:szCs w:val="32"/>
        </w:rPr>
        <w:t>化妆品监管，以</w:t>
      </w:r>
      <w:r>
        <w:rPr>
          <w:rFonts w:hint="eastAsia" w:ascii="仿宋_GB2312" w:hAnsi="仿宋_GB2312" w:eastAsia="仿宋_GB2312" w:cs="仿宋_GB2312"/>
          <w:b w:val="0"/>
          <w:bCs/>
          <w:sz w:val="32"/>
          <w:szCs w:val="32"/>
          <w:lang w:eastAsia="zh-CN"/>
        </w:rPr>
        <w:t>“双随机、一公开”</w:t>
      </w:r>
      <w:r>
        <w:rPr>
          <w:rFonts w:hint="eastAsia" w:ascii="仿宋_GB2312" w:hAnsi="仿宋_GB2312" w:eastAsia="仿宋_GB2312" w:cs="仿宋_GB2312"/>
          <w:b w:val="0"/>
          <w:bCs/>
          <w:sz w:val="32"/>
          <w:szCs w:val="32"/>
        </w:rPr>
        <w:t>为基础，开展染发类、美发机构专项整治，</w:t>
      </w:r>
      <w:r>
        <w:rPr>
          <w:rFonts w:hint="eastAsia" w:ascii="仿宋_GB2312" w:hAnsi="仿宋_GB2312" w:eastAsia="仿宋_GB2312" w:cs="仿宋_GB2312"/>
          <w:color w:val="000000"/>
          <w:sz w:val="32"/>
          <w:szCs w:val="32"/>
          <w:lang w:val="en-US" w:eastAsia="zh-CN"/>
        </w:rPr>
        <w:t>检查化妆品重点领域经营单</w:t>
      </w:r>
      <w:r>
        <w:rPr>
          <w:rFonts w:hint="default" w:ascii="Times New Roman" w:hAnsi="Times New Roman" w:eastAsia="仿宋_GB2312" w:cs="Times New Roman"/>
          <w:color w:val="000000"/>
          <w:sz w:val="32"/>
          <w:szCs w:val="32"/>
          <w:lang w:val="en-US" w:eastAsia="zh-CN"/>
        </w:rPr>
        <w:t>位1416家次，下达责令改正通知书54份，立案45件，处罚没款37.21万元，</w:t>
      </w:r>
      <w:r>
        <w:rPr>
          <w:rFonts w:hint="default" w:ascii="Times New Roman" w:hAnsi="Times New Roman" w:eastAsia="仿宋_GB2312" w:cs="Times New Roman"/>
          <w:b w:val="0"/>
          <w:bCs/>
          <w:sz w:val="32"/>
          <w:szCs w:val="32"/>
        </w:rPr>
        <w:t>重点打</w:t>
      </w:r>
      <w:r>
        <w:rPr>
          <w:rFonts w:hint="eastAsia" w:ascii="仿宋_GB2312" w:hAnsi="仿宋_GB2312" w:eastAsia="仿宋_GB2312" w:cs="仿宋_GB2312"/>
          <w:b w:val="0"/>
          <w:bCs/>
          <w:sz w:val="32"/>
          <w:szCs w:val="32"/>
        </w:rPr>
        <w:t>击“一号多用”、自制</w:t>
      </w:r>
      <w:r>
        <w:rPr>
          <w:rFonts w:hint="eastAsia" w:ascii="仿宋_GB2312" w:hAnsi="仿宋_GB2312" w:eastAsia="仿宋_GB2312" w:cs="仿宋_GB2312"/>
          <w:b w:val="0"/>
          <w:bCs/>
          <w:sz w:val="32"/>
          <w:szCs w:val="32"/>
          <w:lang w:val="en-US" w:eastAsia="zh-CN"/>
        </w:rPr>
        <w:t>或</w:t>
      </w:r>
      <w:r>
        <w:rPr>
          <w:rFonts w:hint="eastAsia" w:ascii="仿宋_GB2312" w:hAnsi="仿宋_GB2312" w:eastAsia="仿宋_GB2312" w:cs="仿宋_GB2312"/>
          <w:b w:val="0"/>
          <w:bCs/>
          <w:sz w:val="32"/>
          <w:szCs w:val="32"/>
        </w:rPr>
        <w:t>分装等乱象</w:t>
      </w:r>
      <w:r>
        <w:rPr>
          <w:rFonts w:hint="eastAsia" w:ascii="仿宋_GB2312" w:hAnsi="仿宋_GB2312" w:eastAsia="仿宋_GB2312" w:cs="仿宋_GB2312"/>
          <w:b w:val="0"/>
          <w:bCs/>
          <w:sz w:val="32"/>
          <w:szCs w:val="32"/>
          <w:lang w:val="en-US" w:eastAsia="zh-CN"/>
        </w:rPr>
        <w:t>事件</w:t>
      </w:r>
      <w:r>
        <w:rPr>
          <w:rFonts w:hint="eastAsia" w:ascii="仿宋_GB2312" w:hAnsi="仿宋_GB2312" w:eastAsia="仿宋_GB2312" w:cs="仿宋_GB2312"/>
          <w:b w:val="0"/>
          <w:bCs/>
          <w:sz w:val="32"/>
          <w:szCs w:val="32"/>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针对药品监管，</w:t>
      </w:r>
      <w:r>
        <w:rPr>
          <w:rFonts w:hint="eastAsia" w:ascii="仿宋_GB2312" w:hAnsi="仿宋_GB2312" w:eastAsia="仿宋_GB2312" w:cs="仿宋_GB2312"/>
          <w:b w:val="0"/>
          <w:bCs/>
          <w:sz w:val="32"/>
          <w:szCs w:val="32"/>
        </w:rPr>
        <w:t>强化疫苗及特殊药品</w:t>
      </w:r>
      <w:r>
        <w:rPr>
          <w:rFonts w:hint="eastAsia" w:ascii="Times New Roman" w:hAnsi="Times New Roman" w:eastAsia="仿宋_GB2312" w:cs="Times New Roman"/>
          <w:color w:val="000000"/>
          <w:sz w:val="32"/>
          <w:szCs w:val="32"/>
          <w:lang w:val="en-US" w:eastAsia="zh-CN"/>
        </w:rPr>
        <w:t>监管，对7家市</w:t>
      </w:r>
      <w:r>
        <w:rPr>
          <w:rFonts w:hint="eastAsia" w:ascii="仿宋_GB2312" w:hAnsi="仿宋_GB2312" w:eastAsia="仿宋_GB2312" w:cs="仿宋_GB2312"/>
          <w:b w:val="0"/>
          <w:bCs/>
          <w:sz w:val="32"/>
          <w:szCs w:val="32"/>
        </w:rPr>
        <w:t>直医疗机构开展疫苗储运检查，抽查</w:t>
      </w:r>
      <w:r>
        <w:rPr>
          <w:rFonts w:hint="eastAsia" w:ascii="仿宋_GB2312" w:hAnsi="仿宋_GB2312" w:eastAsia="仿宋_GB2312" w:cs="仿宋_GB2312"/>
          <w:b w:val="0"/>
          <w:bCs/>
          <w:sz w:val="32"/>
          <w:szCs w:val="32"/>
          <w:lang w:val="en-US" w:eastAsia="zh-CN"/>
        </w:rPr>
        <w:t>有麻精药</w:t>
      </w:r>
      <w:r>
        <w:rPr>
          <w:rFonts w:hint="eastAsia" w:ascii="Times New Roman" w:hAnsi="Times New Roman" w:eastAsia="仿宋_GB2312" w:cs="Times New Roman"/>
          <w:color w:val="000000"/>
          <w:sz w:val="32"/>
          <w:szCs w:val="32"/>
          <w:lang w:val="en-US" w:eastAsia="zh-CN"/>
        </w:rPr>
        <w:t>品经营资质的3家批</w:t>
      </w:r>
      <w:r>
        <w:rPr>
          <w:rFonts w:hint="eastAsia" w:ascii="仿宋_GB2312" w:hAnsi="仿宋_GB2312" w:eastAsia="仿宋_GB2312" w:cs="仿宋_GB2312"/>
          <w:b w:val="0"/>
          <w:bCs/>
          <w:sz w:val="32"/>
          <w:szCs w:val="32"/>
          <w:lang w:val="en-US" w:eastAsia="zh-CN"/>
        </w:rPr>
        <w:t>发企业和取得印鉴卡</w:t>
      </w:r>
      <w:r>
        <w:rPr>
          <w:rFonts w:hint="eastAsia" w:ascii="Times New Roman" w:hAnsi="Times New Roman" w:eastAsia="仿宋_GB2312" w:cs="Times New Roman"/>
          <w:color w:val="000000"/>
          <w:sz w:val="32"/>
          <w:szCs w:val="32"/>
          <w:lang w:val="en-US" w:eastAsia="zh-CN"/>
        </w:rPr>
        <w:t>的153家医疗机构，</w:t>
      </w:r>
      <w:r>
        <w:rPr>
          <w:rFonts w:hint="eastAsia" w:ascii="仿宋_GB2312" w:hAnsi="仿宋_GB2312" w:eastAsia="仿宋_GB2312" w:cs="仿宋_GB2312"/>
          <w:b w:val="0"/>
          <w:bCs/>
          <w:sz w:val="32"/>
          <w:szCs w:val="32"/>
          <w:lang w:val="en-US" w:eastAsia="zh-CN"/>
        </w:rPr>
        <w:t>针对麻醉药品和精神药品</w:t>
      </w:r>
      <w:r>
        <w:rPr>
          <w:rFonts w:hint="eastAsia" w:ascii="仿宋_GB2312" w:hAnsi="仿宋_GB2312" w:eastAsia="仿宋_GB2312" w:cs="仿宋_GB2312"/>
          <w:b w:val="0"/>
          <w:bCs/>
          <w:sz w:val="32"/>
          <w:szCs w:val="32"/>
        </w:rPr>
        <w:t>落实“五专”管理和扫码追溯，严防流弊风险，筑牢药械化质量安全防线。</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sz w:val="32"/>
          <w:szCs w:val="32"/>
          <w:lang w:val="en-US" w:eastAsia="zh-CN"/>
        </w:rPr>
        <w:t>针对</w:t>
      </w:r>
      <w:r>
        <w:rPr>
          <w:rFonts w:hint="eastAsia" w:ascii="仿宋_GB2312" w:hAnsi="仿宋_GB2312" w:eastAsia="仿宋_GB2312" w:cs="仿宋_GB2312"/>
          <w:b w:val="0"/>
          <w:bCs w:val="0"/>
          <w:sz w:val="32"/>
          <w:szCs w:val="32"/>
        </w:rPr>
        <w:t>药械化不良反应监测</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依托国家监测信息系统，统筹推进医疗器械、药品及化妆品不良反应监测工作，组织架构清晰、责任分工明确。</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color w:val="auto"/>
          <w:sz w:val="32"/>
          <w:szCs w:val="32"/>
          <w:lang w:bidi="ar"/>
        </w:rPr>
      </w:pPr>
      <w:r>
        <w:rPr>
          <w:rFonts w:hint="eastAsia" w:ascii="仿宋_GB2312" w:hAnsi="仿宋_GB2312" w:eastAsia="仿宋_GB2312" w:cs="仿宋_GB2312"/>
          <w:b w:val="0"/>
          <w:bCs/>
          <w:sz w:val="32"/>
          <w:szCs w:val="32"/>
          <w:lang w:val="en-US" w:eastAsia="zh-CN"/>
        </w:rPr>
        <w:t>针对</w:t>
      </w:r>
      <w:r>
        <w:rPr>
          <w:rFonts w:hint="eastAsia" w:ascii="仿宋_GB2312" w:hAnsi="仿宋_GB2312" w:eastAsia="仿宋_GB2312" w:cs="仿宋_GB2312"/>
          <w:b w:val="0"/>
          <w:bCs/>
          <w:color w:val="auto"/>
          <w:sz w:val="32"/>
          <w:szCs w:val="32"/>
          <w:lang w:bidi="ar"/>
        </w:rPr>
        <w:t>药械化抽检</w:t>
      </w:r>
      <w:r>
        <w:rPr>
          <w:rFonts w:hint="eastAsia" w:ascii="仿宋_GB2312" w:hAnsi="仿宋_GB2312" w:eastAsia="仿宋_GB2312" w:cs="仿宋_GB2312"/>
          <w:b w:val="0"/>
          <w:bCs/>
          <w:color w:val="auto"/>
          <w:sz w:val="32"/>
          <w:szCs w:val="32"/>
          <w:lang w:eastAsia="zh-CN" w:bidi="ar"/>
        </w:rPr>
        <w:t>，</w:t>
      </w:r>
      <w:r>
        <w:rPr>
          <w:rFonts w:hint="eastAsia" w:ascii="仿宋_GB2312" w:hAnsi="仿宋_GB2312" w:eastAsia="仿宋_GB2312" w:cs="仿宋_GB2312"/>
          <w:b w:val="0"/>
          <w:bCs/>
          <w:color w:val="auto"/>
          <w:sz w:val="32"/>
          <w:szCs w:val="32"/>
          <w:lang w:bidi="ar"/>
        </w:rPr>
        <w:t>一是强化风险防控机制，修订《益阳市药械化安全风险会商制度》，</w:t>
      </w:r>
      <w:r>
        <w:rPr>
          <w:rFonts w:hint="eastAsia" w:ascii="Times New Roman" w:hAnsi="Times New Roman" w:eastAsia="仿宋_GB2312" w:cs="Times New Roman"/>
          <w:color w:val="000000"/>
          <w:sz w:val="32"/>
          <w:szCs w:val="32"/>
          <w:lang w:val="en-US" w:eastAsia="zh-CN"/>
        </w:rPr>
        <w:t>全年召开16次风险会商会议，闭环处置44个问题</w:t>
      </w:r>
      <w:r>
        <w:rPr>
          <w:rFonts w:hint="eastAsia" w:ascii="仿宋_GB2312" w:hAnsi="仿宋_GB2312" w:eastAsia="仿宋_GB2312" w:cs="仿宋_GB2312"/>
          <w:b w:val="0"/>
          <w:bCs/>
          <w:color w:val="auto"/>
          <w:sz w:val="32"/>
          <w:szCs w:val="32"/>
          <w:lang w:bidi="ar"/>
        </w:rPr>
        <w:t>，</w:t>
      </w:r>
      <w:r>
        <w:rPr>
          <w:rFonts w:hint="eastAsia" w:ascii="仿宋_GB2312" w:hAnsi="仿宋_GB2312" w:eastAsia="仿宋_GB2312" w:cs="仿宋_GB2312"/>
          <w:b w:val="0"/>
          <w:bCs/>
          <w:color w:val="auto"/>
          <w:sz w:val="32"/>
          <w:szCs w:val="32"/>
          <w:highlight w:val="none"/>
          <w:lang w:bidi="ar"/>
        </w:rPr>
        <w:t>重点突破医疗器械经营使用环节质量管理体系文件滞后</w:t>
      </w:r>
      <w:r>
        <w:rPr>
          <w:rFonts w:hint="eastAsia" w:ascii="仿宋_GB2312" w:hAnsi="仿宋_GB2312" w:eastAsia="仿宋_GB2312" w:cs="仿宋_GB2312"/>
          <w:b w:val="0"/>
          <w:bCs/>
          <w:color w:val="auto"/>
          <w:sz w:val="32"/>
          <w:szCs w:val="32"/>
          <w:highlight w:val="none"/>
          <w:lang w:eastAsia="zh-CN" w:bidi="ar"/>
        </w:rPr>
        <w:t>，</w:t>
      </w:r>
      <w:r>
        <w:rPr>
          <w:rFonts w:hint="eastAsia" w:ascii="仿宋_GB2312" w:hAnsi="仿宋_GB2312" w:eastAsia="仿宋_GB2312" w:cs="仿宋_GB2312"/>
          <w:b w:val="0"/>
          <w:bCs/>
          <w:color w:val="auto"/>
          <w:sz w:val="32"/>
          <w:szCs w:val="32"/>
          <w:highlight w:val="none"/>
          <w:lang w:val="en-US" w:eastAsia="zh-CN" w:bidi="ar"/>
        </w:rPr>
        <w:t>使用过期医疗器械</w:t>
      </w:r>
      <w:r>
        <w:rPr>
          <w:rFonts w:hint="eastAsia" w:ascii="仿宋_GB2312" w:hAnsi="仿宋_GB2312" w:eastAsia="仿宋_GB2312" w:cs="仿宋_GB2312"/>
          <w:b w:val="0"/>
          <w:bCs/>
          <w:color w:val="auto"/>
          <w:sz w:val="32"/>
          <w:szCs w:val="32"/>
          <w:highlight w:val="none"/>
          <w:lang w:bidi="ar"/>
        </w:rPr>
        <w:t>风险等突出问题。</w:t>
      </w:r>
      <w:r>
        <w:rPr>
          <w:rFonts w:hint="eastAsia" w:ascii="仿宋_GB2312" w:hAnsi="仿宋_GB2312" w:eastAsia="仿宋_GB2312" w:cs="仿宋_GB2312"/>
          <w:b/>
          <w:bCs w:val="0"/>
          <w:color w:val="auto"/>
          <w:sz w:val="32"/>
          <w:szCs w:val="32"/>
          <w:highlight w:val="none"/>
          <w:lang w:bidi="ar"/>
        </w:rPr>
        <w:t>二是</w:t>
      </w:r>
      <w:r>
        <w:rPr>
          <w:rFonts w:hint="eastAsia" w:ascii="仿宋_GB2312" w:hAnsi="仿宋_GB2312" w:eastAsia="仿宋_GB2312" w:cs="仿宋_GB2312"/>
          <w:b w:val="0"/>
          <w:bCs/>
          <w:color w:val="auto"/>
          <w:sz w:val="32"/>
          <w:szCs w:val="32"/>
          <w:highlight w:val="none"/>
          <w:lang w:bidi="ar"/>
        </w:rPr>
        <w:t>创</w:t>
      </w:r>
      <w:r>
        <w:rPr>
          <w:rFonts w:hint="eastAsia" w:ascii="仿宋_GB2312" w:hAnsi="仿宋_GB2312" w:eastAsia="仿宋_GB2312" w:cs="仿宋_GB2312"/>
          <w:b w:val="0"/>
          <w:bCs/>
          <w:color w:val="auto"/>
          <w:sz w:val="32"/>
          <w:szCs w:val="32"/>
          <w:lang w:bidi="ar"/>
        </w:rPr>
        <w:t>新成立药品执法攻坚组，</w:t>
      </w:r>
      <w:r>
        <w:rPr>
          <w:rFonts w:hint="eastAsia" w:ascii="仿宋_GB2312" w:hAnsi="仿宋_GB2312" w:eastAsia="仿宋_GB2312" w:cs="仿宋_GB2312"/>
          <w:b w:val="0"/>
          <w:bCs/>
          <w:color w:val="auto"/>
          <w:sz w:val="32"/>
          <w:szCs w:val="32"/>
          <w:lang w:val="en-US" w:eastAsia="zh-CN" w:bidi="ar"/>
        </w:rPr>
        <w:t>成立</w:t>
      </w:r>
      <w:r>
        <w:rPr>
          <w:rFonts w:hint="eastAsia" w:ascii="仿宋_GB2312" w:hAnsi="仿宋_GB2312" w:eastAsia="仿宋_GB2312" w:cs="仿宋_GB2312"/>
          <w:b w:val="0"/>
          <w:bCs/>
          <w:color w:val="auto"/>
          <w:sz w:val="32"/>
          <w:szCs w:val="32"/>
          <w:lang w:bidi="ar"/>
        </w:rPr>
        <w:t>专班统筹国抽、省抽</w:t>
      </w:r>
      <w:r>
        <w:rPr>
          <w:rFonts w:hint="eastAsia" w:ascii="仿宋_GB2312" w:hAnsi="仿宋_GB2312" w:eastAsia="仿宋_GB2312" w:cs="仿宋_GB2312"/>
          <w:b w:val="0"/>
          <w:bCs/>
          <w:color w:val="auto"/>
          <w:sz w:val="32"/>
          <w:szCs w:val="32"/>
          <w:lang w:eastAsia="zh-CN" w:bidi="ar"/>
        </w:rPr>
        <w:t>、</w:t>
      </w:r>
      <w:r>
        <w:rPr>
          <w:rFonts w:hint="eastAsia" w:ascii="仿宋_GB2312" w:hAnsi="仿宋_GB2312" w:eastAsia="仿宋_GB2312" w:cs="仿宋_GB2312"/>
          <w:b w:val="0"/>
          <w:bCs/>
          <w:color w:val="auto"/>
          <w:sz w:val="32"/>
          <w:szCs w:val="32"/>
          <w:lang w:val="en-US" w:eastAsia="zh-CN" w:bidi="ar"/>
        </w:rPr>
        <w:t>市抽</w:t>
      </w:r>
      <w:r>
        <w:rPr>
          <w:rFonts w:hint="eastAsia" w:ascii="仿宋_GB2312" w:hAnsi="仿宋_GB2312" w:eastAsia="仿宋_GB2312" w:cs="仿宋_GB2312"/>
          <w:b w:val="0"/>
          <w:bCs/>
          <w:color w:val="auto"/>
          <w:sz w:val="32"/>
          <w:szCs w:val="32"/>
          <w:lang w:bidi="ar"/>
        </w:rPr>
        <w:t>任务，完成</w:t>
      </w:r>
      <w:r>
        <w:rPr>
          <w:rFonts w:hint="eastAsia" w:ascii="仿宋_GB2312" w:hAnsi="仿宋_GB2312" w:eastAsia="仿宋_GB2312" w:cs="仿宋_GB2312"/>
          <w:b w:val="0"/>
          <w:bCs/>
          <w:color w:val="auto"/>
          <w:sz w:val="32"/>
          <w:szCs w:val="32"/>
          <w:lang w:val="en-US" w:eastAsia="zh-CN" w:bidi="ar"/>
        </w:rPr>
        <w:t>药品抽</w:t>
      </w:r>
      <w:r>
        <w:rPr>
          <w:rFonts w:hint="eastAsia" w:ascii="Times New Roman" w:hAnsi="Times New Roman" w:eastAsia="仿宋_GB2312" w:cs="Times New Roman"/>
          <w:color w:val="000000"/>
          <w:sz w:val="32"/>
          <w:szCs w:val="32"/>
          <w:lang w:val="en-US" w:eastAsia="zh-CN"/>
        </w:rPr>
        <w:t>检</w:t>
      </w:r>
      <w:r>
        <w:rPr>
          <w:rFonts w:hint="eastAsia" w:cs="Times New Roman"/>
          <w:color w:val="000000"/>
          <w:sz w:val="32"/>
          <w:szCs w:val="32"/>
          <w:lang w:val="en-US" w:eastAsia="zh-CN"/>
        </w:rPr>
        <w:t>119</w:t>
      </w:r>
      <w:r>
        <w:rPr>
          <w:rFonts w:hint="eastAsia" w:ascii="Times New Roman" w:hAnsi="Times New Roman" w:eastAsia="仿宋_GB2312" w:cs="Times New Roman"/>
          <w:color w:val="000000"/>
          <w:sz w:val="32"/>
          <w:szCs w:val="32"/>
          <w:lang w:val="en-US" w:eastAsia="zh-CN"/>
        </w:rPr>
        <w:t>批次、医疗器械抽检25批次、化妆品抽检</w:t>
      </w:r>
      <w:r>
        <w:rPr>
          <w:rFonts w:hint="eastAsia" w:cs="Times New Roman"/>
          <w:color w:val="000000"/>
          <w:sz w:val="32"/>
          <w:szCs w:val="32"/>
          <w:lang w:val="en-US" w:eastAsia="zh-CN"/>
        </w:rPr>
        <w:t>7</w:t>
      </w:r>
      <w:r>
        <w:rPr>
          <w:rFonts w:hint="eastAsia" w:ascii="Times New Roman" w:hAnsi="Times New Roman" w:eastAsia="仿宋_GB2312" w:cs="Times New Roman"/>
          <w:color w:val="000000"/>
          <w:sz w:val="32"/>
          <w:szCs w:val="32"/>
          <w:lang w:val="en-US" w:eastAsia="zh-CN"/>
        </w:rPr>
        <w:t>5批次，同步加强不良事件监测，收集上报1306例医疗器械不良事件报告。四是对接省级巡查要求，制定专项检查方案完成4家药品生产企业巡查，发现缺陷35项并按要求全部整改到位</w:t>
      </w:r>
      <w:r>
        <w:rPr>
          <w:rFonts w:hint="eastAsia" w:ascii="仿宋_GB2312" w:hAnsi="仿宋_GB2312" w:eastAsia="仿宋_GB2312" w:cs="仿宋_GB2312"/>
          <w:b w:val="0"/>
          <w:bCs/>
          <w:color w:val="auto"/>
          <w:sz w:val="32"/>
          <w:szCs w:val="32"/>
          <w:lang w:bidi="ar"/>
        </w:rPr>
        <w:t>，同步建立企业电子监管档案，形成</w:t>
      </w:r>
      <w:r>
        <w:rPr>
          <w:rFonts w:hint="eastAsia" w:ascii="仿宋_GB2312" w:hAnsi="仿宋_GB2312" w:eastAsia="仿宋_GB2312" w:cs="仿宋_GB2312"/>
          <w:b w:val="0"/>
          <w:bCs/>
          <w:color w:val="auto"/>
          <w:sz w:val="32"/>
          <w:szCs w:val="32"/>
          <w:lang w:eastAsia="zh-CN" w:bidi="ar"/>
        </w:rPr>
        <w:t>“</w:t>
      </w:r>
      <w:r>
        <w:rPr>
          <w:rFonts w:hint="eastAsia" w:ascii="仿宋_GB2312" w:hAnsi="仿宋_GB2312" w:eastAsia="仿宋_GB2312" w:cs="仿宋_GB2312"/>
          <w:b w:val="0"/>
          <w:bCs/>
          <w:color w:val="auto"/>
          <w:sz w:val="32"/>
          <w:szCs w:val="32"/>
          <w:lang w:bidi="ar"/>
        </w:rPr>
        <w:t>检查-整改-建档</w:t>
      </w:r>
      <w:r>
        <w:rPr>
          <w:rFonts w:hint="eastAsia" w:ascii="仿宋_GB2312" w:hAnsi="仿宋_GB2312" w:eastAsia="仿宋_GB2312" w:cs="仿宋_GB2312"/>
          <w:b w:val="0"/>
          <w:bCs/>
          <w:color w:val="auto"/>
          <w:sz w:val="32"/>
          <w:szCs w:val="32"/>
          <w:lang w:eastAsia="zh-CN" w:bidi="ar"/>
        </w:rPr>
        <w:t>”</w:t>
      </w:r>
      <w:r>
        <w:rPr>
          <w:rFonts w:hint="eastAsia" w:ascii="仿宋_GB2312" w:hAnsi="仿宋_GB2312" w:eastAsia="仿宋_GB2312" w:cs="仿宋_GB2312"/>
          <w:b w:val="0"/>
          <w:bCs/>
          <w:color w:val="auto"/>
          <w:sz w:val="32"/>
          <w:szCs w:val="32"/>
          <w:lang w:bidi="ar"/>
        </w:rPr>
        <w:t>监管闭环。</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Style w:val="13"/>
          <w:rFonts w:hint="eastAsia" w:ascii="仿宋_GB2312" w:hAnsi="仿宋_GB2312" w:eastAsia="仿宋_GB2312" w:cs="仿宋_GB2312"/>
          <w:color w:val="auto"/>
          <w:sz w:val="32"/>
          <w:szCs w:val="32"/>
          <w:u w:val="none"/>
          <w:lang w:val="en-US" w:eastAsia="zh-CN" w:bidi="ar-SA"/>
        </w:rPr>
      </w:pPr>
      <w:r>
        <w:rPr>
          <w:rFonts w:hint="eastAsia" w:ascii="Times New Roman" w:hAnsi="Times New Roman" w:eastAsia="仿宋_GB2312" w:cs="Times New Roman"/>
          <w:color w:val="000000"/>
          <w:sz w:val="32"/>
          <w:szCs w:val="32"/>
          <w:lang w:val="en-US" w:eastAsia="zh-CN"/>
        </w:rPr>
        <w:t>2024年共使用药品医疗器械监管资金264.35万</w:t>
      </w:r>
      <w:r>
        <w:rPr>
          <w:rFonts w:hint="eastAsia" w:ascii="仿宋_GB2312" w:hAnsi="仿宋_GB2312" w:eastAsia="仿宋_GB2312" w:cs="仿宋_GB2312"/>
          <w:kern w:val="2"/>
          <w:sz w:val="32"/>
          <w:szCs w:val="32"/>
          <w:lang w:val="en-US" w:eastAsia="zh-CN" w:bidi="ar-SA"/>
        </w:rPr>
        <w:t>元，主要用于药械化质量安全监管、药械化不良反应监测、科普宣传应急、药械化抽验、稽查执法补助、药品专项整治。我局通过日常监测、专项活动、飞行检查等一系列行动，不断提升了药品监管水平、化妆品监管水平、医疗器械监管水平，结合市安全用药月、化妆品安全科普宣传周等活动，开展药械化安全科普宣传进企业、进社区、进学校活动，药品安全科普宣传体系得到不断完善，人民群众“两品一械”安全科普知识水平得到不断提高。今年</w:t>
      </w:r>
      <w:r>
        <w:rPr>
          <w:rFonts w:hint="eastAsia" w:ascii="仿宋_GB2312" w:hAnsi="仿宋_GB2312" w:eastAsia="仿宋_GB2312" w:cs="仿宋_GB2312"/>
          <w:color w:val="333333"/>
          <w:sz w:val="32"/>
          <w:szCs w:val="32"/>
          <w:lang w:val="en-US" w:eastAsia="zh-CN"/>
        </w:rPr>
        <w:t>直属机构益阳市食品药品检验所获评全省药品医疗器械化妆品检验工作表现突出单位。</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Style w:val="13"/>
          <w:rFonts w:hint="eastAsia" w:ascii="仿宋_GB2312" w:hAnsi="仿宋_GB2312" w:eastAsia="仿宋_GB2312" w:cs="仿宋_GB2312"/>
          <w:color w:val="auto"/>
          <w:sz w:val="32"/>
          <w:szCs w:val="32"/>
          <w:u w:val="none"/>
          <w:lang w:val="en-US" w:eastAsia="zh-CN" w:bidi="ar-SA"/>
        </w:rPr>
      </w:pPr>
      <w:r>
        <w:rPr>
          <w:rFonts w:hint="default" w:ascii="Times New Roman" w:hAnsi="Times New Roman" w:eastAsia="仿宋_GB2312" w:cs="Times New Roman"/>
          <w:b/>
          <w:kern w:val="2"/>
          <w:sz w:val="32"/>
          <w:szCs w:val="32"/>
          <w:lang w:val="en-US" w:eastAsia="zh-CN" w:bidi="ar-SA"/>
        </w:rPr>
        <w:t>3.提</w:t>
      </w:r>
      <w:r>
        <w:rPr>
          <w:rFonts w:hint="eastAsia" w:ascii="仿宋_GB2312" w:hAnsi="仿宋_GB2312" w:eastAsia="仿宋_GB2312" w:cs="仿宋_GB2312"/>
          <w:b/>
          <w:kern w:val="2"/>
          <w:sz w:val="32"/>
          <w:szCs w:val="32"/>
          <w:lang w:val="en-US" w:eastAsia="zh-CN" w:bidi="ar-SA"/>
        </w:rPr>
        <w:t>质量，立品牌，服务经济高质量发展。</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Style w:val="13"/>
          <w:rFonts w:hint="eastAsia" w:ascii="仿宋_GB2312" w:hAnsi="仿宋_GB2312" w:eastAsia="仿宋_GB2312" w:cs="仿宋_GB2312"/>
          <w:color w:val="auto"/>
          <w:sz w:val="32"/>
          <w:szCs w:val="32"/>
          <w:u w:val="none"/>
          <w:lang w:val="en-US" w:eastAsia="zh-CN" w:bidi="ar-SA"/>
        </w:rPr>
      </w:pPr>
      <w:r>
        <w:rPr>
          <w:rFonts w:hint="eastAsia" w:ascii="仿宋_GB2312" w:hAnsi="仿宋_GB2312" w:eastAsia="仿宋_GB2312" w:cs="仿宋_GB2312"/>
          <w:b/>
          <w:kern w:val="2"/>
          <w:sz w:val="32"/>
          <w:szCs w:val="32"/>
          <w:lang w:val="en-US" w:eastAsia="zh-CN"/>
        </w:rPr>
        <w:t>一是</w:t>
      </w:r>
      <w:r>
        <w:rPr>
          <w:rFonts w:hint="eastAsia" w:ascii="仿宋_GB2312" w:hAnsi="仿宋_GB2312" w:eastAsia="仿宋_GB2312" w:cs="仿宋_GB2312"/>
          <w:b w:val="0"/>
          <w:bCs/>
          <w:kern w:val="2"/>
          <w:sz w:val="32"/>
          <w:szCs w:val="32"/>
          <w:lang w:val="en-US" w:eastAsia="zh-CN"/>
        </w:rPr>
        <w:t>加强特种设备安全监察员培训，为满足新形势下特种设备安全监察工作的需要，进一步提高特种设备安全监察人员的业务水平，针对我市市场监管综合行政执法支队和各县市区从事特种设备安全监察工作尚未取得安全监察员证的人员，举办了特种设备安全监察员培训班，</w:t>
      </w:r>
      <w:r>
        <w:rPr>
          <w:rFonts w:hint="eastAsia" w:ascii="仿宋_GB2312" w:hAnsi="仿宋_GB2312" w:eastAsia="仿宋_GB2312" w:cs="仿宋_GB2312"/>
          <w:bCs/>
          <w:i w:val="0"/>
          <w:iCs w:val="0"/>
          <w:caps w:val="0"/>
          <w:color w:val="auto"/>
          <w:spacing w:val="0"/>
          <w:sz w:val="32"/>
          <w:szCs w:val="32"/>
          <w:shd w:val="clear" w:fill="auto"/>
        </w:rPr>
        <w:t>培训采取现场线上集中学习和线下统一考试相结合的方式进行，邀请省内特种设备领域专家讲授特种设备安全法律法规、承压类和机电类特种设备基础知识与安全监察、特种设备双重预防、特种设备“两个规定”、气瓶安全技术规程等方面内容，来自全市系统</w:t>
      </w:r>
      <w:r>
        <w:rPr>
          <w:rFonts w:hint="eastAsia" w:ascii="Times New Roman" w:hAnsi="Times New Roman" w:eastAsia="仿宋_GB2312" w:cs="Times New Roman"/>
          <w:color w:val="000000"/>
          <w:sz w:val="32"/>
          <w:szCs w:val="32"/>
          <w:lang w:val="en-US" w:eastAsia="zh-CN"/>
        </w:rPr>
        <w:t>的121名</w:t>
      </w:r>
      <w:r>
        <w:rPr>
          <w:rFonts w:hint="eastAsia" w:ascii="仿宋_GB2312" w:hAnsi="仿宋_GB2312" w:eastAsia="仿宋_GB2312" w:cs="仿宋_GB2312"/>
          <w:bCs/>
          <w:i w:val="0"/>
          <w:iCs w:val="0"/>
          <w:caps w:val="0"/>
          <w:color w:val="auto"/>
          <w:spacing w:val="0"/>
          <w:sz w:val="32"/>
          <w:szCs w:val="32"/>
          <w:shd w:val="clear" w:fill="auto"/>
        </w:rPr>
        <w:t>特种设备安全监管人员参训。</w:t>
      </w:r>
      <w:r>
        <w:rPr>
          <w:rFonts w:hint="eastAsia" w:ascii="仿宋_GB2312" w:hAnsi="仿宋_GB2312" w:eastAsia="仿宋_GB2312" w:cs="仿宋_GB2312"/>
          <w:b w:val="0"/>
          <w:bCs/>
          <w:kern w:val="2"/>
          <w:sz w:val="32"/>
          <w:szCs w:val="32"/>
          <w:lang w:val="en-US" w:eastAsia="zh-CN"/>
        </w:rPr>
        <w:t>通过组织培训，持证人员执法规范率以及特种设备隐患发现率均有提升，进一步压缩重大事故应急处置响应时间</w:t>
      </w:r>
      <w:r>
        <w:rPr>
          <w:rFonts w:hint="eastAsia" w:ascii="仿宋_GB2312" w:hAnsi="仿宋_GB2312" w:eastAsia="仿宋_GB2312" w:cs="仿宋_GB2312"/>
          <w:bCs/>
          <w:i w:val="0"/>
          <w:iCs w:val="0"/>
          <w:caps w:val="0"/>
          <w:spacing w:val="0"/>
          <w:sz w:val="32"/>
          <w:szCs w:val="32"/>
          <w:shd w:val="clear"/>
          <w:lang w:eastAsia="zh-CN"/>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Style w:val="13"/>
          <w:rFonts w:hint="eastAsia" w:ascii="仿宋_GB2312" w:hAnsi="仿宋_GB2312" w:eastAsia="仿宋_GB2312" w:cs="仿宋_GB2312"/>
          <w:color w:val="auto"/>
          <w:sz w:val="32"/>
          <w:szCs w:val="32"/>
          <w:u w:val="none"/>
          <w:lang w:val="en-US" w:eastAsia="zh-CN" w:bidi="ar-SA"/>
        </w:rPr>
      </w:pP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color w:val="000000"/>
          <w:sz w:val="32"/>
          <w:szCs w:val="32"/>
          <w:lang w:val="en-US" w:eastAsia="zh-CN"/>
        </w:rPr>
        <w:t>紧紧</w:t>
      </w:r>
      <w:r>
        <w:rPr>
          <w:rFonts w:hint="eastAsia" w:ascii="仿宋_GB2312" w:hAnsi="仿宋_GB2312" w:eastAsia="仿宋_GB2312" w:cs="仿宋_GB2312"/>
          <w:color w:val="000000"/>
          <w:sz w:val="32"/>
          <w:szCs w:val="32"/>
          <w:lang w:eastAsia="zh-CN"/>
        </w:rPr>
        <w:t>围绕</w:t>
      </w:r>
      <w:r>
        <w:rPr>
          <w:rFonts w:hint="eastAsia" w:ascii="仿宋_GB2312" w:hAnsi="仿宋_GB2312" w:eastAsia="仿宋_GB2312" w:cs="仿宋_GB2312"/>
          <w:color w:val="000000"/>
          <w:sz w:val="32"/>
          <w:szCs w:val="32"/>
          <w:lang w:val="en-US" w:eastAsia="zh-CN"/>
        </w:rPr>
        <w:t>市委、市政府</w:t>
      </w:r>
      <w:r>
        <w:rPr>
          <w:rFonts w:hint="eastAsia" w:ascii="仿宋_GB2312" w:hAnsi="仿宋_GB2312" w:eastAsia="仿宋_GB2312" w:cs="仿宋_GB2312"/>
          <w:color w:val="000000"/>
          <w:sz w:val="32"/>
          <w:szCs w:val="32"/>
          <w:lang w:eastAsia="zh-CN"/>
        </w:rPr>
        <w:t>“巩固、增强、提升、畅通”八字方针，</w:t>
      </w:r>
      <w:r>
        <w:rPr>
          <w:rFonts w:hint="eastAsia" w:ascii="仿宋_GB2312" w:hAnsi="仿宋_GB2312" w:eastAsia="仿宋_GB2312" w:cs="仿宋_GB2312"/>
          <w:color w:val="000000"/>
          <w:sz w:val="32"/>
          <w:szCs w:val="32"/>
          <w:lang w:val="en-US" w:eastAsia="zh-CN"/>
        </w:rPr>
        <w:t>实施质量基础设施助力产业链供应链质量联动提升行动，联合发展改革、工业和信息化等部门</w:t>
      </w:r>
      <w:r>
        <w:rPr>
          <w:rFonts w:hint="eastAsia" w:ascii="仿宋_GB2312" w:hAnsi="仿宋_GB2312" w:eastAsia="仿宋_GB2312" w:cs="仿宋_GB2312"/>
          <w:color w:val="000000"/>
          <w:sz w:val="32"/>
          <w:szCs w:val="32"/>
          <w:lang w:eastAsia="zh-CN"/>
        </w:rPr>
        <w:t>打好产业基础高级化、产业链供应链现代化攻坚战。力推铝</w:t>
      </w:r>
      <w:r>
        <w:rPr>
          <w:rFonts w:hint="eastAsia" w:ascii="仿宋_GB2312" w:hAnsi="仿宋_GB2312" w:eastAsia="仿宋_GB2312" w:cs="仿宋_GB2312"/>
          <w:color w:val="000000"/>
          <w:sz w:val="32"/>
          <w:szCs w:val="32"/>
          <w:lang w:val="en-US" w:eastAsia="zh-CN"/>
        </w:rPr>
        <w:t>赫山</w:t>
      </w:r>
      <w:r>
        <w:rPr>
          <w:rFonts w:hint="eastAsia" w:ascii="仿宋_GB2312" w:hAnsi="仿宋_GB2312" w:eastAsia="仿宋_GB2312" w:cs="仿宋_GB2312"/>
          <w:color w:val="000000"/>
          <w:sz w:val="32"/>
          <w:szCs w:val="32"/>
          <w:lang w:eastAsia="zh-CN"/>
        </w:rPr>
        <w:t>电解电容器产业链、</w:t>
      </w:r>
      <w:r>
        <w:rPr>
          <w:rFonts w:hint="eastAsia" w:ascii="仿宋_GB2312" w:hAnsi="仿宋_GB2312" w:eastAsia="仿宋_GB2312" w:cs="仿宋_GB2312"/>
          <w:color w:val="000000"/>
          <w:sz w:val="32"/>
          <w:szCs w:val="32"/>
          <w:lang w:val="en-US" w:eastAsia="zh-CN"/>
        </w:rPr>
        <w:t>安化</w:t>
      </w:r>
      <w:r>
        <w:rPr>
          <w:rFonts w:hint="eastAsia" w:ascii="仿宋_GB2312" w:hAnsi="仿宋_GB2312" w:eastAsia="仿宋_GB2312" w:cs="仿宋_GB2312"/>
          <w:color w:val="000000"/>
          <w:sz w:val="32"/>
          <w:szCs w:val="32"/>
          <w:lang w:eastAsia="zh-CN"/>
        </w:rPr>
        <w:t>黄精加工标准化产业链、</w:t>
      </w:r>
      <w:r>
        <w:rPr>
          <w:rFonts w:hint="eastAsia" w:ascii="仿宋_GB2312" w:hAnsi="仿宋_GB2312" w:eastAsia="仿宋_GB2312" w:cs="仿宋_GB2312"/>
          <w:color w:val="000000"/>
          <w:sz w:val="32"/>
          <w:szCs w:val="32"/>
          <w:lang w:val="en-US" w:eastAsia="zh-CN"/>
        </w:rPr>
        <w:t>沅江</w:t>
      </w:r>
      <w:r>
        <w:rPr>
          <w:rFonts w:hint="eastAsia" w:ascii="仿宋_GB2312" w:hAnsi="仿宋_GB2312" w:eastAsia="仿宋_GB2312" w:cs="仿宋_GB2312"/>
          <w:color w:val="000000"/>
          <w:sz w:val="32"/>
          <w:szCs w:val="32"/>
          <w:lang w:eastAsia="zh-CN"/>
        </w:rPr>
        <w:t>船舶制造产业链、南县稻虾米产业链等</w:t>
      </w:r>
      <w:r>
        <w:rPr>
          <w:rFonts w:hint="eastAsia" w:ascii="仿宋_GB2312" w:hAnsi="仿宋_GB2312" w:eastAsia="仿宋_GB2312" w:cs="仿宋_GB2312"/>
          <w:color w:val="000000"/>
          <w:sz w:val="32"/>
          <w:szCs w:val="32"/>
          <w:lang w:val="en-US" w:eastAsia="zh-CN"/>
        </w:rPr>
        <w:t>重点</w:t>
      </w:r>
      <w:r>
        <w:rPr>
          <w:rFonts w:hint="eastAsia" w:ascii="仿宋_GB2312" w:hAnsi="仿宋_GB2312" w:eastAsia="仿宋_GB2312" w:cs="仿宋_GB2312"/>
          <w:color w:val="000000"/>
          <w:sz w:val="32"/>
          <w:szCs w:val="32"/>
          <w:lang w:eastAsia="zh-CN"/>
        </w:rPr>
        <w:t>产业链、供应链</w:t>
      </w:r>
      <w:r>
        <w:rPr>
          <w:rFonts w:hint="eastAsia" w:ascii="仿宋_GB2312" w:hAnsi="仿宋_GB2312" w:eastAsia="仿宋_GB2312" w:cs="仿宋_GB2312"/>
          <w:color w:val="000000"/>
          <w:sz w:val="32"/>
          <w:szCs w:val="32"/>
          <w:lang w:val="en-US" w:eastAsia="zh-CN"/>
        </w:rPr>
        <w:t>申报全国质量基础设施助力产业链供应链质量联动提升试点项目。</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Style w:val="13"/>
          <w:rFonts w:hint="eastAsia" w:ascii="仿宋_GB2312" w:hAnsi="仿宋_GB2312" w:eastAsia="仿宋_GB2312" w:cs="仿宋_GB2312"/>
          <w:color w:val="auto"/>
          <w:sz w:val="32"/>
          <w:szCs w:val="32"/>
          <w:u w:val="none"/>
          <w:lang w:val="en-US" w:eastAsia="zh-CN" w:bidi="ar-SA"/>
        </w:rPr>
      </w:pPr>
      <w:r>
        <w:rPr>
          <w:rFonts w:hint="eastAsia" w:ascii="仿宋_GB2312" w:hAnsi="仿宋_GB2312" w:eastAsia="仿宋_GB2312" w:cs="仿宋_GB2312"/>
          <w:b/>
          <w:bCs/>
          <w:color w:val="000000"/>
          <w:sz w:val="32"/>
          <w:szCs w:val="32"/>
          <w:lang w:val="en-US" w:eastAsia="zh-CN"/>
        </w:rPr>
        <w:t>三是</w:t>
      </w:r>
      <w:r>
        <w:rPr>
          <w:rFonts w:hint="eastAsia" w:ascii="仿宋_GB2312" w:hAnsi="仿宋_GB2312" w:eastAsia="仿宋_GB2312" w:cs="仿宋_GB2312"/>
          <w:color w:val="000000"/>
          <w:sz w:val="32"/>
          <w:szCs w:val="32"/>
          <w:lang w:val="en-US" w:eastAsia="zh-CN"/>
        </w:rPr>
        <w:t>深入开展蓝天、碧水、净土保卫战。</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餐饮服务项目证照审批监管协作联动工作机制运行正常；涉环产品质量监管工作落实。完成涉及环境污染的产品监督</w:t>
      </w:r>
      <w:r>
        <w:rPr>
          <w:rFonts w:hint="eastAsia" w:ascii="Times New Roman" w:hAnsi="Times New Roman" w:eastAsia="仿宋_GB2312" w:cs="Times New Roman"/>
          <w:color w:val="000000"/>
          <w:sz w:val="32"/>
          <w:szCs w:val="32"/>
          <w:lang w:val="en-US" w:eastAsia="zh-CN"/>
        </w:rPr>
        <w:t>抽查475批次，合格率96.67%，</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产品质量持续保持稳定。禁燃区内高污染燃料专项整治初见成效，经营户使用高污染燃料现象实现动态清零；涉环检验机构运行规范；锅炉改造淘汰工作有序推进。</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积极打造标准化应用场景。清溪村旅游服务国家级服务业标准化试点、赫山区社会福利中心智慧养老服务国家级服务业标准化试点项目获批为国家级服务业标准化试点项目，为我市首批国家级服务业试点项</w:t>
      </w:r>
      <w:r>
        <w:rPr>
          <w:rFonts w:hint="eastAsia" w:ascii="Times New Roman" w:hAnsi="Times New Roman" w:eastAsia="仿宋_GB2312" w:cs="Times New Roman"/>
          <w:color w:val="000000"/>
          <w:sz w:val="32"/>
          <w:szCs w:val="32"/>
          <w:lang w:val="en-US" w:eastAsia="zh-CN"/>
        </w:rPr>
        <w:t>目。组织对2022年确</w:t>
      </w:r>
      <w:r>
        <w:rPr>
          <w:rFonts w:hint="eastAsia" w:ascii="仿宋_GB2312" w:hAnsi="仿宋_GB2312" w:eastAsia="仿宋_GB2312" w:cs="仿宋_GB2312"/>
          <w:b w:val="0"/>
          <w:bCs w:val="0"/>
          <w:sz w:val="32"/>
          <w:szCs w:val="32"/>
          <w:lang w:val="en-US" w:eastAsia="zh-CN"/>
        </w:rPr>
        <w:t>定的市级标准化试点示范项目进行了考核评估，确定“安化红茶综合标准化示范区”</w:t>
      </w:r>
      <w:r>
        <w:rPr>
          <w:rFonts w:hint="eastAsia" w:ascii="Times New Roman" w:hAnsi="Times New Roman" w:eastAsia="仿宋_GB2312" w:cs="Times New Roman"/>
          <w:color w:val="000000"/>
          <w:sz w:val="32"/>
          <w:szCs w:val="32"/>
          <w:lang w:val="en-US" w:eastAsia="zh-CN"/>
        </w:rPr>
        <w:t>等7个项目考</w:t>
      </w:r>
      <w:r>
        <w:rPr>
          <w:rFonts w:hint="eastAsia" w:ascii="仿宋_GB2312" w:hAnsi="仿宋_GB2312" w:eastAsia="仿宋_GB2312" w:cs="仿宋_GB2312"/>
          <w:b w:val="0"/>
          <w:bCs w:val="0"/>
          <w:sz w:val="32"/>
          <w:szCs w:val="32"/>
          <w:lang w:val="en-US" w:eastAsia="zh-CN"/>
        </w:rPr>
        <w:t>核评估合格。</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Style w:val="13"/>
          <w:rFonts w:hint="eastAsia" w:ascii="仿宋_GB2312" w:hAnsi="仿宋_GB2312" w:eastAsia="仿宋_GB2312" w:cs="仿宋_GB2312"/>
          <w:color w:val="auto"/>
          <w:sz w:val="32"/>
          <w:szCs w:val="32"/>
          <w:u w:val="none"/>
          <w:lang w:val="en-US" w:eastAsia="zh-CN" w:bidi="ar-SA"/>
        </w:rPr>
      </w:pPr>
      <w:r>
        <w:rPr>
          <w:rFonts w:hint="eastAsia" w:ascii="Times New Roman" w:hAnsi="Times New Roman" w:eastAsia="仿宋_GB2312" w:cs="Times New Roman"/>
          <w:color w:val="000000"/>
          <w:sz w:val="32"/>
          <w:szCs w:val="32"/>
          <w:lang w:val="en-US" w:eastAsia="zh-CN"/>
        </w:rPr>
        <w:t>2024年共使用质量监管专项80.57万元，</w:t>
      </w:r>
      <w:r>
        <w:rPr>
          <w:rFonts w:hint="eastAsia" w:ascii="仿宋_GB2312" w:hAnsi="仿宋_GB2312" w:eastAsia="仿宋_GB2312" w:cs="仿宋_GB2312"/>
          <w:sz w:val="32"/>
          <w:szCs w:val="32"/>
        </w:rPr>
        <w:t>产商品质量安全抽检、</w:t>
      </w:r>
      <w:r>
        <w:rPr>
          <w:rFonts w:hint="eastAsia" w:ascii="仿宋_GB2312" w:hAnsi="仿宋_GB2312" w:eastAsia="仿宋_GB2312" w:cs="仿宋_GB2312"/>
          <w:sz w:val="32"/>
          <w:szCs w:val="32"/>
          <w:lang w:val="en-US" w:eastAsia="zh-CN"/>
        </w:rPr>
        <w:t>湖南名品活动、质量月活动</w:t>
      </w:r>
      <w:r>
        <w:rPr>
          <w:rFonts w:hint="eastAsia" w:ascii="仿宋_GB2312" w:hAnsi="仿宋_GB2312" w:eastAsia="仿宋_GB2312" w:cs="仿宋_GB2312"/>
          <w:sz w:val="32"/>
          <w:szCs w:val="32"/>
        </w:rPr>
        <w:t>、特种设备</w:t>
      </w:r>
      <w:r>
        <w:rPr>
          <w:rFonts w:hint="eastAsia" w:ascii="仿宋_GB2312" w:hAnsi="仿宋_GB2312" w:eastAsia="仿宋_GB2312" w:cs="仿宋_GB2312"/>
          <w:sz w:val="32"/>
          <w:szCs w:val="32"/>
          <w:lang w:val="en-US" w:eastAsia="zh-CN"/>
        </w:rPr>
        <w:t>维护和</w:t>
      </w:r>
      <w:r>
        <w:rPr>
          <w:rFonts w:hint="eastAsia" w:ascii="仿宋_GB2312" w:hAnsi="仿宋_GB2312" w:eastAsia="仿宋_GB2312" w:cs="仿宋_GB2312"/>
          <w:sz w:val="32"/>
          <w:szCs w:val="32"/>
        </w:rPr>
        <w:t>应急救援服务、计量、标准化等方面支出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质量监管</w:t>
      </w:r>
      <w:r>
        <w:rPr>
          <w:rFonts w:hint="eastAsia" w:ascii="仿宋_GB2312" w:hAnsi="仿宋_GB2312" w:eastAsia="仿宋_GB2312" w:cs="仿宋_GB2312"/>
          <w:sz w:val="32"/>
          <w:szCs w:val="32"/>
        </w:rPr>
        <w:t>工作以争先创优的决心完成，在深化质量管理改革创新、深入推进质量提升行动、强化质量基础“一站式”服务、推动“益阳产品”向“益阳品牌”跨越、推动制造产业向价值链中高端跃升上跨出了新台阶。</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4.聚焦“四个最严”要求，筑牢市场安全底线。</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一是有效防范化解风险隐患。</w:t>
      </w:r>
      <w:r>
        <w:rPr>
          <w:rFonts w:hint="eastAsia" w:ascii="仿宋_GB2312" w:hAnsi="仿宋_GB2312" w:eastAsia="仿宋_GB2312" w:cs="仿宋_GB2312"/>
          <w:bCs/>
          <w:color w:val="000000"/>
          <w:kern w:val="0"/>
          <w:sz w:val="32"/>
          <w:szCs w:val="32"/>
          <w:lang w:val="en-US" w:eastAsia="zh-CN" w:bidi="ar"/>
        </w:rPr>
        <w:t>严格落实食品安全月管控、季排查、半年调度风险会商工作机制，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bCs/>
          <w:color w:val="000000"/>
          <w:kern w:val="0"/>
          <w:sz w:val="32"/>
          <w:szCs w:val="32"/>
          <w:lang w:val="en-US" w:eastAsia="zh-CN" w:bidi="ar"/>
        </w:rPr>
        <w:t>市食安办名义组织发改、教育、公安、农业农村、卫健等部门</w:t>
      </w:r>
      <w:r>
        <w:rPr>
          <w:rFonts w:hint="eastAsia" w:ascii="仿宋_GB2312" w:hAnsi="仿宋_GB2312" w:eastAsia="仿宋_GB2312" w:cs="仿宋_GB2312"/>
          <w:bCs/>
          <w:color w:val="000000"/>
          <w:kern w:val="0"/>
          <w:sz w:val="32"/>
          <w:szCs w:val="32"/>
          <w:lang w:val="en" w:eastAsia="zh-CN" w:bidi="ar"/>
        </w:rPr>
        <w:t>和</w:t>
      </w:r>
      <w:r>
        <w:rPr>
          <w:rFonts w:hint="eastAsia" w:ascii="仿宋_GB2312" w:hAnsi="仿宋_GB2312" w:eastAsia="仿宋_GB2312" w:cs="仿宋_GB2312"/>
          <w:bCs/>
          <w:color w:val="000000"/>
          <w:kern w:val="0"/>
          <w:sz w:val="32"/>
          <w:szCs w:val="32"/>
          <w:lang w:val="en-US" w:eastAsia="zh-CN" w:bidi="ar"/>
        </w:rPr>
        <w:t>各县市区局召开了全市食品安全风险会商会议，分线排查风险隐患，全面汇集</w:t>
      </w:r>
      <w:r>
        <w:rPr>
          <w:rFonts w:hint="eastAsia" w:ascii="仿宋_GB2312" w:hAnsi="仿宋_GB2312" w:eastAsia="仿宋_GB2312" w:cs="仿宋_GB2312"/>
          <w:bCs/>
          <w:color w:val="000000"/>
          <w:kern w:val="0"/>
          <w:sz w:val="32"/>
          <w:szCs w:val="32"/>
          <w:lang w:val="en" w:eastAsia="zh-CN" w:bidi="ar"/>
        </w:rPr>
        <w:t>相关信息，深入分析研判，强化防控措施。</w:t>
      </w:r>
      <w:r>
        <w:rPr>
          <w:rFonts w:hint="eastAsia" w:ascii="仿宋_GB2312" w:hAnsi="仿宋_GB2312" w:eastAsia="仿宋_GB2312" w:cs="仿宋_GB2312"/>
          <w:b w:val="0"/>
          <w:bCs w:val="0"/>
          <w:color w:val="auto"/>
          <w:sz w:val="32"/>
          <w:szCs w:val="32"/>
          <w:lang w:val="en-US" w:eastAsia="zh-CN"/>
        </w:rPr>
        <w:t>围绕原料稻谷进货查验、生产过程控制、出厂检验等重点方面，不断加强对大米生产企业的监管工作，</w:t>
      </w:r>
      <w:r>
        <w:rPr>
          <w:rFonts w:hint="eastAsia" w:ascii="仿宋_GB2312" w:hAnsi="仿宋_GB2312" w:eastAsia="仿宋_GB2312" w:cs="仿宋_GB2312"/>
          <w:bCs/>
          <w:color w:val="000000"/>
          <w:kern w:val="0"/>
          <w:sz w:val="32"/>
          <w:szCs w:val="32"/>
          <w:lang w:val="en" w:eastAsia="zh-CN" w:bidi="ar"/>
        </w:rPr>
        <w:t>积极防范化解大米镉超标风险。</w:t>
      </w:r>
      <w:r>
        <w:rPr>
          <w:rFonts w:hint="eastAsia" w:ascii="仿宋_GB2312" w:hAnsi="仿宋_GB2312" w:eastAsia="仿宋_GB2312" w:cs="仿宋_GB2312"/>
          <w:b w:val="0"/>
          <w:bCs w:val="0"/>
          <w:color w:val="auto"/>
          <w:sz w:val="32"/>
          <w:szCs w:val="32"/>
          <w:lang w:val="en-US" w:eastAsia="zh-CN"/>
        </w:rPr>
        <w:t>全年</w:t>
      </w:r>
      <w:r>
        <w:rPr>
          <w:rFonts w:hint="eastAsia" w:ascii="仿宋_GB2312" w:hAnsi="仿宋_GB2312" w:eastAsia="仿宋_GB2312" w:cs="仿宋_GB2312"/>
          <w:color w:val="auto"/>
          <w:sz w:val="32"/>
          <w:szCs w:val="32"/>
          <w:lang w:val="en-US" w:eastAsia="zh-CN"/>
        </w:rPr>
        <w:t>检查大米生产企业</w:t>
      </w:r>
      <w:r>
        <w:rPr>
          <w:rFonts w:hint="eastAsia" w:ascii="Times New Roman" w:hAnsi="Times New Roman" w:eastAsia="仿宋_GB2312" w:cs="Times New Roman"/>
          <w:color w:val="000000"/>
          <w:sz w:val="32"/>
          <w:szCs w:val="32"/>
          <w:lang w:val="en-US" w:eastAsia="zh-CN"/>
        </w:rPr>
        <w:t>491家次，飞行检查22家，抽检506批次，责令整改问题850余个，查处案件7起。针对大米</w:t>
      </w:r>
      <w:r>
        <w:rPr>
          <w:rFonts w:hint="eastAsia" w:ascii="仿宋_GB2312" w:hAnsi="仿宋_GB2312" w:eastAsia="仿宋_GB2312" w:cs="仿宋_GB2312"/>
          <w:sz w:val="32"/>
          <w:szCs w:val="32"/>
          <w:lang w:val="en-US" w:eastAsia="zh-CN"/>
        </w:rPr>
        <w:t>生产企业多为夜间生产的特点，组织“夜鹰”突击执法检查行动，发现整改问</w:t>
      </w:r>
      <w:r>
        <w:rPr>
          <w:rFonts w:hint="eastAsia" w:ascii="Times New Roman" w:hAnsi="Times New Roman" w:eastAsia="仿宋_GB2312" w:cs="Times New Roman"/>
          <w:color w:val="000000"/>
          <w:sz w:val="32"/>
          <w:szCs w:val="32"/>
          <w:lang w:val="en-US" w:eastAsia="zh-CN"/>
        </w:rPr>
        <w:t>题20余条</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kern w:val="2"/>
          <w:sz w:val="32"/>
          <w:szCs w:val="32"/>
          <w:lang w:val="en-US" w:eastAsia="zh-CN" w:bidi="ar-SA"/>
        </w:rPr>
        <w:t>二是始终突出重点监管领域。</w:t>
      </w:r>
      <w:r>
        <w:rPr>
          <w:rFonts w:hint="eastAsia" w:ascii="仿宋_GB2312" w:hAnsi="仿宋_GB2312" w:eastAsia="仿宋_GB2312" w:cs="仿宋_GB2312"/>
          <w:sz w:val="32"/>
          <w:szCs w:val="32"/>
          <w:lang w:val="en-US" w:eastAsia="zh-CN"/>
        </w:rPr>
        <w:t>全省率先出台优化食品安全属地管理责任工作机制，对落实食品安全“两个责任”先进予以表彰。我市食品生产企业开展“日管控、周排查、月调度”覆盖率和执行率均排在全省前列；全市食品生产企业监督抽考主体覆盖</w:t>
      </w:r>
      <w:r>
        <w:rPr>
          <w:rFonts w:hint="eastAsia" w:ascii="Times New Roman" w:hAnsi="Times New Roman" w:eastAsia="仿宋_GB2312" w:cs="Times New Roman"/>
          <w:color w:val="000000"/>
          <w:sz w:val="32"/>
          <w:szCs w:val="32"/>
          <w:lang w:val="en-US" w:eastAsia="zh-CN"/>
        </w:rPr>
        <w:t>率90.6%，</w:t>
      </w:r>
      <w:r>
        <w:rPr>
          <w:rFonts w:hint="eastAsia" w:ascii="仿宋_GB2312" w:hAnsi="仿宋_GB2312" w:eastAsia="仿宋_GB2312" w:cs="仿宋_GB2312"/>
          <w:sz w:val="32"/>
          <w:szCs w:val="32"/>
          <w:lang w:val="en-US" w:eastAsia="zh-CN"/>
        </w:rPr>
        <w:t>排名全省第一。中小学校园食品安全突出问题、严厉打击肉类产品违法犯罪、特供酒、复用餐饮具等专项整治取得明显成效。</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3"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val="0"/>
          <w:color w:val="auto"/>
          <w:kern w:val="2"/>
          <w:sz w:val="32"/>
          <w:szCs w:val="32"/>
          <w:lang w:val="en-US" w:eastAsia="zh-CN" w:bidi="ar-SA"/>
        </w:rPr>
        <w:t>三是强化重点领域食品抽检。</w:t>
      </w:r>
      <w:r>
        <w:rPr>
          <w:rFonts w:hint="eastAsia" w:ascii="Times New Roman" w:hAnsi="Times New Roman" w:eastAsia="仿宋_GB2312" w:cs="Times New Roman"/>
          <w:color w:val="000000"/>
          <w:sz w:val="32"/>
          <w:szCs w:val="32"/>
          <w:lang w:val="en-US" w:eastAsia="zh-CN"/>
        </w:rPr>
        <w:t>2024年全市完成食品安全监督抽检12233批次，任务完成率101.94%，其中市本级完成任务食品抽检</w:t>
      </w:r>
      <w:r>
        <w:rPr>
          <w:rFonts w:hint="eastAsia" w:cs="Times New Roman"/>
          <w:color w:val="000000"/>
          <w:sz w:val="32"/>
          <w:szCs w:val="32"/>
          <w:lang w:val="en-US" w:eastAsia="zh-CN"/>
        </w:rPr>
        <w:t>19</w:t>
      </w:r>
      <w:r>
        <w:rPr>
          <w:rFonts w:hint="eastAsia" w:ascii="Times New Roman" w:hAnsi="Times New Roman" w:eastAsia="仿宋_GB2312" w:cs="Times New Roman"/>
          <w:color w:val="000000"/>
          <w:sz w:val="32"/>
          <w:szCs w:val="32"/>
          <w:lang w:val="en-US" w:eastAsia="zh-CN"/>
        </w:rPr>
        <w:t>00批次，任务完成率100%。检出不合格样品493批次，不合格率4.03%。同时紧贴民生特色，增加大米、砖茶、肉制品、酱腌菜、包装饮用水等地方特色食品抽检频次合格率98%以上，相比去年整体合格率稳步提升。组织开展“春节和3·15</w:t>
      </w:r>
      <w:r>
        <w:rPr>
          <w:rFonts w:hint="eastAsia" w:ascii="仿宋_GB2312" w:hAnsi="仿宋_GB2312" w:eastAsia="仿宋_GB2312" w:cs="仿宋_GB2312"/>
          <w:color w:val="000000"/>
          <w:kern w:val="2"/>
          <w:sz w:val="32"/>
          <w:szCs w:val="32"/>
          <w:lang w:val="en-US" w:eastAsia="zh-CN" w:bidi="ar-SA"/>
        </w:rPr>
        <w:t>”“进学校和进企业”“你点我检”</w:t>
      </w:r>
      <w:r>
        <w:rPr>
          <w:rFonts w:hint="eastAsia" w:ascii="仿宋_GB2312" w:hAnsi="仿宋_GB2312" w:eastAsia="仿宋_GB2312" w:cs="仿宋_GB2312"/>
          <w:color w:val="000000"/>
          <w:sz w:val="32"/>
          <w:szCs w:val="32"/>
          <w:lang w:eastAsia="zh-CN"/>
        </w:rPr>
        <w:t>食品安全专项抽检</w:t>
      </w:r>
      <w:r>
        <w:rPr>
          <w:rFonts w:hint="eastAsia" w:ascii="仿宋_GB2312" w:hAnsi="仿宋_GB2312" w:eastAsia="仿宋_GB2312" w:cs="仿宋_GB2312"/>
          <w:color w:val="000000"/>
          <w:kern w:val="2"/>
          <w:sz w:val="32"/>
          <w:szCs w:val="32"/>
          <w:lang w:val="en-US" w:eastAsia="zh-CN" w:bidi="ar-SA"/>
        </w:rPr>
        <w:t>活动</w:t>
      </w:r>
      <w:r>
        <w:rPr>
          <w:rFonts w:hint="eastAsia" w:ascii="仿宋_GB2312" w:hAnsi="仿宋_GB2312" w:eastAsia="仿宋_GB2312" w:cs="仿宋_GB2312"/>
          <w:color w:val="000000"/>
          <w:sz w:val="32"/>
          <w:szCs w:val="32"/>
          <w:lang w:val="en-US" w:eastAsia="zh-CN"/>
        </w:rPr>
        <w:t>，合格</w:t>
      </w:r>
      <w:r>
        <w:rPr>
          <w:rFonts w:hint="eastAsia" w:ascii="Times New Roman" w:hAnsi="Times New Roman" w:eastAsia="仿宋_GB2312" w:cs="Times New Roman"/>
          <w:color w:val="000000"/>
          <w:sz w:val="32"/>
          <w:szCs w:val="32"/>
          <w:lang w:val="en-US" w:eastAsia="zh-CN"/>
        </w:rPr>
        <w:t>率为99%以上，并</w:t>
      </w:r>
      <w:r>
        <w:rPr>
          <w:rFonts w:hint="eastAsia" w:ascii="仿宋_GB2312" w:hAnsi="仿宋_GB2312" w:eastAsia="仿宋_GB2312" w:cs="仿宋_GB2312"/>
          <w:color w:val="000000"/>
          <w:sz w:val="32"/>
          <w:szCs w:val="32"/>
          <w:lang w:val="en-US" w:eastAsia="zh-CN"/>
        </w:rPr>
        <w:t>邀请群众、新闻媒体记者参与现场观摩。</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全年共使用食品安全监管经</w:t>
      </w:r>
      <w:r>
        <w:rPr>
          <w:rFonts w:hint="eastAsia" w:ascii="Times New Roman" w:hAnsi="Times New Roman" w:eastAsia="仿宋_GB2312" w:cs="Times New Roman"/>
          <w:color w:val="000000"/>
          <w:sz w:val="32"/>
          <w:szCs w:val="32"/>
          <w:lang w:val="en-US" w:eastAsia="zh-CN"/>
        </w:rPr>
        <w:t>费362.18万元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sz w:val="32"/>
          <w:szCs w:val="32"/>
        </w:rPr>
        <w:t>全市</w:t>
      </w:r>
      <w:r>
        <w:rPr>
          <w:rFonts w:hint="eastAsia" w:ascii="Times New Roman" w:hAnsi="Times New Roman" w:eastAsia="仿宋_GB2312" w:cs="Times New Roman"/>
          <w:color w:val="000000"/>
          <w:sz w:val="32"/>
          <w:szCs w:val="32"/>
          <w:lang w:val="en-US" w:eastAsia="zh-CN"/>
        </w:rPr>
        <w:t>连续10年</w:t>
      </w:r>
      <w:r>
        <w:rPr>
          <w:rFonts w:hint="eastAsia" w:ascii="仿宋_GB2312" w:hAnsi="仿宋_GB2312" w:eastAsia="仿宋_GB2312" w:cs="仿宋_GB2312"/>
          <w:color w:val="000000"/>
          <w:kern w:val="0"/>
          <w:sz w:val="32"/>
          <w:szCs w:val="32"/>
          <w:lang w:eastAsia="zh-CN"/>
        </w:rPr>
        <w:t>以</w:t>
      </w:r>
      <w:r>
        <w:rPr>
          <w:rFonts w:hint="eastAsia" w:ascii="仿宋_GB2312" w:hAnsi="仿宋_GB2312" w:eastAsia="仿宋_GB2312" w:cs="仿宋_GB2312"/>
          <w:sz w:val="32"/>
          <w:szCs w:val="32"/>
        </w:rPr>
        <w:t>上未发生较大以上食品安全事故，保障了人民群众的健康权益。实现了二个提升，即：提升了食品安全日常监管水平，监管体制改革全面到位；提升了食品安全专项整治力度，“护苗”“护老”“治违禁 控药残 促提升”“</w:t>
      </w:r>
      <w:r>
        <w:rPr>
          <w:rFonts w:hint="eastAsia" w:ascii="仿宋_GB2312" w:hAnsi="仿宋_GB2312" w:eastAsia="仿宋_GB2312" w:cs="仿宋_GB2312"/>
          <w:sz w:val="32"/>
          <w:szCs w:val="32"/>
          <w:lang w:val="en-US" w:eastAsia="zh-CN"/>
        </w:rPr>
        <w:t>守查保</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斩非断链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等专项整治卓有成效。</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高度重视食品安全工作，遵循预防为主、标本兼治、全程监管、社会共治的原则，坚持问题导向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树立食品安全社会共治和科学监管理念，形成了政府主导、部门监管、企业自律、社会监管的机制，为不断提高食品安全社会共治水平提供了保障。</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Times New Roman" w:hAnsi="Times New Roman" w:eastAsia="仿宋_GB2312" w:cs="Times New Roman"/>
          <w:color w:val="000000"/>
          <w:sz w:val="32"/>
          <w:szCs w:val="32"/>
          <w:lang w:val="en-US" w:eastAsia="zh-CN"/>
        </w:rPr>
        <w:t>2024年，我市</w:t>
      </w:r>
      <w:r>
        <w:rPr>
          <w:rFonts w:hint="eastAsia" w:ascii="仿宋_GB2312" w:hAnsi="仿宋_GB2312" w:eastAsia="仿宋_GB2312" w:cs="仿宋_GB2312"/>
          <w:color w:val="000000"/>
          <w:kern w:val="0"/>
          <w:sz w:val="32"/>
          <w:szCs w:val="32"/>
          <w:lang w:eastAsia="zh-CN"/>
        </w:rPr>
        <w:t>在省级食品安全公众满意度调查中</w:t>
      </w:r>
      <w:r>
        <w:rPr>
          <w:rFonts w:hint="eastAsia" w:ascii="Times New Roman" w:hAnsi="Times New Roman" w:eastAsia="仿宋_GB2312" w:cs="Times New Roman"/>
          <w:color w:val="000000"/>
          <w:sz w:val="32"/>
          <w:szCs w:val="32"/>
          <w:lang w:val="en-US" w:eastAsia="zh-CN"/>
        </w:rPr>
        <w:t>得分84.33</w:t>
      </w:r>
      <w:r>
        <w:rPr>
          <w:rFonts w:hint="eastAsia" w:ascii="仿宋_GB2312" w:hAnsi="仿宋_GB2312" w:eastAsia="仿宋_GB2312" w:cs="仿宋_GB2312"/>
          <w:color w:val="000000"/>
          <w:kern w:val="0"/>
          <w:sz w:val="32"/>
          <w:szCs w:val="32"/>
          <w:lang w:eastAsia="zh-CN"/>
        </w:rPr>
        <w:t>分。</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5.优化服务效能，开创知识产权新局面</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color w:val="auto"/>
          <w:sz w:val="32"/>
          <w:szCs w:val="32"/>
          <w:lang w:val="en-US" w:eastAsia="zh-CN"/>
        </w:rPr>
        <w:t>是</w:t>
      </w:r>
      <w:r>
        <w:rPr>
          <w:rFonts w:hint="eastAsia" w:ascii="仿宋_GB2312" w:hAnsi="仿宋_GB2312" w:eastAsia="仿宋_GB2312" w:cs="仿宋_GB2312"/>
          <w:b w:val="0"/>
          <w:bCs w:val="0"/>
          <w:sz w:val="32"/>
          <w:szCs w:val="32"/>
        </w:rPr>
        <w:t>建立健全</w:t>
      </w:r>
      <w:r>
        <w:rPr>
          <w:rFonts w:hint="eastAsia" w:ascii="仿宋_GB2312" w:hAnsi="仿宋_GB2312" w:eastAsia="仿宋_GB2312" w:cs="仿宋_GB2312"/>
          <w:b w:val="0"/>
          <w:bCs w:val="0"/>
          <w:sz w:val="32"/>
          <w:szCs w:val="32"/>
          <w:lang w:val="en-US" w:eastAsia="zh-CN"/>
        </w:rPr>
        <w:t>知识产权</w:t>
      </w:r>
      <w:r>
        <w:rPr>
          <w:rStyle w:val="11"/>
          <w:rFonts w:hint="eastAsia" w:ascii="仿宋_GB2312" w:hAnsi="仿宋_GB2312" w:eastAsia="仿宋_GB2312" w:cs="仿宋_GB2312"/>
          <w:b w:val="0"/>
          <w:bCs w:val="0"/>
          <w:sz w:val="32"/>
          <w:szCs w:val="32"/>
        </w:rPr>
        <w:t>体制机制。市人民政府与省局签订共建国家知识产权强市建设试点城市合作协议。与相关部门</w:t>
      </w:r>
      <w:r>
        <w:rPr>
          <w:rFonts w:hint="eastAsia" w:ascii="仿宋_GB2312" w:hAnsi="仿宋_GB2312" w:eastAsia="仿宋_GB2312" w:cs="仿宋_GB2312"/>
          <w:b w:val="0"/>
          <w:bCs w:val="0"/>
          <w:sz w:val="32"/>
          <w:szCs w:val="32"/>
        </w:rPr>
        <w:t>加强</w:t>
      </w:r>
      <w:r>
        <w:rPr>
          <w:rStyle w:val="11"/>
          <w:rFonts w:hint="eastAsia" w:ascii="仿宋_GB2312" w:hAnsi="仿宋_GB2312" w:eastAsia="仿宋_GB2312" w:cs="仿宋_GB2312"/>
          <w:b w:val="0"/>
          <w:bCs w:val="0"/>
          <w:sz w:val="32"/>
          <w:szCs w:val="32"/>
        </w:rPr>
        <w:t>知识产权纠纷在线诉调对接，制定《益阳市市场监管行政执法与刑事司法纪检监察衔接工作制度》，实现行刑纪有效衔接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印发《益阳市知识产权“百企优培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行动工作方案》《益阳市高价值专利培育工作方案》等文件，每年高规格高标准开展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世界知识产权日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中国专利周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宣传活动，发放宣传资料累计近万份，连续四年开展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知识产权进党校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活动，有效增强领导干部与全社会知识产权意识</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rPr>
        <w:t>建立健全知识产权保护机</w:t>
      </w:r>
      <w:r>
        <w:rPr>
          <w:rFonts w:hint="eastAsia" w:ascii="Times New Roman" w:hAnsi="Times New Roman" w:eastAsia="仿宋_GB2312" w:cs="Times New Roman"/>
          <w:color w:val="000000"/>
          <w:sz w:val="32"/>
          <w:szCs w:val="32"/>
          <w:lang w:val="en-US" w:eastAsia="zh-CN"/>
        </w:rPr>
        <w:t>制，2024年，我</w:t>
      </w:r>
      <w:r>
        <w:rPr>
          <w:rFonts w:hint="eastAsia" w:ascii="仿宋_GB2312" w:hAnsi="仿宋_GB2312" w:eastAsia="仿宋_GB2312" w:cs="仿宋_GB2312"/>
          <w:b w:val="0"/>
          <w:bCs w:val="0"/>
          <w:sz w:val="32"/>
          <w:szCs w:val="32"/>
          <w:lang w:val="en-US" w:eastAsia="zh-CN"/>
        </w:rPr>
        <w:t>局</w:t>
      </w:r>
      <w:r>
        <w:rPr>
          <w:rFonts w:hint="eastAsia" w:ascii="仿宋_GB2312" w:hAnsi="仿宋_GB2312" w:eastAsia="仿宋_GB2312" w:cs="仿宋_GB2312"/>
          <w:b w:val="0"/>
          <w:bCs w:val="0"/>
          <w:sz w:val="32"/>
          <w:szCs w:val="32"/>
        </w:rPr>
        <w:t>与杭州市余杭区市场监管</w:t>
      </w:r>
      <w:r>
        <w:rPr>
          <w:rFonts w:hint="eastAsia" w:ascii="仿宋_GB2312" w:hAnsi="仿宋_GB2312" w:eastAsia="仿宋_GB2312" w:cs="仿宋_GB2312"/>
          <w:b w:val="0"/>
          <w:bCs w:val="0"/>
          <w:sz w:val="32"/>
          <w:szCs w:val="32"/>
          <w:lang w:eastAsia="zh-CN"/>
        </w:rPr>
        <w:t>局签</w:t>
      </w:r>
      <w:r>
        <w:rPr>
          <w:rFonts w:hint="eastAsia" w:ascii="仿宋_GB2312" w:hAnsi="仿宋_GB2312" w:eastAsia="仿宋_GB2312" w:cs="仿宋_GB2312"/>
          <w:b w:val="0"/>
          <w:bCs w:val="0"/>
          <w:sz w:val="32"/>
          <w:szCs w:val="32"/>
        </w:rPr>
        <w:t>订《网络交易监管跨区域协作备忘录》，共同打击网络交易中的知识产权侵权行为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加大专利行政裁决工作力度，顺利通过裁决试点项目验收，加大知识产权保护力度，严厉打击侵权行为，开展地理标志保护专项行动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加大知识产权保护力度，成功调解知识产</w:t>
      </w:r>
      <w:r>
        <w:rPr>
          <w:rFonts w:hint="eastAsia" w:ascii="Times New Roman" w:hAnsi="Times New Roman" w:eastAsia="仿宋_GB2312" w:cs="Times New Roman"/>
          <w:color w:val="000000"/>
          <w:sz w:val="32"/>
          <w:szCs w:val="32"/>
          <w:lang w:val="en-US" w:eastAsia="zh-CN"/>
        </w:rPr>
        <w:t>权纠纷176件。</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eastAsia="zh-CN"/>
        </w:rPr>
        <w:t>专利转化有为有位。盘点盘活高校和科研机构存量专利，</w:t>
      </w:r>
      <w:r>
        <w:rPr>
          <w:rFonts w:hint="eastAsia" w:ascii="仿宋_GB2312" w:hAnsi="仿宋_GB2312" w:eastAsia="仿宋_GB2312" w:cs="仿宋_GB2312"/>
          <w:sz w:val="32"/>
          <w:szCs w:val="32"/>
          <w:lang w:val="en-US" w:eastAsia="zh-CN"/>
        </w:rPr>
        <w:t>全市完成转</w:t>
      </w:r>
      <w:r>
        <w:rPr>
          <w:rFonts w:hint="eastAsia" w:ascii="Times New Roman" w:hAnsi="Times New Roman" w:eastAsia="仿宋_GB2312" w:cs="Times New Roman"/>
          <w:color w:val="000000"/>
          <w:sz w:val="32"/>
          <w:szCs w:val="32"/>
          <w:lang w:val="en-US" w:eastAsia="zh-CN"/>
        </w:rPr>
        <w:t>让1119次，组织</w:t>
      </w:r>
      <w:r>
        <w:rPr>
          <w:rFonts w:hint="eastAsia" w:ascii="仿宋_GB2312" w:hAnsi="仿宋_GB2312" w:eastAsia="仿宋_GB2312" w:cs="仿宋_GB2312"/>
          <w:sz w:val="32"/>
          <w:szCs w:val="32"/>
          <w:lang w:val="en-US" w:eastAsia="zh-CN"/>
        </w:rPr>
        <w:t>市内高校和科研院所盘点存量专利</w:t>
      </w:r>
      <w:r>
        <w:rPr>
          <w:rFonts w:hint="eastAsia" w:ascii="Times New Roman" w:hAnsi="Times New Roman" w:eastAsia="仿宋_GB2312" w:cs="Times New Roman"/>
          <w:color w:val="000000"/>
          <w:sz w:val="32"/>
          <w:szCs w:val="32"/>
          <w:lang w:val="en-US" w:eastAsia="zh-CN"/>
        </w:rPr>
        <w:t>739件，益</w:t>
      </w:r>
      <w:r>
        <w:rPr>
          <w:rFonts w:hint="eastAsia" w:ascii="仿宋_GB2312" w:hAnsi="仿宋_GB2312" w:eastAsia="仿宋_GB2312" w:cs="仿宋_GB2312"/>
          <w:b w:val="0"/>
          <w:bCs w:val="0"/>
          <w:sz w:val="32"/>
          <w:szCs w:val="32"/>
          <w:lang w:eastAsia="zh-CN"/>
        </w:rPr>
        <w:t>阳</w:t>
      </w:r>
      <w:r>
        <w:rPr>
          <w:rFonts w:hint="eastAsia" w:ascii="仿宋_GB2312" w:hAnsi="仿宋_GB2312" w:eastAsia="仿宋_GB2312" w:cs="仿宋_GB2312"/>
          <w:sz w:val="32"/>
          <w:szCs w:val="32"/>
          <w:lang w:val="en-US" w:eastAsia="zh-CN"/>
        </w:rPr>
        <w:t>市农科院成为全省首家专利盘活单位。</w:t>
      </w:r>
      <w:r>
        <w:rPr>
          <w:rFonts w:hint="eastAsia" w:ascii="仿宋_GB2312" w:hAnsi="仿宋_GB2312" w:eastAsia="仿宋_GB2312" w:cs="仿宋_GB2312"/>
          <w:b w:val="0"/>
          <w:bCs w:val="0"/>
          <w:sz w:val="32"/>
          <w:szCs w:val="32"/>
          <w:lang w:eastAsia="zh-CN"/>
        </w:rPr>
        <w:t>深挖专利资源，鼓励和引导企事业单位参与开放许可工作，益阳安化完成湖南省首件专利开放许可合同备案。助推金融机构优化知识产权质押信贷产品和服务，多途径解决中小企业专利产业化资金需求。</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服务经济高质量发展。今年，全</w:t>
      </w:r>
      <w:r>
        <w:rPr>
          <w:rFonts w:hint="eastAsia" w:ascii="Times New Roman" w:hAnsi="Times New Roman" w:eastAsia="仿宋_GB2312" w:cs="Times New Roman"/>
          <w:color w:val="000000"/>
          <w:sz w:val="32"/>
          <w:szCs w:val="32"/>
          <w:lang w:val="en-US" w:eastAsia="zh-CN"/>
        </w:rPr>
        <w:t>市新授权专利2290件，其中发明专利553件，有效发明专利量2719件，每万人口发明专利拥有量7.23件，全省排名第五。实施全省首件专利开放许可合同备案。知识产权质押融资新增4.3亿元。诺泽</w:t>
      </w:r>
      <w:r>
        <w:rPr>
          <w:rFonts w:hint="eastAsia" w:ascii="仿宋_GB2312" w:hAnsi="仿宋_GB2312" w:eastAsia="仿宋_GB2312" w:cs="仿宋_GB2312"/>
          <w:sz w:val="32"/>
          <w:szCs w:val="32"/>
          <w:lang w:val="en-US" w:eastAsia="zh-CN"/>
        </w:rPr>
        <w:t>生物实施全省首笔知识产权外币质押融资。</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color w:val="000000"/>
          <w:sz w:val="32"/>
          <w:szCs w:val="32"/>
          <w:lang w:val="en-US" w:eastAsia="zh-CN"/>
        </w:rPr>
        <w:t>2024年共使用知识产权战略经费182.5万元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val="en-US" w:eastAsia="zh-CN"/>
        </w:rPr>
        <w:t>知识产权专利化转化资金、专利权奖补、</w:t>
      </w:r>
      <w:r>
        <w:rPr>
          <w:rFonts w:hint="eastAsia" w:ascii="仿宋_GB2312" w:hAnsi="仿宋_GB2312" w:eastAsia="仿宋_GB2312" w:cs="仿宋_GB2312"/>
          <w:sz w:val="32"/>
          <w:szCs w:val="32"/>
        </w:rPr>
        <w:t>发明专利申请和知识产权创造保护运用方面</w:t>
      </w:r>
      <w:r>
        <w:rPr>
          <w:rFonts w:hint="eastAsia" w:ascii="仿宋_GB2312" w:hAnsi="仿宋_GB2312" w:eastAsia="仿宋_GB2312" w:cs="仿宋_GB2312"/>
          <w:sz w:val="32"/>
          <w:szCs w:val="32"/>
          <w:lang w:val="en-US" w:eastAsia="zh-CN"/>
        </w:rPr>
        <w:t>的支出</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color w:val="000000"/>
          <w:sz w:val="32"/>
          <w:szCs w:val="32"/>
          <w:lang w:val="en-US" w:eastAsia="zh-CN"/>
        </w:rPr>
        <w:t>6.依法依规依程序开展电容器国检中心的筹建工作。2024年使用电容器中心筹建经费353.27万元，主要用于电容器国检中心资质申报配套检验检测和科研设备大型仪器设备480台</w:t>
      </w:r>
      <w:r>
        <w:rPr>
          <w:rFonts w:hint="eastAsia" w:ascii="仿宋_GB2312" w:hAnsi="仿宋_GB2312" w:eastAsia="仿宋_GB2312" w:cs="仿宋_GB2312"/>
          <w:sz w:val="32"/>
          <w:szCs w:val="32"/>
        </w:rPr>
        <w:t>（套）</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采购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bCs/>
          <w:color w:val="000000"/>
          <w:sz w:val="32"/>
          <w:szCs w:val="32"/>
          <w:lang w:bidi="ar"/>
        </w:rPr>
        <w:t>组织</w:t>
      </w:r>
      <w:r>
        <w:rPr>
          <w:rFonts w:hint="eastAsia" w:ascii="仿宋_GB2312" w:hAnsi="仿宋_GB2312" w:eastAsia="仿宋_GB2312" w:cs="仿宋_GB2312"/>
          <w:sz w:val="32"/>
          <w:szCs w:val="32"/>
          <w:lang w:val="en-US" w:eastAsia="zh-CN"/>
        </w:rPr>
        <w:t>电子、电气、质量检验等相关领域专家对</w:t>
      </w:r>
      <w:r>
        <w:rPr>
          <w:rFonts w:hint="eastAsia" w:ascii="仿宋_GB2312" w:hAnsi="仿宋_GB2312" w:eastAsia="仿宋_GB2312" w:cs="仿宋_GB2312"/>
          <w:spacing w:val="4"/>
          <w:sz w:val="32"/>
          <w:szCs w:val="32"/>
          <w:lang w:val="en-US" w:eastAsia="zh-CN"/>
        </w:rPr>
        <w:t>设备进行了论证、采购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通过以上系列设备的购置，</w:t>
      </w:r>
      <w:r>
        <w:rPr>
          <w:rFonts w:hint="eastAsia" w:ascii="仿宋_GB2312" w:hAnsi="仿宋_GB2312" w:eastAsia="仿宋_GB2312" w:cs="仿宋_GB2312"/>
          <w:sz w:val="32"/>
          <w:szCs w:val="32"/>
        </w:rPr>
        <w:t>围绕相关产业建设，可增加电气机械及器材类、超级电容器类、车载超级电容类、电阻器类、电感类、覆铜板类、电池和原电池类、物质检测类、家用和类似用途电器</w:t>
      </w:r>
      <w:r>
        <w:rPr>
          <w:rFonts w:hint="eastAsia" w:ascii="Times New Roman" w:hAnsi="Times New Roman" w:eastAsia="仿宋_GB2312" w:cs="Times New Roman"/>
          <w:color w:val="000000"/>
          <w:sz w:val="32"/>
          <w:szCs w:val="32"/>
          <w:lang w:val="en-US" w:eastAsia="zh-CN"/>
        </w:rPr>
        <w:t>类和原材料检测等188个参数，1215项资质。可用固体比表面积、热分析、样品形貌、物质的成分判定与确认、定性或半定量分析、ROSH、溶液中的各种</w:t>
      </w:r>
      <w:r>
        <w:rPr>
          <w:rFonts w:hint="eastAsia" w:ascii="仿宋_GB2312" w:hAnsi="仿宋_GB2312" w:eastAsia="仿宋_GB2312" w:cs="仿宋_GB2312"/>
          <w:sz w:val="32"/>
          <w:szCs w:val="32"/>
        </w:rPr>
        <w:t>离子检测、颗粒的粒度分布、组分的分离与鉴定、样品中元素含量分析、组织形貌的检查分析、无损检测等方法进行材料分析科研。贯通研发、孵化、转化、投融资服务等关键链条，为企业的生产制造提供源源不断的智力支撑，努力建成具有较大国内国际影响力的电子元器件成果转化和产业孵化基地，实现技术创新中心良性循环和产业发展。</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七、存在的问题及原因分析</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通过本次绩效自评，我局从预算和预算绩效管理，部门履职效能，</w:t>
      </w:r>
      <w:r>
        <w:rPr>
          <w:rFonts w:hint="eastAsia" w:ascii="仿宋_GB2312" w:hAnsi="仿宋_GB2312" w:eastAsia="仿宋_GB2312" w:cs="仿宋_GB2312"/>
          <w:sz w:val="32"/>
          <w:szCs w:val="32"/>
          <w:lang w:val="en-US" w:eastAsia="zh-CN"/>
        </w:rPr>
        <w:t>重点项目资金</w:t>
      </w:r>
      <w:r>
        <w:rPr>
          <w:rFonts w:hint="eastAsia" w:ascii="仿宋_GB2312" w:hAnsi="仿宋_GB2312" w:eastAsia="仿宋_GB2312" w:cs="仿宋_GB2312"/>
          <w:sz w:val="32"/>
          <w:szCs w:val="32"/>
        </w:rPr>
        <w:t>使用和管理等方面发现还存在以下几方面不足：</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（一）预算和预算绩效管理</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业务部门和财务部门配合度有待提高，部分项目实施部门与财务部门对绩效目标的理解有偏差，项目实施部门绩效管理意识有待加强，未能结合部门职能和工作性质设置切实可行的绩效目标。二是个别绩效管理意识薄弱，绩效指标设置欠合理，年末绩效完成情况与年初申报绩效目标偏差较大。三是个别项目指标未能如期完成。主要原因是</w:t>
      </w:r>
      <w:r>
        <w:rPr>
          <w:rFonts w:hint="eastAsia" w:ascii="仿宋_GB2312" w:hAnsi="仿宋_GB2312" w:eastAsia="仿宋_GB2312" w:cs="仿宋_GB2312"/>
          <w:sz w:val="32"/>
          <w:szCs w:val="32"/>
          <w:lang w:val="en-US" w:eastAsia="zh-CN"/>
        </w:rPr>
        <w:t>每年</w:t>
      </w:r>
      <w:r>
        <w:rPr>
          <w:rFonts w:hint="eastAsia" w:ascii="仿宋_GB2312" w:hAnsi="仿宋_GB2312" w:eastAsia="仿宋_GB2312" w:cs="仿宋_GB2312"/>
          <w:sz w:val="32"/>
          <w:szCs w:val="32"/>
        </w:rPr>
        <w:t>预算绩效目标设置</w:t>
      </w:r>
      <w:r>
        <w:rPr>
          <w:rFonts w:hint="eastAsia" w:ascii="仿宋_GB2312" w:hAnsi="仿宋_GB2312" w:eastAsia="仿宋_GB2312" w:cs="仿宋_GB2312"/>
          <w:sz w:val="32"/>
          <w:szCs w:val="32"/>
          <w:lang w:val="en-US" w:eastAsia="zh-CN"/>
        </w:rPr>
        <w:t>时间为上年度九月，无法做到</w:t>
      </w:r>
      <w:r>
        <w:rPr>
          <w:rFonts w:hint="eastAsia" w:ascii="仿宋_GB2312" w:hAnsi="仿宋_GB2312" w:eastAsia="仿宋_GB2312" w:cs="仿宋_GB2312"/>
          <w:sz w:val="32"/>
          <w:szCs w:val="32"/>
        </w:rPr>
        <w:t>全面、综合考虑实际情况，不能紧扣业务工作任务科学、合理的设置绩效目标及指标值。</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（二）履职效能方面</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一是部分执法人员能力偏弱。市场监管执法领域宽、覆盖面广，</w:t>
      </w:r>
      <w:r>
        <w:rPr>
          <w:rFonts w:hint="eastAsia" w:ascii="仿宋_GB2312" w:hAnsi="仿宋_GB2312" w:eastAsia="仿宋_GB2312" w:cs="仿宋_GB2312"/>
          <w:sz w:val="32"/>
          <w:szCs w:val="32"/>
          <w:highlight w:val="none"/>
          <w:lang w:val="en-US" w:eastAsia="zh-CN"/>
        </w:rPr>
        <w:t>市场监督管理局承担着全区抽检、安全监管等多项任务，执法队伍与新形势下完成市场监管任务要求有一定差距，</w:t>
      </w:r>
      <w:r>
        <w:rPr>
          <w:rFonts w:hint="eastAsia" w:ascii="仿宋_GB2312" w:hAnsi="仿宋_GB2312" w:eastAsia="仿宋_GB2312" w:cs="仿宋_GB2312"/>
          <w:sz w:val="32"/>
          <w:szCs w:val="32"/>
        </w:rPr>
        <w:t>二是执法装备保障不足。市场监管执法点多、线长、面广，管理对象多而复杂，部分执法设备匮乏，突发情况处置能力弱。主要原因是监管队伍人员结构、知识结构还不够合理，年龄老化严重，专业技术人员缺乏。</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（三）重点项目资金管理和使用</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市财政在重点项目</w:t>
      </w:r>
      <w:r>
        <w:rPr>
          <w:rFonts w:hint="eastAsia" w:ascii="Times New Roman" w:hAnsi="Times New Roman" w:eastAsia="仿宋_GB2312" w:cs="Times New Roman"/>
          <w:color w:val="000000"/>
          <w:sz w:val="32"/>
          <w:szCs w:val="32"/>
          <w:lang w:val="en-US" w:eastAsia="zh-CN"/>
        </w:rPr>
        <w:t>经费中安排我局食品安全综合监管经费556.98万元、知识产权专项经费320万元。2022年，根据市政府的统一部署安排，为了推进我市先进制造业高质量发展，我局的这两项重点项目经费被统筹463万元用于支持先进制造业高质量发展，其中食品安全综合监管经费143万元、知识</w:t>
      </w:r>
      <w:r>
        <w:rPr>
          <w:rFonts w:hint="eastAsia" w:ascii="仿宋_GB2312" w:hAnsi="仿宋_GB2312" w:eastAsia="仿宋_GB2312" w:cs="仿宋_GB2312"/>
          <w:color w:val="auto"/>
          <w:sz w:val="32"/>
          <w:szCs w:val="32"/>
          <w:lang w:val="en-US" w:eastAsia="zh-CN"/>
        </w:rPr>
        <w:t>产权专项</w:t>
      </w:r>
      <w:r>
        <w:rPr>
          <w:rFonts w:hint="eastAsia" w:ascii="Times New Roman" w:hAnsi="Times New Roman" w:eastAsia="仿宋_GB2312" w:cs="Times New Roman"/>
          <w:color w:val="000000"/>
          <w:sz w:val="32"/>
          <w:szCs w:val="32"/>
          <w:lang w:val="en-US" w:eastAsia="zh-CN"/>
        </w:rPr>
        <w:t>经费320万元</w:t>
      </w:r>
      <w:r>
        <w:rPr>
          <w:rFonts w:hint="eastAsia" w:ascii="仿宋_GB2312" w:hAnsi="仿宋_GB2312" w:eastAsia="仿宋_GB2312" w:cs="仿宋_GB2312"/>
          <w:color w:val="auto"/>
          <w:sz w:val="32"/>
          <w:szCs w:val="32"/>
          <w:lang w:val="en-US" w:eastAsia="zh-CN"/>
        </w:rPr>
        <w:t>。主要原因是重点资金压缩严重，对重点职责履职履效有一定影响。</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八、下一步改进措施</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（一）加强绩效管理，提高资金效益</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是逐步建成“全方位、全过程、全覆盖”的预算绩效管理体系，形成“预算编制有目标、预算执行有监控、预算完成有评价、评价结果有反馈、反馈结果有应用”的绩效管理模式，实现预算和绩效管理一体化。二是压实部门内部绩效管理主体责任，加大预算绩效管理培训力度，强化对预算绩效管理的认识，提高绩效管理水平。</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（二）加强监管能力建设，提升履职效能</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是加强监管能力建设，组织业务人员培训和交流学习，与时俱进拓宽业务人员知识面，培养一批能够适应新监管环境、熟练操作计算机，集监测、监管、取证、执法一体的执法专业人才和基层监管人员。二是加强执法装备配置，对执法装备进行专门管理，不断提高执法能力，提升基层监管所的效能。</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（三）请求财政解决重点项目缺口</w:t>
      </w:r>
    </w:p>
    <w:p>
      <w:pPr>
        <w:keepNext w:val="0"/>
        <w:keepLines w:val="0"/>
        <w:pageBreakBefore w:val="0"/>
        <w:widowControl w:val="0"/>
        <w:numPr>
          <w:ilvl w:val="0"/>
          <w:numId w:val="0"/>
        </w:numPr>
        <w:pBdr>
          <w:bottom w:val="single" w:color="FFFFFF" w:sz="4" w:space="31"/>
        </w:pBdr>
        <w:tabs>
          <w:tab w:val="left" w:pos="1440"/>
          <w:tab w:val="left" w:pos="3600"/>
        </w:tabs>
        <w:kinsoku/>
        <w:wordWrap/>
        <w:overflowPunct w:val="0"/>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重点项目统筹资金使我局食品安全监管、知识产权工作开展形成资金</w:t>
      </w:r>
      <w:r>
        <w:rPr>
          <w:rFonts w:hint="eastAsia" w:ascii="Times New Roman" w:hAnsi="Times New Roman" w:eastAsia="仿宋_GB2312" w:cs="Times New Roman"/>
          <w:color w:val="000000"/>
          <w:sz w:val="32"/>
          <w:szCs w:val="32"/>
          <w:lang w:val="en-US" w:eastAsia="zh-CN"/>
        </w:rPr>
        <w:t>缺口463万</w:t>
      </w:r>
      <w:r>
        <w:rPr>
          <w:rFonts w:hint="eastAsia" w:ascii="仿宋_GB2312" w:hAnsi="仿宋_GB2312" w:eastAsia="仿宋_GB2312" w:cs="仿宋_GB2312"/>
          <w:color w:val="auto"/>
          <w:sz w:val="32"/>
          <w:szCs w:val="32"/>
          <w:lang w:val="en-US" w:eastAsia="zh-CN"/>
        </w:rPr>
        <w:t>元</w:t>
      </w:r>
      <w:r>
        <w:rPr>
          <w:rFonts w:hint="eastAsia" w:ascii="Times New Roman" w:hAnsi="Times New Roman" w:eastAsia="仿宋_GB2312" w:cs="Times New Roman"/>
          <w:color w:val="000000"/>
          <w:sz w:val="32"/>
          <w:szCs w:val="32"/>
          <w:lang w:val="en-US" w:eastAsia="zh-CN"/>
        </w:rPr>
        <w:t>，将直接影响省委省政府对市州营商环境、高质</w:t>
      </w:r>
      <w:r>
        <w:rPr>
          <w:rFonts w:hint="eastAsia" w:ascii="仿宋_GB2312" w:hAnsi="仿宋_GB2312" w:eastAsia="仿宋_GB2312" w:cs="仿宋_GB2312"/>
          <w:color w:val="auto"/>
          <w:sz w:val="32"/>
          <w:szCs w:val="32"/>
          <w:lang w:val="en-US" w:eastAsia="zh-CN"/>
        </w:rPr>
        <w:t>量发展等工作的考核结果。请求市财政考虑将上述统筹的部分资金用于我局食品安全监管、知识产权工作开展。</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九、绩效自评结果拟应用和公开情况</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rPr>
        <w:t>度部门整体支出绩效评价指标评分</w:t>
      </w:r>
      <w:r>
        <w:rPr>
          <w:rFonts w:hint="eastAsia" w:ascii="仿宋_GB2312" w:hAnsi="仿宋_GB2312" w:eastAsia="仿宋_GB2312" w:cs="仿宋_GB2312"/>
          <w:color w:val="000000"/>
          <w:sz w:val="32"/>
          <w:szCs w:val="32"/>
          <w:lang w:val="en-US" w:eastAsia="zh-CN"/>
        </w:rPr>
        <w:t>9</w:t>
      </w:r>
      <w:r>
        <w:rPr>
          <w:rFonts w:hint="eastAsia" w:ascii="仿宋_GB2312" w:hAnsi="仿宋_GB2312" w:cs="仿宋_GB2312"/>
          <w:color w:val="000000"/>
          <w:sz w:val="32"/>
          <w:szCs w:val="32"/>
          <w:lang w:val="en-US" w:eastAsia="zh-CN"/>
        </w:rPr>
        <w:t>8</w:t>
      </w:r>
      <w:r>
        <w:rPr>
          <w:rFonts w:hint="eastAsia" w:ascii="仿宋_GB2312" w:hAnsi="仿宋_GB2312" w:eastAsia="仿宋_GB2312" w:cs="仿宋_GB2312"/>
          <w:color w:val="000000"/>
          <w:sz w:val="32"/>
          <w:szCs w:val="32"/>
          <w:lang w:val="en-US" w:eastAsia="zh-CN"/>
        </w:rPr>
        <w:t>.</w:t>
      </w:r>
      <w:r>
        <w:rPr>
          <w:rFonts w:hint="eastAsia" w:ascii="仿宋_GB2312" w:hAnsi="仿宋_GB2312" w:cs="仿宋_GB2312"/>
          <w:color w:val="000000"/>
          <w:sz w:val="32"/>
          <w:szCs w:val="32"/>
          <w:lang w:val="en-US" w:eastAsia="zh-CN"/>
        </w:rPr>
        <w:t>9</w:t>
      </w:r>
      <w:r>
        <w:rPr>
          <w:rFonts w:hint="eastAsia" w:ascii="仿宋_GB2312" w:hAnsi="仿宋_GB2312" w:eastAsia="仿宋_GB2312" w:cs="仿宋_GB2312"/>
          <w:color w:val="000000"/>
          <w:sz w:val="32"/>
          <w:szCs w:val="32"/>
        </w:rPr>
        <w:t>分，资金使用和效果达到了预期的经济、环境和社会效益。完成自评后我</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sz w:val="32"/>
          <w:szCs w:val="32"/>
        </w:rPr>
        <w:t>将及时通报自评结果，认真分析评价结果所反映的问题，我</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sz w:val="32"/>
          <w:szCs w:val="32"/>
        </w:rPr>
        <w:t>将不断细化绩效评价指标，提高资金使用效益，制定改进和提高工作的措施，将绩效评价结果作为编制以后年度预算的重要依据。并根据市财政部门关于部门绩效自评工作通知的要</w:t>
      </w:r>
      <w:r>
        <w:rPr>
          <w:rFonts w:hint="eastAsia" w:ascii="Times New Roman" w:hAnsi="Times New Roman" w:eastAsia="仿宋_GB2312" w:cs="Times New Roman"/>
          <w:color w:val="000000"/>
          <w:sz w:val="32"/>
          <w:szCs w:val="32"/>
          <w:lang w:val="en-US" w:eastAsia="zh-CN"/>
        </w:rPr>
        <w:t>求，于2024年</w:t>
      </w:r>
      <w:r>
        <w:rPr>
          <w:rFonts w:hint="eastAsia"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月</w:t>
      </w:r>
      <w:r>
        <w:rPr>
          <w:rFonts w:hint="eastAsia" w:cs="Times New Roman"/>
          <w:color w:val="000000"/>
          <w:sz w:val="32"/>
          <w:szCs w:val="32"/>
          <w:lang w:val="en-US" w:eastAsia="zh-CN"/>
        </w:rPr>
        <w:t>29</w:t>
      </w:r>
      <w:r>
        <w:rPr>
          <w:rFonts w:hint="eastAsia" w:ascii="Times New Roman" w:hAnsi="Times New Roman" w:eastAsia="仿宋_GB2312" w:cs="Times New Roman"/>
          <w:color w:val="000000"/>
          <w:sz w:val="32"/>
          <w:szCs w:val="32"/>
          <w:lang w:val="en-US" w:eastAsia="zh-CN"/>
        </w:rPr>
        <w:t>日在单</w:t>
      </w:r>
      <w:r>
        <w:rPr>
          <w:rFonts w:hint="eastAsia" w:ascii="仿宋_GB2312" w:hAnsi="仿宋_GB2312" w:eastAsia="仿宋_GB2312" w:cs="仿宋_GB2312"/>
          <w:color w:val="000000"/>
          <w:sz w:val="32"/>
          <w:szCs w:val="32"/>
        </w:rPr>
        <w:t>位门户网站上公开，接受社会监督。</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十、其他需要说明的情况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2024年我局另有其他预算收入47.9万元，其中局机关7.9万元，为非公党建经费；直属二级机构纤检中心40万元，为上级补助资金。以上资金均在部门整体支出自评表中的项目支出中体现。</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20" w:lineRule="exact"/>
        <w:ind w:firstLine="640" w:firstLineChars="200"/>
        <w:jc w:val="both"/>
        <w:textAlignment w:val="auto"/>
        <w:rPr>
          <w:rFonts w:hint="eastAsia"/>
          <w:szCs w:val="32"/>
        </w:rPr>
      </w:pP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20" w:lineRule="exact"/>
        <w:ind w:firstLine="640" w:firstLineChars="200"/>
        <w:jc w:val="both"/>
        <w:textAlignment w:val="auto"/>
        <w:rPr>
          <w:szCs w:val="32"/>
        </w:rPr>
      </w:pPr>
      <w:r>
        <w:rPr>
          <w:rFonts w:hint="eastAsia"/>
          <w:szCs w:val="32"/>
        </w:rPr>
        <w:t>附件：</w:t>
      </w:r>
      <w:r>
        <w:rPr>
          <w:szCs w:val="32"/>
        </w:rPr>
        <w:t>1、部门整体支出绩效评价基础数据表</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20" w:lineRule="exact"/>
        <w:ind w:firstLine="1600" w:firstLineChars="500"/>
        <w:jc w:val="both"/>
        <w:textAlignment w:val="auto"/>
        <w:rPr>
          <w:szCs w:val="32"/>
        </w:rPr>
      </w:pPr>
      <w:r>
        <w:rPr>
          <w:szCs w:val="32"/>
        </w:rPr>
        <w:t>2、部门整体支出绩效自评表</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20" w:lineRule="exact"/>
        <w:ind w:firstLine="1600" w:firstLineChars="500"/>
        <w:jc w:val="both"/>
        <w:textAlignment w:val="auto"/>
        <w:rPr>
          <w:szCs w:val="32"/>
        </w:rPr>
      </w:pPr>
      <w:r>
        <w:rPr>
          <w:szCs w:val="32"/>
        </w:rPr>
        <w:t>3、项目支出绩效自评表（每个一级项目支出一张表）</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20" w:lineRule="exact"/>
        <w:ind w:firstLine="1600" w:firstLineChars="500"/>
        <w:jc w:val="both"/>
        <w:textAlignment w:val="auto"/>
        <w:rPr>
          <w:rFonts w:hint="eastAsia"/>
          <w:szCs w:val="32"/>
        </w:rPr>
      </w:pPr>
      <w:r>
        <w:rPr>
          <w:szCs w:val="32"/>
        </w:rPr>
        <w:t>4、政府性基金预算支出情况表</w:t>
      </w:r>
      <w:r>
        <w:rPr>
          <w:rFonts w:hint="eastAsia"/>
          <w:szCs w:val="32"/>
        </w:rPr>
        <w:t>（如有）</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20" w:lineRule="exact"/>
        <w:ind w:firstLine="1600" w:firstLineChars="500"/>
        <w:jc w:val="both"/>
        <w:textAlignment w:val="auto"/>
        <w:rPr>
          <w:rFonts w:hint="eastAsia"/>
          <w:szCs w:val="32"/>
        </w:rPr>
      </w:pPr>
      <w:r>
        <w:rPr>
          <w:szCs w:val="32"/>
        </w:rPr>
        <w:t>5、国有资本经营预算支出情况表</w:t>
      </w:r>
      <w:r>
        <w:rPr>
          <w:rFonts w:hint="eastAsia"/>
          <w:szCs w:val="32"/>
        </w:rPr>
        <w:t>（如有）</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20" w:lineRule="exact"/>
        <w:ind w:firstLine="1600" w:firstLineChars="500"/>
        <w:jc w:val="both"/>
        <w:textAlignment w:val="auto"/>
        <w:rPr>
          <w:rFonts w:hint="eastAsia"/>
          <w:szCs w:val="32"/>
        </w:rPr>
      </w:pPr>
      <w:r>
        <w:rPr>
          <w:szCs w:val="32"/>
        </w:rPr>
        <w:t>6、社会保险基金预算支出情况表</w:t>
      </w:r>
      <w:r>
        <w:rPr>
          <w:rFonts w:hint="eastAsia"/>
          <w:szCs w:val="32"/>
        </w:rPr>
        <w:t>（如有）</w:t>
      </w:r>
    </w:p>
    <w:p>
      <w:pPr>
        <w:rPr>
          <w:rFonts w:hint="eastAsia"/>
          <w:szCs w:val="32"/>
        </w:rPr>
      </w:pPr>
      <w:r>
        <w:rPr>
          <w:rFonts w:hint="eastAsia"/>
          <w:szCs w:val="32"/>
        </w:rPr>
        <w:br w:type="page"/>
      </w:r>
    </w:p>
    <w:p>
      <w:pPr>
        <w:widowControl/>
        <w:spacing w:line="400" w:lineRule="exact"/>
        <w:jc w:val="left"/>
        <w:rPr>
          <w:rFonts w:hint="eastAsia" w:eastAsia="黑体"/>
          <w:szCs w:val="32"/>
          <w:lang w:eastAsia="zh-CN"/>
        </w:rPr>
      </w:pPr>
      <w:r>
        <w:rPr>
          <w:rFonts w:eastAsia="黑体"/>
          <w:szCs w:val="32"/>
        </w:rPr>
        <w:t>附件</w:t>
      </w:r>
      <w:r>
        <w:rPr>
          <w:rFonts w:hint="eastAsia" w:eastAsia="黑体"/>
          <w:szCs w:val="32"/>
          <w:lang w:val="en-US" w:eastAsia="zh-CN"/>
        </w:rPr>
        <w:t>1</w:t>
      </w:r>
    </w:p>
    <w:p>
      <w:pPr>
        <w:spacing w:line="600" w:lineRule="exact"/>
        <w:jc w:val="center"/>
        <w:rPr>
          <w:rFonts w:ascii="方正小标宋简体" w:hAnsi="方正小标宋简体" w:eastAsia="方正小标宋简体"/>
          <w:kern w:val="0"/>
          <w:sz w:val="36"/>
          <w:szCs w:val="36"/>
        </w:rPr>
      </w:pPr>
      <w:r>
        <w:rPr>
          <w:rFonts w:ascii="方正小标宋简体" w:hAnsi="方正小标宋简体" w:eastAsia="方正小标宋简体"/>
          <w:kern w:val="0"/>
          <w:sz w:val="36"/>
          <w:szCs w:val="36"/>
        </w:rPr>
        <w:t>202</w:t>
      </w:r>
      <w:r>
        <w:rPr>
          <w:rFonts w:hint="eastAsia" w:ascii="方正小标宋简体" w:hAnsi="方正小标宋简体" w:eastAsia="方正小标宋简体"/>
          <w:kern w:val="0"/>
          <w:sz w:val="36"/>
          <w:szCs w:val="36"/>
        </w:rPr>
        <w:t>4</w:t>
      </w:r>
      <w:r>
        <w:rPr>
          <w:rFonts w:ascii="方正小标宋简体" w:hAnsi="方正小标宋简体" w:eastAsia="方正小标宋简体"/>
          <w:kern w:val="0"/>
          <w:sz w:val="36"/>
          <w:szCs w:val="36"/>
        </w:rPr>
        <w:t>年度部门整体支出绩效评价基础数据表</w:t>
      </w:r>
    </w:p>
    <w:tbl>
      <w:tblPr>
        <w:tblStyle w:val="10"/>
        <w:tblW w:w="10399" w:type="dxa"/>
        <w:jc w:val="center"/>
        <w:tblLayout w:type="fixed"/>
        <w:tblCellMar>
          <w:top w:w="0" w:type="dxa"/>
          <w:left w:w="108" w:type="dxa"/>
          <w:bottom w:w="0" w:type="dxa"/>
          <w:right w:w="108" w:type="dxa"/>
        </w:tblCellMar>
      </w:tblPr>
      <w:tblGrid>
        <w:gridCol w:w="3229"/>
        <w:gridCol w:w="1204"/>
        <w:gridCol w:w="1131"/>
        <w:gridCol w:w="1083"/>
        <w:gridCol w:w="1147"/>
        <w:gridCol w:w="964"/>
        <w:gridCol w:w="1641"/>
      </w:tblGrid>
      <w:tr>
        <w:tblPrEx>
          <w:tblCellMar>
            <w:top w:w="0" w:type="dxa"/>
            <w:left w:w="108" w:type="dxa"/>
            <w:bottom w:w="0" w:type="dxa"/>
            <w:right w:w="108" w:type="dxa"/>
          </w:tblCellMar>
        </w:tblPrEx>
        <w:trPr>
          <w:trHeight w:val="322" w:hRule="atLeast"/>
          <w:jc w:val="center"/>
        </w:trPr>
        <w:tc>
          <w:tcPr>
            <w:tcW w:w="322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ascii="Times New Roman" w:hAnsi="Times New Roman"/>
                <w:kern w:val="0"/>
                <w:sz w:val="21"/>
                <w:szCs w:val="21"/>
              </w:rPr>
              <w:t>财政供养人员情况（人）</w:t>
            </w:r>
          </w:p>
        </w:tc>
        <w:tc>
          <w:tcPr>
            <w:tcW w:w="233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b/>
                <w:bCs/>
                <w:kern w:val="0"/>
                <w:sz w:val="21"/>
                <w:szCs w:val="21"/>
              </w:rPr>
            </w:pPr>
            <w:r>
              <w:rPr>
                <w:rFonts w:ascii="Times New Roman" w:hAnsi="Times New Roman"/>
                <w:b/>
                <w:bCs/>
                <w:kern w:val="0"/>
                <w:sz w:val="21"/>
                <w:szCs w:val="21"/>
              </w:rPr>
              <w:t>编制数</w:t>
            </w:r>
          </w:p>
        </w:tc>
        <w:tc>
          <w:tcPr>
            <w:tcW w:w="223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b/>
                <w:bCs/>
                <w:kern w:val="0"/>
                <w:sz w:val="21"/>
                <w:szCs w:val="21"/>
              </w:rPr>
            </w:pPr>
            <w:r>
              <w:rPr>
                <w:rFonts w:ascii="Times New Roman" w:hAnsi="Times New Roman"/>
                <w:b/>
                <w:bCs/>
                <w:kern w:val="0"/>
                <w:sz w:val="21"/>
                <w:szCs w:val="21"/>
              </w:rPr>
              <w:t>202</w:t>
            </w:r>
            <w:r>
              <w:rPr>
                <w:rFonts w:hint="eastAsia" w:ascii="Times New Roman" w:hAnsi="Times New Roman"/>
                <w:b/>
                <w:bCs/>
                <w:kern w:val="0"/>
                <w:sz w:val="21"/>
                <w:szCs w:val="21"/>
              </w:rPr>
              <w:t>4</w:t>
            </w:r>
            <w:r>
              <w:rPr>
                <w:rFonts w:ascii="Times New Roman" w:hAnsi="Times New Roman"/>
                <w:b/>
                <w:bCs/>
                <w:kern w:val="0"/>
                <w:sz w:val="21"/>
                <w:szCs w:val="21"/>
              </w:rPr>
              <w:t>年实际在职人数</w:t>
            </w:r>
          </w:p>
        </w:tc>
        <w:tc>
          <w:tcPr>
            <w:tcW w:w="260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b/>
                <w:bCs/>
                <w:kern w:val="0"/>
                <w:sz w:val="21"/>
                <w:szCs w:val="21"/>
              </w:rPr>
            </w:pPr>
            <w:r>
              <w:rPr>
                <w:rFonts w:ascii="Times New Roman" w:hAnsi="Times New Roman"/>
                <w:b/>
                <w:bCs/>
                <w:kern w:val="0"/>
                <w:sz w:val="21"/>
                <w:szCs w:val="21"/>
              </w:rPr>
              <w:t>控制率</w:t>
            </w:r>
          </w:p>
        </w:tc>
      </w:tr>
      <w:tr>
        <w:tblPrEx>
          <w:tblCellMar>
            <w:top w:w="0" w:type="dxa"/>
            <w:left w:w="108" w:type="dxa"/>
            <w:bottom w:w="0" w:type="dxa"/>
            <w:right w:w="108" w:type="dxa"/>
          </w:tblCellMar>
        </w:tblPrEx>
        <w:trPr>
          <w:trHeight w:val="322" w:hRule="atLeast"/>
          <w:jc w:val="center"/>
        </w:trPr>
        <w:tc>
          <w:tcPr>
            <w:tcW w:w="322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kern w:val="0"/>
                <w:sz w:val="21"/>
                <w:szCs w:val="21"/>
              </w:rPr>
            </w:pPr>
          </w:p>
        </w:tc>
        <w:tc>
          <w:tcPr>
            <w:tcW w:w="233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hint="eastAsia" w:ascii="Times New Roman" w:hAnsi="Times New Roman"/>
                <w:kern w:val="0"/>
                <w:sz w:val="21"/>
                <w:szCs w:val="21"/>
                <w:lang w:val="en-US" w:eastAsia="zh-CN"/>
              </w:rPr>
              <w:t>3</w:t>
            </w:r>
            <w:r>
              <w:rPr>
                <w:rFonts w:hint="eastAsia"/>
                <w:kern w:val="0"/>
                <w:sz w:val="21"/>
                <w:szCs w:val="21"/>
                <w:lang w:val="en-US" w:eastAsia="zh-CN"/>
              </w:rPr>
              <w:t>35</w:t>
            </w:r>
            <w:r>
              <w:rPr>
                <w:rFonts w:ascii="Times New Roman" w:hAnsi="Times New Roman"/>
                <w:kern w:val="0"/>
                <w:sz w:val="21"/>
                <w:szCs w:val="21"/>
              </w:rPr>
              <w:t>　</w:t>
            </w:r>
          </w:p>
        </w:tc>
        <w:tc>
          <w:tcPr>
            <w:tcW w:w="223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hint="eastAsia" w:ascii="Times New Roman" w:hAnsi="Times New Roman"/>
                <w:kern w:val="0"/>
                <w:sz w:val="21"/>
                <w:szCs w:val="21"/>
                <w:lang w:val="en-US" w:eastAsia="zh-CN"/>
              </w:rPr>
              <w:t>307</w:t>
            </w:r>
            <w:r>
              <w:rPr>
                <w:rFonts w:ascii="Times New Roman" w:hAnsi="Times New Roman"/>
                <w:kern w:val="0"/>
                <w:sz w:val="21"/>
                <w:szCs w:val="21"/>
              </w:rPr>
              <w:t>　</w:t>
            </w:r>
          </w:p>
        </w:tc>
        <w:tc>
          <w:tcPr>
            <w:tcW w:w="260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kern w:val="0"/>
                <w:sz w:val="21"/>
                <w:szCs w:val="21"/>
                <w:lang w:val="en-US" w:eastAsia="zh-CN"/>
              </w:rPr>
            </w:pPr>
            <w:r>
              <w:rPr>
                <w:rFonts w:ascii="Times New Roman" w:hAnsi="Times New Roman"/>
                <w:kern w:val="0"/>
                <w:sz w:val="21"/>
                <w:szCs w:val="21"/>
              </w:rPr>
              <w:t>　</w:t>
            </w:r>
            <w:r>
              <w:rPr>
                <w:rFonts w:hint="eastAsia"/>
                <w:kern w:val="0"/>
                <w:sz w:val="21"/>
                <w:szCs w:val="21"/>
                <w:lang w:val="en-US" w:eastAsia="zh-CN"/>
              </w:rPr>
              <w:t>91.64</w:t>
            </w:r>
            <w:r>
              <w:rPr>
                <w:rFonts w:hint="eastAsia" w:ascii="Times New Roman" w:hAnsi="Times New Roman"/>
                <w:kern w:val="0"/>
                <w:sz w:val="21"/>
                <w:szCs w:val="21"/>
                <w:lang w:val="en-US" w:eastAsia="zh-CN"/>
              </w:rPr>
              <w:t>%</w:t>
            </w:r>
          </w:p>
        </w:tc>
      </w:tr>
      <w:tr>
        <w:tblPrEx>
          <w:tblCellMar>
            <w:top w:w="0" w:type="dxa"/>
            <w:left w:w="108" w:type="dxa"/>
            <w:bottom w:w="0" w:type="dxa"/>
            <w:right w:w="108" w:type="dxa"/>
          </w:tblCellMar>
        </w:tblPrEx>
        <w:trPr>
          <w:trHeight w:val="322"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ascii="Times New Roman" w:hAnsi="Times New Roman"/>
                <w:kern w:val="0"/>
                <w:sz w:val="21"/>
                <w:szCs w:val="21"/>
              </w:rPr>
              <w:t>经费控制情况（万元）</w:t>
            </w:r>
          </w:p>
        </w:tc>
        <w:tc>
          <w:tcPr>
            <w:tcW w:w="233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b/>
                <w:bCs/>
                <w:kern w:val="0"/>
                <w:sz w:val="21"/>
                <w:szCs w:val="21"/>
              </w:rPr>
            </w:pPr>
            <w:r>
              <w:rPr>
                <w:rFonts w:ascii="Times New Roman" w:hAnsi="Times New Roman"/>
                <w:b/>
                <w:bCs/>
                <w:kern w:val="0"/>
                <w:sz w:val="21"/>
                <w:szCs w:val="21"/>
              </w:rPr>
              <w:t>20</w:t>
            </w:r>
            <w:r>
              <w:rPr>
                <w:rFonts w:hint="eastAsia" w:ascii="Times New Roman" w:hAnsi="Times New Roman"/>
                <w:b/>
                <w:bCs/>
                <w:kern w:val="0"/>
                <w:sz w:val="21"/>
                <w:szCs w:val="21"/>
              </w:rPr>
              <w:t>23</w:t>
            </w:r>
            <w:r>
              <w:rPr>
                <w:rFonts w:ascii="Times New Roman" w:hAnsi="Times New Roman"/>
                <w:b/>
                <w:bCs/>
                <w:kern w:val="0"/>
                <w:sz w:val="21"/>
                <w:szCs w:val="21"/>
              </w:rPr>
              <w:t>年决算数</w:t>
            </w:r>
          </w:p>
        </w:tc>
        <w:tc>
          <w:tcPr>
            <w:tcW w:w="22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b/>
                <w:bCs/>
                <w:kern w:val="0"/>
                <w:sz w:val="21"/>
                <w:szCs w:val="21"/>
              </w:rPr>
            </w:pPr>
            <w:r>
              <w:rPr>
                <w:rFonts w:ascii="Times New Roman" w:hAnsi="Times New Roman"/>
                <w:b/>
                <w:bCs/>
                <w:kern w:val="0"/>
                <w:sz w:val="21"/>
                <w:szCs w:val="21"/>
              </w:rPr>
              <w:t>202</w:t>
            </w:r>
            <w:r>
              <w:rPr>
                <w:rFonts w:hint="eastAsia" w:ascii="Times New Roman" w:hAnsi="Times New Roman"/>
                <w:b/>
                <w:bCs/>
                <w:kern w:val="0"/>
                <w:sz w:val="21"/>
                <w:szCs w:val="21"/>
              </w:rPr>
              <w:t>4</w:t>
            </w:r>
            <w:r>
              <w:rPr>
                <w:rFonts w:ascii="Times New Roman" w:hAnsi="Times New Roman"/>
                <w:b/>
                <w:bCs/>
                <w:kern w:val="0"/>
                <w:sz w:val="21"/>
                <w:szCs w:val="21"/>
              </w:rPr>
              <w:t>年预算数</w:t>
            </w:r>
          </w:p>
        </w:tc>
        <w:tc>
          <w:tcPr>
            <w:tcW w:w="26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b/>
                <w:bCs/>
                <w:kern w:val="0"/>
                <w:sz w:val="21"/>
                <w:szCs w:val="21"/>
              </w:rPr>
            </w:pPr>
            <w:r>
              <w:rPr>
                <w:rFonts w:ascii="Times New Roman" w:hAnsi="Times New Roman"/>
                <w:b/>
                <w:bCs/>
                <w:kern w:val="0"/>
                <w:sz w:val="21"/>
                <w:szCs w:val="21"/>
              </w:rPr>
              <w:t>202</w:t>
            </w:r>
            <w:r>
              <w:rPr>
                <w:rFonts w:hint="eastAsia" w:ascii="Times New Roman" w:hAnsi="Times New Roman"/>
                <w:b/>
                <w:bCs/>
                <w:kern w:val="0"/>
                <w:sz w:val="21"/>
                <w:szCs w:val="21"/>
              </w:rPr>
              <w:t>4</w:t>
            </w:r>
            <w:r>
              <w:rPr>
                <w:rFonts w:ascii="Times New Roman" w:hAnsi="Times New Roman"/>
                <w:b/>
                <w:bCs/>
                <w:kern w:val="0"/>
                <w:sz w:val="21"/>
                <w:szCs w:val="21"/>
              </w:rPr>
              <w:t>年决算数</w:t>
            </w:r>
          </w:p>
        </w:tc>
      </w:tr>
      <w:tr>
        <w:tblPrEx>
          <w:tblCellMar>
            <w:top w:w="0" w:type="dxa"/>
            <w:left w:w="108" w:type="dxa"/>
            <w:bottom w:w="0" w:type="dxa"/>
            <w:right w:w="108" w:type="dxa"/>
          </w:tblCellMar>
        </w:tblPrEx>
        <w:trPr>
          <w:trHeight w:val="322"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kern w:val="0"/>
                <w:szCs w:val="21"/>
              </w:rPr>
            </w:pPr>
            <w:r>
              <w:rPr>
                <w:rFonts w:ascii="Times New Roman" w:hAnsi="Times New Roman"/>
                <w:kern w:val="0"/>
                <w:sz w:val="21"/>
                <w:szCs w:val="21"/>
              </w:rPr>
              <w:t>三公经费</w:t>
            </w:r>
          </w:p>
        </w:tc>
        <w:tc>
          <w:tcPr>
            <w:tcW w:w="233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bCs/>
                <w:kern w:val="0"/>
                <w:sz w:val="21"/>
                <w:szCs w:val="21"/>
                <w:lang w:val="en-US" w:eastAsia="zh-CN" w:bidi="ar-SA"/>
              </w:rPr>
            </w:pPr>
            <w:r>
              <w:rPr>
                <w:rFonts w:hint="eastAsia"/>
                <w:b/>
                <w:bCs/>
                <w:kern w:val="0"/>
                <w:sz w:val="21"/>
                <w:szCs w:val="21"/>
                <w:lang w:val="en-US" w:eastAsia="zh-CN"/>
              </w:rPr>
              <w:t>86.25</w:t>
            </w:r>
          </w:p>
        </w:tc>
        <w:tc>
          <w:tcPr>
            <w:tcW w:w="22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bCs/>
                <w:kern w:val="0"/>
                <w:sz w:val="21"/>
                <w:szCs w:val="21"/>
                <w:lang w:val="en-US" w:eastAsia="zh-CN"/>
              </w:rPr>
            </w:pPr>
            <w:r>
              <w:rPr>
                <w:rFonts w:hint="eastAsia" w:ascii="Times New Roman" w:hAnsi="Times New Roman"/>
                <w:b/>
                <w:bCs/>
                <w:kern w:val="0"/>
                <w:sz w:val="21"/>
                <w:szCs w:val="21"/>
                <w:lang w:val="en-US" w:eastAsia="zh-CN"/>
              </w:rPr>
              <w:t>99.51</w:t>
            </w:r>
          </w:p>
        </w:tc>
        <w:tc>
          <w:tcPr>
            <w:tcW w:w="26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bCs/>
                <w:kern w:val="0"/>
                <w:sz w:val="21"/>
                <w:szCs w:val="21"/>
                <w:lang w:val="en-US" w:eastAsia="zh-CN"/>
              </w:rPr>
            </w:pPr>
            <w:r>
              <w:rPr>
                <w:rFonts w:hint="eastAsia" w:ascii="Times New Roman" w:hAnsi="Times New Roman"/>
                <w:b/>
                <w:bCs/>
                <w:kern w:val="0"/>
                <w:sz w:val="21"/>
                <w:szCs w:val="21"/>
                <w:lang w:val="en-US" w:eastAsia="zh-CN"/>
              </w:rPr>
              <w:t>46.82</w:t>
            </w:r>
          </w:p>
        </w:tc>
      </w:tr>
      <w:tr>
        <w:tblPrEx>
          <w:tblCellMar>
            <w:top w:w="0" w:type="dxa"/>
            <w:left w:w="108" w:type="dxa"/>
            <w:bottom w:w="0" w:type="dxa"/>
            <w:right w:w="108" w:type="dxa"/>
          </w:tblCellMar>
        </w:tblPrEx>
        <w:trPr>
          <w:trHeight w:val="322"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kern w:val="0"/>
                <w:sz w:val="21"/>
                <w:szCs w:val="21"/>
              </w:rPr>
            </w:pPr>
            <w:r>
              <w:rPr>
                <w:rFonts w:ascii="Times New Roman" w:hAnsi="Times New Roman"/>
                <w:kern w:val="0"/>
                <w:sz w:val="21"/>
                <w:szCs w:val="21"/>
              </w:rPr>
              <w:t xml:space="preserve">   1、公务用车购置和维护经费</w:t>
            </w:r>
          </w:p>
        </w:tc>
        <w:tc>
          <w:tcPr>
            <w:tcW w:w="233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67.44</w:t>
            </w:r>
          </w:p>
        </w:tc>
        <w:tc>
          <w:tcPr>
            <w:tcW w:w="22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bCs/>
                <w:kern w:val="0"/>
                <w:sz w:val="21"/>
                <w:szCs w:val="21"/>
                <w:lang w:val="en-US" w:eastAsia="zh-CN"/>
              </w:rPr>
            </w:pPr>
            <w:r>
              <w:rPr>
                <w:rFonts w:hint="eastAsia" w:ascii="Times New Roman" w:hAnsi="Times New Roman"/>
                <w:b/>
                <w:bCs/>
                <w:kern w:val="0"/>
                <w:sz w:val="21"/>
                <w:szCs w:val="21"/>
                <w:lang w:val="en-US" w:eastAsia="zh-CN"/>
              </w:rPr>
              <w:t>76</w:t>
            </w:r>
          </w:p>
        </w:tc>
        <w:tc>
          <w:tcPr>
            <w:tcW w:w="26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bCs/>
                <w:kern w:val="0"/>
                <w:sz w:val="21"/>
                <w:szCs w:val="21"/>
                <w:lang w:val="en-US" w:eastAsia="zh-CN"/>
              </w:rPr>
            </w:pPr>
            <w:r>
              <w:rPr>
                <w:rFonts w:hint="eastAsia" w:ascii="Times New Roman" w:hAnsi="Times New Roman"/>
                <w:b/>
                <w:bCs/>
                <w:kern w:val="0"/>
                <w:sz w:val="21"/>
                <w:szCs w:val="21"/>
                <w:lang w:val="en-US" w:eastAsia="zh-CN"/>
              </w:rPr>
              <w:t>35.99</w:t>
            </w:r>
          </w:p>
        </w:tc>
      </w:tr>
      <w:tr>
        <w:tblPrEx>
          <w:tblCellMar>
            <w:top w:w="0" w:type="dxa"/>
            <w:left w:w="108" w:type="dxa"/>
            <w:bottom w:w="0" w:type="dxa"/>
            <w:right w:w="108" w:type="dxa"/>
          </w:tblCellMar>
        </w:tblPrEx>
        <w:trPr>
          <w:trHeight w:val="322"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30" w:firstLineChars="300"/>
              <w:textAlignment w:val="auto"/>
              <w:rPr>
                <w:rFonts w:hint="eastAsia" w:ascii="Times New Roman" w:hAnsi="Times New Roman"/>
                <w:kern w:val="0"/>
                <w:sz w:val="21"/>
                <w:szCs w:val="21"/>
              </w:rPr>
            </w:pPr>
            <w:r>
              <w:rPr>
                <w:rFonts w:ascii="Times New Roman" w:hAnsi="Times New Roman"/>
                <w:kern w:val="0"/>
                <w:sz w:val="21"/>
                <w:szCs w:val="21"/>
              </w:rPr>
              <w:t xml:space="preserve"> 其中：公车购置</w:t>
            </w:r>
          </w:p>
        </w:tc>
        <w:tc>
          <w:tcPr>
            <w:tcW w:w="233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17.14</w:t>
            </w:r>
          </w:p>
        </w:tc>
        <w:tc>
          <w:tcPr>
            <w:tcW w:w="22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b/>
                <w:bCs/>
                <w:kern w:val="0"/>
                <w:sz w:val="21"/>
                <w:szCs w:val="21"/>
              </w:rPr>
            </w:pPr>
            <w:r>
              <w:rPr>
                <w:rFonts w:hint="eastAsia"/>
                <w:kern w:val="0"/>
                <w:sz w:val="21"/>
                <w:szCs w:val="21"/>
              </w:rPr>
              <w:t>/</w:t>
            </w:r>
          </w:p>
        </w:tc>
        <w:tc>
          <w:tcPr>
            <w:tcW w:w="26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b/>
                <w:bCs/>
                <w:kern w:val="0"/>
                <w:sz w:val="21"/>
                <w:szCs w:val="21"/>
              </w:rPr>
            </w:pPr>
            <w:r>
              <w:rPr>
                <w:rFonts w:hint="eastAsia"/>
                <w:kern w:val="0"/>
                <w:sz w:val="21"/>
                <w:szCs w:val="21"/>
              </w:rPr>
              <w:t>/</w:t>
            </w:r>
          </w:p>
        </w:tc>
      </w:tr>
      <w:tr>
        <w:tblPrEx>
          <w:tblCellMar>
            <w:top w:w="0" w:type="dxa"/>
            <w:left w:w="108" w:type="dxa"/>
            <w:bottom w:w="0" w:type="dxa"/>
            <w:right w:w="108" w:type="dxa"/>
          </w:tblCellMar>
        </w:tblPrEx>
        <w:trPr>
          <w:trHeight w:val="322"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kern w:val="0"/>
                <w:sz w:val="21"/>
                <w:szCs w:val="21"/>
              </w:rPr>
            </w:pPr>
            <w:r>
              <w:rPr>
                <w:rFonts w:ascii="Times New Roman" w:hAnsi="Times New Roman"/>
                <w:kern w:val="0"/>
                <w:sz w:val="21"/>
                <w:szCs w:val="21"/>
              </w:rPr>
              <w:t xml:space="preserve">         公车运行维护</w:t>
            </w:r>
          </w:p>
        </w:tc>
        <w:tc>
          <w:tcPr>
            <w:tcW w:w="233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50.3</w:t>
            </w:r>
          </w:p>
        </w:tc>
        <w:tc>
          <w:tcPr>
            <w:tcW w:w="22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bCs/>
                <w:kern w:val="0"/>
                <w:sz w:val="21"/>
                <w:szCs w:val="21"/>
                <w:lang w:val="en-US" w:eastAsia="zh-CN"/>
              </w:rPr>
            </w:pPr>
            <w:r>
              <w:rPr>
                <w:rFonts w:hint="eastAsia" w:ascii="Times New Roman" w:hAnsi="Times New Roman"/>
                <w:b/>
                <w:bCs/>
                <w:kern w:val="0"/>
                <w:sz w:val="21"/>
                <w:szCs w:val="21"/>
                <w:lang w:val="en-US" w:eastAsia="zh-CN"/>
              </w:rPr>
              <w:t>76</w:t>
            </w:r>
          </w:p>
        </w:tc>
        <w:tc>
          <w:tcPr>
            <w:tcW w:w="26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b/>
                <w:bCs/>
                <w:kern w:val="0"/>
                <w:sz w:val="21"/>
                <w:szCs w:val="21"/>
                <w:lang w:val="en-US" w:eastAsia="zh-CN"/>
              </w:rPr>
            </w:pPr>
            <w:r>
              <w:rPr>
                <w:rFonts w:hint="eastAsia" w:ascii="Times New Roman" w:hAnsi="Times New Roman"/>
                <w:b/>
                <w:bCs/>
                <w:kern w:val="0"/>
                <w:sz w:val="21"/>
                <w:szCs w:val="21"/>
                <w:lang w:val="en-US" w:eastAsia="zh-CN"/>
              </w:rPr>
              <w:t>35.99</w:t>
            </w:r>
          </w:p>
        </w:tc>
      </w:tr>
      <w:tr>
        <w:tblPrEx>
          <w:tblCellMar>
            <w:top w:w="0" w:type="dxa"/>
            <w:left w:w="108" w:type="dxa"/>
            <w:bottom w:w="0" w:type="dxa"/>
            <w:right w:w="108" w:type="dxa"/>
          </w:tblCellMar>
        </w:tblPrEx>
        <w:trPr>
          <w:trHeight w:val="322"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20" w:firstLineChars="200"/>
              <w:textAlignment w:val="auto"/>
              <w:rPr>
                <w:rFonts w:hint="eastAsia" w:ascii="Times New Roman" w:hAnsi="Times New Roman"/>
                <w:kern w:val="0"/>
                <w:sz w:val="21"/>
                <w:szCs w:val="21"/>
              </w:rPr>
            </w:pPr>
            <w:r>
              <w:rPr>
                <w:rFonts w:ascii="Times New Roman" w:hAnsi="Times New Roman"/>
                <w:kern w:val="0"/>
                <w:sz w:val="21"/>
                <w:szCs w:val="21"/>
              </w:rPr>
              <w:t>2、出国经费</w:t>
            </w:r>
          </w:p>
        </w:tc>
        <w:tc>
          <w:tcPr>
            <w:tcW w:w="233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kern w:val="0"/>
                <w:sz w:val="21"/>
                <w:szCs w:val="21"/>
                <w:lang w:val="en-US" w:eastAsia="zh-CN" w:bidi="ar-SA"/>
              </w:rPr>
            </w:pPr>
            <w:r>
              <w:rPr>
                <w:rFonts w:hint="eastAsia"/>
                <w:kern w:val="0"/>
                <w:sz w:val="21"/>
                <w:szCs w:val="21"/>
              </w:rPr>
              <w:t>/</w:t>
            </w:r>
            <w:r>
              <w:rPr>
                <w:kern w:val="0"/>
                <w:sz w:val="21"/>
                <w:szCs w:val="21"/>
              </w:rPr>
              <w:t>　</w:t>
            </w:r>
          </w:p>
        </w:tc>
        <w:tc>
          <w:tcPr>
            <w:tcW w:w="22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b/>
                <w:bCs/>
                <w:kern w:val="0"/>
                <w:sz w:val="21"/>
                <w:szCs w:val="21"/>
              </w:rPr>
            </w:pPr>
            <w:r>
              <w:rPr>
                <w:rFonts w:hint="eastAsia"/>
                <w:kern w:val="0"/>
                <w:sz w:val="21"/>
                <w:szCs w:val="21"/>
              </w:rPr>
              <w:t>/</w:t>
            </w:r>
          </w:p>
        </w:tc>
        <w:tc>
          <w:tcPr>
            <w:tcW w:w="26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b/>
                <w:bCs/>
                <w:kern w:val="0"/>
                <w:sz w:val="21"/>
                <w:szCs w:val="21"/>
              </w:rPr>
            </w:pPr>
            <w:r>
              <w:rPr>
                <w:rFonts w:hint="eastAsia"/>
                <w:kern w:val="0"/>
                <w:sz w:val="21"/>
                <w:szCs w:val="21"/>
              </w:rPr>
              <w:t>/</w:t>
            </w:r>
          </w:p>
        </w:tc>
      </w:tr>
      <w:tr>
        <w:tblPrEx>
          <w:tblCellMar>
            <w:top w:w="0" w:type="dxa"/>
            <w:left w:w="108" w:type="dxa"/>
            <w:bottom w:w="0" w:type="dxa"/>
            <w:right w:w="108" w:type="dxa"/>
          </w:tblCellMar>
        </w:tblPrEx>
        <w:trPr>
          <w:trHeight w:val="322"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20" w:firstLineChars="200"/>
              <w:textAlignment w:val="auto"/>
              <w:rPr>
                <w:rFonts w:hint="eastAsia" w:ascii="Times New Roman" w:hAnsi="Times New Roman"/>
                <w:kern w:val="0"/>
                <w:sz w:val="21"/>
                <w:szCs w:val="21"/>
              </w:rPr>
            </w:pPr>
            <w:r>
              <w:rPr>
                <w:rFonts w:ascii="Times New Roman" w:hAnsi="Times New Roman"/>
                <w:kern w:val="0"/>
                <w:sz w:val="21"/>
                <w:szCs w:val="21"/>
              </w:rPr>
              <w:t>3、公务接待</w:t>
            </w:r>
          </w:p>
        </w:tc>
        <w:tc>
          <w:tcPr>
            <w:tcW w:w="233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kern w:val="0"/>
                <w:sz w:val="21"/>
                <w:szCs w:val="21"/>
                <w:lang w:val="en-US" w:eastAsia="zh-CN" w:bidi="ar-SA"/>
              </w:rPr>
            </w:pPr>
            <w:r>
              <w:rPr>
                <w:rFonts w:hint="eastAsia"/>
                <w:kern w:val="0"/>
                <w:sz w:val="21"/>
                <w:szCs w:val="21"/>
                <w:lang w:val="en-US" w:eastAsia="zh-CN"/>
              </w:rPr>
              <w:t>18.81</w:t>
            </w:r>
            <w:r>
              <w:rPr>
                <w:kern w:val="0"/>
                <w:sz w:val="21"/>
                <w:szCs w:val="21"/>
              </w:rPr>
              <w:t>　</w:t>
            </w:r>
          </w:p>
        </w:tc>
        <w:tc>
          <w:tcPr>
            <w:tcW w:w="22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hint="eastAsia" w:ascii="Times New Roman" w:hAnsi="Times New Roman"/>
                <w:kern w:val="0"/>
                <w:sz w:val="21"/>
                <w:szCs w:val="21"/>
                <w:lang w:val="en-US" w:eastAsia="zh-CN"/>
              </w:rPr>
              <w:t>23.51</w:t>
            </w:r>
            <w:r>
              <w:rPr>
                <w:rFonts w:ascii="Times New Roman" w:hAnsi="Times New Roman"/>
                <w:kern w:val="0"/>
                <w:sz w:val="21"/>
                <w:szCs w:val="21"/>
              </w:rPr>
              <w:t>　</w:t>
            </w:r>
          </w:p>
        </w:tc>
        <w:tc>
          <w:tcPr>
            <w:tcW w:w="26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10.83</w:t>
            </w:r>
          </w:p>
        </w:tc>
      </w:tr>
      <w:tr>
        <w:tblPrEx>
          <w:tblCellMar>
            <w:top w:w="0" w:type="dxa"/>
            <w:left w:w="108" w:type="dxa"/>
            <w:bottom w:w="0" w:type="dxa"/>
            <w:right w:w="108" w:type="dxa"/>
          </w:tblCellMar>
        </w:tblPrEx>
        <w:trPr>
          <w:trHeight w:val="322"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kern w:val="0"/>
                <w:sz w:val="21"/>
                <w:szCs w:val="21"/>
              </w:rPr>
            </w:pPr>
            <w:r>
              <w:rPr>
                <w:rFonts w:ascii="Times New Roman" w:hAnsi="Times New Roman"/>
                <w:kern w:val="0"/>
                <w:sz w:val="21"/>
                <w:szCs w:val="21"/>
              </w:rPr>
              <w:t>项目支出：</w:t>
            </w:r>
          </w:p>
        </w:tc>
        <w:tc>
          <w:tcPr>
            <w:tcW w:w="233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bCs/>
                <w:kern w:val="0"/>
                <w:sz w:val="21"/>
                <w:szCs w:val="21"/>
                <w:lang w:val="en-US" w:eastAsia="zh-CN" w:bidi="ar-SA"/>
              </w:rPr>
            </w:pPr>
            <w:r>
              <w:rPr>
                <w:rFonts w:hint="eastAsia" w:cs="Times New Roman"/>
                <w:b/>
                <w:bCs/>
                <w:kern w:val="0"/>
                <w:sz w:val="21"/>
                <w:szCs w:val="21"/>
                <w:lang w:val="en-US" w:eastAsia="zh-CN" w:bidi="ar-SA"/>
              </w:rPr>
              <w:t>2679.56</w:t>
            </w:r>
          </w:p>
        </w:tc>
        <w:tc>
          <w:tcPr>
            <w:tcW w:w="22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hint="eastAsia" w:ascii="Times New Roman" w:hAnsi="Times New Roman"/>
                <w:kern w:val="0"/>
                <w:sz w:val="21"/>
                <w:szCs w:val="21"/>
                <w:lang w:val="en-US" w:eastAsia="zh-CN"/>
              </w:rPr>
              <w:t>579.62</w:t>
            </w:r>
            <w:r>
              <w:rPr>
                <w:rFonts w:ascii="Times New Roman" w:hAnsi="Times New Roman"/>
                <w:kern w:val="0"/>
                <w:sz w:val="21"/>
                <w:szCs w:val="21"/>
              </w:rPr>
              <w:t>　</w:t>
            </w:r>
          </w:p>
        </w:tc>
        <w:tc>
          <w:tcPr>
            <w:tcW w:w="26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kern w:val="0"/>
                <w:sz w:val="21"/>
                <w:szCs w:val="21"/>
                <w:lang w:val="en-US" w:eastAsia="zh-CN"/>
              </w:rPr>
            </w:pPr>
            <w:r>
              <w:rPr>
                <w:rFonts w:hint="eastAsia"/>
                <w:kern w:val="0"/>
                <w:sz w:val="21"/>
                <w:szCs w:val="21"/>
                <w:lang w:val="en-US" w:eastAsia="zh-CN"/>
              </w:rPr>
              <w:t>1996.94</w:t>
            </w:r>
          </w:p>
        </w:tc>
      </w:tr>
      <w:tr>
        <w:tblPrEx>
          <w:tblCellMar>
            <w:top w:w="0" w:type="dxa"/>
            <w:left w:w="108" w:type="dxa"/>
            <w:bottom w:w="0" w:type="dxa"/>
            <w:right w:w="108" w:type="dxa"/>
          </w:tblCellMar>
        </w:tblPrEx>
        <w:trPr>
          <w:trHeight w:val="322"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kern w:val="0"/>
                <w:sz w:val="21"/>
                <w:szCs w:val="21"/>
                <w:lang w:val="en-US" w:eastAsia="zh-CN" w:bidi="ar-SA"/>
              </w:rPr>
            </w:pPr>
            <w:r>
              <w:rPr>
                <w:kern w:val="0"/>
                <w:sz w:val="21"/>
                <w:szCs w:val="21"/>
              </w:rPr>
              <w:t>1、业务工作经费</w:t>
            </w:r>
          </w:p>
        </w:tc>
        <w:tc>
          <w:tcPr>
            <w:tcW w:w="233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146.86</w:t>
            </w:r>
          </w:p>
        </w:tc>
        <w:tc>
          <w:tcPr>
            <w:tcW w:w="22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hint="eastAsia" w:ascii="Times New Roman" w:hAnsi="Times New Roman"/>
                <w:kern w:val="0"/>
                <w:sz w:val="21"/>
                <w:szCs w:val="21"/>
                <w:lang w:val="en-US" w:eastAsia="zh-CN"/>
              </w:rPr>
              <w:t>62.87</w:t>
            </w:r>
            <w:r>
              <w:rPr>
                <w:rFonts w:ascii="Times New Roman" w:hAnsi="Times New Roman"/>
                <w:kern w:val="0"/>
                <w:sz w:val="21"/>
                <w:szCs w:val="21"/>
              </w:rPr>
              <w:t>　</w:t>
            </w:r>
          </w:p>
        </w:tc>
        <w:tc>
          <w:tcPr>
            <w:tcW w:w="26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kern w:val="0"/>
                <w:sz w:val="21"/>
                <w:szCs w:val="21"/>
                <w:lang w:val="en-US"/>
              </w:rPr>
            </w:pPr>
            <w:r>
              <w:rPr>
                <w:rFonts w:hint="eastAsia" w:ascii="Times New Roman" w:hAnsi="Times New Roman"/>
                <w:kern w:val="0"/>
                <w:sz w:val="21"/>
                <w:szCs w:val="21"/>
                <w:lang w:val="en-US" w:eastAsia="zh-CN"/>
              </w:rPr>
              <w:t>62.87</w:t>
            </w:r>
          </w:p>
        </w:tc>
      </w:tr>
      <w:tr>
        <w:tblPrEx>
          <w:tblCellMar>
            <w:top w:w="0" w:type="dxa"/>
            <w:left w:w="108" w:type="dxa"/>
            <w:bottom w:w="0" w:type="dxa"/>
            <w:right w:w="108" w:type="dxa"/>
          </w:tblCellMar>
        </w:tblPrEx>
        <w:trPr>
          <w:trHeight w:val="322"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kern w:val="0"/>
                <w:sz w:val="21"/>
                <w:szCs w:val="21"/>
                <w:lang w:val="en-US" w:eastAsia="zh-CN" w:bidi="ar-SA"/>
              </w:rPr>
            </w:pPr>
            <w:r>
              <w:rPr>
                <w:kern w:val="0"/>
                <w:sz w:val="21"/>
                <w:szCs w:val="21"/>
              </w:rPr>
              <w:t>2、运行维护经费</w:t>
            </w:r>
          </w:p>
        </w:tc>
        <w:tc>
          <w:tcPr>
            <w:tcW w:w="233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kern w:val="0"/>
                <w:sz w:val="21"/>
                <w:szCs w:val="21"/>
              </w:rPr>
              <w:t>/</w:t>
            </w:r>
          </w:p>
        </w:tc>
        <w:tc>
          <w:tcPr>
            <w:tcW w:w="22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hint="eastAsia"/>
                <w:kern w:val="0"/>
                <w:sz w:val="21"/>
                <w:szCs w:val="21"/>
              </w:rPr>
              <w:t>/</w:t>
            </w:r>
          </w:p>
        </w:tc>
        <w:tc>
          <w:tcPr>
            <w:tcW w:w="26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hint="eastAsia"/>
                <w:kern w:val="0"/>
                <w:sz w:val="21"/>
                <w:szCs w:val="21"/>
              </w:rPr>
              <w:t>/</w:t>
            </w:r>
          </w:p>
        </w:tc>
      </w:tr>
      <w:tr>
        <w:tblPrEx>
          <w:tblCellMar>
            <w:top w:w="0" w:type="dxa"/>
            <w:left w:w="108" w:type="dxa"/>
            <w:bottom w:w="0" w:type="dxa"/>
            <w:right w:w="108" w:type="dxa"/>
          </w:tblCellMar>
        </w:tblPrEx>
        <w:trPr>
          <w:trHeight w:val="322"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0"/>
                <w:sz w:val="21"/>
                <w:szCs w:val="21"/>
                <w:lang w:val="en-US" w:eastAsia="zh-CN" w:bidi="ar-SA"/>
              </w:rPr>
            </w:pPr>
            <w:r>
              <w:rPr>
                <w:kern w:val="0"/>
                <w:sz w:val="21"/>
                <w:szCs w:val="21"/>
              </w:rPr>
              <w:t>3、</w:t>
            </w:r>
            <w:r>
              <w:rPr>
                <w:rFonts w:hint="eastAsia"/>
                <w:kern w:val="0"/>
                <w:sz w:val="21"/>
                <w:szCs w:val="21"/>
                <w:lang w:val="en-US" w:eastAsia="zh-CN"/>
              </w:rPr>
              <w:t>本级专项资金</w:t>
            </w:r>
          </w:p>
        </w:tc>
        <w:tc>
          <w:tcPr>
            <w:tcW w:w="233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2532.7</w:t>
            </w:r>
          </w:p>
        </w:tc>
        <w:tc>
          <w:tcPr>
            <w:tcW w:w="22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kern w:val="0"/>
                <w:sz w:val="21"/>
                <w:szCs w:val="21"/>
                <w:lang w:val="en-US" w:eastAsia="zh-CN"/>
              </w:rPr>
            </w:pPr>
            <w:r>
              <w:rPr>
                <w:rFonts w:hint="eastAsia"/>
                <w:kern w:val="0"/>
                <w:sz w:val="21"/>
                <w:szCs w:val="21"/>
                <w:lang w:val="en-US" w:eastAsia="zh-CN"/>
              </w:rPr>
              <w:t>516.75</w:t>
            </w:r>
          </w:p>
        </w:tc>
        <w:tc>
          <w:tcPr>
            <w:tcW w:w="26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kern w:val="0"/>
                <w:sz w:val="21"/>
                <w:szCs w:val="21"/>
                <w:lang w:val="en-US" w:eastAsia="zh-CN"/>
              </w:rPr>
            </w:pPr>
            <w:r>
              <w:rPr>
                <w:rFonts w:hint="eastAsia"/>
                <w:kern w:val="0"/>
                <w:sz w:val="21"/>
                <w:szCs w:val="21"/>
                <w:lang w:val="en-US" w:eastAsia="zh-CN"/>
              </w:rPr>
              <w:t>1934.07</w:t>
            </w:r>
          </w:p>
        </w:tc>
      </w:tr>
      <w:tr>
        <w:tblPrEx>
          <w:tblCellMar>
            <w:top w:w="0" w:type="dxa"/>
            <w:left w:w="108" w:type="dxa"/>
            <w:bottom w:w="0" w:type="dxa"/>
            <w:right w:w="108" w:type="dxa"/>
          </w:tblCellMar>
        </w:tblPrEx>
        <w:trPr>
          <w:trHeight w:val="442"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20" w:firstLineChars="200"/>
              <w:jc w:val="left"/>
              <w:textAlignment w:val="auto"/>
              <w:rPr>
                <w:rFonts w:ascii="Times New Roman" w:hAnsi="Times New Roman" w:eastAsia="仿宋_GB2312" w:cs="Times New Roman"/>
                <w:kern w:val="0"/>
                <w:sz w:val="21"/>
                <w:szCs w:val="21"/>
                <w:lang w:val="en-US" w:eastAsia="zh-CN" w:bidi="ar-SA"/>
              </w:rPr>
            </w:pPr>
            <w:r>
              <w:rPr>
                <w:rFonts w:hint="eastAsia"/>
                <w:kern w:val="0"/>
                <w:sz w:val="21"/>
                <w:szCs w:val="21"/>
              </w:rPr>
              <w:t>市场监督专项</w:t>
            </w:r>
          </w:p>
        </w:tc>
        <w:tc>
          <w:tcPr>
            <w:tcW w:w="233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492.96</w:t>
            </w:r>
          </w:p>
        </w:tc>
        <w:tc>
          <w:tcPr>
            <w:tcW w:w="22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kern w:val="0"/>
                <w:sz w:val="21"/>
                <w:szCs w:val="21"/>
                <w:lang w:val="en-US"/>
              </w:rPr>
            </w:pPr>
            <w:r>
              <w:rPr>
                <w:rFonts w:hint="eastAsia" w:ascii="Times New Roman" w:hAnsi="Times New Roman"/>
                <w:kern w:val="0"/>
                <w:sz w:val="21"/>
                <w:szCs w:val="21"/>
                <w:lang w:val="en-US" w:eastAsia="zh-CN"/>
              </w:rPr>
              <w:t>66.75</w:t>
            </w:r>
          </w:p>
        </w:tc>
        <w:tc>
          <w:tcPr>
            <w:tcW w:w="26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338.72</w:t>
            </w:r>
          </w:p>
        </w:tc>
      </w:tr>
      <w:tr>
        <w:tblPrEx>
          <w:tblCellMar>
            <w:top w:w="0" w:type="dxa"/>
            <w:left w:w="108" w:type="dxa"/>
            <w:bottom w:w="0" w:type="dxa"/>
            <w:right w:w="108" w:type="dxa"/>
          </w:tblCellMar>
        </w:tblPrEx>
        <w:trPr>
          <w:trHeight w:val="457"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20" w:firstLineChars="200"/>
              <w:jc w:val="left"/>
              <w:textAlignment w:val="auto"/>
              <w:rPr>
                <w:rFonts w:ascii="Times New Roman" w:hAnsi="Times New Roman" w:eastAsia="仿宋_GB2312" w:cs="Times New Roman"/>
                <w:kern w:val="0"/>
                <w:sz w:val="21"/>
                <w:szCs w:val="21"/>
                <w:lang w:val="en-US" w:eastAsia="zh-CN" w:bidi="ar-SA"/>
              </w:rPr>
            </w:pPr>
            <w:r>
              <w:rPr>
                <w:rFonts w:hint="eastAsia"/>
                <w:kern w:val="0"/>
                <w:sz w:val="21"/>
                <w:szCs w:val="21"/>
              </w:rPr>
              <w:t>药械化监管专项</w:t>
            </w:r>
          </w:p>
        </w:tc>
        <w:tc>
          <w:tcPr>
            <w:tcW w:w="233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430.87</w:t>
            </w:r>
          </w:p>
        </w:tc>
        <w:tc>
          <w:tcPr>
            <w:tcW w:w="22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24</w:t>
            </w:r>
          </w:p>
        </w:tc>
        <w:tc>
          <w:tcPr>
            <w:tcW w:w="26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264.35</w:t>
            </w:r>
          </w:p>
        </w:tc>
      </w:tr>
      <w:tr>
        <w:tblPrEx>
          <w:tblCellMar>
            <w:top w:w="0" w:type="dxa"/>
            <w:left w:w="108" w:type="dxa"/>
            <w:bottom w:w="0" w:type="dxa"/>
            <w:right w:w="108" w:type="dxa"/>
          </w:tblCellMar>
        </w:tblPrEx>
        <w:trPr>
          <w:trHeight w:val="322"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20" w:firstLineChars="200"/>
              <w:jc w:val="left"/>
              <w:textAlignment w:val="auto"/>
              <w:rPr>
                <w:rFonts w:hint="eastAsia" w:ascii="Times New Roman" w:hAnsi="Times New Roman" w:eastAsia="仿宋_GB2312" w:cs="Times New Roman"/>
                <w:kern w:val="0"/>
                <w:sz w:val="21"/>
                <w:szCs w:val="21"/>
                <w:lang w:val="en-US" w:eastAsia="zh-CN" w:bidi="ar-SA"/>
              </w:rPr>
            </w:pPr>
            <w:r>
              <w:rPr>
                <w:rFonts w:hint="eastAsia"/>
                <w:kern w:val="0"/>
                <w:sz w:val="21"/>
                <w:szCs w:val="21"/>
              </w:rPr>
              <w:t>质量监督专项</w:t>
            </w:r>
          </w:p>
        </w:tc>
        <w:tc>
          <w:tcPr>
            <w:tcW w:w="233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493.1</w:t>
            </w:r>
          </w:p>
        </w:tc>
        <w:tc>
          <w:tcPr>
            <w:tcW w:w="22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49</w:t>
            </w:r>
          </w:p>
        </w:tc>
        <w:tc>
          <w:tcPr>
            <w:tcW w:w="26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kern w:val="0"/>
                <w:sz w:val="21"/>
                <w:szCs w:val="21"/>
                <w:lang w:val="en-US" w:eastAsia="zh-CN"/>
              </w:rPr>
            </w:pPr>
            <w:r>
              <w:rPr>
                <w:rFonts w:hint="eastAsia"/>
                <w:kern w:val="0"/>
                <w:sz w:val="21"/>
                <w:szCs w:val="21"/>
                <w:lang w:val="en-US" w:eastAsia="zh-CN"/>
              </w:rPr>
              <w:t>80</w:t>
            </w:r>
            <w:r>
              <w:rPr>
                <w:rFonts w:hint="eastAsia" w:ascii="Times New Roman" w:hAnsi="Times New Roman"/>
                <w:kern w:val="0"/>
                <w:sz w:val="21"/>
                <w:szCs w:val="21"/>
                <w:lang w:val="en-US" w:eastAsia="zh-CN"/>
              </w:rPr>
              <w:t>.57</w:t>
            </w:r>
          </w:p>
        </w:tc>
      </w:tr>
      <w:tr>
        <w:tblPrEx>
          <w:tblCellMar>
            <w:top w:w="0" w:type="dxa"/>
            <w:left w:w="108" w:type="dxa"/>
            <w:bottom w:w="0" w:type="dxa"/>
            <w:right w:w="108" w:type="dxa"/>
          </w:tblCellMar>
        </w:tblPrEx>
        <w:trPr>
          <w:trHeight w:val="592"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20" w:firstLineChars="200"/>
              <w:jc w:val="left"/>
              <w:textAlignment w:val="auto"/>
              <w:rPr>
                <w:rFonts w:hint="eastAsia" w:ascii="Times New Roman" w:hAnsi="Times New Roman" w:eastAsia="仿宋_GB2312" w:cs="Times New Roman"/>
                <w:kern w:val="0"/>
                <w:sz w:val="21"/>
                <w:szCs w:val="21"/>
                <w:lang w:val="en-US" w:eastAsia="zh-CN" w:bidi="ar-SA"/>
              </w:rPr>
            </w:pPr>
            <w:r>
              <w:rPr>
                <w:kern w:val="0"/>
                <w:sz w:val="21"/>
                <w:szCs w:val="21"/>
              </w:rPr>
              <w:t>食品安全监管</w:t>
            </w:r>
          </w:p>
        </w:tc>
        <w:tc>
          <w:tcPr>
            <w:tcW w:w="233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345.81</w:t>
            </w:r>
          </w:p>
        </w:tc>
        <w:tc>
          <w:tcPr>
            <w:tcW w:w="22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hint="eastAsia" w:ascii="Times New Roman" w:hAnsi="Times New Roman"/>
                <w:kern w:val="0"/>
                <w:sz w:val="21"/>
                <w:szCs w:val="21"/>
                <w:lang w:val="en-US" w:eastAsia="zh-CN"/>
              </w:rPr>
              <w:t>24</w:t>
            </w:r>
            <w:r>
              <w:rPr>
                <w:rFonts w:ascii="Times New Roman" w:hAnsi="Times New Roman"/>
                <w:kern w:val="0"/>
                <w:sz w:val="21"/>
                <w:szCs w:val="21"/>
              </w:rPr>
              <w:t>　</w:t>
            </w:r>
          </w:p>
        </w:tc>
        <w:tc>
          <w:tcPr>
            <w:tcW w:w="26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kern w:val="0"/>
                <w:sz w:val="21"/>
                <w:szCs w:val="21"/>
                <w:lang w:val="en-US" w:eastAsia="zh-CN"/>
              </w:rPr>
            </w:pPr>
            <w:r>
              <w:rPr>
                <w:rFonts w:hint="eastAsia"/>
                <w:kern w:val="0"/>
                <w:sz w:val="21"/>
                <w:szCs w:val="21"/>
                <w:lang w:val="en-US" w:eastAsia="zh-CN"/>
              </w:rPr>
              <w:t>362.18</w:t>
            </w:r>
          </w:p>
        </w:tc>
      </w:tr>
      <w:tr>
        <w:tblPrEx>
          <w:tblCellMar>
            <w:top w:w="0" w:type="dxa"/>
            <w:left w:w="108" w:type="dxa"/>
            <w:bottom w:w="0" w:type="dxa"/>
            <w:right w:w="108" w:type="dxa"/>
          </w:tblCellMar>
        </w:tblPrEx>
        <w:trPr>
          <w:trHeight w:val="322"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20" w:firstLineChars="200"/>
              <w:jc w:val="left"/>
              <w:textAlignment w:val="auto"/>
              <w:rPr>
                <w:rFonts w:hint="eastAsia" w:ascii="Times New Roman" w:hAnsi="Times New Roman" w:eastAsia="仿宋_GB2312" w:cs="Times New Roman"/>
                <w:kern w:val="0"/>
                <w:sz w:val="21"/>
                <w:szCs w:val="21"/>
                <w:lang w:val="en-US" w:eastAsia="zh-CN" w:bidi="ar-SA"/>
              </w:rPr>
            </w:pPr>
            <w:r>
              <w:rPr>
                <w:kern w:val="0"/>
                <w:sz w:val="21"/>
                <w:szCs w:val="21"/>
              </w:rPr>
              <w:t>知识产权战略</w:t>
            </w:r>
          </w:p>
        </w:tc>
        <w:tc>
          <w:tcPr>
            <w:tcW w:w="233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237.08</w:t>
            </w:r>
          </w:p>
        </w:tc>
        <w:tc>
          <w:tcPr>
            <w:tcW w:w="22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hint="eastAsia" w:ascii="Times New Roman" w:hAnsi="Times New Roman"/>
                <w:kern w:val="0"/>
                <w:sz w:val="21"/>
                <w:szCs w:val="21"/>
                <w:lang w:val="en-US" w:eastAsia="zh-CN"/>
              </w:rPr>
              <w:t>12.5</w:t>
            </w:r>
            <w:r>
              <w:rPr>
                <w:rFonts w:ascii="Times New Roman" w:hAnsi="Times New Roman"/>
                <w:kern w:val="0"/>
                <w:sz w:val="21"/>
                <w:szCs w:val="21"/>
              </w:rPr>
              <w:t>　</w:t>
            </w:r>
          </w:p>
        </w:tc>
        <w:tc>
          <w:tcPr>
            <w:tcW w:w="26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182.5</w:t>
            </w:r>
          </w:p>
        </w:tc>
      </w:tr>
      <w:tr>
        <w:tblPrEx>
          <w:tblCellMar>
            <w:top w:w="0" w:type="dxa"/>
            <w:left w:w="108" w:type="dxa"/>
            <w:bottom w:w="0" w:type="dxa"/>
            <w:right w:w="108" w:type="dxa"/>
          </w:tblCellMar>
        </w:tblPrEx>
        <w:trPr>
          <w:trHeight w:val="322"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20" w:firstLineChars="200"/>
              <w:jc w:val="left"/>
              <w:textAlignment w:val="auto"/>
              <w:rPr>
                <w:rFonts w:hint="default" w:eastAsia="仿宋_GB2312"/>
                <w:kern w:val="0"/>
                <w:sz w:val="21"/>
                <w:szCs w:val="21"/>
                <w:lang w:val="en-US" w:eastAsia="zh-CN"/>
              </w:rPr>
            </w:pPr>
            <w:r>
              <w:rPr>
                <w:rFonts w:hint="eastAsia"/>
                <w:kern w:val="0"/>
                <w:sz w:val="21"/>
                <w:szCs w:val="21"/>
                <w:lang w:val="en-US" w:eastAsia="zh-CN"/>
              </w:rPr>
              <w:t>电容器中心筹建经费</w:t>
            </w:r>
          </w:p>
        </w:tc>
        <w:tc>
          <w:tcPr>
            <w:tcW w:w="233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kern w:val="0"/>
                <w:sz w:val="21"/>
                <w:szCs w:val="21"/>
                <w:lang w:val="en-US" w:eastAsia="zh-CN"/>
              </w:rPr>
            </w:pPr>
          </w:p>
        </w:tc>
        <w:tc>
          <w:tcPr>
            <w:tcW w:w="22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kern w:val="0"/>
                <w:sz w:val="21"/>
                <w:szCs w:val="21"/>
                <w:lang w:val="en-US" w:eastAsia="zh-CN"/>
              </w:rPr>
            </w:pPr>
          </w:p>
        </w:tc>
        <w:tc>
          <w:tcPr>
            <w:tcW w:w="26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353.27</w:t>
            </w:r>
          </w:p>
        </w:tc>
      </w:tr>
      <w:tr>
        <w:tblPrEx>
          <w:tblCellMar>
            <w:top w:w="0" w:type="dxa"/>
            <w:left w:w="108" w:type="dxa"/>
            <w:bottom w:w="0" w:type="dxa"/>
            <w:right w:w="108" w:type="dxa"/>
          </w:tblCellMar>
        </w:tblPrEx>
        <w:trPr>
          <w:trHeight w:val="592"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20" w:firstLineChars="200"/>
              <w:jc w:val="left"/>
              <w:textAlignment w:val="auto"/>
              <w:rPr>
                <w:rFonts w:hint="eastAsia" w:ascii="Times New Roman" w:hAnsi="Times New Roman" w:eastAsia="仿宋_GB2312" w:cs="Times New Roman"/>
                <w:kern w:val="0"/>
                <w:sz w:val="21"/>
                <w:szCs w:val="21"/>
                <w:lang w:val="en-US" w:eastAsia="zh-CN" w:bidi="ar-SA"/>
              </w:rPr>
            </w:pPr>
            <w:r>
              <w:rPr>
                <w:rFonts w:hint="eastAsia"/>
                <w:kern w:val="0"/>
                <w:sz w:val="21"/>
                <w:szCs w:val="21"/>
              </w:rPr>
              <w:t>其他项目</w:t>
            </w:r>
          </w:p>
        </w:tc>
        <w:tc>
          <w:tcPr>
            <w:tcW w:w="233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kern w:val="0"/>
                <w:sz w:val="21"/>
                <w:szCs w:val="21"/>
                <w:lang w:val="en-US" w:eastAsia="zh-CN" w:bidi="ar-SA"/>
              </w:rPr>
            </w:pPr>
            <w:r>
              <w:rPr>
                <w:rFonts w:hint="eastAsia"/>
                <w:kern w:val="0"/>
                <w:sz w:val="21"/>
                <w:szCs w:val="21"/>
                <w:lang w:val="en-US" w:eastAsia="zh-CN"/>
              </w:rPr>
              <w:t>532.88</w:t>
            </w:r>
          </w:p>
        </w:tc>
        <w:tc>
          <w:tcPr>
            <w:tcW w:w="22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kern w:val="0"/>
                <w:sz w:val="21"/>
                <w:szCs w:val="21"/>
                <w:lang w:val="en-US"/>
              </w:rPr>
            </w:pPr>
            <w:r>
              <w:rPr>
                <w:rFonts w:hint="eastAsia" w:ascii="Times New Roman" w:hAnsi="Times New Roman"/>
                <w:kern w:val="0"/>
                <w:sz w:val="21"/>
                <w:szCs w:val="21"/>
                <w:lang w:val="en-US" w:eastAsia="zh-CN"/>
              </w:rPr>
              <w:t>340.5</w:t>
            </w:r>
          </w:p>
        </w:tc>
        <w:tc>
          <w:tcPr>
            <w:tcW w:w="26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kern w:val="0"/>
                <w:sz w:val="21"/>
                <w:szCs w:val="21"/>
                <w:lang w:val="en-US" w:eastAsia="zh-CN"/>
              </w:rPr>
            </w:pPr>
            <w:r>
              <w:rPr>
                <w:rFonts w:hint="eastAsia"/>
                <w:kern w:val="0"/>
                <w:sz w:val="21"/>
                <w:szCs w:val="21"/>
                <w:lang w:val="en-US" w:eastAsia="zh-CN"/>
              </w:rPr>
              <w:t>352.48</w:t>
            </w:r>
          </w:p>
        </w:tc>
      </w:tr>
      <w:tr>
        <w:tblPrEx>
          <w:tblCellMar>
            <w:top w:w="0" w:type="dxa"/>
            <w:left w:w="108" w:type="dxa"/>
            <w:bottom w:w="0" w:type="dxa"/>
            <w:right w:w="108" w:type="dxa"/>
          </w:tblCellMar>
        </w:tblPrEx>
        <w:trPr>
          <w:trHeight w:val="322"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kern w:val="0"/>
                <w:sz w:val="21"/>
                <w:szCs w:val="21"/>
              </w:rPr>
            </w:pPr>
            <w:r>
              <w:rPr>
                <w:rFonts w:ascii="Times New Roman" w:hAnsi="Times New Roman"/>
                <w:kern w:val="0"/>
                <w:sz w:val="21"/>
                <w:szCs w:val="21"/>
              </w:rPr>
              <w:t>公用经费</w:t>
            </w:r>
          </w:p>
        </w:tc>
        <w:tc>
          <w:tcPr>
            <w:tcW w:w="233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b/>
                <w:bCs/>
                <w:kern w:val="0"/>
                <w:sz w:val="21"/>
                <w:szCs w:val="21"/>
                <w:lang w:val="en-US" w:eastAsia="zh-CN" w:bidi="ar-SA"/>
              </w:rPr>
            </w:pPr>
            <w:r>
              <w:rPr>
                <w:rFonts w:hint="eastAsia"/>
                <w:b/>
                <w:bCs/>
                <w:kern w:val="0"/>
                <w:sz w:val="21"/>
                <w:szCs w:val="21"/>
                <w:lang w:val="en-US" w:eastAsia="zh-CN"/>
              </w:rPr>
              <w:t>1247.98</w:t>
            </w:r>
          </w:p>
        </w:tc>
        <w:tc>
          <w:tcPr>
            <w:tcW w:w="22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hint="eastAsia" w:ascii="Times New Roman" w:hAnsi="Times New Roman"/>
                <w:kern w:val="0"/>
                <w:sz w:val="21"/>
                <w:szCs w:val="21"/>
                <w:lang w:val="en-US" w:eastAsia="zh-CN"/>
              </w:rPr>
              <w:t>1113.35</w:t>
            </w:r>
            <w:r>
              <w:rPr>
                <w:rFonts w:ascii="Times New Roman" w:hAnsi="Times New Roman"/>
                <w:kern w:val="0"/>
                <w:sz w:val="21"/>
                <w:szCs w:val="21"/>
              </w:rPr>
              <w:t>　</w:t>
            </w:r>
          </w:p>
        </w:tc>
        <w:tc>
          <w:tcPr>
            <w:tcW w:w="26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hint="eastAsia" w:ascii="Times New Roman" w:hAnsi="Times New Roman"/>
                <w:kern w:val="0"/>
                <w:sz w:val="21"/>
                <w:szCs w:val="21"/>
                <w:lang w:val="en-US" w:eastAsia="zh-CN"/>
              </w:rPr>
              <w:t>1148.34</w:t>
            </w:r>
            <w:r>
              <w:rPr>
                <w:rFonts w:ascii="Times New Roman" w:hAnsi="Times New Roman"/>
                <w:kern w:val="0"/>
                <w:sz w:val="21"/>
                <w:szCs w:val="21"/>
              </w:rPr>
              <w:t>　</w:t>
            </w:r>
          </w:p>
        </w:tc>
      </w:tr>
      <w:tr>
        <w:tblPrEx>
          <w:tblCellMar>
            <w:top w:w="0" w:type="dxa"/>
            <w:left w:w="108" w:type="dxa"/>
            <w:bottom w:w="0" w:type="dxa"/>
            <w:right w:w="108" w:type="dxa"/>
          </w:tblCellMar>
        </w:tblPrEx>
        <w:trPr>
          <w:trHeight w:val="322"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20" w:firstLineChars="200"/>
              <w:textAlignment w:val="auto"/>
              <w:rPr>
                <w:rFonts w:ascii="Times New Roman" w:hAnsi="Times New Roman"/>
                <w:kern w:val="0"/>
                <w:sz w:val="21"/>
                <w:szCs w:val="21"/>
              </w:rPr>
            </w:pPr>
            <w:r>
              <w:rPr>
                <w:rFonts w:ascii="Times New Roman" w:hAnsi="Times New Roman"/>
                <w:kern w:val="0"/>
                <w:sz w:val="21"/>
                <w:szCs w:val="21"/>
              </w:rPr>
              <w:t>其中：办公</w:t>
            </w:r>
            <w:r>
              <w:rPr>
                <w:rFonts w:hint="eastAsia" w:ascii="Times New Roman" w:hAnsi="Times New Roman"/>
                <w:kern w:val="0"/>
                <w:sz w:val="21"/>
                <w:szCs w:val="21"/>
                <w:lang w:val="en-US" w:eastAsia="zh-CN"/>
              </w:rPr>
              <w:t>经</w:t>
            </w:r>
            <w:r>
              <w:rPr>
                <w:rFonts w:ascii="Times New Roman" w:hAnsi="Times New Roman"/>
                <w:kern w:val="0"/>
                <w:sz w:val="21"/>
                <w:szCs w:val="21"/>
              </w:rPr>
              <w:t>费</w:t>
            </w:r>
          </w:p>
        </w:tc>
        <w:tc>
          <w:tcPr>
            <w:tcW w:w="233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kern w:val="0"/>
                <w:sz w:val="21"/>
                <w:szCs w:val="21"/>
                <w:lang w:val="en-US" w:eastAsia="zh-CN" w:bidi="ar-SA"/>
              </w:rPr>
            </w:pPr>
            <w:r>
              <w:rPr>
                <w:rFonts w:hint="eastAsia"/>
                <w:kern w:val="0"/>
                <w:sz w:val="21"/>
                <w:szCs w:val="21"/>
                <w:lang w:val="en-US" w:eastAsia="zh-CN"/>
              </w:rPr>
              <w:t>703.24</w:t>
            </w:r>
          </w:p>
        </w:tc>
        <w:tc>
          <w:tcPr>
            <w:tcW w:w="22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488.87</w:t>
            </w:r>
          </w:p>
        </w:tc>
        <w:tc>
          <w:tcPr>
            <w:tcW w:w="26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764.35</w:t>
            </w:r>
          </w:p>
        </w:tc>
      </w:tr>
      <w:tr>
        <w:tblPrEx>
          <w:tblCellMar>
            <w:top w:w="0" w:type="dxa"/>
            <w:left w:w="108" w:type="dxa"/>
            <w:bottom w:w="0" w:type="dxa"/>
            <w:right w:w="108" w:type="dxa"/>
          </w:tblCellMar>
        </w:tblPrEx>
        <w:trPr>
          <w:trHeight w:val="322"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ascii="Times New Roman" w:hAnsi="Times New Roman"/>
                <w:kern w:val="0"/>
                <w:sz w:val="21"/>
                <w:szCs w:val="21"/>
              </w:rPr>
              <w:t xml:space="preserve">        水费、电费、差旅费</w:t>
            </w:r>
          </w:p>
        </w:tc>
        <w:tc>
          <w:tcPr>
            <w:tcW w:w="233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147.38</w:t>
            </w:r>
          </w:p>
        </w:tc>
        <w:tc>
          <w:tcPr>
            <w:tcW w:w="22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hint="eastAsia" w:ascii="Times New Roman" w:hAnsi="Times New Roman"/>
                <w:kern w:val="0"/>
                <w:sz w:val="21"/>
                <w:szCs w:val="21"/>
                <w:lang w:val="en-US" w:eastAsia="zh-CN"/>
              </w:rPr>
              <w:t>117</w:t>
            </w:r>
            <w:r>
              <w:rPr>
                <w:rFonts w:ascii="Times New Roman" w:hAnsi="Times New Roman"/>
                <w:kern w:val="0"/>
                <w:sz w:val="21"/>
                <w:szCs w:val="21"/>
              </w:rPr>
              <w:t>　</w:t>
            </w:r>
          </w:p>
        </w:tc>
        <w:tc>
          <w:tcPr>
            <w:tcW w:w="26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hint="eastAsia" w:ascii="Times New Roman" w:hAnsi="Times New Roman"/>
                <w:kern w:val="0"/>
                <w:sz w:val="21"/>
                <w:szCs w:val="21"/>
                <w:lang w:val="en-US" w:eastAsia="zh-CN"/>
              </w:rPr>
              <w:t>110.29</w:t>
            </w:r>
            <w:r>
              <w:rPr>
                <w:rFonts w:ascii="Times New Roman" w:hAnsi="Times New Roman"/>
                <w:kern w:val="0"/>
                <w:sz w:val="21"/>
                <w:szCs w:val="21"/>
              </w:rPr>
              <w:t>　</w:t>
            </w:r>
          </w:p>
        </w:tc>
      </w:tr>
      <w:tr>
        <w:tblPrEx>
          <w:tblCellMar>
            <w:top w:w="0" w:type="dxa"/>
            <w:left w:w="108" w:type="dxa"/>
            <w:bottom w:w="0" w:type="dxa"/>
            <w:right w:w="108" w:type="dxa"/>
          </w:tblCellMar>
        </w:tblPrEx>
        <w:trPr>
          <w:trHeight w:val="322"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ascii="Times New Roman" w:hAnsi="Times New Roman"/>
                <w:kern w:val="0"/>
                <w:sz w:val="21"/>
                <w:szCs w:val="21"/>
              </w:rPr>
              <w:t xml:space="preserve">    会议费、培训费</w:t>
            </w:r>
          </w:p>
        </w:tc>
        <w:tc>
          <w:tcPr>
            <w:tcW w:w="233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24.52</w:t>
            </w:r>
          </w:p>
        </w:tc>
        <w:tc>
          <w:tcPr>
            <w:tcW w:w="22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8</w:t>
            </w:r>
          </w:p>
        </w:tc>
        <w:tc>
          <w:tcPr>
            <w:tcW w:w="26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9.97</w:t>
            </w:r>
          </w:p>
        </w:tc>
      </w:tr>
      <w:tr>
        <w:tblPrEx>
          <w:tblCellMar>
            <w:top w:w="0" w:type="dxa"/>
            <w:left w:w="108" w:type="dxa"/>
            <w:bottom w:w="0" w:type="dxa"/>
            <w:right w:w="108" w:type="dxa"/>
          </w:tblCellMar>
        </w:tblPrEx>
        <w:trPr>
          <w:trHeight w:val="322"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kern w:val="0"/>
                <w:sz w:val="21"/>
                <w:szCs w:val="21"/>
              </w:rPr>
            </w:pPr>
            <w:r>
              <w:rPr>
                <w:rFonts w:ascii="Times New Roman" w:hAnsi="Times New Roman"/>
                <w:kern w:val="0"/>
                <w:sz w:val="21"/>
                <w:szCs w:val="21"/>
              </w:rPr>
              <w:t>政府采购金额</w:t>
            </w:r>
          </w:p>
        </w:tc>
        <w:tc>
          <w:tcPr>
            <w:tcW w:w="233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kern w:val="0"/>
                <w:sz w:val="21"/>
                <w:szCs w:val="21"/>
                <w:lang w:val="en-US" w:eastAsia="zh-CN" w:bidi="ar-SA"/>
              </w:rPr>
            </w:pPr>
            <w:r>
              <w:rPr>
                <w:rFonts w:hint="eastAsia"/>
                <w:kern w:val="0"/>
                <w:sz w:val="21"/>
                <w:szCs w:val="21"/>
                <w:lang w:val="en-US" w:eastAsia="zh-CN"/>
              </w:rPr>
              <w:t>458.84</w:t>
            </w:r>
          </w:p>
        </w:tc>
        <w:tc>
          <w:tcPr>
            <w:tcW w:w="22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800</w:t>
            </w:r>
          </w:p>
        </w:tc>
        <w:tc>
          <w:tcPr>
            <w:tcW w:w="26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hint="eastAsia" w:ascii="Times New Roman" w:hAnsi="Times New Roman"/>
                <w:kern w:val="0"/>
                <w:sz w:val="21"/>
                <w:szCs w:val="21"/>
                <w:lang w:val="en-US" w:eastAsia="zh-CN"/>
              </w:rPr>
              <w:t>767.96</w:t>
            </w:r>
            <w:r>
              <w:rPr>
                <w:rFonts w:ascii="Times New Roman" w:hAnsi="Times New Roman"/>
                <w:kern w:val="0"/>
                <w:sz w:val="21"/>
                <w:szCs w:val="21"/>
              </w:rPr>
              <w:t>　</w:t>
            </w:r>
          </w:p>
        </w:tc>
      </w:tr>
      <w:tr>
        <w:tblPrEx>
          <w:tblCellMar>
            <w:top w:w="0" w:type="dxa"/>
            <w:left w:w="108" w:type="dxa"/>
            <w:bottom w:w="0" w:type="dxa"/>
            <w:right w:w="108" w:type="dxa"/>
          </w:tblCellMar>
        </w:tblPrEx>
        <w:trPr>
          <w:trHeight w:val="322"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kern w:val="0"/>
                <w:sz w:val="21"/>
                <w:szCs w:val="21"/>
              </w:rPr>
            </w:pPr>
            <w:r>
              <w:rPr>
                <w:rFonts w:ascii="Times New Roman" w:hAnsi="Times New Roman"/>
                <w:kern w:val="0"/>
                <w:sz w:val="21"/>
                <w:szCs w:val="21"/>
              </w:rPr>
              <w:t xml:space="preserve">部门基本支出预算调整 </w:t>
            </w:r>
          </w:p>
        </w:tc>
        <w:tc>
          <w:tcPr>
            <w:tcW w:w="233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ascii="Times New Roman" w:hAnsi="Times New Roman"/>
                <w:kern w:val="0"/>
                <w:sz w:val="21"/>
                <w:szCs w:val="21"/>
              </w:rPr>
              <w:t>——</w:t>
            </w:r>
          </w:p>
        </w:tc>
        <w:tc>
          <w:tcPr>
            <w:tcW w:w="22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olor w:val="FF0000"/>
                <w:kern w:val="0"/>
                <w:sz w:val="21"/>
                <w:szCs w:val="21"/>
              </w:rPr>
            </w:pPr>
            <w:r>
              <w:rPr>
                <w:rFonts w:ascii="Times New Roman" w:hAnsi="Times New Roman"/>
                <w:color w:val="FF0000"/>
                <w:kern w:val="0"/>
                <w:sz w:val="21"/>
                <w:szCs w:val="21"/>
              </w:rPr>
              <w:t>　</w:t>
            </w:r>
          </w:p>
        </w:tc>
        <w:tc>
          <w:tcPr>
            <w:tcW w:w="260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olor w:val="FF0000"/>
                <w:kern w:val="0"/>
                <w:sz w:val="21"/>
                <w:szCs w:val="21"/>
              </w:rPr>
            </w:pPr>
            <w:r>
              <w:rPr>
                <w:rFonts w:ascii="Times New Roman" w:hAnsi="Times New Roman"/>
                <w:color w:val="FF0000"/>
                <w:kern w:val="0"/>
                <w:sz w:val="21"/>
                <w:szCs w:val="21"/>
              </w:rPr>
              <w:t>　</w:t>
            </w:r>
          </w:p>
        </w:tc>
      </w:tr>
      <w:tr>
        <w:tblPrEx>
          <w:tblCellMar>
            <w:top w:w="0" w:type="dxa"/>
            <w:left w:w="108" w:type="dxa"/>
            <w:bottom w:w="0" w:type="dxa"/>
            <w:right w:w="108" w:type="dxa"/>
          </w:tblCellMar>
        </w:tblPrEx>
        <w:trPr>
          <w:trHeight w:val="863" w:hRule="atLeast"/>
          <w:jc w:val="center"/>
        </w:trPr>
        <w:tc>
          <w:tcPr>
            <w:tcW w:w="3229"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ascii="Times New Roman" w:hAnsi="Times New Roman"/>
                <w:kern w:val="0"/>
                <w:sz w:val="21"/>
                <w:szCs w:val="21"/>
              </w:rPr>
              <w:t>楼堂馆所控制情况</w:t>
            </w:r>
            <w:r>
              <w:rPr>
                <w:rFonts w:ascii="Times New Roman" w:hAnsi="Times New Roman"/>
                <w:kern w:val="0"/>
                <w:sz w:val="21"/>
                <w:szCs w:val="21"/>
              </w:rPr>
              <w:br w:type="textWrapping"/>
            </w:r>
            <w:r>
              <w:rPr>
                <w:rFonts w:ascii="Times New Roman" w:hAnsi="Times New Roman"/>
                <w:kern w:val="0"/>
                <w:sz w:val="21"/>
                <w:szCs w:val="21"/>
              </w:rPr>
              <w:t>（202</w:t>
            </w:r>
            <w:r>
              <w:rPr>
                <w:rFonts w:hint="eastAsia" w:ascii="Times New Roman" w:hAnsi="Times New Roman"/>
                <w:kern w:val="0"/>
                <w:sz w:val="21"/>
                <w:szCs w:val="21"/>
              </w:rPr>
              <w:t>3</w:t>
            </w:r>
            <w:r>
              <w:rPr>
                <w:rFonts w:ascii="Times New Roman" w:hAnsi="Times New Roman"/>
                <w:kern w:val="0"/>
                <w:sz w:val="21"/>
                <w:szCs w:val="21"/>
              </w:rPr>
              <w:t>年完工项目）</w:t>
            </w:r>
          </w:p>
        </w:tc>
        <w:tc>
          <w:tcPr>
            <w:tcW w:w="12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ascii="Times New Roman" w:hAnsi="Times New Roman"/>
                <w:kern w:val="0"/>
                <w:sz w:val="21"/>
                <w:szCs w:val="21"/>
              </w:rPr>
              <w:t>批复规模</w:t>
            </w:r>
            <w:r>
              <w:rPr>
                <w:rFonts w:ascii="Times New Roman" w:hAnsi="Times New Roman"/>
                <w:kern w:val="0"/>
                <w:sz w:val="21"/>
                <w:szCs w:val="21"/>
              </w:rPr>
              <w:br w:type="textWrapping"/>
            </w:r>
            <w:r>
              <w:rPr>
                <w:rFonts w:ascii="Times New Roman" w:hAnsi="Times New Roman"/>
                <w:kern w:val="0"/>
                <w:sz w:val="21"/>
                <w:szCs w:val="21"/>
              </w:rPr>
              <w:t>（㎡）</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ascii="Times New Roman" w:hAnsi="Times New Roman"/>
                <w:kern w:val="0"/>
                <w:sz w:val="21"/>
                <w:szCs w:val="21"/>
              </w:rPr>
              <w:t>实际规模（㎡）</w:t>
            </w:r>
          </w:p>
        </w:tc>
        <w:tc>
          <w:tcPr>
            <w:tcW w:w="10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ascii="Times New Roman" w:hAnsi="Times New Roman"/>
                <w:kern w:val="0"/>
                <w:sz w:val="21"/>
                <w:szCs w:val="21"/>
              </w:rPr>
              <w:t>规模控制率</w:t>
            </w:r>
          </w:p>
        </w:tc>
        <w:tc>
          <w:tcPr>
            <w:tcW w:w="11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ascii="Times New Roman" w:hAnsi="Times New Roman"/>
                <w:kern w:val="0"/>
                <w:sz w:val="21"/>
                <w:szCs w:val="21"/>
              </w:rPr>
              <w:t>预算投资（万元）</w:t>
            </w:r>
          </w:p>
        </w:tc>
        <w:tc>
          <w:tcPr>
            <w:tcW w:w="9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ascii="Times New Roman" w:hAnsi="Times New Roman"/>
                <w:kern w:val="0"/>
                <w:sz w:val="21"/>
                <w:szCs w:val="21"/>
              </w:rPr>
              <w:t>实际投资（万元）</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ascii="Times New Roman" w:hAnsi="Times New Roman"/>
                <w:kern w:val="0"/>
                <w:sz w:val="21"/>
                <w:szCs w:val="21"/>
              </w:rPr>
              <w:t>投资概算控制率</w:t>
            </w:r>
          </w:p>
        </w:tc>
      </w:tr>
      <w:tr>
        <w:tblPrEx>
          <w:tblCellMar>
            <w:top w:w="0" w:type="dxa"/>
            <w:left w:w="108" w:type="dxa"/>
            <w:bottom w:w="0" w:type="dxa"/>
            <w:right w:w="108" w:type="dxa"/>
          </w:tblCellMar>
        </w:tblPrEx>
        <w:trPr>
          <w:trHeight w:val="322" w:hRule="atLeast"/>
          <w:jc w:val="center"/>
        </w:trPr>
        <w:tc>
          <w:tcPr>
            <w:tcW w:w="322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kern w:val="0"/>
                <w:sz w:val="21"/>
                <w:szCs w:val="21"/>
              </w:rPr>
            </w:pPr>
          </w:p>
        </w:tc>
        <w:tc>
          <w:tcPr>
            <w:tcW w:w="12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ascii="Times New Roman" w:hAnsi="Times New Roman"/>
                <w:kern w:val="0"/>
                <w:sz w:val="21"/>
                <w:szCs w:val="21"/>
              </w:rPr>
              <w:t>　</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kern w:val="0"/>
                <w:sz w:val="21"/>
                <w:szCs w:val="21"/>
              </w:rPr>
            </w:pPr>
            <w:r>
              <w:rPr>
                <w:rFonts w:ascii="Times New Roman" w:hAnsi="Times New Roman"/>
                <w:kern w:val="0"/>
                <w:sz w:val="21"/>
                <w:szCs w:val="21"/>
              </w:rPr>
              <w:t>　</w:t>
            </w:r>
          </w:p>
        </w:tc>
        <w:tc>
          <w:tcPr>
            <w:tcW w:w="10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kern w:val="0"/>
                <w:sz w:val="21"/>
                <w:szCs w:val="21"/>
              </w:rPr>
            </w:pPr>
            <w:r>
              <w:rPr>
                <w:rFonts w:ascii="Times New Roman" w:hAnsi="Times New Roman"/>
                <w:kern w:val="0"/>
                <w:sz w:val="21"/>
                <w:szCs w:val="21"/>
              </w:rPr>
              <w:t>　</w:t>
            </w:r>
          </w:p>
        </w:tc>
        <w:tc>
          <w:tcPr>
            <w:tcW w:w="11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kern w:val="0"/>
                <w:sz w:val="21"/>
                <w:szCs w:val="21"/>
              </w:rPr>
            </w:pPr>
            <w:r>
              <w:rPr>
                <w:rFonts w:ascii="Times New Roman" w:hAnsi="Times New Roman"/>
                <w:kern w:val="0"/>
                <w:sz w:val="21"/>
                <w:szCs w:val="21"/>
              </w:rPr>
              <w:t>　</w:t>
            </w:r>
          </w:p>
        </w:tc>
        <w:tc>
          <w:tcPr>
            <w:tcW w:w="9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kern w:val="0"/>
                <w:sz w:val="21"/>
                <w:szCs w:val="21"/>
              </w:rPr>
            </w:pPr>
            <w:r>
              <w:rPr>
                <w:rFonts w:ascii="Times New Roman" w:hAnsi="Times New Roman"/>
                <w:kern w:val="0"/>
                <w:sz w:val="21"/>
                <w:szCs w:val="21"/>
              </w:rPr>
              <w:t>　</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kern w:val="0"/>
                <w:sz w:val="21"/>
                <w:szCs w:val="21"/>
              </w:rPr>
            </w:pPr>
            <w:r>
              <w:rPr>
                <w:rFonts w:ascii="Times New Roman" w:hAnsi="Times New Roman"/>
                <w:kern w:val="0"/>
                <w:sz w:val="21"/>
                <w:szCs w:val="21"/>
              </w:rPr>
              <w:t>　</w:t>
            </w:r>
          </w:p>
        </w:tc>
      </w:tr>
      <w:tr>
        <w:tblPrEx>
          <w:tblCellMar>
            <w:top w:w="0" w:type="dxa"/>
            <w:left w:w="108" w:type="dxa"/>
            <w:bottom w:w="0" w:type="dxa"/>
            <w:right w:w="108" w:type="dxa"/>
          </w:tblCellMar>
        </w:tblPrEx>
        <w:trPr>
          <w:trHeight w:val="370" w:hRule="atLeast"/>
          <w:jc w:val="center"/>
        </w:trPr>
        <w:tc>
          <w:tcPr>
            <w:tcW w:w="32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ascii="Times New Roman" w:hAnsi="Times New Roman"/>
                <w:kern w:val="0"/>
                <w:sz w:val="21"/>
                <w:szCs w:val="21"/>
              </w:rPr>
              <w:t>厉行节约保障措施</w:t>
            </w:r>
          </w:p>
        </w:tc>
        <w:tc>
          <w:tcPr>
            <w:tcW w:w="7170"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kern w:val="0"/>
                <w:sz w:val="21"/>
                <w:szCs w:val="21"/>
              </w:rPr>
            </w:pPr>
            <w:r>
              <w:rPr>
                <w:rFonts w:ascii="Times New Roman" w:hAnsi="Times New Roman"/>
                <w:kern w:val="0"/>
                <w:sz w:val="21"/>
                <w:szCs w:val="21"/>
              </w:rPr>
              <w:t>　</w:t>
            </w:r>
          </w:p>
        </w:tc>
      </w:tr>
    </w:tbl>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2"/>
          <w:szCs w:val="24"/>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kern w:val="0"/>
          <w:sz w:val="22"/>
          <w:szCs w:val="24"/>
        </w:rPr>
      </w:pPr>
      <w:r>
        <w:rPr>
          <w:kern w:val="0"/>
          <w:sz w:val="22"/>
          <w:szCs w:val="24"/>
        </w:rPr>
        <w:t>说明：“项目支出”需要填报基本支出以外的所有项目支出情况，</w:t>
      </w:r>
      <w:r>
        <w:rPr>
          <w:rFonts w:hint="eastAsia"/>
          <w:kern w:val="0"/>
          <w:sz w:val="22"/>
          <w:szCs w:val="24"/>
        </w:rPr>
        <w:t>“运行维护经费”填报项目支出中用于人员类和公用运转类的支出。</w:t>
      </w:r>
      <w:r>
        <w:rPr>
          <w:kern w:val="0"/>
          <w:sz w:val="22"/>
          <w:szCs w:val="24"/>
        </w:rPr>
        <w:t>“公用经费”填报基本支出中的一般商品和服务支出。</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黑体"/>
          <w:szCs w:val="32"/>
        </w:rPr>
      </w:pPr>
      <w:r>
        <w:rPr>
          <w:kern w:val="0"/>
          <w:sz w:val="22"/>
          <w:szCs w:val="24"/>
        </w:rPr>
        <w:t>填表人：</w:t>
      </w:r>
      <w:r>
        <w:rPr>
          <w:rFonts w:hint="eastAsia"/>
          <w:kern w:val="0"/>
          <w:sz w:val="22"/>
          <w:szCs w:val="24"/>
          <w:lang w:val="en-US" w:eastAsia="zh-CN"/>
        </w:rPr>
        <w:t>潘菲丽</w:t>
      </w:r>
      <w:r>
        <w:rPr>
          <w:kern w:val="0"/>
          <w:sz w:val="22"/>
          <w:szCs w:val="24"/>
        </w:rPr>
        <w:t xml:space="preserve">  填报日期：</w:t>
      </w:r>
      <w:r>
        <w:rPr>
          <w:rFonts w:hint="eastAsia"/>
          <w:kern w:val="0"/>
          <w:sz w:val="22"/>
          <w:szCs w:val="24"/>
          <w:lang w:val="en-US" w:eastAsia="zh-CN"/>
        </w:rPr>
        <w:t>2025.4.29</w:t>
      </w:r>
      <w:r>
        <w:rPr>
          <w:kern w:val="0"/>
          <w:sz w:val="22"/>
          <w:szCs w:val="24"/>
        </w:rPr>
        <w:t xml:space="preserve">   联系电话：</w:t>
      </w:r>
      <w:r>
        <w:rPr>
          <w:rFonts w:hint="eastAsia"/>
          <w:kern w:val="0"/>
          <w:sz w:val="22"/>
          <w:szCs w:val="24"/>
          <w:lang w:val="en-US" w:eastAsia="zh-CN"/>
        </w:rPr>
        <w:t>13507377748</w:t>
      </w:r>
      <w:r>
        <w:rPr>
          <w:kern w:val="0"/>
          <w:sz w:val="22"/>
          <w:szCs w:val="24"/>
        </w:rPr>
        <w:t xml:space="preserve">  单位负责人签字：</w:t>
      </w:r>
      <w:r>
        <w:rPr>
          <w:kern w:val="0"/>
          <w:sz w:val="22"/>
          <w:szCs w:val="24"/>
        </w:rPr>
        <w:br w:type="page"/>
      </w:r>
      <w:r>
        <w:rPr>
          <w:rFonts w:ascii="Times New Roman" w:hAnsi="Times New Roman" w:eastAsia="黑体"/>
          <w:szCs w:val="32"/>
        </w:rPr>
        <w:t>附件</w:t>
      </w:r>
      <w:r>
        <w:rPr>
          <w:rFonts w:hint="eastAsia" w:ascii="Times New Roman" w:hAnsi="Times New Roman" w:eastAsia="黑体"/>
          <w:szCs w:val="32"/>
        </w:rPr>
        <w:t>3</w:t>
      </w:r>
    </w:p>
    <w:p>
      <w:pPr>
        <w:widowControl/>
        <w:spacing w:line="400" w:lineRule="exact"/>
        <w:jc w:val="center"/>
        <w:rPr>
          <w:rFonts w:ascii="Times New Roman" w:hAnsi="Times New Roman" w:eastAsia="方正小标宋_GBK"/>
          <w:color w:val="000000"/>
          <w:kern w:val="0"/>
          <w:sz w:val="36"/>
          <w:szCs w:val="36"/>
        </w:rPr>
      </w:pPr>
      <w:r>
        <w:rPr>
          <w:rFonts w:ascii="Times New Roman" w:hAnsi="Times New Roman" w:eastAsia="方正小标宋_GBK"/>
          <w:color w:val="000000"/>
          <w:kern w:val="0"/>
          <w:sz w:val="36"/>
          <w:szCs w:val="36"/>
        </w:rPr>
        <w:t>202</w:t>
      </w:r>
      <w:r>
        <w:rPr>
          <w:rFonts w:hint="eastAsia" w:ascii="Times New Roman" w:hAnsi="Times New Roman" w:eastAsia="方正小标宋_GBK"/>
          <w:color w:val="000000"/>
          <w:kern w:val="0"/>
          <w:sz w:val="36"/>
          <w:szCs w:val="36"/>
        </w:rPr>
        <w:t>4</w:t>
      </w:r>
      <w:r>
        <w:rPr>
          <w:rFonts w:ascii="Times New Roman" w:hAnsi="Times New Roman" w:eastAsia="方正小标宋_GBK"/>
          <w:color w:val="000000"/>
          <w:kern w:val="0"/>
          <w:sz w:val="36"/>
          <w:szCs w:val="36"/>
        </w:rPr>
        <w:t>年度部门整体支出绩效自评表</w:t>
      </w:r>
    </w:p>
    <w:tbl>
      <w:tblPr>
        <w:tblStyle w:val="10"/>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061"/>
        <w:gridCol w:w="950"/>
        <w:gridCol w:w="1414"/>
        <w:gridCol w:w="661"/>
        <w:gridCol w:w="108"/>
        <w:gridCol w:w="831"/>
        <w:gridCol w:w="998"/>
        <w:gridCol w:w="775"/>
        <w:gridCol w:w="288"/>
        <w:gridCol w:w="652"/>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03" w:type="dxa"/>
            <w:noWrap w:val="0"/>
            <w:vAlign w:val="center"/>
          </w:tcPr>
          <w:p>
            <w:pPr>
              <w:widowControl/>
              <w:jc w:val="left"/>
              <w:rPr>
                <w:color w:val="000000"/>
                <w:kern w:val="0"/>
                <w:sz w:val="21"/>
                <w:szCs w:val="21"/>
              </w:rPr>
            </w:pPr>
            <w:r>
              <w:rPr>
                <w:color w:val="000000"/>
                <w:kern w:val="0"/>
                <w:sz w:val="21"/>
                <w:szCs w:val="21"/>
              </w:rPr>
              <w:t>预算部门</w:t>
            </w:r>
            <w:r>
              <w:rPr>
                <w:rFonts w:hint="eastAsia"/>
                <w:color w:val="000000"/>
                <w:kern w:val="0"/>
                <w:sz w:val="21"/>
                <w:szCs w:val="21"/>
              </w:rPr>
              <w:t>、单位</w:t>
            </w:r>
            <w:r>
              <w:rPr>
                <w:color w:val="000000"/>
                <w:kern w:val="0"/>
                <w:sz w:val="21"/>
                <w:szCs w:val="21"/>
              </w:rPr>
              <w:t>名称</w:t>
            </w:r>
          </w:p>
        </w:tc>
        <w:tc>
          <w:tcPr>
            <w:tcW w:w="8850" w:type="dxa"/>
            <w:gridSpan w:val="11"/>
            <w:noWrap w:val="0"/>
            <w:vAlign w:val="center"/>
          </w:tcPr>
          <w:p>
            <w:pPr>
              <w:widowControl/>
              <w:jc w:val="center"/>
              <w:rPr>
                <w:color w:val="000000"/>
                <w:kern w:val="0"/>
                <w:sz w:val="21"/>
                <w:szCs w:val="21"/>
              </w:rPr>
            </w:pPr>
            <w:r>
              <w:rPr>
                <w:rFonts w:hint="eastAsia"/>
                <w:color w:val="000000"/>
                <w:kern w:val="0"/>
                <w:sz w:val="21"/>
                <w:szCs w:val="21"/>
              </w:rPr>
              <w:t>益阳市市场监督管理局</w:t>
            </w:r>
            <w:r>
              <w:rPr>
                <w:rFonts w:hint="eastAsia"/>
                <w:color w:val="000000"/>
                <w:kern w:val="0"/>
                <w:sz w:val="21"/>
                <w:szCs w:val="21"/>
                <w:lang w:eastAsia="zh-CN"/>
              </w:rPr>
              <w:t>（</w:t>
            </w:r>
            <w:r>
              <w:rPr>
                <w:rFonts w:hint="eastAsia"/>
                <w:color w:val="000000"/>
                <w:kern w:val="0"/>
                <w:sz w:val="21"/>
                <w:szCs w:val="21"/>
                <w:lang w:val="en-US" w:eastAsia="zh-CN"/>
              </w:rPr>
              <w:t>汇总</w:t>
            </w:r>
            <w:r>
              <w:rPr>
                <w:rFonts w:hint="eastAsia"/>
                <w:color w:val="000000"/>
                <w:kern w:val="0"/>
                <w:sz w:val="21"/>
                <w:szCs w:val="21"/>
                <w:lang w:eastAsia="zh-CN"/>
              </w:rPr>
              <w:t>）</w:t>
            </w: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restart"/>
            <w:noWrap w:val="0"/>
            <w:vAlign w:val="center"/>
          </w:tcPr>
          <w:p>
            <w:pPr>
              <w:widowControl/>
              <w:jc w:val="center"/>
              <w:rPr>
                <w:color w:val="000000"/>
                <w:kern w:val="0"/>
                <w:sz w:val="21"/>
                <w:szCs w:val="21"/>
              </w:rPr>
            </w:pPr>
            <w:r>
              <w:rPr>
                <w:color w:val="000000"/>
                <w:kern w:val="0"/>
                <w:sz w:val="21"/>
                <w:szCs w:val="21"/>
              </w:rPr>
              <w:t>年度预</w:t>
            </w:r>
          </w:p>
          <w:p>
            <w:pPr>
              <w:widowControl/>
              <w:jc w:val="center"/>
              <w:rPr>
                <w:color w:val="000000"/>
                <w:kern w:val="0"/>
                <w:sz w:val="21"/>
                <w:szCs w:val="21"/>
              </w:rPr>
            </w:pPr>
            <w:r>
              <w:rPr>
                <w:color w:val="000000"/>
                <w:kern w:val="0"/>
                <w:sz w:val="21"/>
                <w:szCs w:val="21"/>
              </w:rPr>
              <w:t>算申请</w:t>
            </w:r>
            <w:r>
              <w:rPr>
                <w:color w:val="000000"/>
                <w:kern w:val="0"/>
                <w:sz w:val="21"/>
                <w:szCs w:val="21"/>
              </w:rPr>
              <w:br w:type="textWrapping"/>
            </w:r>
            <w:r>
              <w:rPr>
                <w:color w:val="000000"/>
                <w:kern w:val="0"/>
                <w:sz w:val="21"/>
                <w:szCs w:val="21"/>
              </w:rPr>
              <w:t>（万元）</w:t>
            </w:r>
          </w:p>
        </w:tc>
        <w:tc>
          <w:tcPr>
            <w:tcW w:w="2011" w:type="dxa"/>
            <w:gridSpan w:val="2"/>
            <w:noWrap w:val="0"/>
            <w:vAlign w:val="center"/>
          </w:tcPr>
          <w:p>
            <w:pPr>
              <w:jc w:val="center"/>
              <w:rPr>
                <w:sz w:val="21"/>
                <w:szCs w:val="21"/>
              </w:rPr>
            </w:pPr>
          </w:p>
        </w:tc>
        <w:tc>
          <w:tcPr>
            <w:tcW w:w="1414" w:type="dxa"/>
            <w:noWrap w:val="0"/>
            <w:vAlign w:val="center"/>
          </w:tcPr>
          <w:p>
            <w:pPr>
              <w:jc w:val="center"/>
              <w:rPr>
                <w:rFonts w:hint="eastAsia"/>
                <w:sz w:val="21"/>
                <w:szCs w:val="21"/>
              </w:rPr>
            </w:pPr>
            <w:r>
              <w:rPr>
                <w:sz w:val="21"/>
                <w:szCs w:val="21"/>
              </w:rPr>
              <w:t>年初</w:t>
            </w:r>
          </w:p>
          <w:p>
            <w:pPr>
              <w:jc w:val="center"/>
              <w:rPr>
                <w:sz w:val="21"/>
                <w:szCs w:val="21"/>
              </w:rPr>
            </w:pPr>
            <w:r>
              <w:rPr>
                <w:sz w:val="21"/>
                <w:szCs w:val="21"/>
              </w:rPr>
              <w:t>预算数</w:t>
            </w:r>
          </w:p>
        </w:tc>
        <w:tc>
          <w:tcPr>
            <w:tcW w:w="1600" w:type="dxa"/>
            <w:gridSpan w:val="3"/>
            <w:noWrap w:val="0"/>
            <w:vAlign w:val="center"/>
          </w:tcPr>
          <w:p>
            <w:pPr>
              <w:jc w:val="center"/>
              <w:rPr>
                <w:sz w:val="21"/>
                <w:szCs w:val="21"/>
              </w:rPr>
            </w:pPr>
            <w:r>
              <w:rPr>
                <w:sz w:val="21"/>
                <w:szCs w:val="21"/>
              </w:rPr>
              <w:t>全年预算数</w:t>
            </w:r>
          </w:p>
        </w:tc>
        <w:tc>
          <w:tcPr>
            <w:tcW w:w="998" w:type="dxa"/>
            <w:noWrap w:val="0"/>
            <w:vAlign w:val="center"/>
          </w:tcPr>
          <w:p>
            <w:pPr>
              <w:jc w:val="center"/>
              <w:rPr>
                <w:rFonts w:hint="eastAsia"/>
                <w:sz w:val="21"/>
                <w:szCs w:val="21"/>
              </w:rPr>
            </w:pPr>
            <w:r>
              <w:rPr>
                <w:sz w:val="21"/>
                <w:szCs w:val="21"/>
              </w:rPr>
              <w:t>全年</w:t>
            </w:r>
          </w:p>
          <w:p>
            <w:pPr>
              <w:jc w:val="center"/>
              <w:rPr>
                <w:sz w:val="21"/>
                <w:szCs w:val="21"/>
              </w:rPr>
            </w:pPr>
            <w:r>
              <w:rPr>
                <w:sz w:val="21"/>
                <w:szCs w:val="21"/>
              </w:rPr>
              <w:t>执行数</w:t>
            </w:r>
          </w:p>
        </w:tc>
        <w:tc>
          <w:tcPr>
            <w:tcW w:w="775" w:type="dxa"/>
            <w:noWrap w:val="0"/>
            <w:vAlign w:val="center"/>
          </w:tcPr>
          <w:p>
            <w:pPr>
              <w:jc w:val="center"/>
              <w:rPr>
                <w:sz w:val="21"/>
                <w:szCs w:val="21"/>
              </w:rPr>
            </w:pPr>
            <w:r>
              <w:rPr>
                <w:sz w:val="21"/>
                <w:szCs w:val="21"/>
              </w:rPr>
              <w:t>分值</w:t>
            </w:r>
          </w:p>
        </w:tc>
        <w:tc>
          <w:tcPr>
            <w:tcW w:w="940" w:type="dxa"/>
            <w:gridSpan w:val="2"/>
            <w:noWrap w:val="0"/>
            <w:vAlign w:val="center"/>
          </w:tcPr>
          <w:p>
            <w:pPr>
              <w:jc w:val="center"/>
              <w:rPr>
                <w:sz w:val="21"/>
                <w:szCs w:val="21"/>
              </w:rPr>
            </w:pPr>
            <w:r>
              <w:rPr>
                <w:sz w:val="21"/>
                <w:szCs w:val="21"/>
              </w:rPr>
              <w:t>执行率</w:t>
            </w:r>
          </w:p>
        </w:tc>
        <w:tc>
          <w:tcPr>
            <w:tcW w:w="1112" w:type="dxa"/>
            <w:noWrap w:val="0"/>
            <w:vAlign w:val="center"/>
          </w:tcPr>
          <w:p>
            <w:pPr>
              <w:jc w:val="center"/>
              <w:rPr>
                <w:sz w:val="21"/>
                <w:szCs w:val="21"/>
              </w:rPr>
            </w:pPr>
            <w:r>
              <w:rPr>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pPr>
              <w:widowControl/>
              <w:jc w:val="center"/>
              <w:rPr>
                <w:color w:val="000000"/>
                <w:kern w:val="0"/>
                <w:sz w:val="21"/>
                <w:szCs w:val="21"/>
              </w:rPr>
            </w:pPr>
          </w:p>
        </w:tc>
        <w:tc>
          <w:tcPr>
            <w:tcW w:w="2011" w:type="dxa"/>
            <w:gridSpan w:val="2"/>
            <w:noWrap w:val="0"/>
            <w:vAlign w:val="center"/>
          </w:tcPr>
          <w:p>
            <w:pPr>
              <w:jc w:val="center"/>
              <w:rPr>
                <w:sz w:val="21"/>
                <w:szCs w:val="21"/>
              </w:rPr>
            </w:pPr>
            <w:r>
              <w:rPr>
                <w:color w:val="000000"/>
                <w:kern w:val="0"/>
                <w:sz w:val="21"/>
                <w:szCs w:val="21"/>
              </w:rPr>
              <w:t>年度资金总额</w:t>
            </w:r>
          </w:p>
        </w:tc>
        <w:tc>
          <w:tcPr>
            <w:tcW w:w="1414" w:type="dxa"/>
            <w:noWrap w:val="0"/>
            <w:vAlign w:val="center"/>
          </w:tcPr>
          <w:p>
            <w:pPr>
              <w:jc w:val="center"/>
              <w:rPr>
                <w:rFonts w:hint="default" w:eastAsia="仿宋_GB2312"/>
                <w:sz w:val="21"/>
                <w:szCs w:val="21"/>
                <w:lang w:val="en-US" w:eastAsia="zh-CN"/>
              </w:rPr>
            </w:pPr>
            <w:r>
              <w:rPr>
                <w:rFonts w:hint="eastAsia"/>
                <w:sz w:val="21"/>
                <w:szCs w:val="21"/>
                <w:lang w:val="en-US" w:eastAsia="zh-CN"/>
              </w:rPr>
              <w:t>6653.73</w:t>
            </w:r>
          </w:p>
        </w:tc>
        <w:tc>
          <w:tcPr>
            <w:tcW w:w="1600" w:type="dxa"/>
            <w:gridSpan w:val="3"/>
            <w:noWrap w:val="0"/>
            <w:vAlign w:val="center"/>
          </w:tcPr>
          <w:p>
            <w:pPr>
              <w:jc w:val="center"/>
              <w:rPr>
                <w:sz w:val="21"/>
                <w:szCs w:val="21"/>
              </w:rPr>
            </w:pPr>
            <w:r>
              <w:rPr>
                <w:rFonts w:hint="eastAsia"/>
                <w:sz w:val="21"/>
                <w:szCs w:val="21"/>
                <w:lang w:val="en-US" w:eastAsia="zh-CN"/>
              </w:rPr>
              <w:t>6653.73</w:t>
            </w:r>
          </w:p>
        </w:tc>
        <w:tc>
          <w:tcPr>
            <w:tcW w:w="998" w:type="dxa"/>
            <w:noWrap w:val="0"/>
            <w:vAlign w:val="center"/>
          </w:tcPr>
          <w:p>
            <w:pPr>
              <w:jc w:val="center"/>
              <w:rPr>
                <w:rFonts w:hint="default" w:eastAsia="仿宋_GB2312"/>
                <w:sz w:val="21"/>
                <w:szCs w:val="21"/>
                <w:lang w:val="en-US" w:eastAsia="zh-CN"/>
              </w:rPr>
            </w:pPr>
            <w:r>
              <w:rPr>
                <w:rFonts w:hint="eastAsia"/>
                <w:sz w:val="21"/>
                <w:szCs w:val="21"/>
                <w:lang w:val="en-US" w:eastAsia="zh-CN"/>
              </w:rPr>
              <w:t>8876.29</w:t>
            </w:r>
          </w:p>
        </w:tc>
        <w:tc>
          <w:tcPr>
            <w:tcW w:w="775" w:type="dxa"/>
            <w:noWrap w:val="0"/>
            <w:vAlign w:val="center"/>
          </w:tcPr>
          <w:p>
            <w:pPr>
              <w:jc w:val="center"/>
              <w:rPr>
                <w:sz w:val="21"/>
                <w:szCs w:val="21"/>
              </w:rPr>
            </w:pPr>
            <w:r>
              <w:rPr>
                <w:sz w:val="21"/>
                <w:szCs w:val="21"/>
              </w:rPr>
              <w:t>10</w:t>
            </w:r>
          </w:p>
        </w:tc>
        <w:tc>
          <w:tcPr>
            <w:tcW w:w="940" w:type="dxa"/>
            <w:gridSpan w:val="2"/>
            <w:noWrap w:val="0"/>
            <w:vAlign w:val="center"/>
          </w:tcPr>
          <w:p>
            <w:pPr>
              <w:jc w:val="center"/>
              <w:rPr>
                <w:rFonts w:hint="default" w:eastAsia="仿宋_GB2312"/>
                <w:sz w:val="21"/>
                <w:szCs w:val="21"/>
                <w:lang w:val="en-US" w:eastAsia="zh-CN"/>
              </w:rPr>
            </w:pPr>
            <w:r>
              <w:rPr>
                <w:rFonts w:hint="eastAsia"/>
                <w:sz w:val="21"/>
                <w:szCs w:val="21"/>
                <w:lang w:val="en-US" w:eastAsia="zh-CN"/>
              </w:rPr>
              <w:t>100%</w:t>
            </w:r>
          </w:p>
        </w:tc>
        <w:tc>
          <w:tcPr>
            <w:tcW w:w="1112" w:type="dxa"/>
            <w:noWrap w:val="0"/>
            <w:vAlign w:val="center"/>
          </w:tcPr>
          <w:p>
            <w:pPr>
              <w:jc w:val="center"/>
              <w:rPr>
                <w:rFonts w:hint="default" w:eastAsia="仿宋_GB2312"/>
                <w:sz w:val="21"/>
                <w:szCs w:val="21"/>
                <w:lang w:val="en-US" w:eastAsia="zh-CN"/>
              </w:rPr>
            </w:pPr>
            <w:r>
              <w:rPr>
                <w:rFonts w:hint="eastAsia"/>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pPr>
              <w:widowControl/>
              <w:jc w:val="left"/>
              <w:rPr>
                <w:color w:val="000000"/>
                <w:kern w:val="0"/>
                <w:sz w:val="21"/>
                <w:szCs w:val="21"/>
              </w:rPr>
            </w:pPr>
          </w:p>
        </w:tc>
        <w:tc>
          <w:tcPr>
            <w:tcW w:w="5025" w:type="dxa"/>
            <w:gridSpan w:val="6"/>
            <w:noWrap w:val="0"/>
            <w:vAlign w:val="center"/>
          </w:tcPr>
          <w:p>
            <w:pPr>
              <w:widowControl/>
              <w:jc w:val="left"/>
              <w:rPr>
                <w:color w:val="000000"/>
                <w:kern w:val="0"/>
                <w:sz w:val="21"/>
                <w:szCs w:val="21"/>
              </w:rPr>
            </w:pPr>
            <w:r>
              <w:rPr>
                <w:color w:val="000000"/>
                <w:kern w:val="0"/>
                <w:sz w:val="21"/>
                <w:szCs w:val="21"/>
              </w:rPr>
              <w:t>按收入性质分：</w:t>
            </w:r>
          </w:p>
        </w:tc>
        <w:tc>
          <w:tcPr>
            <w:tcW w:w="3825" w:type="dxa"/>
            <w:gridSpan w:val="5"/>
            <w:noWrap w:val="0"/>
            <w:vAlign w:val="center"/>
          </w:tcPr>
          <w:p>
            <w:pPr>
              <w:widowControl/>
              <w:jc w:val="left"/>
              <w:rPr>
                <w:color w:val="000000"/>
                <w:kern w:val="0"/>
                <w:sz w:val="21"/>
                <w:szCs w:val="21"/>
              </w:rPr>
            </w:pPr>
            <w:r>
              <w:rPr>
                <w:color w:val="000000"/>
                <w:kern w:val="0"/>
                <w:sz w:val="21"/>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pPr>
              <w:widowControl/>
              <w:jc w:val="left"/>
              <w:rPr>
                <w:color w:val="000000"/>
                <w:kern w:val="0"/>
                <w:sz w:val="21"/>
                <w:szCs w:val="21"/>
              </w:rPr>
            </w:pPr>
          </w:p>
        </w:tc>
        <w:tc>
          <w:tcPr>
            <w:tcW w:w="5025" w:type="dxa"/>
            <w:gridSpan w:val="6"/>
            <w:noWrap w:val="0"/>
            <w:vAlign w:val="center"/>
          </w:tcPr>
          <w:p>
            <w:pPr>
              <w:widowControl/>
              <w:jc w:val="left"/>
              <w:rPr>
                <w:rFonts w:hint="default" w:eastAsia="仿宋_GB2312"/>
                <w:color w:val="000000"/>
                <w:kern w:val="0"/>
                <w:sz w:val="21"/>
                <w:szCs w:val="21"/>
                <w:lang w:val="en-US" w:eastAsia="zh-CN"/>
              </w:rPr>
            </w:pPr>
            <w:r>
              <w:rPr>
                <w:color w:val="000000"/>
                <w:kern w:val="0"/>
                <w:sz w:val="21"/>
                <w:szCs w:val="21"/>
              </w:rPr>
              <w:t xml:space="preserve">  其中：</w:t>
            </w:r>
            <w:r>
              <w:rPr>
                <w:rFonts w:hint="eastAsia"/>
                <w:color w:val="000000"/>
                <w:kern w:val="0"/>
                <w:sz w:val="21"/>
                <w:szCs w:val="21"/>
              </w:rPr>
              <w:t xml:space="preserve">  </w:t>
            </w:r>
            <w:r>
              <w:rPr>
                <w:color w:val="000000"/>
                <w:kern w:val="0"/>
                <w:sz w:val="21"/>
                <w:szCs w:val="21"/>
              </w:rPr>
              <w:t>一般公共预算：</w:t>
            </w:r>
            <w:r>
              <w:rPr>
                <w:rFonts w:hint="eastAsia"/>
                <w:color w:val="000000"/>
                <w:kern w:val="0"/>
                <w:sz w:val="21"/>
                <w:szCs w:val="21"/>
                <w:lang w:val="en-US" w:eastAsia="zh-CN"/>
              </w:rPr>
              <w:t>8805.39</w:t>
            </w:r>
          </w:p>
        </w:tc>
        <w:tc>
          <w:tcPr>
            <w:tcW w:w="3825" w:type="dxa"/>
            <w:gridSpan w:val="5"/>
            <w:noWrap w:val="0"/>
            <w:vAlign w:val="center"/>
          </w:tcPr>
          <w:p>
            <w:pPr>
              <w:widowControl/>
              <w:jc w:val="left"/>
              <w:rPr>
                <w:rFonts w:hint="default" w:eastAsia="仿宋_GB2312"/>
                <w:color w:val="000000"/>
                <w:kern w:val="0"/>
                <w:sz w:val="21"/>
                <w:szCs w:val="21"/>
                <w:lang w:val="en-US" w:eastAsia="zh-CN"/>
              </w:rPr>
            </w:pPr>
            <w:r>
              <w:rPr>
                <w:color w:val="000000"/>
                <w:kern w:val="0"/>
                <w:sz w:val="21"/>
                <w:szCs w:val="21"/>
              </w:rPr>
              <w:t>其中：基本支出：</w:t>
            </w:r>
            <w:r>
              <w:rPr>
                <w:rFonts w:hint="eastAsia"/>
                <w:color w:val="000000"/>
                <w:kern w:val="0"/>
                <w:sz w:val="21"/>
                <w:szCs w:val="21"/>
                <w:lang w:val="en-US" w:eastAsia="zh-CN"/>
              </w:rPr>
              <w:t>6879.35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pPr>
              <w:widowControl/>
              <w:jc w:val="left"/>
              <w:rPr>
                <w:color w:val="000000"/>
                <w:kern w:val="0"/>
                <w:sz w:val="21"/>
                <w:szCs w:val="21"/>
              </w:rPr>
            </w:pPr>
          </w:p>
        </w:tc>
        <w:tc>
          <w:tcPr>
            <w:tcW w:w="5025" w:type="dxa"/>
            <w:gridSpan w:val="6"/>
            <w:noWrap w:val="0"/>
            <w:vAlign w:val="center"/>
          </w:tcPr>
          <w:p>
            <w:pPr>
              <w:widowControl/>
              <w:ind w:firstLine="840" w:firstLineChars="400"/>
              <w:jc w:val="left"/>
              <w:rPr>
                <w:rFonts w:hint="default" w:eastAsia="仿宋_GB2312"/>
                <w:color w:val="000000"/>
                <w:kern w:val="0"/>
                <w:sz w:val="21"/>
                <w:szCs w:val="21"/>
                <w:lang w:val="en-US" w:eastAsia="zh-CN"/>
              </w:rPr>
            </w:pPr>
            <w:r>
              <w:rPr>
                <w:color w:val="000000"/>
                <w:kern w:val="0"/>
                <w:sz w:val="21"/>
                <w:szCs w:val="21"/>
              </w:rPr>
              <w:t>政府性基金拨款：</w:t>
            </w:r>
            <w:r>
              <w:rPr>
                <w:rFonts w:hint="eastAsia"/>
                <w:color w:val="000000"/>
                <w:kern w:val="0"/>
                <w:sz w:val="21"/>
                <w:szCs w:val="21"/>
                <w:lang w:val="en-US" w:eastAsia="zh-CN"/>
              </w:rPr>
              <w:t>23</w:t>
            </w:r>
          </w:p>
        </w:tc>
        <w:tc>
          <w:tcPr>
            <w:tcW w:w="3825" w:type="dxa"/>
            <w:gridSpan w:val="5"/>
            <w:noWrap w:val="0"/>
            <w:vAlign w:val="center"/>
          </w:tcPr>
          <w:p>
            <w:pPr>
              <w:widowControl/>
              <w:ind w:firstLine="630" w:firstLineChars="300"/>
              <w:jc w:val="left"/>
              <w:rPr>
                <w:rFonts w:hint="default" w:eastAsia="仿宋_GB2312"/>
                <w:color w:val="000000"/>
                <w:kern w:val="0"/>
                <w:sz w:val="21"/>
                <w:szCs w:val="21"/>
                <w:lang w:val="en-US" w:eastAsia="zh-CN"/>
              </w:rPr>
            </w:pPr>
            <w:r>
              <w:rPr>
                <w:color w:val="000000"/>
                <w:kern w:val="0"/>
                <w:sz w:val="21"/>
                <w:szCs w:val="21"/>
              </w:rPr>
              <w:t>项目支出：</w:t>
            </w:r>
            <w:r>
              <w:rPr>
                <w:rFonts w:hint="eastAsia"/>
                <w:color w:val="000000"/>
                <w:kern w:val="0"/>
                <w:sz w:val="21"/>
                <w:szCs w:val="21"/>
                <w:lang w:val="en-US" w:eastAsia="zh-CN"/>
              </w:rPr>
              <w:t>1996.94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pPr>
              <w:widowControl/>
              <w:jc w:val="left"/>
              <w:rPr>
                <w:color w:val="000000"/>
                <w:kern w:val="0"/>
                <w:sz w:val="21"/>
                <w:szCs w:val="21"/>
              </w:rPr>
            </w:pPr>
          </w:p>
        </w:tc>
        <w:tc>
          <w:tcPr>
            <w:tcW w:w="5025" w:type="dxa"/>
            <w:gridSpan w:val="6"/>
            <w:noWrap w:val="0"/>
            <w:vAlign w:val="center"/>
          </w:tcPr>
          <w:p>
            <w:pPr>
              <w:widowControl/>
              <w:jc w:val="left"/>
              <w:rPr>
                <w:color w:val="000000"/>
                <w:kern w:val="0"/>
                <w:sz w:val="21"/>
                <w:szCs w:val="21"/>
              </w:rPr>
            </w:pPr>
            <w:r>
              <w:rPr>
                <w:color w:val="000000"/>
                <w:kern w:val="0"/>
                <w:sz w:val="21"/>
                <w:szCs w:val="21"/>
              </w:rPr>
              <w:t>纳入专户管理的非税收入拨款：</w:t>
            </w:r>
          </w:p>
        </w:tc>
        <w:tc>
          <w:tcPr>
            <w:tcW w:w="3825" w:type="dxa"/>
            <w:gridSpan w:val="5"/>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pPr>
              <w:widowControl/>
              <w:jc w:val="left"/>
              <w:rPr>
                <w:color w:val="000000"/>
                <w:kern w:val="0"/>
                <w:sz w:val="21"/>
                <w:szCs w:val="21"/>
              </w:rPr>
            </w:pPr>
          </w:p>
        </w:tc>
        <w:tc>
          <w:tcPr>
            <w:tcW w:w="5025" w:type="dxa"/>
            <w:gridSpan w:val="6"/>
            <w:noWrap w:val="0"/>
            <w:vAlign w:val="center"/>
          </w:tcPr>
          <w:p>
            <w:pPr>
              <w:widowControl/>
              <w:ind w:firstLine="1470" w:firstLineChars="700"/>
              <w:jc w:val="left"/>
              <w:rPr>
                <w:rFonts w:hint="default" w:eastAsia="仿宋_GB2312"/>
                <w:color w:val="000000"/>
                <w:kern w:val="0"/>
                <w:sz w:val="21"/>
                <w:szCs w:val="21"/>
                <w:lang w:val="en-US" w:eastAsia="zh-CN"/>
              </w:rPr>
            </w:pPr>
            <w:r>
              <w:rPr>
                <w:color w:val="000000"/>
                <w:kern w:val="0"/>
                <w:sz w:val="21"/>
                <w:szCs w:val="21"/>
              </w:rPr>
              <w:t>其他资金：</w:t>
            </w:r>
            <w:r>
              <w:rPr>
                <w:rFonts w:hint="eastAsia"/>
                <w:color w:val="000000"/>
                <w:kern w:val="0"/>
                <w:sz w:val="21"/>
                <w:szCs w:val="21"/>
                <w:lang w:val="en-US" w:eastAsia="zh-CN"/>
              </w:rPr>
              <w:t>47.9</w:t>
            </w:r>
          </w:p>
        </w:tc>
        <w:tc>
          <w:tcPr>
            <w:tcW w:w="3825" w:type="dxa"/>
            <w:gridSpan w:val="5"/>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restart"/>
            <w:noWrap w:val="0"/>
            <w:vAlign w:val="center"/>
          </w:tcPr>
          <w:p>
            <w:pPr>
              <w:widowControl/>
              <w:jc w:val="center"/>
              <w:rPr>
                <w:color w:val="000000"/>
                <w:kern w:val="0"/>
                <w:sz w:val="21"/>
                <w:szCs w:val="21"/>
              </w:rPr>
            </w:pPr>
            <w:r>
              <w:rPr>
                <w:color w:val="000000"/>
                <w:kern w:val="0"/>
                <w:sz w:val="21"/>
                <w:szCs w:val="21"/>
              </w:rPr>
              <w:t>年度总体</w:t>
            </w:r>
          </w:p>
          <w:p>
            <w:pPr>
              <w:widowControl/>
              <w:jc w:val="center"/>
              <w:rPr>
                <w:color w:val="000000"/>
                <w:kern w:val="0"/>
                <w:sz w:val="21"/>
                <w:szCs w:val="21"/>
              </w:rPr>
            </w:pPr>
            <w:r>
              <w:rPr>
                <w:color w:val="000000"/>
                <w:kern w:val="0"/>
                <w:sz w:val="21"/>
                <w:szCs w:val="21"/>
              </w:rPr>
              <w:t>目标</w:t>
            </w:r>
          </w:p>
        </w:tc>
        <w:tc>
          <w:tcPr>
            <w:tcW w:w="5025" w:type="dxa"/>
            <w:gridSpan w:val="6"/>
            <w:noWrap w:val="0"/>
            <w:vAlign w:val="center"/>
          </w:tcPr>
          <w:p>
            <w:pPr>
              <w:widowControl/>
              <w:jc w:val="center"/>
              <w:rPr>
                <w:color w:val="000000"/>
                <w:kern w:val="0"/>
                <w:sz w:val="21"/>
                <w:szCs w:val="21"/>
              </w:rPr>
            </w:pPr>
            <w:r>
              <w:rPr>
                <w:color w:val="000000"/>
                <w:kern w:val="0"/>
                <w:sz w:val="21"/>
                <w:szCs w:val="21"/>
              </w:rPr>
              <w:t>预期目标</w:t>
            </w:r>
          </w:p>
        </w:tc>
        <w:tc>
          <w:tcPr>
            <w:tcW w:w="3825" w:type="dxa"/>
            <w:gridSpan w:val="5"/>
            <w:noWrap w:val="0"/>
            <w:vAlign w:val="center"/>
          </w:tcPr>
          <w:p>
            <w:pPr>
              <w:widowControl/>
              <w:jc w:val="center"/>
              <w:rPr>
                <w:color w:val="000000"/>
                <w:kern w:val="0"/>
                <w:sz w:val="21"/>
                <w:szCs w:val="21"/>
              </w:rPr>
            </w:pPr>
            <w:r>
              <w:rPr>
                <w:color w:val="000000"/>
                <w:kern w:val="0"/>
                <w:sz w:val="21"/>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03" w:type="dxa"/>
            <w:vMerge w:val="continue"/>
            <w:noWrap w:val="0"/>
            <w:vAlign w:val="center"/>
          </w:tcPr>
          <w:p>
            <w:pPr>
              <w:widowControl/>
              <w:jc w:val="left"/>
              <w:rPr>
                <w:color w:val="000000"/>
                <w:kern w:val="0"/>
                <w:sz w:val="21"/>
                <w:szCs w:val="21"/>
              </w:rPr>
            </w:pPr>
          </w:p>
        </w:tc>
        <w:tc>
          <w:tcPr>
            <w:tcW w:w="4194"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olor w:val="000000"/>
                <w:kern w:val="0"/>
                <w:sz w:val="21"/>
                <w:szCs w:val="21"/>
              </w:rPr>
            </w:pPr>
            <w:r>
              <w:rPr>
                <w:rFonts w:hint="eastAsia"/>
                <w:color w:val="000000"/>
                <w:kern w:val="0"/>
                <w:sz w:val="21"/>
                <w:szCs w:val="21"/>
              </w:rPr>
              <w:t>1、加强食品生产环节监管，对重点区域、重点食品建立风险清单、措施清单</w:t>
            </w:r>
            <w:r>
              <w:rPr>
                <w:rFonts w:hint="eastAsia"/>
                <w:color w:val="000000"/>
                <w:kern w:val="0"/>
                <w:sz w:val="21"/>
                <w:szCs w:val="21"/>
                <w:lang w:val="en-US" w:eastAsia="zh-CN"/>
              </w:rPr>
              <w:t>和</w:t>
            </w:r>
            <w:r>
              <w:rPr>
                <w:rFonts w:hint="eastAsia"/>
                <w:color w:val="000000"/>
                <w:kern w:val="0"/>
                <w:sz w:val="21"/>
                <w:szCs w:val="21"/>
              </w:rPr>
              <w:t>责任清单。</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olor w:val="000000"/>
                <w:kern w:val="0"/>
                <w:sz w:val="21"/>
                <w:szCs w:val="21"/>
              </w:rPr>
            </w:pPr>
            <w:r>
              <w:rPr>
                <w:rFonts w:hint="eastAsia"/>
                <w:color w:val="000000"/>
                <w:kern w:val="0"/>
                <w:sz w:val="21"/>
                <w:szCs w:val="21"/>
              </w:rPr>
              <w:t>2、制定食品抽检计划，加强食品安全抽检监测</w:t>
            </w:r>
            <w:r>
              <w:rPr>
                <w:rFonts w:hint="eastAsia"/>
                <w:color w:val="000000"/>
                <w:kern w:val="0"/>
                <w:sz w:val="21"/>
                <w:szCs w:val="21"/>
                <w:lang w:eastAsia="zh-CN"/>
              </w:rPr>
              <w:t>，</w:t>
            </w:r>
            <w:r>
              <w:rPr>
                <w:rFonts w:hint="eastAsia"/>
                <w:color w:val="000000"/>
                <w:kern w:val="0"/>
                <w:sz w:val="21"/>
                <w:szCs w:val="21"/>
              </w:rPr>
              <w:t>向社会发布食品抽检结果信息。</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olor w:val="000000"/>
                <w:kern w:val="0"/>
                <w:sz w:val="21"/>
                <w:szCs w:val="21"/>
              </w:rPr>
            </w:pPr>
            <w:r>
              <w:rPr>
                <w:rFonts w:hint="eastAsia"/>
                <w:color w:val="000000"/>
                <w:kern w:val="0"/>
                <w:sz w:val="21"/>
                <w:szCs w:val="21"/>
              </w:rPr>
              <w:t>3、推进“两个责任 ”机制落实，提升辖区内食品安全监管能力。</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olor w:val="000000"/>
                <w:kern w:val="0"/>
                <w:sz w:val="21"/>
                <w:szCs w:val="21"/>
              </w:rPr>
            </w:pPr>
            <w:r>
              <w:rPr>
                <w:rFonts w:hint="eastAsia"/>
                <w:color w:val="000000"/>
                <w:kern w:val="0"/>
                <w:sz w:val="21"/>
                <w:szCs w:val="21"/>
              </w:rPr>
              <w:t>4、持续推进经营主体培育工程，实现实有经营主体年增长率5%以上，</w:t>
            </w:r>
            <w:r>
              <w:rPr>
                <w:rFonts w:hint="eastAsia" w:ascii="Times New Roman" w:hAnsi="Times New Roman" w:cs="Times New Roman"/>
                <w:color w:val="000000"/>
                <w:kern w:val="0"/>
                <w:sz w:val="21"/>
                <w:szCs w:val="21"/>
              </w:rPr>
              <w:t>企业登记网办率9</w:t>
            </w:r>
            <w:r>
              <w:rPr>
                <w:rFonts w:hint="eastAsia" w:ascii="Times New Roman" w:hAnsi="Times New Roman" w:cs="Times New Roman"/>
                <w:color w:val="000000"/>
                <w:kern w:val="0"/>
                <w:sz w:val="21"/>
                <w:szCs w:val="21"/>
                <w:lang w:val="en-US" w:eastAsia="zh-CN"/>
              </w:rPr>
              <w:t>0</w:t>
            </w:r>
            <w:r>
              <w:rPr>
                <w:rFonts w:hint="eastAsia" w:ascii="Times New Roman" w:hAnsi="Times New Roman" w:cs="Times New Roman"/>
                <w:color w:val="000000"/>
                <w:kern w:val="0"/>
                <w:sz w:val="21"/>
                <w:szCs w:val="21"/>
              </w:rPr>
              <w:t>%</w:t>
            </w:r>
            <w:r>
              <w:rPr>
                <w:rFonts w:hint="eastAsia" w:ascii="Times New Roman" w:hAnsi="Times New Roman" w:cs="Times New Roman"/>
                <w:color w:val="000000"/>
                <w:kern w:val="0"/>
                <w:sz w:val="21"/>
                <w:szCs w:val="21"/>
                <w:lang w:eastAsia="zh-CN"/>
              </w:rPr>
              <w:t>以上</w:t>
            </w:r>
            <w:r>
              <w:rPr>
                <w:rFonts w:hint="eastAsia"/>
                <w:color w:val="000000"/>
                <w:kern w:val="0"/>
                <w:sz w:val="21"/>
                <w:szCs w:val="21"/>
              </w:rPr>
              <w:t>。</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olor w:val="000000"/>
                <w:kern w:val="0"/>
                <w:sz w:val="21"/>
                <w:szCs w:val="21"/>
                <w:lang w:eastAsia="zh-CN"/>
              </w:rPr>
            </w:pPr>
            <w:r>
              <w:rPr>
                <w:rFonts w:hint="eastAsia"/>
                <w:color w:val="000000"/>
                <w:kern w:val="0"/>
                <w:sz w:val="21"/>
                <w:szCs w:val="21"/>
              </w:rPr>
              <w:t>5、加强广告监测</w:t>
            </w:r>
            <w:r>
              <w:rPr>
                <w:rFonts w:hint="eastAsia"/>
                <w:color w:val="00000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olor w:val="000000"/>
                <w:kern w:val="0"/>
                <w:sz w:val="21"/>
                <w:szCs w:val="21"/>
              </w:rPr>
            </w:pPr>
            <w:r>
              <w:rPr>
                <w:rFonts w:hint="eastAsia"/>
                <w:color w:val="000000"/>
                <w:kern w:val="0"/>
                <w:sz w:val="21"/>
                <w:szCs w:val="21"/>
              </w:rPr>
              <w:t>6、贯彻落实法治政府建设要求，组织开展案卷评查，评选优秀案例。</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olor w:val="000000"/>
                <w:kern w:val="0"/>
                <w:sz w:val="21"/>
                <w:szCs w:val="21"/>
              </w:rPr>
            </w:pPr>
            <w:r>
              <w:rPr>
                <w:rFonts w:hint="eastAsia"/>
                <w:color w:val="000000"/>
                <w:kern w:val="0"/>
                <w:sz w:val="21"/>
                <w:szCs w:val="21"/>
              </w:rPr>
              <w:t>7、</w:t>
            </w:r>
            <w:r>
              <w:rPr>
                <w:rFonts w:hint="eastAsia"/>
                <w:color w:val="000000"/>
                <w:kern w:val="0"/>
                <w:sz w:val="21"/>
                <w:szCs w:val="21"/>
                <w:lang w:val="en-US" w:eastAsia="zh-CN"/>
              </w:rPr>
              <w:t>开展公平竞争制度审查工作</w:t>
            </w:r>
            <w:r>
              <w:rPr>
                <w:rFonts w:hint="eastAsia"/>
                <w:color w:val="000000"/>
                <w:kern w:val="0"/>
                <w:sz w:val="21"/>
                <w:szCs w:val="21"/>
              </w:rPr>
              <w:t>。</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olor w:val="000000"/>
                <w:kern w:val="0"/>
                <w:sz w:val="21"/>
                <w:szCs w:val="21"/>
              </w:rPr>
            </w:pPr>
            <w:r>
              <w:rPr>
                <w:rFonts w:hint="eastAsia"/>
                <w:color w:val="000000"/>
                <w:kern w:val="0"/>
                <w:sz w:val="21"/>
                <w:szCs w:val="21"/>
              </w:rPr>
              <w:t>8、畅通投诉举报渠道，不断提升消费维权水平。</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olor w:val="000000"/>
                <w:kern w:val="0"/>
                <w:sz w:val="21"/>
                <w:szCs w:val="21"/>
              </w:rPr>
            </w:pPr>
            <w:r>
              <w:rPr>
                <w:rFonts w:hint="eastAsia"/>
                <w:color w:val="000000"/>
                <w:kern w:val="0"/>
                <w:sz w:val="21"/>
                <w:szCs w:val="21"/>
              </w:rPr>
              <w:t>9、企业开办时间压缩至2个工作日以内。10、开展315国际消费者权益日宣传纪念活动。</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olor w:val="000000"/>
                <w:kern w:val="0"/>
                <w:sz w:val="21"/>
                <w:szCs w:val="21"/>
              </w:rPr>
            </w:pPr>
            <w:r>
              <w:rPr>
                <w:rFonts w:hint="eastAsia"/>
                <w:color w:val="000000"/>
                <w:kern w:val="0"/>
                <w:sz w:val="21"/>
                <w:szCs w:val="21"/>
              </w:rPr>
              <w:t>11、加强特种设备生产和充装单位、检验检测机构证后监督查，强化隐患排查治理。</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olor w:val="000000"/>
                <w:kern w:val="0"/>
                <w:sz w:val="21"/>
                <w:szCs w:val="21"/>
              </w:rPr>
            </w:pPr>
            <w:r>
              <w:rPr>
                <w:rFonts w:hint="eastAsia"/>
                <w:color w:val="000000"/>
                <w:kern w:val="0"/>
                <w:sz w:val="21"/>
                <w:szCs w:val="21"/>
              </w:rPr>
              <w:t>12、开展产商品质量抽查，及时发现企业存在的产品质量问题。</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olor w:val="000000"/>
                <w:kern w:val="0"/>
                <w:sz w:val="21"/>
                <w:szCs w:val="21"/>
              </w:rPr>
            </w:pPr>
            <w:r>
              <w:rPr>
                <w:rFonts w:hint="eastAsia"/>
                <w:color w:val="000000"/>
                <w:kern w:val="0"/>
                <w:sz w:val="21"/>
                <w:szCs w:val="21"/>
              </w:rPr>
              <w:t>13、完成上级质量工作考核，相关量化指标的调查与测评。</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olor w:val="000000"/>
                <w:kern w:val="0"/>
                <w:sz w:val="21"/>
                <w:szCs w:val="21"/>
              </w:rPr>
            </w:pPr>
            <w:r>
              <w:rPr>
                <w:rFonts w:hint="eastAsia"/>
                <w:color w:val="000000"/>
                <w:kern w:val="0"/>
                <w:sz w:val="21"/>
                <w:szCs w:val="21"/>
              </w:rPr>
              <w:t>14、</w:t>
            </w:r>
            <w:r>
              <w:rPr>
                <w:rFonts w:hint="eastAsia"/>
                <w:color w:val="000000"/>
                <w:kern w:val="0"/>
                <w:sz w:val="21"/>
                <w:szCs w:val="21"/>
                <w:lang w:val="en-US" w:eastAsia="zh-CN"/>
              </w:rPr>
              <w:t>开展</w:t>
            </w:r>
            <w:r>
              <w:rPr>
                <w:rFonts w:hint="eastAsia"/>
                <w:color w:val="000000"/>
                <w:kern w:val="0"/>
                <w:sz w:val="21"/>
                <w:szCs w:val="21"/>
              </w:rPr>
              <w:t>全市认证机构及认证活动监督检查。</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olor w:val="000000"/>
                <w:kern w:val="0"/>
                <w:sz w:val="21"/>
                <w:szCs w:val="21"/>
              </w:rPr>
            </w:pPr>
            <w:r>
              <w:rPr>
                <w:rFonts w:hint="eastAsia"/>
                <w:color w:val="000000"/>
                <w:kern w:val="0"/>
                <w:sz w:val="21"/>
                <w:szCs w:val="21"/>
              </w:rPr>
              <w:t>15、完善和加强“两品一械”安全抽样检验工作； 加强“两品一械”日常监管。</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olor w:val="000000"/>
                <w:kern w:val="0"/>
                <w:sz w:val="21"/>
                <w:szCs w:val="21"/>
              </w:rPr>
            </w:pPr>
            <w:r>
              <w:rPr>
                <w:rFonts w:hint="eastAsia"/>
                <w:color w:val="000000"/>
                <w:kern w:val="0"/>
                <w:sz w:val="21"/>
                <w:szCs w:val="21"/>
              </w:rPr>
              <w:t>16、完善我市标准体系，推动标准化试点示范。</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color w:val="000000"/>
                <w:kern w:val="0"/>
                <w:sz w:val="21"/>
                <w:szCs w:val="21"/>
              </w:rPr>
            </w:pPr>
            <w:r>
              <w:rPr>
                <w:rFonts w:hint="eastAsia"/>
                <w:color w:val="000000"/>
                <w:kern w:val="0"/>
                <w:sz w:val="21"/>
                <w:szCs w:val="21"/>
                <w:lang w:val="en-US" w:eastAsia="zh-CN"/>
              </w:rPr>
              <w:t>1</w:t>
            </w:r>
            <w:r>
              <w:rPr>
                <w:rFonts w:hint="eastAsia"/>
                <w:color w:val="000000"/>
                <w:kern w:val="0"/>
                <w:sz w:val="21"/>
                <w:szCs w:val="21"/>
              </w:rPr>
              <w:t>7、支持全市知识产权创造和运用，加强知识产权保护、管理，提升知识产权公共服务能力，促进高质量发展。</w:t>
            </w:r>
          </w:p>
        </w:tc>
        <w:tc>
          <w:tcPr>
            <w:tcW w:w="4656" w:type="dxa"/>
            <w:gridSpan w:val="6"/>
            <w:noWrap w:val="0"/>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SA"/>
              </w:rPr>
              <w:t>1</w:t>
            </w:r>
            <w:r>
              <w:rPr>
                <w:rFonts w:hint="eastAsia" w:ascii="Times New Roman" w:hAnsi="Times New Roman" w:eastAsia="仿宋_GB2312" w:cs="Times New Roman"/>
                <w:color w:val="000000"/>
                <w:kern w:val="0"/>
                <w:sz w:val="21"/>
                <w:szCs w:val="21"/>
                <w:lang w:val="en-US" w:eastAsia="zh-CN" w:bidi="ar-SA"/>
              </w:rPr>
              <w:t>、加强</w:t>
            </w:r>
            <w:r>
              <w:rPr>
                <w:rFonts w:hint="eastAsia" w:ascii="Times New Roman" w:hAnsi="Times New Roman" w:cs="Times New Roman"/>
                <w:color w:val="000000"/>
                <w:kern w:val="0"/>
                <w:sz w:val="21"/>
                <w:szCs w:val="21"/>
                <w:lang w:val="en-US" w:eastAsia="zh-CN" w:bidi="ar-SA"/>
              </w:rPr>
              <w:t>了</w:t>
            </w:r>
            <w:r>
              <w:rPr>
                <w:rFonts w:hint="eastAsia" w:ascii="Times New Roman" w:hAnsi="Times New Roman" w:eastAsia="仿宋_GB2312" w:cs="Times New Roman"/>
                <w:color w:val="000000"/>
                <w:kern w:val="0"/>
                <w:sz w:val="21"/>
                <w:szCs w:val="21"/>
                <w:lang w:val="en-US" w:eastAsia="zh-CN" w:bidi="ar-SA"/>
              </w:rPr>
              <w:t>食品生产环节监管，对重点区域、重点食品建立风险清单、措施清单和责任清单覆盖率达100%。</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SA"/>
              </w:rPr>
              <w:t>2、制定了食品抽检计划，完成食品安全抽检监测</w:t>
            </w:r>
            <w:r>
              <w:rPr>
                <w:rFonts w:hint="eastAsia" w:ascii="Times New Roman" w:hAnsi="Times New Roman" w:cs="Times New Roman"/>
                <w:color w:val="000000"/>
                <w:kern w:val="0"/>
                <w:sz w:val="21"/>
                <w:szCs w:val="21"/>
                <w:lang w:val="en-US" w:eastAsia="zh-CN" w:bidi="ar-SA"/>
              </w:rPr>
              <w:t>19</w:t>
            </w:r>
            <w:r>
              <w:rPr>
                <w:rFonts w:hint="eastAsia" w:ascii="Times New Roman" w:hAnsi="Times New Roman" w:eastAsia="仿宋_GB2312" w:cs="Times New Roman"/>
                <w:color w:val="000000"/>
                <w:kern w:val="0"/>
                <w:sz w:val="21"/>
                <w:szCs w:val="21"/>
                <w:lang w:val="en-US" w:eastAsia="zh-CN" w:bidi="ar-SA"/>
              </w:rPr>
              <w:t>00批次</w:t>
            </w:r>
            <w:r>
              <w:rPr>
                <w:rFonts w:hint="eastAsia" w:ascii="Times New Roman" w:hAnsi="Times New Roman" w:cs="Times New Roman"/>
                <w:color w:val="000000"/>
                <w:kern w:val="0"/>
                <w:sz w:val="21"/>
                <w:szCs w:val="21"/>
                <w:lang w:val="en-US" w:eastAsia="zh-CN" w:bidi="ar-SA"/>
              </w:rPr>
              <w:t>，</w:t>
            </w:r>
            <w:r>
              <w:rPr>
                <w:rFonts w:hint="eastAsia"/>
                <w:color w:val="000000"/>
                <w:kern w:val="0"/>
                <w:sz w:val="21"/>
                <w:szCs w:val="21"/>
              </w:rPr>
              <w:t>向社会发布</w:t>
            </w:r>
            <w:r>
              <w:rPr>
                <w:rFonts w:hint="eastAsia"/>
                <w:color w:val="000000"/>
                <w:kern w:val="0"/>
                <w:sz w:val="21"/>
                <w:szCs w:val="21"/>
                <w:lang w:eastAsia="zh-CN"/>
              </w:rPr>
              <w:t>了</w:t>
            </w:r>
            <w:r>
              <w:rPr>
                <w:rFonts w:hint="eastAsia"/>
                <w:color w:val="000000"/>
                <w:kern w:val="0"/>
                <w:sz w:val="21"/>
                <w:szCs w:val="21"/>
              </w:rPr>
              <w:t>食品抽检结果信息</w:t>
            </w:r>
            <w:r>
              <w:rPr>
                <w:rFonts w:hint="eastAsia" w:ascii="Times New Roman" w:hAnsi="Times New Roman" w:eastAsia="仿宋_GB2312" w:cs="Times New Roman"/>
                <w:color w:val="000000"/>
                <w:kern w:val="0"/>
                <w:sz w:val="21"/>
                <w:szCs w:val="21"/>
                <w:lang w:val="en-US" w:eastAsia="zh-CN" w:bidi="ar-SA"/>
              </w:rPr>
              <w:t>。</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SA"/>
              </w:rPr>
              <w:t>3、“两个责任”机制落实市县乡村四级一年4次包保督导任务完成率86.61%，“两个责任 ”督促指导ABC三级食品生产经营主体按规定开展日管控 、周排查、月调度覆盖率平均达87.01%。</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SA"/>
              </w:rPr>
              <w:t>4、实现</w:t>
            </w:r>
            <w:r>
              <w:rPr>
                <w:rFonts w:hint="eastAsia" w:ascii="Times New Roman" w:hAnsi="Times New Roman" w:cs="Times New Roman"/>
                <w:color w:val="000000"/>
                <w:kern w:val="0"/>
                <w:sz w:val="21"/>
                <w:szCs w:val="21"/>
                <w:lang w:val="en-US" w:eastAsia="zh-CN" w:bidi="ar-SA"/>
              </w:rPr>
              <w:t>了</w:t>
            </w:r>
            <w:r>
              <w:rPr>
                <w:rFonts w:hint="eastAsia" w:ascii="Times New Roman" w:hAnsi="Times New Roman" w:eastAsia="仿宋_GB2312" w:cs="Times New Roman"/>
                <w:color w:val="000000"/>
                <w:kern w:val="0"/>
                <w:sz w:val="21"/>
                <w:szCs w:val="21"/>
                <w:lang w:val="en-US" w:eastAsia="zh-CN" w:bidi="ar-SA"/>
              </w:rPr>
              <w:t>实有经营主体年增长率</w:t>
            </w:r>
            <w:r>
              <w:rPr>
                <w:rFonts w:hint="eastAsia" w:ascii="Times New Roman" w:hAnsi="Times New Roman" w:cs="Times New Roman"/>
                <w:color w:val="000000"/>
                <w:kern w:val="0"/>
                <w:sz w:val="21"/>
                <w:szCs w:val="21"/>
                <w:lang w:val="en-US" w:eastAsia="zh-CN" w:bidi="ar-SA"/>
              </w:rPr>
              <w:t>7.81</w:t>
            </w:r>
            <w:r>
              <w:rPr>
                <w:rFonts w:hint="eastAsia" w:ascii="Times New Roman" w:hAnsi="Times New Roman" w:eastAsia="仿宋_GB2312" w:cs="Times New Roman"/>
                <w:color w:val="000000"/>
                <w:kern w:val="0"/>
                <w:sz w:val="21"/>
                <w:szCs w:val="21"/>
                <w:lang w:val="en-US" w:eastAsia="zh-CN" w:bidi="ar-SA"/>
              </w:rPr>
              <w:t>%，</w:t>
            </w:r>
            <w:r>
              <w:rPr>
                <w:rFonts w:hint="eastAsia" w:ascii="Times New Roman" w:hAnsi="Times New Roman" w:cs="Times New Roman"/>
                <w:color w:val="000000"/>
                <w:kern w:val="0"/>
                <w:sz w:val="21"/>
                <w:szCs w:val="21"/>
              </w:rPr>
              <w:t>企业登记网办率9</w:t>
            </w:r>
            <w:r>
              <w:rPr>
                <w:rFonts w:hint="eastAsia" w:ascii="Times New Roman" w:hAnsi="Times New Roman" w:cs="Times New Roman"/>
                <w:color w:val="000000"/>
                <w:kern w:val="0"/>
                <w:sz w:val="21"/>
                <w:szCs w:val="21"/>
                <w:lang w:val="en-US" w:eastAsia="zh-CN"/>
              </w:rPr>
              <w:t>4</w:t>
            </w:r>
            <w:r>
              <w:rPr>
                <w:rFonts w:hint="eastAsia" w:ascii="Times New Roman" w:hAnsi="Times New Roman" w:cs="Times New Roman"/>
                <w:color w:val="000000"/>
                <w:kern w:val="0"/>
                <w:sz w:val="21"/>
                <w:szCs w:val="21"/>
              </w:rPr>
              <w:t>%</w:t>
            </w:r>
            <w:r>
              <w:rPr>
                <w:rFonts w:hint="eastAsia" w:ascii="Times New Roman" w:hAnsi="Times New Roman" w:eastAsia="仿宋_GB2312" w:cs="Times New Roman"/>
                <w:color w:val="000000"/>
                <w:kern w:val="0"/>
                <w:sz w:val="21"/>
                <w:szCs w:val="21"/>
                <w:lang w:val="en-US" w:eastAsia="zh-CN" w:bidi="ar-SA"/>
              </w:rPr>
              <w:t>。</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SA"/>
              </w:rPr>
              <w:t>5、加强</w:t>
            </w:r>
            <w:r>
              <w:rPr>
                <w:rFonts w:hint="eastAsia" w:ascii="Times New Roman" w:hAnsi="Times New Roman" w:cs="Times New Roman"/>
                <w:color w:val="000000"/>
                <w:kern w:val="0"/>
                <w:sz w:val="21"/>
                <w:szCs w:val="21"/>
                <w:lang w:val="en-US" w:eastAsia="zh-CN" w:bidi="ar-SA"/>
              </w:rPr>
              <w:t>了</w:t>
            </w:r>
            <w:r>
              <w:rPr>
                <w:rFonts w:hint="eastAsia" w:ascii="Times New Roman" w:hAnsi="Times New Roman" w:eastAsia="仿宋_GB2312" w:cs="Times New Roman"/>
                <w:color w:val="000000"/>
                <w:kern w:val="0"/>
                <w:sz w:val="21"/>
                <w:szCs w:val="21"/>
                <w:lang w:val="en-US" w:eastAsia="zh-CN" w:bidi="ar-SA"/>
              </w:rPr>
              <w:t>广告监测，及时发现和查处</w:t>
            </w:r>
            <w:r>
              <w:rPr>
                <w:rFonts w:hint="eastAsia" w:ascii="Times New Roman" w:hAnsi="Times New Roman" w:cs="Times New Roman"/>
                <w:color w:val="000000"/>
                <w:kern w:val="0"/>
                <w:sz w:val="21"/>
                <w:szCs w:val="21"/>
                <w:lang w:val="en-US" w:eastAsia="zh-CN" w:bidi="ar-SA"/>
              </w:rPr>
              <w:t>了</w:t>
            </w:r>
            <w:r>
              <w:rPr>
                <w:rFonts w:hint="eastAsia" w:ascii="Times New Roman" w:hAnsi="Times New Roman" w:eastAsia="仿宋_GB2312" w:cs="Times New Roman"/>
                <w:color w:val="000000"/>
                <w:kern w:val="0"/>
                <w:sz w:val="21"/>
                <w:szCs w:val="21"/>
                <w:lang w:val="en-US" w:eastAsia="zh-CN" w:bidi="ar-SA"/>
              </w:rPr>
              <w:t>虚假违法广告</w:t>
            </w:r>
            <w:r>
              <w:rPr>
                <w:rFonts w:hint="eastAsia" w:ascii="Times New Roman" w:hAnsi="Times New Roman" w:cs="Times New Roman"/>
                <w:color w:val="000000"/>
                <w:kern w:val="0"/>
                <w:sz w:val="21"/>
                <w:szCs w:val="21"/>
                <w:lang w:val="en-US" w:eastAsia="zh-CN" w:bidi="ar-SA"/>
              </w:rPr>
              <w:t>，</w:t>
            </w:r>
            <w:r>
              <w:rPr>
                <w:rFonts w:hint="eastAsia" w:ascii="Times New Roman" w:hAnsi="Times New Roman" w:eastAsia="仿宋_GB2312" w:cs="Times New Roman"/>
                <w:color w:val="000000"/>
                <w:kern w:val="0"/>
                <w:sz w:val="21"/>
                <w:szCs w:val="21"/>
                <w:lang w:val="en-US" w:eastAsia="zh-CN" w:bidi="ar-SA"/>
              </w:rPr>
              <w:t>确保</w:t>
            </w:r>
            <w:r>
              <w:rPr>
                <w:rFonts w:hint="eastAsia" w:ascii="Times New Roman" w:hAnsi="Times New Roman" w:cs="Times New Roman"/>
                <w:color w:val="000000"/>
                <w:kern w:val="0"/>
                <w:sz w:val="21"/>
                <w:szCs w:val="21"/>
                <w:lang w:val="en-US" w:eastAsia="zh-CN" w:bidi="ar-SA"/>
              </w:rPr>
              <w:t>了</w:t>
            </w:r>
            <w:r>
              <w:rPr>
                <w:rFonts w:hint="eastAsia" w:ascii="Times New Roman" w:hAnsi="Times New Roman" w:eastAsia="仿宋_GB2312" w:cs="Times New Roman"/>
                <w:color w:val="000000"/>
                <w:kern w:val="0"/>
                <w:sz w:val="21"/>
                <w:szCs w:val="21"/>
                <w:lang w:val="en-US" w:eastAsia="zh-CN" w:bidi="ar-SA"/>
              </w:rPr>
              <w:t>广告市场规范有序。</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SA"/>
              </w:rPr>
              <w:t>6、</w:t>
            </w:r>
            <w:r>
              <w:rPr>
                <w:rFonts w:hint="eastAsia" w:ascii="Times New Roman" w:hAnsi="Times New Roman" w:eastAsia="仿宋_GB2312" w:cs="Times New Roman"/>
                <w:color w:val="000000"/>
                <w:kern w:val="0"/>
                <w:sz w:val="21"/>
                <w:szCs w:val="21"/>
                <w:lang w:val="en-US" w:eastAsia="zh-CN" w:bidi="ar-SA"/>
              </w:rPr>
              <w:t>组织开展案卷评查</w:t>
            </w:r>
            <w:r>
              <w:rPr>
                <w:rFonts w:hint="eastAsia" w:ascii="Times New Roman" w:hAnsi="Times New Roman" w:cs="Times New Roman"/>
                <w:color w:val="000000"/>
                <w:kern w:val="0"/>
                <w:sz w:val="21"/>
                <w:szCs w:val="21"/>
                <w:lang w:val="en-US" w:eastAsia="zh-CN" w:bidi="ar-SA"/>
              </w:rPr>
              <w:t>200个</w:t>
            </w:r>
            <w:r>
              <w:rPr>
                <w:rFonts w:hint="eastAsia" w:ascii="Times New Roman" w:hAnsi="Times New Roman" w:eastAsia="仿宋_GB2312" w:cs="Times New Roman"/>
                <w:color w:val="000000"/>
                <w:kern w:val="0"/>
                <w:sz w:val="21"/>
                <w:szCs w:val="21"/>
                <w:lang w:val="en-US" w:eastAsia="zh-CN" w:bidi="ar-SA"/>
              </w:rPr>
              <w:t>，评选优秀案例</w:t>
            </w:r>
            <w:r>
              <w:rPr>
                <w:rFonts w:hint="eastAsia" w:ascii="Times New Roman" w:hAnsi="Times New Roman" w:cs="Times New Roman"/>
                <w:color w:val="000000"/>
                <w:kern w:val="0"/>
                <w:sz w:val="21"/>
                <w:szCs w:val="21"/>
                <w:lang w:val="en-US" w:eastAsia="zh-CN" w:bidi="ar-SA"/>
              </w:rPr>
              <w:t>9个</w:t>
            </w:r>
            <w:r>
              <w:rPr>
                <w:rFonts w:hint="eastAsia" w:ascii="Times New Roman" w:hAnsi="Times New Roman" w:eastAsia="仿宋_GB2312" w:cs="Times New Roman"/>
                <w:color w:val="000000"/>
                <w:kern w:val="0"/>
                <w:sz w:val="21"/>
                <w:szCs w:val="21"/>
                <w:lang w:val="en-US" w:eastAsia="zh-CN" w:bidi="ar-SA"/>
              </w:rPr>
              <w:t>。</w:t>
            </w:r>
            <w:r>
              <w:rPr>
                <w:rFonts w:hint="eastAsia" w:ascii="Times New Roman" w:hAnsi="Times New Roman" w:eastAsia="仿宋_GB2312" w:cs="Times New Roman"/>
                <w:color w:val="000000"/>
                <w:kern w:val="0"/>
                <w:sz w:val="21"/>
                <w:szCs w:val="21"/>
                <w:lang w:val="en-US" w:eastAsia="zh-CN" w:bidi="ar-SA"/>
              </w:rPr>
              <w:t>7、</w:t>
            </w:r>
            <w:r>
              <w:rPr>
                <w:rFonts w:hint="eastAsia" w:ascii="Times New Roman" w:hAnsi="Times New Roman" w:eastAsia="仿宋_GB2312" w:cs="Times New Roman"/>
                <w:color w:val="000000"/>
                <w:kern w:val="0"/>
                <w:sz w:val="21"/>
                <w:szCs w:val="21"/>
                <w:lang w:val="en-US" w:eastAsia="zh-CN" w:bidi="ar-SA"/>
              </w:rPr>
              <w:t>公平竞争制度审查</w:t>
            </w:r>
            <w:r>
              <w:rPr>
                <w:rFonts w:hint="eastAsia" w:ascii="Times New Roman" w:hAnsi="Times New Roman" w:cs="Times New Roman"/>
                <w:color w:val="000000"/>
                <w:kern w:val="0"/>
                <w:sz w:val="21"/>
                <w:szCs w:val="21"/>
                <w:lang w:val="en-US" w:eastAsia="zh-CN" w:bidi="ar-SA"/>
              </w:rPr>
              <w:t>了</w:t>
            </w:r>
            <w:r>
              <w:rPr>
                <w:rFonts w:hint="eastAsia" w:ascii="Times New Roman" w:hAnsi="Times New Roman" w:eastAsia="仿宋_GB2312" w:cs="Times New Roman"/>
                <w:color w:val="000000"/>
                <w:kern w:val="0"/>
                <w:sz w:val="21"/>
                <w:szCs w:val="21"/>
                <w:lang w:val="en-US" w:eastAsia="zh-CN" w:bidi="ar-SA"/>
              </w:rPr>
              <w:t>单位</w:t>
            </w:r>
            <w:r>
              <w:rPr>
                <w:rFonts w:hint="eastAsia" w:ascii="Times New Roman" w:hAnsi="Times New Roman" w:cs="Times New Roman"/>
                <w:color w:val="000000"/>
                <w:kern w:val="0"/>
                <w:sz w:val="21"/>
                <w:szCs w:val="21"/>
                <w:lang w:val="en-US" w:eastAsia="zh-CN" w:bidi="ar-SA"/>
              </w:rPr>
              <w:t>8个，</w:t>
            </w:r>
            <w:r>
              <w:rPr>
                <w:rFonts w:hint="eastAsia" w:ascii="Times New Roman" w:hAnsi="Times New Roman" w:eastAsia="仿宋_GB2312" w:cs="Times New Roman"/>
                <w:color w:val="000000"/>
                <w:kern w:val="0"/>
                <w:sz w:val="21"/>
                <w:szCs w:val="21"/>
                <w:lang w:val="en-US" w:eastAsia="zh-CN" w:bidi="ar-SA"/>
              </w:rPr>
              <w:t>推进</w:t>
            </w:r>
            <w:r>
              <w:rPr>
                <w:rFonts w:hint="eastAsia" w:ascii="Times New Roman" w:hAnsi="Times New Roman" w:cs="Times New Roman"/>
                <w:color w:val="000000"/>
                <w:kern w:val="0"/>
                <w:sz w:val="21"/>
                <w:szCs w:val="21"/>
                <w:lang w:val="en-US" w:eastAsia="zh-CN" w:bidi="ar-SA"/>
              </w:rPr>
              <w:t>了</w:t>
            </w:r>
            <w:r>
              <w:rPr>
                <w:rFonts w:hint="eastAsia" w:ascii="Times New Roman" w:hAnsi="Times New Roman" w:eastAsia="仿宋_GB2312" w:cs="Times New Roman"/>
                <w:color w:val="000000"/>
                <w:kern w:val="0"/>
                <w:sz w:val="21"/>
                <w:szCs w:val="21"/>
                <w:lang w:val="en-US" w:eastAsia="zh-CN" w:bidi="ar-SA"/>
              </w:rPr>
              <w:t>公平竞争审查工作。</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SA"/>
              </w:rPr>
              <w:t>8、消费者举报按时核查率</w:t>
            </w:r>
            <w:r>
              <w:rPr>
                <w:rFonts w:hint="eastAsia" w:ascii="Times New Roman" w:hAnsi="Times New Roman" w:cs="Times New Roman"/>
                <w:color w:val="000000"/>
                <w:kern w:val="0"/>
                <w:sz w:val="21"/>
                <w:szCs w:val="21"/>
                <w:lang w:val="en-US" w:eastAsia="zh-CN" w:bidi="ar-SA"/>
              </w:rPr>
              <w:t>95%以上，</w:t>
            </w:r>
            <w:r>
              <w:rPr>
                <w:rFonts w:hint="eastAsia" w:ascii="Times New Roman" w:hAnsi="Times New Roman" w:eastAsia="仿宋_GB2312" w:cs="Times New Roman"/>
                <w:color w:val="000000"/>
                <w:kern w:val="0"/>
                <w:sz w:val="21"/>
                <w:szCs w:val="21"/>
                <w:lang w:val="en-US" w:eastAsia="zh-CN" w:bidi="ar-SA"/>
              </w:rPr>
              <w:t>投诉举报垄断行为案件核查完成率</w:t>
            </w:r>
            <w:r>
              <w:rPr>
                <w:rFonts w:hint="eastAsia" w:ascii="Times New Roman" w:hAnsi="Times New Roman" w:cs="Times New Roman"/>
                <w:color w:val="000000"/>
                <w:kern w:val="0"/>
                <w:sz w:val="21"/>
                <w:szCs w:val="21"/>
                <w:lang w:val="en-US" w:eastAsia="zh-CN" w:bidi="ar-SA"/>
              </w:rPr>
              <w:t>100%</w:t>
            </w:r>
            <w:r>
              <w:rPr>
                <w:rFonts w:hint="eastAsia" w:ascii="Times New Roman" w:hAnsi="Times New Roman" w:eastAsia="仿宋_GB2312" w:cs="Times New Roman"/>
                <w:color w:val="000000"/>
                <w:kern w:val="0"/>
                <w:sz w:val="21"/>
                <w:szCs w:val="21"/>
                <w:lang w:val="en-US" w:eastAsia="zh-CN" w:bidi="ar-SA"/>
              </w:rPr>
              <w:t>。</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SA"/>
              </w:rPr>
              <w:t>9、企业开办时间压缩至</w:t>
            </w:r>
            <w:r>
              <w:rPr>
                <w:rFonts w:hint="eastAsia" w:ascii="Times New Roman" w:hAnsi="Times New Roman" w:cs="Times New Roman"/>
                <w:color w:val="000000"/>
                <w:kern w:val="0"/>
                <w:sz w:val="21"/>
                <w:szCs w:val="21"/>
                <w:lang w:val="en-US" w:eastAsia="zh-CN" w:bidi="ar-SA"/>
              </w:rPr>
              <w:t>了</w:t>
            </w:r>
            <w:r>
              <w:rPr>
                <w:rFonts w:hint="eastAsia" w:ascii="Times New Roman" w:hAnsi="Times New Roman" w:eastAsia="仿宋_GB2312" w:cs="Times New Roman"/>
                <w:color w:val="000000"/>
                <w:kern w:val="0"/>
                <w:sz w:val="21"/>
                <w:szCs w:val="21"/>
                <w:lang w:val="en-US" w:eastAsia="zh-CN" w:bidi="ar-SA"/>
              </w:rPr>
              <w:t>2个工作日以内。</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SA"/>
              </w:rPr>
              <w:t>10、开展</w:t>
            </w:r>
            <w:r>
              <w:rPr>
                <w:rFonts w:hint="eastAsia" w:ascii="Times New Roman" w:hAnsi="Times New Roman" w:cs="Times New Roman"/>
                <w:color w:val="000000"/>
                <w:kern w:val="0"/>
                <w:sz w:val="21"/>
                <w:szCs w:val="21"/>
                <w:lang w:val="en-US" w:eastAsia="zh-CN" w:bidi="ar-SA"/>
              </w:rPr>
              <w:t>了</w:t>
            </w:r>
            <w:r>
              <w:rPr>
                <w:rFonts w:hint="eastAsia" w:ascii="Times New Roman" w:hAnsi="Times New Roman" w:eastAsia="仿宋_GB2312" w:cs="Times New Roman"/>
                <w:color w:val="000000"/>
                <w:kern w:val="0"/>
                <w:sz w:val="21"/>
                <w:szCs w:val="21"/>
                <w:lang w:val="en-US" w:eastAsia="zh-CN" w:bidi="ar-SA"/>
              </w:rPr>
              <w:t>315国际消费者权益日宣传纪念活动。</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SA"/>
              </w:rPr>
              <w:t>11、监督抽查重点特种设备使用单位</w:t>
            </w:r>
            <w:r>
              <w:rPr>
                <w:rFonts w:hint="eastAsia" w:ascii="Times New Roman" w:hAnsi="Times New Roman" w:cs="Times New Roman"/>
                <w:color w:val="000000"/>
                <w:kern w:val="0"/>
                <w:sz w:val="21"/>
                <w:szCs w:val="21"/>
                <w:lang w:val="en-US" w:eastAsia="zh-CN" w:bidi="ar-SA"/>
              </w:rPr>
              <w:t>50个</w:t>
            </w:r>
            <w:r>
              <w:rPr>
                <w:rFonts w:hint="eastAsia" w:ascii="Times New Roman" w:hAnsi="Times New Roman" w:eastAsia="仿宋_GB2312" w:cs="Times New Roman"/>
                <w:color w:val="000000"/>
                <w:kern w:val="0"/>
                <w:sz w:val="21"/>
                <w:szCs w:val="21"/>
                <w:lang w:val="en-US" w:eastAsia="zh-CN" w:bidi="ar-SA"/>
              </w:rPr>
              <w:t>。</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SA"/>
              </w:rPr>
              <w:t>12、</w:t>
            </w:r>
            <w:r>
              <w:rPr>
                <w:rFonts w:hint="eastAsia" w:ascii="Times New Roman" w:hAnsi="Times New Roman" w:eastAsia="仿宋_GB2312" w:cs="Times New Roman"/>
                <w:color w:val="000000"/>
                <w:kern w:val="0"/>
                <w:sz w:val="21"/>
                <w:szCs w:val="21"/>
                <w:lang w:val="en-US" w:eastAsia="zh-CN" w:bidi="ar-SA"/>
              </w:rPr>
              <w:t>产商品质量抽查</w:t>
            </w:r>
            <w:r>
              <w:rPr>
                <w:rFonts w:hint="eastAsia" w:ascii="Times New Roman" w:hAnsi="Times New Roman" w:cs="Times New Roman"/>
                <w:color w:val="000000"/>
                <w:kern w:val="0"/>
                <w:sz w:val="21"/>
                <w:szCs w:val="21"/>
                <w:lang w:val="en-US" w:eastAsia="zh-CN" w:bidi="ar-SA"/>
              </w:rPr>
              <w:t>475批次</w:t>
            </w:r>
            <w:r>
              <w:rPr>
                <w:rFonts w:hint="eastAsia" w:ascii="Times New Roman" w:hAnsi="Times New Roman" w:eastAsia="仿宋_GB2312" w:cs="Times New Roman"/>
                <w:color w:val="000000"/>
                <w:kern w:val="0"/>
                <w:sz w:val="21"/>
                <w:szCs w:val="21"/>
                <w:lang w:val="en-US" w:eastAsia="zh-CN" w:bidi="ar-SA"/>
              </w:rPr>
              <w:t>，及时发现企业存在的产品质量问题。</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SA"/>
              </w:rPr>
              <w:t>13、完成</w:t>
            </w:r>
            <w:r>
              <w:rPr>
                <w:rFonts w:hint="eastAsia" w:ascii="Times New Roman" w:hAnsi="Times New Roman" w:cs="Times New Roman"/>
                <w:color w:val="000000"/>
                <w:kern w:val="0"/>
                <w:sz w:val="21"/>
                <w:szCs w:val="21"/>
                <w:lang w:val="en-US" w:eastAsia="zh-CN" w:bidi="ar-SA"/>
              </w:rPr>
              <w:t>了</w:t>
            </w:r>
            <w:r>
              <w:rPr>
                <w:rFonts w:hint="eastAsia" w:ascii="Times New Roman" w:hAnsi="Times New Roman" w:eastAsia="仿宋_GB2312" w:cs="Times New Roman"/>
                <w:color w:val="000000"/>
                <w:kern w:val="0"/>
                <w:sz w:val="21"/>
                <w:szCs w:val="21"/>
                <w:lang w:val="en-US" w:eastAsia="zh-CN" w:bidi="ar-SA"/>
              </w:rPr>
              <w:t>上级质量工作考核，开展</w:t>
            </w:r>
            <w:r>
              <w:rPr>
                <w:rFonts w:hint="eastAsia" w:ascii="Times New Roman" w:hAnsi="Times New Roman" w:cs="Times New Roman"/>
                <w:color w:val="000000"/>
                <w:kern w:val="0"/>
                <w:sz w:val="21"/>
                <w:szCs w:val="21"/>
                <w:lang w:val="en-US" w:eastAsia="zh-CN" w:bidi="ar-SA"/>
              </w:rPr>
              <w:t>了</w:t>
            </w:r>
            <w:r>
              <w:rPr>
                <w:rFonts w:hint="eastAsia" w:ascii="Times New Roman" w:hAnsi="Times New Roman" w:eastAsia="仿宋_GB2312" w:cs="Times New Roman"/>
                <w:color w:val="000000"/>
                <w:kern w:val="0"/>
                <w:sz w:val="21"/>
                <w:szCs w:val="21"/>
                <w:lang w:val="en-US" w:eastAsia="zh-CN" w:bidi="ar-SA"/>
              </w:rPr>
              <w:t>全市消费者品质量合格率测评工作。</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SA"/>
              </w:rPr>
              <w:t>14、</w:t>
            </w:r>
            <w:r>
              <w:rPr>
                <w:rFonts w:hint="eastAsia" w:ascii="Times New Roman" w:hAnsi="Times New Roman" w:cs="Times New Roman"/>
                <w:color w:val="000000"/>
                <w:kern w:val="0"/>
                <w:sz w:val="21"/>
                <w:szCs w:val="21"/>
                <w:lang w:val="en-US" w:eastAsia="zh-CN" w:bidi="ar-SA"/>
              </w:rPr>
              <w:t>完成了</w:t>
            </w:r>
            <w:r>
              <w:rPr>
                <w:rFonts w:hint="eastAsia" w:ascii="Times New Roman" w:hAnsi="Times New Roman" w:eastAsia="仿宋_GB2312" w:cs="Times New Roman"/>
                <w:color w:val="000000"/>
                <w:kern w:val="0"/>
                <w:sz w:val="21"/>
                <w:szCs w:val="21"/>
                <w:lang w:val="en-US" w:eastAsia="zh-CN" w:bidi="ar-SA"/>
              </w:rPr>
              <w:t>认证活动事中事后监督检查</w:t>
            </w:r>
            <w:r>
              <w:rPr>
                <w:rFonts w:hint="eastAsia" w:ascii="Times New Roman" w:hAnsi="Times New Roman" w:cs="Times New Roman"/>
                <w:color w:val="000000"/>
                <w:kern w:val="0"/>
                <w:sz w:val="21"/>
                <w:szCs w:val="21"/>
                <w:lang w:val="en-US" w:eastAsia="zh-CN" w:bidi="ar-SA"/>
              </w:rPr>
              <w:t>5个。</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SA"/>
              </w:rPr>
              <w:t>15、</w:t>
            </w:r>
            <w:r>
              <w:rPr>
                <w:rFonts w:hint="eastAsia" w:ascii="Times New Roman" w:hAnsi="Times New Roman" w:eastAsia="仿宋_GB2312" w:cs="Times New Roman"/>
                <w:color w:val="000000"/>
                <w:kern w:val="0"/>
                <w:sz w:val="21"/>
                <w:szCs w:val="21"/>
                <w:lang w:val="en-US" w:eastAsia="zh-CN" w:bidi="ar-SA"/>
              </w:rPr>
              <w:t>完成药品抽检119批次，化妆品抽检75批次，医疗器械抽检10批次</w:t>
            </w:r>
            <w:r>
              <w:rPr>
                <w:rFonts w:hint="eastAsia" w:ascii="Times New Roman" w:hAnsi="Times New Roman" w:cs="Times New Roman"/>
                <w:color w:val="000000"/>
                <w:kern w:val="0"/>
                <w:sz w:val="21"/>
                <w:szCs w:val="21"/>
                <w:lang w:val="en-US" w:eastAsia="zh-CN" w:bidi="ar-SA"/>
              </w:rPr>
              <w:t>。</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s="Times New Roman"/>
                <w:color w:val="000000"/>
                <w:kern w:val="0"/>
                <w:sz w:val="21"/>
                <w:szCs w:val="21"/>
                <w:lang w:val="en-US" w:eastAsia="zh-CN" w:bidi="ar-SA"/>
              </w:rPr>
              <w:t>16、</w:t>
            </w:r>
            <w:r>
              <w:rPr>
                <w:rFonts w:hint="eastAsia" w:ascii="Times New Roman" w:hAnsi="Times New Roman" w:eastAsia="仿宋_GB2312" w:cs="Times New Roman"/>
                <w:color w:val="000000"/>
                <w:kern w:val="0"/>
                <w:sz w:val="21"/>
                <w:szCs w:val="21"/>
                <w:lang w:val="en-US" w:eastAsia="zh-CN" w:bidi="ar-SA"/>
              </w:rPr>
              <w:t>完善</w:t>
            </w:r>
            <w:r>
              <w:rPr>
                <w:rFonts w:hint="eastAsia" w:ascii="Times New Roman" w:hAnsi="Times New Roman" w:cs="Times New Roman"/>
                <w:color w:val="000000"/>
                <w:kern w:val="0"/>
                <w:sz w:val="21"/>
                <w:szCs w:val="21"/>
                <w:lang w:val="en-US" w:eastAsia="zh-CN" w:bidi="ar-SA"/>
              </w:rPr>
              <w:t>了</w:t>
            </w:r>
            <w:r>
              <w:rPr>
                <w:rFonts w:hint="eastAsia" w:ascii="Times New Roman" w:hAnsi="Times New Roman" w:eastAsia="仿宋_GB2312" w:cs="Times New Roman"/>
                <w:color w:val="000000"/>
                <w:kern w:val="0"/>
                <w:sz w:val="21"/>
                <w:szCs w:val="21"/>
                <w:lang w:val="en-US" w:eastAsia="zh-CN" w:bidi="ar-SA"/>
              </w:rPr>
              <w:t>我市标准体系，推动</w:t>
            </w:r>
            <w:r>
              <w:rPr>
                <w:rFonts w:hint="eastAsia" w:ascii="Times New Roman" w:hAnsi="Times New Roman" w:cs="Times New Roman"/>
                <w:color w:val="000000"/>
                <w:kern w:val="0"/>
                <w:sz w:val="21"/>
                <w:szCs w:val="21"/>
                <w:lang w:val="en-US" w:eastAsia="zh-CN" w:bidi="ar-SA"/>
              </w:rPr>
              <w:t>了</w:t>
            </w:r>
            <w:r>
              <w:rPr>
                <w:rFonts w:hint="eastAsia" w:ascii="Times New Roman" w:hAnsi="Times New Roman" w:eastAsia="仿宋_GB2312" w:cs="Times New Roman"/>
                <w:color w:val="000000"/>
                <w:kern w:val="0"/>
                <w:sz w:val="21"/>
                <w:szCs w:val="21"/>
                <w:lang w:val="en-US" w:eastAsia="zh-CN" w:bidi="ar-SA"/>
              </w:rPr>
              <w:t>标准化示范试点</w:t>
            </w:r>
            <w:r>
              <w:rPr>
                <w:rFonts w:hint="eastAsia" w:ascii="Times New Roman" w:hAnsi="Times New Roman" w:cs="Times New Roman"/>
                <w:color w:val="000000"/>
                <w:kern w:val="0"/>
                <w:sz w:val="21"/>
                <w:szCs w:val="21"/>
                <w:lang w:val="en-US" w:eastAsia="zh-CN" w:bidi="ar-SA"/>
              </w:rPr>
              <w:t>8个</w:t>
            </w:r>
            <w:r>
              <w:rPr>
                <w:rFonts w:hint="eastAsia" w:ascii="Times New Roman" w:hAnsi="Times New Roman" w:eastAsia="仿宋_GB2312" w:cs="Times New Roman"/>
                <w:color w:val="000000"/>
                <w:kern w:val="0"/>
                <w:sz w:val="21"/>
                <w:szCs w:val="21"/>
                <w:lang w:val="en-US" w:eastAsia="zh-CN" w:bidi="ar-SA"/>
              </w:rPr>
              <w:t>。</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color w:val="000000"/>
                <w:kern w:val="0"/>
                <w:sz w:val="21"/>
                <w:szCs w:val="21"/>
              </w:rPr>
            </w:pPr>
            <w:r>
              <w:rPr>
                <w:rFonts w:hint="eastAsia" w:ascii="Times New Roman" w:hAnsi="Times New Roman" w:eastAsia="仿宋_GB2312" w:cs="Times New Roman"/>
                <w:color w:val="000000"/>
                <w:kern w:val="0"/>
                <w:sz w:val="21"/>
                <w:szCs w:val="21"/>
                <w:lang w:val="en-US" w:eastAsia="zh-CN" w:bidi="ar-SA"/>
              </w:rPr>
              <w:t>17、</w:t>
            </w:r>
            <w:r>
              <w:rPr>
                <w:rFonts w:hint="eastAsia" w:ascii="Times New Roman" w:hAnsi="Times New Roman" w:eastAsia="仿宋_GB2312" w:cs="Times New Roman"/>
                <w:color w:val="000000"/>
                <w:kern w:val="0"/>
                <w:sz w:val="21"/>
                <w:szCs w:val="21"/>
                <w:lang w:val="en-US" w:eastAsia="zh-CN" w:bidi="ar-SA"/>
              </w:rPr>
              <w:t>扎实推进</w:t>
            </w:r>
            <w:r>
              <w:rPr>
                <w:rFonts w:hint="eastAsia" w:ascii="Times New Roman" w:hAnsi="Times New Roman" w:cs="Times New Roman"/>
                <w:color w:val="000000"/>
                <w:kern w:val="0"/>
                <w:sz w:val="21"/>
                <w:szCs w:val="21"/>
                <w:lang w:val="en-US" w:eastAsia="zh-CN" w:bidi="ar-SA"/>
              </w:rPr>
              <w:t>了</w:t>
            </w:r>
            <w:r>
              <w:rPr>
                <w:rFonts w:hint="eastAsia" w:ascii="Times New Roman" w:hAnsi="Times New Roman" w:eastAsia="仿宋_GB2312" w:cs="Times New Roman"/>
                <w:color w:val="000000"/>
                <w:kern w:val="0"/>
                <w:sz w:val="21"/>
                <w:szCs w:val="21"/>
                <w:lang w:val="en-US" w:eastAsia="zh-CN" w:bidi="ar-SA"/>
              </w:rPr>
              <w:t>“三高四新”知识产权强</w:t>
            </w:r>
            <w:r>
              <w:rPr>
                <w:rFonts w:hint="eastAsia" w:ascii="Times New Roman" w:hAnsi="Times New Roman" w:cs="Times New Roman"/>
                <w:color w:val="000000"/>
                <w:kern w:val="0"/>
                <w:sz w:val="21"/>
                <w:szCs w:val="21"/>
                <w:lang w:val="en-US" w:eastAsia="zh-CN" w:bidi="ar-SA"/>
              </w:rPr>
              <w:t>市</w:t>
            </w:r>
            <w:r>
              <w:rPr>
                <w:rFonts w:hint="eastAsia" w:ascii="Times New Roman" w:hAnsi="Times New Roman" w:eastAsia="仿宋_GB2312" w:cs="Times New Roman"/>
                <w:color w:val="000000"/>
                <w:kern w:val="0"/>
                <w:sz w:val="21"/>
                <w:szCs w:val="21"/>
                <w:lang w:val="en-US" w:eastAsia="zh-CN" w:bidi="ar-SA"/>
              </w:rPr>
              <w:t>建设，突出抓好</w:t>
            </w:r>
            <w:r>
              <w:rPr>
                <w:rFonts w:hint="eastAsia" w:ascii="Times New Roman" w:hAnsi="Times New Roman" w:cs="Times New Roman"/>
                <w:color w:val="000000"/>
                <w:kern w:val="0"/>
                <w:sz w:val="21"/>
                <w:szCs w:val="21"/>
                <w:lang w:val="en-US" w:eastAsia="zh-CN" w:bidi="ar-SA"/>
              </w:rPr>
              <w:t>了</w:t>
            </w:r>
            <w:r>
              <w:rPr>
                <w:rFonts w:hint="eastAsia" w:ascii="Times New Roman" w:hAnsi="Times New Roman" w:eastAsia="仿宋_GB2312" w:cs="Times New Roman"/>
                <w:color w:val="000000"/>
                <w:kern w:val="0"/>
                <w:sz w:val="21"/>
                <w:szCs w:val="21"/>
                <w:lang w:val="en-US" w:eastAsia="zh-CN" w:bidi="ar-SA"/>
              </w:rPr>
              <w:t>“三件大事”，部署开展</w:t>
            </w:r>
            <w:r>
              <w:rPr>
                <w:rFonts w:hint="eastAsia" w:ascii="Times New Roman" w:hAnsi="Times New Roman" w:cs="Times New Roman"/>
                <w:color w:val="000000"/>
                <w:kern w:val="0"/>
                <w:sz w:val="21"/>
                <w:szCs w:val="21"/>
                <w:lang w:val="en-US" w:eastAsia="zh-CN" w:bidi="ar-SA"/>
              </w:rPr>
              <w:t>了</w:t>
            </w:r>
            <w:r>
              <w:rPr>
                <w:rFonts w:hint="eastAsia" w:ascii="Times New Roman" w:hAnsi="Times New Roman" w:eastAsia="仿宋_GB2312" w:cs="Times New Roman"/>
                <w:color w:val="000000"/>
                <w:kern w:val="0"/>
                <w:sz w:val="21"/>
                <w:szCs w:val="21"/>
                <w:lang w:val="en-US" w:eastAsia="zh-CN" w:bidi="ar-SA"/>
              </w:rPr>
              <w:t>“五大行动”，统筹推进“五项工作”，不断释放知识产权助力经济高质量发展的新动能。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03" w:type="dxa"/>
            <w:vMerge w:val="restart"/>
            <w:noWrap w:val="0"/>
            <w:vAlign w:val="center"/>
          </w:tcPr>
          <w:p>
            <w:pPr>
              <w:widowControl/>
              <w:jc w:val="center"/>
              <w:rPr>
                <w:color w:val="000000"/>
                <w:kern w:val="0"/>
                <w:sz w:val="21"/>
                <w:szCs w:val="21"/>
              </w:rPr>
            </w:pPr>
            <w:r>
              <w:rPr>
                <w:color w:val="000000"/>
                <w:kern w:val="0"/>
                <w:sz w:val="21"/>
                <w:szCs w:val="21"/>
              </w:rPr>
              <w:t>绩</w:t>
            </w:r>
          </w:p>
          <w:p>
            <w:pPr>
              <w:widowControl/>
              <w:jc w:val="center"/>
              <w:rPr>
                <w:color w:val="000000"/>
                <w:kern w:val="0"/>
                <w:sz w:val="21"/>
                <w:szCs w:val="21"/>
              </w:rPr>
            </w:pPr>
            <w:r>
              <w:rPr>
                <w:color w:val="000000"/>
                <w:kern w:val="0"/>
                <w:sz w:val="21"/>
                <w:szCs w:val="21"/>
              </w:rPr>
              <w:t>效</w:t>
            </w:r>
          </w:p>
          <w:p>
            <w:pPr>
              <w:widowControl/>
              <w:jc w:val="center"/>
              <w:rPr>
                <w:color w:val="000000"/>
                <w:kern w:val="0"/>
                <w:sz w:val="21"/>
                <w:szCs w:val="21"/>
              </w:rPr>
            </w:pPr>
            <w:r>
              <w:rPr>
                <w:color w:val="000000"/>
                <w:kern w:val="0"/>
                <w:sz w:val="21"/>
                <w:szCs w:val="21"/>
              </w:rPr>
              <w:t>指</w:t>
            </w:r>
          </w:p>
          <w:p>
            <w:pPr>
              <w:widowControl/>
              <w:jc w:val="center"/>
              <w:rPr>
                <w:color w:val="000000"/>
                <w:kern w:val="0"/>
                <w:sz w:val="21"/>
                <w:szCs w:val="21"/>
              </w:rPr>
            </w:pPr>
            <w:r>
              <w:rPr>
                <w:color w:val="000000"/>
                <w:kern w:val="0"/>
                <w:sz w:val="21"/>
                <w:szCs w:val="21"/>
              </w:rPr>
              <w:t>标</w:t>
            </w:r>
          </w:p>
        </w:tc>
        <w:tc>
          <w:tcPr>
            <w:tcW w:w="1061" w:type="dxa"/>
            <w:noWrap w:val="0"/>
            <w:vAlign w:val="center"/>
          </w:tcPr>
          <w:p>
            <w:pPr>
              <w:widowControl/>
              <w:spacing w:line="240" w:lineRule="exact"/>
              <w:jc w:val="center"/>
              <w:rPr>
                <w:color w:val="000000"/>
                <w:kern w:val="0"/>
                <w:sz w:val="21"/>
                <w:szCs w:val="21"/>
              </w:rPr>
            </w:pPr>
            <w:r>
              <w:rPr>
                <w:color w:val="000000"/>
                <w:kern w:val="0"/>
                <w:sz w:val="21"/>
                <w:szCs w:val="21"/>
              </w:rPr>
              <w:t>一级指标</w:t>
            </w:r>
          </w:p>
        </w:tc>
        <w:tc>
          <w:tcPr>
            <w:tcW w:w="950" w:type="dxa"/>
            <w:noWrap w:val="0"/>
            <w:vAlign w:val="center"/>
          </w:tcPr>
          <w:p>
            <w:pPr>
              <w:widowControl/>
              <w:spacing w:line="240" w:lineRule="exact"/>
              <w:jc w:val="center"/>
              <w:rPr>
                <w:color w:val="000000"/>
                <w:kern w:val="0"/>
                <w:sz w:val="21"/>
                <w:szCs w:val="21"/>
              </w:rPr>
            </w:pPr>
            <w:r>
              <w:rPr>
                <w:color w:val="000000"/>
                <w:kern w:val="0"/>
                <w:sz w:val="21"/>
                <w:szCs w:val="21"/>
              </w:rPr>
              <w:t>二级指标</w:t>
            </w:r>
          </w:p>
        </w:tc>
        <w:tc>
          <w:tcPr>
            <w:tcW w:w="2075" w:type="dxa"/>
            <w:gridSpan w:val="2"/>
            <w:noWrap w:val="0"/>
            <w:vAlign w:val="center"/>
          </w:tcPr>
          <w:p>
            <w:pPr>
              <w:widowControl/>
              <w:spacing w:line="240" w:lineRule="exact"/>
              <w:jc w:val="center"/>
              <w:rPr>
                <w:color w:val="000000"/>
                <w:kern w:val="0"/>
                <w:sz w:val="21"/>
                <w:szCs w:val="21"/>
              </w:rPr>
            </w:pPr>
            <w:r>
              <w:rPr>
                <w:color w:val="000000"/>
                <w:kern w:val="0"/>
                <w:sz w:val="21"/>
                <w:szCs w:val="21"/>
              </w:rPr>
              <w:t>三级指标</w:t>
            </w:r>
          </w:p>
        </w:tc>
        <w:tc>
          <w:tcPr>
            <w:tcW w:w="939" w:type="dxa"/>
            <w:gridSpan w:val="2"/>
            <w:noWrap w:val="0"/>
            <w:vAlign w:val="center"/>
          </w:tcPr>
          <w:p>
            <w:pPr>
              <w:widowControl/>
              <w:spacing w:line="240" w:lineRule="exact"/>
              <w:jc w:val="center"/>
              <w:rPr>
                <w:color w:val="000000"/>
                <w:kern w:val="0"/>
                <w:sz w:val="21"/>
                <w:szCs w:val="21"/>
              </w:rPr>
            </w:pPr>
            <w:r>
              <w:rPr>
                <w:color w:val="000000"/>
                <w:kern w:val="0"/>
                <w:sz w:val="21"/>
                <w:szCs w:val="21"/>
              </w:rPr>
              <w:t>年度指标值</w:t>
            </w:r>
          </w:p>
        </w:tc>
        <w:tc>
          <w:tcPr>
            <w:tcW w:w="998" w:type="dxa"/>
            <w:noWrap w:val="0"/>
            <w:vAlign w:val="center"/>
          </w:tcPr>
          <w:p>
            <w:pPr>
              <w:widowControl/>
              <w:spacing w:line="240" w:lineRule="exact"/>
              <w:jc w:val="center"/>
              <w:rPr>
                <w:rFonts w:hint="eastAsia"/>
                <w:color w:val="000000"/>
                <w:kern w:val="0"/>
                <w:sz w:val="21"/>
                <w:szCs w:val="21"/>
              </w:rPr>
            </w:pPr>
            <w:r>
              <w:rPr>
                <w:color w:val="000000"/>
                <w:kern w:val="0"/>
                <w:sz w:val="21"/>
                <w:szCs w:val="21"/>
              </w:rPr>
              <w:t>实际</w:t>
            </w:r>
          </w:p>
          <w:p>
            <w:pPr>
              <w:widowControl/>
              <w:spacing w:line="240" w:lineRule="exact"/>
              <w:jc w:val="center"/>
              <w:rPr>
                <w:color w:val="000000"/>
                <w:kern w:val="0"/>
                <w:sz w:val="21"/>
                <w:szCs w:val="21"/>
              </w:rPr>
            </w:pPr>
            <w:r>
              <w:rPr>
                <w:color w:val="000000"/>
                <w:kern w:val="0"/>
                <w:sz w:val="21"/>
                <w:szCs w:val="21"/>
              </w:rPr>
              <w:t>完成值</w:t>
            </w:r>
          </w:p>
        </w:tc>
        <w:tc>
          <w:tcPr>
            <w:tcW w:w="1063" w:type="dxa"/>
            <w:gridSpan w:val="2"/>
            <w:noWrap w:val="0"/>
            <w:vAlign w:val="center"/>
          </w:tcPr>
          <w:p>
            <w:pPr>
              <w:widowControl/>
              <w:spacing w:line="240" w:lineRule="exact"/>
              <w:jc w:val="center"/>
              <w:rPr>
                <w:color w:val="000000"/>
                <w:kern w:val="0"/>
                <w:sz w:val="21"/>
                <w:szCs w:val="21"/>
              </w:rPr>
            </w:pPr>
            <w:r>
              <w:rPr>
                <w:color w:val="000000"/>
                <w:kern w:val="0"/>
                <w:sz w:val="21"/>
                <w:szCs w:val="21"/>
              </w:rPr>
              <w:t>分值</w:t>
            </w:r>
          </w:p>
        </w:tc>
        <w:tc>
          <w:tcPr>
            <w:tcW w:w="652" w:type="dxa"/>
            <w:noWrap w:val="0"/>
            <w:vAlign w:val="center"/>
          </w:tcPr>
          <w:p>
            <w:pPr>
              <w:widowControl/>
              <w:spacing w:line="240" w:lineRule="exact"/>
              <w:jc w:val="center"/>
              <w:rPr>
                <w:color w:val="000000"/>
                <w:kern w:val="0"/>
                <w:sz w:val="21"/>
                <w:szCs w:val="21"/>
              </w:rPr>
            </w:pPr>
            <w:r>
              <w:rPr>
                <w:rFonts w:hint="eastAsia"/>
                <w:color w:val="000000"/>
                <w:kern w:val="0"/>
                <w:sz w:val="21"/>
                <w:szCs w:val="21"/>
              </w:rPr>
              <w:t>自评</w:t>
            </w:r>
            <w:r>
              <w:rPr>
                <w:color w:val="000000"/>
                <w:kern w:val="0"/>
                <w:sz w:val="21"/>
                <w:szCs w:val="21"/>
              </w:rPr>
              <w:t>得分</w:t>
            </w:r>
          </w:p>
        </w:tc>
        <w:tc>
          <w:tcPr>
            <w:tcW w:w="1112" w:type="dxa"/>
            <w:noWrap w:val="0"/>
            <w:vAlign w:val="top"/>
          </w:tcPr>
          <w:p>
            <w:pPr>
              <w:widowControl/>
              <w:spacing w:line="240" w:lineRule="exact"/>
              <w:jc w:val="center"/>
              <w:rPr>
                <w:rFonts w:hint="eastAsia"/>
                <w:color w:val="000000"/>
                <w:kern w:val="0"/>
                <w:sz w:val="21"/>
                <w:szCs w:val="21"/>
              </w:rPr>
            </w:pPr>
            <w:r>
              <w:rPr>
                <w:color w:val="000000"/>
                <w:kern w:val="0"/>
                <w:sz w:val="21"/>
                <w:szCs w:val="21"/>
              </w:rPr>
              <w:t>偏差原因</w:t>
            </w:r>
          </w:p>
          <w:p>
            <w:pPr>
              <w:widowControl/>
              <w:spacing w:line="240" w:lineRule="exact"/>
              <w:jc w:val="center"/>
              <w:rPr>
                <w:rFonts w:hint="eastAsia"/>
                <w:color w:val="000000"/>
                <w:kern w:val="0"/>
                <w:sz w:val="21"/>
                <w:szCs w:val="21"/>
              </w:rPr>
            </w:pPr>
            <w:r>
              <w:rPr>
                <w:color w:val="000000"/>
                <w:kern w:val="0"/>
                <w:sz w:val="21"/>
                <w:szCs w:val="21"/>
              </w:rPr>
              <w:t>分析及</w:t>
            </w:r>
          </w:p>
          <w:p>
            <w:pPr>
              <w:widowControl/>
              <w:spacing w:line="240" w:lineRule="exact"/>
              <w:jc w:val="center"/>
              <w:rPr>
                <w:color w:val="000000"/>
                <w:kern w:val="0"/>
                <w:sz w:val="21"/>
                <w:szCs w:val="21"/>
              </w:rPr>
            </w:pPr>
            <w:r>
              <w:rPr>
                <w:color w:val="000000"/>
                <w:kern w:val="0"/>
                <w:sz w:val="21"/>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03" w:type="dxa"/>
            <w:vMerge w:val="continue"/>
            <w:noWrap w:val="0"/>
            <w:vAlign w:val="center"/>
          </w:tcPr>
          <w:p>
            <w:pPr>
              <w:jc w:val="center"/>
              <w:rPr>
                <w:color w:val="000000"/>
                <w:kern w:val="0"/>
                <w:sz w:val="21"/>
                <w:szCs w:val="21"/>
              </w:rPr>
            </w:pPr>
          </w:p>
        </w:tc>
        <w:tc>
          <w:tcPr>
            <w:tcW w:w="1061" w:type="dxa"/>
            <w:vMerge w:val="restart"/>
            <w:noWrap w:val="0"/>
            <w:vAlign w:val="center"/>
          </w:tcPr>
          <w:p>
            <w:pPr>
              <w:widowControl/>
              <w:jc w:val="center"/>
              <w:rPr>
                <w:color w:val="000000"/>
                <w:kern w:val="0"/>
                <w:sz w:val="21"/>
                <w:szCs w:val="21"/>
              </w:rPr>
            </w:pPr>
            <w:r>
              <w:rPr>
                <w:color w:val="000000"/>
                <w:kern w:val="0"/>
                <w:sz w:val="21"/>
                <w:szCs w:val="21"/>
              </w:rPr>
              <w:t>产出指标</w:t>
            </w:r>
          </w:p>
          <w:p>
            <w:pPr>
              <w:widowControl/>
              <w:jc w:val="center"/>
              <w:rPr>
                <w:color w:val="000000"/>
                <w:kern w:val="0"/>
                <w:sz w:val="21"/>
                <w:szCs w:val="21"/>
              </w:rPr>
            </w:pPr>
            <w:r>
              <w:rPr>
                <w:color w:val="000000"/>
                <w:kern w:val="0"/>
                <w:sz w:val="21"/>
                <w:szCs w:val="21"/>
              </w:rPr>
              <w:t>(50分)</w:t>
            </w:r>
          </w:p>
        </w:tc>
        <w:tc>
          <w:tcPr>
            <w:tcW w:w="950" w:type="dxa"/>
            <w:vMerge w:val="restart"/>
            <w:noWrap w:val="0"/>
            <w:vAlign w:val="center"/>
          </w:tcPr>
          <w:p>
            <w:pPr>
              <w:widowControl/>
              <w:jc w:val="center"/>
              <w:rPr>
                <w:color w:val="000000"/>
                <w:kern w:val="0"/>
                <w:sz w:val="21"/>
                <w:szCs w:val="21"/>
              </w:rPr>
            </w:pPr>
            <w:r>
              <w:rPr>
                <w:color w:val="000000"/>
                <w:kern w:val="0"/>
                <w:sz w:val="21"/>
                <w:szCs w:val="21"/>
              </w:rPr>
              <w:t>数量指标</w:t>
            </w: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完成评查案卷数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default" w:ascii="宋体" w:hAnsi="宋体" w:eastAsia="宋体" w:cs="宋体"/>
                <w:i w:val="0"/>
                <w:iCs w:val="0"/>
                <w:color w:val="000000"/>
                <w:kern w:val="0"/>
                <w:sz w:val="14"/>
                <w:szCs w:val="14"/>
                <w:u w:val="none"/>
                <w:lang w:val="en-US" w:eastAsia="zh-CN" w:bidi="ar"/>
              </w:rPr>
              <w:t>≥</w:t>
            </w:r>
            <w:r>
              <w:rPr>
                <w:rFonts w:ascii="宋体" w:hAnsi="宋体" w:eastAsia="宋体" w:cs="宋体"/>
                <w:i w:val="0"/>
                <w:iCs w:val="0"/>
                <w:color w:val="000000"/>
                <w:kern w:val="0"/>
                <w:sz w:val="14"/>
                <w:szCs w:val="14"/>
                <w:u w:val="none"/>
                <w:lang w:val="en-US" w:eastAsia="zh-CN" w:bidi="ar"/>
              </w:rPr>
              <w:t>150个</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200个</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法治建设宣传次数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≥2次</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3次</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执法能力提升培训班次</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≥3次</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5次</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组织开展315国际消费者权益日宣传活动次数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与媒体合作开展315权益活动合作家数</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≥1家</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1家</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开展消费者维权领域专项整治行动次数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≥2次</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2次</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开展质量宣传月系列活动次数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开展全市品牌建设申报培训次</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开展全市消费者品质量合格率测评工作次数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开展质量工作考核次数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开展认证活动开展事中事后监督检查数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≥5个</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5个</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监督抽查重点特种设备使用单位数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≥50个</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50个</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开展抽检产商品批次</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≥550批次</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475批次</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电梯执法电子取证和司法监定台数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≥2台次</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2台次</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涉粮领域计量器具监管数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≥10个</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10个</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开展520计量日活动次数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行政处罚案件审查数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≥40个</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54个</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央媒、省媒、市媒主流媒体采发稿件数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≥1100个</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1200个</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评选优秀案例数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≥10个</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9个</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印刷市监系统新闻宣传数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≥50份</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50份</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开展公平竞争制度审查单位</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≥10个</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8个</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开展全市市场主体登记质量监测与分析数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≥1个</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1个</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撰写市场主体登记质量分析报告数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≥2个</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2个</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开展全市电子商务"双随机、一公开抽查"数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≥600个</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600个</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开展禁传宣传活动次数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开展涉企违规收费、医疗、教育等各领域的价格行为检查单位次数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≥8次</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8次</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全媒体广告监测次数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≥6000次</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6000次</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培养推荐入党积极分子或发展对象数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≥3个</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3个</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非公党委开展走访慰问活动次数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聘请律师、法律顾问人数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≥2人次</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3人次</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市本级食品安全抽检数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≥800批次</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1900批次</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更新安可设备台数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≥5台</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6台</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网络使用及网络监控租赁数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≥2条</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2条</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有效发明专利拥有量</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≥5.8件/万人</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7.31件/万人</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高价值专利拥有量</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≥1.7件/万人</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2.89件/万人</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办理专利纠纷案件数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≥50个</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55个</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开展知识产权执法培训次数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开展知识产权宣传次数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监管药品零售企业次数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≥8次</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8次</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化妆品监管企业数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≥100个</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100个</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医疗器械监管企业数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≥30个</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30个</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安全用药月、化妆品宣传周、医疗器械宣传周</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官方推送相关工作关或科普类信息数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≥2条</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2条</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药品抽验批次</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≥90批次</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119批次</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化妆品抽验批次</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≥20批次</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75批次</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医疗器械抽验批次</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≥10批絘</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10批次</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开展食盐专项整治行动次数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开展食品经营安全专项监督次数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≥8次</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9次</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“双随机、一公开”食品生产企业抽查数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≥35个</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38个</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开展护老行动整治宣传行动次数</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1次</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restart"/>
            <w:noWrap w:val="0"/>
            <w:vAlign w:val="center"/>
          </w:tcPr>
          <w:p>
            <w:pPr>
              <w:widowControl/>
              <w:jc w:val="center"/>
              <w:rPr>
                <w:color w:val="000000"/>
                <w:kern w:val="0"/>
                <w:sz w:val="21"/>
                <w:szCs w:val="21"/>
              </w:rPr>
            </w:pPr>
            <w:r>
              <w:rPr>
                <w:color w:val="000000"/>
                <w:kern w:val="0"/>
                <w:sz w:val="21"/>
                <w:szCs w:val="21"/>
              </w:rPr>
              <w:t>质量指标</w:t>
            </w: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市场主体增长率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≥6.5%</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7.81%</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查处假冒伪劣及其他质量违法案件处置率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投诉举报垄断行为案件核查完成率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市场监管培训参与度</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新就业群众"两个覆盖"覆盖率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≥90%</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90%</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省局交办督办指定管辖案件处理完结率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普法宣传完成率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消费者举报按时核查率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≥95%</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95%</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消费者投诉按时办结率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虚假违法广告线索处置率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涉传举报处理率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网络交易违法线索处置率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企业信用信息系统年报公示率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企业登记网办率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default" w:ascii="宋体" w:hAnsi="宋体" w:eastAsia="宋体" w:cs="宋体"/>
                <w:i w:val="0"/>
                <w:iCs w:val="0"/>
                <w:color w:val="000000"/>
                <w:kern w:val="0"/>
                <w:sz w:val="14"/>
                <w:szCs w:val="14"/>
                <w:u w:val="none"/>
                <w:lang w:val="en-US" w:eastAsia="zh-CN" w:bidi="ar"/>
              </w:rPr>
              <w:t>≥</w:t>
            </w:r>
            <w:r>
              <w:rPr>
                <w:rFonts w:hint="eastAsia" w:ascii="宋体" w:hAnsi="宋体" w:eastAsia="宋体" w:cs="宋体"/>
                <w:i w:val="0"/>
                <w:iCs w:val="0"/>
                <w:color w:val="000000"/>
                <w:kern w:val="0"/>
                <w:sz w:val="14"/>
                <w:szCs w:val="14"/>
                <w:u w:val="none"/>
                <w:lang w:val="en-US" w:eastAsia="zh-CN" w:bidi="ar"/>
              </w:rPr>
              <w:t>85%</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94%</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一般案件线索处置率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指导非公党组织党建设工作完成率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default" w:ascii="宋体" w:hAnsi="宋体" w:eastAsia="宋体" w:cs="宋体"/>
                <w:i w:val="0"/>
                <w:iCs w:val="0"/>
                <w:color w:val="000000"/>
                <w:kern w:val="0"/>
                <w:sz w:val="14"/>
                <w:szCs w:val="14"/>
                <w:u w:val="none"/>
                <w:lang w:val="en-US" w:eastAsia="zh-CN" w:bidi="ar"/>
              </w:rPr>
              <w:t>≥</w:t>
            </w:r>
            <w:r>
              <w:rPr>
                <w:rFonts w:hint="eastAsia" w:ascii="宋体" w:hAnsi="宋体" w:eastAsia="宋体" w:cs="宋体"/>
                <w:i w:val="0"/>
                <w:iCs w:val="0"/>
                <w:color w:val="000000"/>
                <w:kern w:val="0"/>
                <w:sz w:val="14"/>
                <w:szCs w:val="14"/>
                <w:u w:val="none"/>
                <w:lang w:val="en-US" w:eastAsia="zh-CN" w:bidi="ar"/>
              </w:rPr>
              <w:t>95%</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95%</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产品质量培训完成率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标准化实施率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产商品监督抽查工作不合格产品公示率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抽查不合格产商品批次处理处置率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食品经营主体督查问题整改率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不合格食品抽检核查处置率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食品安全评价性抽样检验合格率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信息系统稳定运行率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default" w:ascii="宋体" w:hAnsi="宋体" w:eastAsia="宋体" w:cs="宋体"/>
                <w:i w:val="0"/>
                <w:iCs w:val="0"/>
                <w:color w:val="000000"/>
                <w:kern w:val="0"/>
                <w:sz w:val="14"/>
                <w:szCs w:val="14"/>
                <w:u w:val="none"/>
                <w:lang w:val="en-US" w:eastAsia="zh-CN" w:bidi="ar"/>
              </w:rPr>
              <w:t>≥</w:t>
            </w:r>
            <w:r>
              <w:rPr>
                <w:rFonts w:hint="eastAsia" w:ascii="宋体" w:hAnsi="宋体" w:eastAsia="宋体" w:cs="宋体"/>
                <w:i w:val="0"/>
                <w:iCs w:val="0"/>
                <w:color w:val="000000"/>
                <w:kern w:val="0"/>
                <w:sz w:val="14"/>
                <w:szCs w:val="14"/>
                <w:u w:val="none"/>
                <w:lang w:val="en-US" w:eastAsia="zh-CN" w:bidi="ar"/>
              </w:rPr>
              <w:t>85%</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85%</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“两品一械”抽验完成率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药品医疗器械不良反应病例报告覆盖率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restart"/>
            <w:noWrap w:val="0"/>
            <w:vAlign w:val="center"/>
          </w:tcPr>
          <w:p>
            <w:pPr>
              <w:widowControl/>
              <w:jc w:val="center"/>
              <w:rPr>
                <w:color w:val="000000"/>
                <w:kern w:val="0"/>
                <w:sz w:val="21"/>
                <w:szCs w:val="21"/>
              </w:rPr>
            </w:pPr>
            <w:r>
              <w:rPr>
                <w:color w:val="000000"/>
                <w:kern w:val="0"/>
                <w:sz w:val="21"/>
                <w:szCs w:val="21"/>
              </w:rPr>
              <w:t>时效指标</w:t>
            </w: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指导全市非公企业党组织党建工作时间</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2024年12月31日前</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2024年12月31日</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产商品抽检完成时间</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2024年12月31日前</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2024年12月31日</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质量宣传月活动完成时间</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2024年12月31日前</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2024年12月31日</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处理价格投诉举报时间</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15日以内</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15日</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开展国家宪法日主题宣传活动时间</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2024年12月31日前</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2024年12月5日</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行政执法办案一般案件结办时间</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90日以内</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90日</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企业开办时间</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2个工作日以内</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2个工作日</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全市市场主体年报完成日期</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2024年12月31日</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2024年12月31日</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对上级移送案件开展措排处理时间</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15个工作日以内</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15个工作日</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检验不合格产品信息上报及时率</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食品安全工作考核完成时间</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2024年12月31日前</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2024年12月31日</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restart"/>
            <w:noWrap w:val="0"/>
            <w:vAlign w:val="center"/>
          </w:tcPr>
          <w:p>
            <w:pPr>
              <w:widowControl/>
              <w:jc w:val="center"/>
              <w:rPr>
                <w:color w:val="000000"/>
                <w:kern w:val="0"/>
                <w:sz w:val="21"/>
                <w:szCs w:val="21"/>
              </w:rPr>
            </w:pPr>
            <w:r>
              <w:rPr>
                <w:color w:val="000000"/>
                <w:kern w:val="0"/>
                <w:sz w:val="21"/>
                <w:szCs w:val="21"/>
              </w:rPr>
              <w:t>成本指标</w:t>
            </w: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部门预算总成本</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≤8876.29万元</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8876.29万元</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开展公平竞争审查第三方评估费用</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default" w:ascii="宋体" w:hAnsi="宋体" w:eastAsia="宋体" w:cs="宋体"/>
                <w:i w:val="0"/>
                <w:iCs w:val="0"/>
                <w:color w:val="000000"/>
                <w:kern w:val="0"/>
                <w:sz w:val="14"/>
                <w:szCs w:val="14"/>
                <w:u w:val="none"/>
                <w:lang w:val="en-US" w:eastAsia="zh-CN" w:bidi="ar"/>
              </w:rPr>
              <w:t>≤</w:t>
            </w:r>
            <w:r>
              <w:rPr>
                <w:rFonts w:hint="eastAsia" w:ascii="宋体" w:hAnsi="宋体" w:eastAsia="宋体" w:cs="宋体"/>
                <w:i w:val="0"/>
                <w:iCs w:val="0"/>
                <w:color w:val="000000"/>
                <w:kern w:val="0"/>
                <w:sz w:val="14"/>
                <w:szCs w:val="14"/>
                <w:u w:val="none"/>
                <w:lang w:val="en-US" w:eastAsia="zh-CN" w:bidi="ar"/>
              </w:rPr>
              <w:t>10万元</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9.8万元</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市场主体登记质量监测与分析费用</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≤15万元</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13万元</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全媒体广告监测服务费用</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≤10万元</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8万元</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新闻宣传与应急管理成本</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≤85万元</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31万元</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培训成本（每人每天）</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≤550元/人/天</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300元/人/天</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非公党建慰问成本</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≤10万元</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2万元</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聘请法律顾问成本</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≤5万元/人/年</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5万元/人/年</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开展315国际消费者权益日活动费用</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≤15万元</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4.2万元</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“两品一械“抽检成本</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≤2000元/批次</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1400元/批次</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食品抽检成本</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≤700元/批次</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565元/批次</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完成得0.5分</w:t>
            </w:r>
          </w:p>
        </w:tc>
        <w:tc>
          <w:tcPr>
            <w:tcW w:w="65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color w:val="000000"/>
                <w:kern w:val="0"/>
                <w:sz w:val="21"/>
                <w:szCs w:val="21"/>
              </w:rPr>
            </w:pPr>
          </w:p>
        </w:tc>
        <w:tc>
          <w:tcPr>
            <w:tcW w:w="1061" w:type="dxa"/>
            <w:vMerge w:val="restart"/>
            <w:noWrap w:val="0"/>
            <w:vAlign w:val="center"/>
          </w:tcPr>
          <w:p>
            <w:pPr>
              <w:widowControl/>
              <w:jc w:val="center"/>
              <w:rPr>
                <w:color w:val="000000"/>
                <w:kern w:val="0"/>
                <w:sz w:val="21"/>
                <w:szCs w:val="21"/>
              </w:rPr>
            </w:pPr>
            <w:r>
              <w:rPr>
                <w:color w:val="000000"/>
                <w:kern w:val="0"/>
                <w:sz w:val="21"/>
                <w:szCs w:val="21"/>
              </w:rPr>
              <w:t>效益指标</w:t>
            </w:r>
          </w:p>
          <w:p>
            <w:pPr>
              <w:widowControl/>
              <w:ind w:firstLine="210" w:firstLineChars="100"/>
              <w:jc w:val="left"/>
              <w:rPr>
                <w:color w:val="000000"/>
                <w:kern w:val="0"/>
                <w:sz w:val="21"/>
                <w:szCs w:val="21"/>
              </w:rPr>
            </w:pPr>
            <w:r>
              <w:rPr>
                <w:color w:val="000000"/>
                <w:kern w:val="0"/>
                <w:sz w:val="21"/>
                <w:szCs w:val="21"/>
              </w:rPr>
              <w:t>（30分）　</w:t>
            </w:r>
          </w:p>
        </w:tc>
        <w:tc>
          <w:tcPr>
            <w:tcW w:w="950" w:type="dxa"/>
            <w:vMerge w:val="restart"/>
            <w:noWrap w:val="0"/>
            <w:vAlign w:val="center"/>
          </w:tcPr>
          <w:p>
            <w:pPr>
              <w:widowControl/>
              <w:jc w:val="center"/>
              <w:rPr>
                <w:color w:val="000000"/>
                <w:kern w:val="0"/>
                <w:sz w:val="21"/>
                <w:szCs w:val="21"/>
              </w:rPr>
            </w:pPr>
            <w:r>
              <w:rPr>
                <w:color w:val="000000"/>
                <w:kern w:val="0"/>
                <w:sz w:val="21"/>
                <w:szCs w:val="21"/>
              </w:rPr>
              <w:t>经济效益指标</w:t>
            </w:r>
          </w:p>
        </w:tc>
        <w:tc>
          <w:tcPr>
            <w:tcW w:w="2075" w:type="dxa"/>
            <w:gridSpan w:val="2"/>
            <w:noWrap w:val="0"/>
            <w:vAlign w:val="center"/>
          </w:tcPr>
          <w:p>
            <w:pPr>
              <w:keepNext w:val="0"/>
              <w:keepLines w:val="0"/>
              <w:widowControl/>
              <w:suppressLineNumbers w:val="0"/>
              <w:jc w:val="left"/>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免费为开办企业赠送印章服务企业数</w:t>
            </w:r>
          </w:p>
        </w:tc>
        <w:tc>
          <w:tcPr>
            <w:tcW w:w="939"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ascii="宋体" w:hAnsi="宋体" w:eastAsia="宋体" w:cs="宋体"/>
                <w:i w:val="0"/>
                <w:iCs w:val="0"/>
                <w:color w:val="000000"/>
                <w:kern w:val="0"/>
                <w:sz w:val="14"/>
                <w:szCs w:val="14"/>
                <w:u w:val="none"/>
                <w:lang w:val="en-US" w:eastAsia="zh-CN" w:bidi="ar"/>
              </w:rPr>
              <w:t>≥160家</w:t>
            </w:r>
          </w:p>
        </w:tc>
        <w:tc>
          <w:tcPr>
            <w:tcW w:w="998"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150家</w:t>
            </w:r>
          </w:p>
        </w:tc>
        <w:tc>
          <w:tcPr>
            <w:tcW w:w="1063" w:type="dxa"/>
            <w:gridSpan w:val="2"/>
            <w:noWrap w:val="0"/>
            <w:vAlign w:val="center"/>
          </w:tcPr>
          <w:p>
            <w:pPr>
              <w:keepNext w:val="0"/>
              <w:keepLines w:val="0"/>
              <w:widowControl/>
              <w:suppressLineNumbers w:val="0"/>
              <w:jc w:val="center"/>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0.8</w:t>
            </w:r>
          </w:p>
        </w:tc>
        <w:tc>
          <w:tcPr>
            <w:tcW w:w="1112" w:type="dxa"/>
            <w:noWrap w:val="0"/>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专利许可交易金额</w:t>
            </w:r>
          </w:p>
        </w:tc>
        <w:tc>
          <w:tcPr>
            <w:tcW w:w="939"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ascii="宋体" w:hAnsi="宋体" w:eastAsia="宋体" w:cs="宋体"/>
                <w:i w:val="0"/>
                <w:iCs w:val="0"/>
                <w:color w:val="000000"/>
                <w:kern w:val="0"/>
                <w:sz w:val="14"/>
                <w:szCs w:val="14"/>
                <w:u w:val="none"/>
                <w:lang w:val="en-US" w:eastAsia="zh-CN" w:bidi="ar"/>
              </w:rPr>
              <w:t>≥200万元</w:t>
            </w:r>
          </w:p>
        </w:tc>
        <w:tc>
          <w:tcPr>
            <w:tcW w:w="998"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90.28万元</w:t>
            </w:r>
          </w:p>
        </w:tc>
        <w:tc>
          <w:tcPr>
            <w:tcW w:w="1063" w:type="dxa"/>
            <w:gridSpan w:val="2"/>
            <w:noWrap w:val="0"/>
            <w:vAlign w:val="center"/>
          </w:tcPr>
          <w:p>
            <w:pPr>
              <w:keepNext w:val="0"/>
              <w:keepLines w:val="0"/>
              <w:widowControl/>
              <w:suppressLineNumbers w:val="0"/>
              <w:jc w:val="center"/>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0.5</w:t>
            </w:r>
          </w:p>
        </w:tc>
        <w:tc>
          <w:tcPr>
            <w:tcW w:w="1112" w:type="dxa"/>
            <w:noWrap w:val="0"/>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restart"/>
            <w:noWrap w:val="0"/>
            <w:vAlign w:val="center"/>
          </w:tcPr>
          <w:p>
            <w:pPr>
              <w:widowControl/>
              <w:jc w:val="center"/>
              <w:rPr>
                <w:color w:val="000000"/>
                <w:kern w:val="0"/>
                <w:sz w:val="21"/>
                <w:szCs w:val="21"/>
              </w:rPr>
            </w:pPr>
            <w:r>
              <w:rPr>
                <w:color w:val="000000"/>
                <w:kern w:val="0"/>
                <w:sz w:val="21"/>
                <w:szCs w:val="21"/>
              </w:rPr>
              <w:t>社会效</w:t>
            </w:r>
          </w:p>
          <w:p>
            <w:pPr>
              <w:widowControl/>
              <w:jc w:val="center"/>
              <w:rPr>
                <w:color w:val="000000"/>
                <w:kern w:val="0"/>
                <w:sz w:val="21"/>
                <w:szCs w:val="21"/>
              </w:rPr>
            </w:pPr>
            <w:r>
              <w:rPr>
                <w:color w:val="000000"/>
                <w:kern w:val="0"/>
                <w:sz w:val="21"/>
                <w:szCs w:val="21"/>
              </w:rPr>
              <w:t>益指标</w:t>
            </w: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传销活动得到有效遏制</w:t>
            </w:r>
          </w:p>
        </w:tc>
        <w:tc>
          <w:tcPr>
            <w:tcW w:w="939"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998"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市场准入、竞争、消费环境改善度</w:t>
            </w:r>
          </w:p>
        </w:tc>
        <w:tc>
          <w:tcPr>
            <w:tcW w:w="939"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998"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因传销而引发群体性稳定事件数</w:t>
            </w:r>
          </w:p>
        </w:tc>
        <w:tc>
          <w:tcPr>
            <w:tcW w:w="93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w:t>
            </w:r>
          </w:p>
        </w:tc>
        <w:tc>
          <w:tcPr>
            <w:tcW w:w="99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宣传市场监管工作，营造社会共治氛围</w:t>
            </w:r>
          </w:p>
        </w:tc>
        <w:tc>
          <w:tcPr>
            <w:tcW w:w="939"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998"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引导全市非公经济组织党组织积极主动作为</w:t>
            </w:r>
          </w:p>
        </w:tc>
        <w:tc>
          <w:tcPr>
            <w:tcW w:w="939"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998"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提升行政执法能力，建设法治性型政府</w:t>
            </w:r>
          </w:p>
        </w:tc>
        <w:tc>
          <w:tcPr>
            <w:tcW w:w="939"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998"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全市质量管理整体提升</w:t>
            </w:r>
          </w:p>
        </w:tc>
        <w:tc>
          <w:tcPr>
            <w:tcW w:w="939"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998"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认可与检验检测监管能力持续向好</w:t>
            </w:r>
          </w:p>
        </w:tc>
        <w:tc>
          <w:tcPr>
            <w:tcW w:w="939"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998"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特种设备安全监管水平持续加强</w:t>
            </w:r>
          </w:p>
        </w:tc>
        <w:tc>
          <w:tcPr>
            <w:tcW w:w="939"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998"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保障市场监管相应的特定领域工作顺利开展</w:t>
            </w:r>
          </w:p>
        </w:tc>
        <w:tc>
          <w:tcPr>
            <w:tcW w:w="939"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998"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提升知识产权意识，促进科技创新</w:t>
            </w:r>
          </w:p>
        </w:tc>
        <w:tc>
          <w:tcPr>
            <w:tcW w:w="939"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998"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提升市局药品安全意识水平</w:t>
            </w:r>
          </w:p>
        </w:tc>
        <w:tc>
          <w:tcPr>
            <w:tcW w:w="939"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998"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发现药品质量安全问题，化解安全风险</w:t>
            </w:r>
          </w:p>
        </w:tc>
        <w:tc>
          <w:tcPr>
            <w:tcW w:w="939"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及时</w:t>
            </w:r>
          </w:p>
        </w:tc>
        <w:tc>
          <w:tcPr>
            <w:tcW w:w="998"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及时</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保障食品安全，避免发生食品安全事故</w:t>
            </w:r>
          </w:p>
        </w:tc>
        <w:tc>
          <w:tcPr>
            <w:tcW w:w="939"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998"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vMerge w:val="continue"/>
            <w:noWrap w:val="0"/>
            <w:vAlign w:val="center"/>
          </w:tcPr>
          <w:p>
            <w:pPr>
              <w:widowControl/>
              <w:jc w:val="center"/>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辖区食品产业健康有序发展</w:t>
            </w:r>
          </w:p>
        </w:tc>
        <w:tc>
          <w:tcPr>
            <w:tcW w:w="939"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998"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不断提升</w:t>
            </w:r>
          </w:p>
        </w:tc>
        <w:tc>
          <w:tcPr>
            <w:tcW w:w="1063" w:type="dxa"/>
            <w:gridSpan w:val="2"/>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03" w:type="dxa"/>
            <w:vMerge w:val="continue"/>
            <w:noWrap w:val="0"/>
            <w:vAlign w:val="center"/>
          </w:tcPr>
          <w:p>
            <w:pPr>
              <w:jc w:val="center"/>
              <w:rPr>
                <w:color w:val="000000"/>
                <w:kern w:val="0"/>
                <w:sz w:val="21"/>
                <w:szCs w:val="21"/>
              </w:rPr>
            </w:pPr>
          </w:p>
        </w:tc>
        <w:tc>
          <w:tcPr>
            <w:tcW w:w="1061" w:type="dxa"/>
            <w:vMerge w:val="continue"/>
            <w:noWrap w:val="0"/>
            <w:vAlign w:val="center"/>
          </w:tcPr>
          <w:p>
            <w:pPr>
              <w:jc w:val="left"/>
              <w:rPr>
                <w:color w:val="000000"/>
                <w:kern w:val="0"/>
                <w:sz w:val="21"/>
                <w:szCs w:val="21"/>
              </w:rPr>
            </w:pPr>
          </w:p>
        </w:tc>
        <w:tc>
          <w:tcPr>
            <w:tcW w:w="950" w:type="dxa"/>
            <w:noWrap w:val="0"/>
            <w:vAlign w:val="center"/>
          </w:tcPr>
          <w:p>
            <w:pPr>
              <w:widowControl/>
              <w:jc w:val="center"/>
              <w:rPr>
                <w:color w:val="000000"/>
                <w:kern w:val="0"/>
                <w:sz w:val="21"/>
                <w:szCs w:val="21"/>
              </w:rPr>
            </w:pPr>
            <w:r>
              <w:rPr>
                <w:color w:val="000000"/>
                <w:kern w:val="0"/>
                <w:sz w:val="21"/>
                <w:szCs w:val="21"/>
              </w:rPr>
              <w:t>生态效</w:t>
            </w:r>
          </w:p>
          <w:p>
            <w:pPr>
              <w:widowControl/>
              <w:jc w:val="center"/>
              <w:rPr>
                <w:color w:val="000000"/>
                <w:kern w:val="0"/>
                <w:sz w:val="21"/>
                <w:szCs w:val="21"/>
              </w:rPr>
            </w:pPr>
            <w:r>
              <w:rPr>
                <w:color w:val="000000"/>
                <w:kern w:val="0"/>
                <w:sz w:val="21"/>
                <w:szCs w:val="21"/>
              </w:rPr>
              <w:t>益指标</w:t>
            </w:r>
          </w:p>
        </w:tc>
        <w:tc>
          <w:tcPr>
            <w:tcW w:w="2075" w:type="dxa"/>
            <w:gridSpan w:val="2"/>
            <w:noWrap w:val="0"/>
            <w:vAlign w:val="center"/>
          </w:tcPr>
          <w:p>
            <w:pPr>
              <w:widowControl/>
              <w:jc w:val="left"/>
              <w:rPr>
                <w:color w:val="000000"/>
                <w:kern w:val="0"/>
                <w:sz w:val="21"/>
                <w:szCs w:val="21"/>
              </w:rPr>
            </w:pPr>
          </w:p>
        </w:tc>
        <w:tc>
          <w:tcPr>
            <w:tcW w:w="939" w:type="dxa"/>
            <w:gridSpan w:val="2"/>
            <w:noWrap w:val="0"/>
            <w:vAlign w:val="center"/>
          </w:tcPr>
          <w:p>
            <w:pPr>
              <w:widowControl/>
              <w:jc w:val="center"/>
              <w:rPr>
                <w:color w:val="000000"/>
                <w:kern w:val="0"/>
                <w:sz w:val="21"/>
                <w:szCs w:val="21"/>
              </w:rPr>
            </w:pPr>
          </w:p>
          <w:p>
            <w:pPr>
              <w:widowControl/>
              <w:jc w:val="center"/>
              <w:rPr>
                <w:color w:val="000000"/>
                <w:kern w:val="0"/>
                <w:sz w:val="21"/>
                <w:szCs w:val="21"/>
              </w:rPr>
            </w:pPr>
          </w:p>
        </w:tc>
        <w:tc>
          <w:tcPr>
            <w:tcW w:w="998" w:type="dxa"/>
            <w:noWrap w:val="0"/>
            <w:vAlign w:val="center"/>
          </w:tcPr>
          <w:p>
            <w:pPr>
              <w:widowControl/>
              <w:jc w:val="center"/>
              <w:rPr>
                <w:color w:val="000000"/>
                <w:kern w:val="0"/>
                <w:sz w:val="21"/>
                <w:szCs w:val="21"/>
              </w:rPr>
            </w:pPr>
          </w:p>
          <w:p>
            <w:pPr>
              <w:widowControl/>
              <w:jc w:val="center"/>
              <w:rPr>
                <w:color w:val="000000"/>
                <w:kern w:val="0"/>
                <w:sz w:val="21"/>
                <w:szCs w:val="21"/>
              </w:rPr>
            </w:pPr>
          </w:p>
        </w:tc>
        <w:tc>
          <w:tcPr>
            <w:tcW w:w="1063" w:type="dxa"/>
            <w:gridSpan w:val="2"/>
            <w:noWrap w:val="0"/>
            <w:vAlign w:val="center"/>
          </w:tcPr>
          <w:p>
            <w:pPr>
              <w:widowControl/>
              <w:jc w:val="center"/>
              <w:rPr>
                <w:color w:val="000000"/>
                <w:kern w:val="0"/>
                <w:sz w:val="21"/>
                <w:szCs w:val="21"/>
              </w:rPr>
            </w:pPr>
          </w:p>
          <w:p>
            <w:pPr>
              <w:widowControl/>
              <w:jc w:val="center"/>
              <w:rPr>
                <w:color w:val="000000"/>
                <w:kern w:val="0"/>
                <w:sz w:val="21"/>
                <w:szCs w:val="21"/>
              </w:rPr>
            </w:pPr>
          </w:p>
        </w:tc>
        <w:tc>
          <w:tcPr>
            <w:tcW w:w="652" w:type="dxa"/>
            <w:noWrap w:val="0"/>
            <w:vAlign w:val="center"/>
          </w:tcPr>
          <w:p>
            <w:pPr>
              <w:widowControl/>
              <w:jc w:val="center"/>
              <w:rPr>
                <w:color w:val="000000"/>
                <w:kern w:val="0"/>
                <w:sz w:val="21"/>
                <w:szCs w:val="21"/>
              </w:rPr>
            </w:pPr>
          </w:p>
          <w:p>
            <w:pPr>
              <w:widowControl/>
              <w:jc w:val="center"/>
              <w:rPr>
                <w:color w:val="000000"/>
                <w:kern w:val="0"/>
                <w:sz w:val="21"/>
                <w:szCs w:val="21"/>
              </w:rPr>
            </w:pPr>
          </w:p>
        </w:tc>
        <w:tc>
          <w:tcPr>
            <w:tcW w:w="1112" w:type="dxa"/>
            <w:noWrap w:val="0"/>
            <w:vAlign w:val="center"/>
          </w:tcPr>
          <w:p>
            <w:pPr>
              <w:widowControl/>
              <w:jc w:val="left"/>
              <w:rPr>
                <w:color w:val="000000"/>
                <w:kern w:val="0"/>
                <w:sz w:val="21"/>
                <w:szCs w:val="21"/>
              </w:rPr>
            </w:pPr>
            <w:r>
              <w:rPr>
                <w:color w:val="000000"/>
                <w:kern w:val="0"/>
                <w:sz w:val="21"/>
                <w:szCs w:val="21"/>
              </w:rPr>
              <w:t>　</w:t>
            </w:r>
          </w:p>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widowControl/>
              <w:jc w:val="center"/>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restart"/>
            <w:noWrap w:val="0"/>
            <w:vAlign w:val="center"/>
          </w:tcPr>
          <w:p>
            <w:pPr>
              <w:widowControl/>
              <w:jc w:val="center"/>
              <w:rPr>
                <w:color w:val="000000"/>
                <w:kern w:val="0"/>
                <w:sz w:val="21"/>
                <w:szCs w:val="21"/>
              </w:rPr>
            </w:pPr>
            <w:r>
              <w:rPr>
                <w:color w:val="000000"/>
                <w:kern w:val="0"/>
                <w:sz w:val="21"/>
                <w:szCs w:val="21"/>
              </w:rPr>
              <w:t>可持续影响指标</w:t>
            </w: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营造公平、守信、安全、放心的市场竞争秩序</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长期</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长期</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完成得2分</w:t>
            </w:r>
          </w:p>
        </w:tc>
        <w:tc>
          <w:tcPr>
            <w:tcW w:w="65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w:t>
            </w:r>
          </w:p>
        </w:tc>
        <w:tc>
          <w:tcPr>
            <w:tcW w:w="1112" w:type="dxa"/>
            <w:noWrap w:val="0"/>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left"/>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提高市场主体准入服务工作效率</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长期</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长期</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完成得2分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left"/>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持续维护行政执法公平与正义</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长期</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长期</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完成得2分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left"/>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持续开展非公经济党组织织建设</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长期</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长期</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left"/>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市场监管综合执法能力</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长期</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长期</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left"/>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促进质量强市战略实施，提高企业质量管理水平</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长期</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长期</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left"/>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优化市场经济环境，推动经济高质量发展</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长期</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长期</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left"/>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本市产品质量安全水平</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长期</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长期</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left"/>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持续实施知识产权战略</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长期</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长期</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left"/>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持续提升对“两品一械”的监管水平</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长期</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长期</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left"/>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持续提升食品安全监管能力和水平</w:t>
            </w:r>
          </w:p>
        </w:tc>
        <w:tc>
          <w:tcPr>
            <w:tcW w:w="93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长期</w:t>
            </w:r>
          </w:p>
        </w:tc>
        <w:tc>
          <w:tcPr>
            <w:tcW w:w="99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长期</w:t>
            </w:r>
          </w:p>
        </w:tc>
        <w:tc>
          <w:tcPr>
            <w:tcW w:w="106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03" w:type="dxa"/>
            <w:vMerge w:val="continue"/>
            <w:noWrap w:val="0"/>
            <w:vAlign w:val="center"/>
          </w:tcPr>
          <w:p>
            <w:pPr>
              <w:jc w:val="left"/>
              <w:rPr>
                <w:color w:val="000000"/>
                <w:kern w:val="0"/>
                <w:sz w:val="21"/>
                <w:szCs w:val="21"/>
              </w:rPr>
            </w:pPr>
          </w:p>
        </w:tc>
        <w:tc>
          <w:tcPr>
            <w:tcW w:w="1061" w:type="dxa"/>
            <w:vMerge w:val="restart"/>
            <w:noWrap w:val="0"/>
            <w:vAlign w:val="center"/>
          </w:tcPr>
          <w:p>
            <w:pPr>
              <w:widowControl/>
              <w:jc w:val="center"/>
              <w:rPr>
                <w:color w:val="000000"/>
                <w:kern w:val="0"/>
                <w:sz w:val="21"/>
                <w:szCs w:val="21"/>
              </w:rPr>
            </w:pPr>
            <w:r>
              <w:rPr>
                <w:color w:val="000000"/>
                <w:kern w:val="0"/>
                <w:sz w:val="21"/>
                <w:szCs w:val="21"/>
              </w:rPr>
              <w:t>满意度</w:t>
            </w:r>
          </w:p>
          <w:p>
            <w:pPr>
              <w:widowControl/>
              <w:jc w:val="center"/>
              <w:rPr>
                <w:color w:val="000000"/>
                <w:kern w:val="0"/>
                <w:sz w:val="21"/>
                <w:szCs w:val="21"/>
              </w:rPr>
            </w:pPr>
            <w:r>
              <w:rPr>
                <w:color w:val="000000"/>
                <w:kern w:val="0"/>
                <w:sz w:val="21"/>
                <w:szCs w:val="21"/>
              </w:rPr>
              <w:t>指标</w:t>
            </w:r>
          </w:p>
          <w:p>
            <w:pPr>
              <w:widowControl/>
              <w:jc w:val="center"/>
              <w:rPr>
                <w:color w:val="000000"/>
                <w:kern w:val="0"/>
                <w:sz w:val="21"/>
                <w:szCs w:val="21"/>
              </w:rPr>
            </w:pPr>
            <w:r>
              <w:rPr>
                <w:color w:val="000000"/>
                <w:kern w:val="0"/>
                <w:sz w:val="21"/>
                <w:szCs w:val="21"/>
              </w:rPr>
              <w:t>（10分）</w:t>
            </w:r>
          </w:p>
        </w:tc>
        <w:tc>
          <w:tcPr>
            <w:tcW w:w="950" w:type="dxa"/>
            <w:vMerge w:val="restart"/>
            <w:noWrap w:val="0"/>
            <w:vAlign w:val="center"/>
          </w:tcPr>
          <w:p>
            <w:pPr>
              <w:widowControl/>
              <w:jc w:val="center"/>
              <w:rPr>
                <w:color w:val="000000"/>
                <w:kern w:val="0"/>
                <w:sz w:val="21"/>
                <w:szCs w:val="21"/>
              </w:rPr>
            </w:pPr>
            <w:r>
              <w:rPr>
                <w:color w:val="000000"/>
                <w:kern w:val="0"/>
                <w:sz w:val="21"/>
                <w:szCs w:val="21"/>
              </w:rPr>
              <w:t>服务对象满意度指标</w:t>
            </w:r>
          </w:p>
        </w:tc>
        <w:tc>
          <w:tcPr>
            <w:tcW w:w="2075" w:type="dxa"/>
            <w:gridSpan w:val="2"/>
            <w:noWrap w:val="0"/>
            <w:vAlign w:val="center"/>
          </w:tcPr>
          <w:p>
            <w:pPr>
              <w:keepNext w:val="0"/>
              <w:keepLines w:val="0"/>
              <w:widowControl/>
              <w:suppressLineNumbers w:val="0"/>
              <w:jc w:val="left"/>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社会公众对窗口工作满意度</w:t>
            </w:r>
          </w:p>
        </w:tc>
        <w:tc>
          <w:tcPr>
            <w:tcW w:w="939" w:type="dxa"/>
            <w:gridSpan w:val="2"/>
            <w:noWrap w:val="0"/>
            <w:vAlign w:val="center"/>
          </w:tcPr>
          <w:p>
            <w:pPr>
              <w:keepNext w:val="0"/>
              <w:keepLines w:val="0"/>
              <w:widowControl/>
              <w:suppressLineNumbers w:val="0"/>
              <w:jc w:val="center"/>
              <w:textAlignment w:val="center"/>
              <w:rPr>
                <w:rFonts w:hint="default"/>
                <w:color w:val="000000"/>
                <w:kern w:val="0"/>
                <w:sz w:val="21"/>
                <w:szCs w:val="21"/>
                <w:lang w:val="en-US"/>
              </w:rPr>
            </w:pPr>
            <w:r>
              <w:rPr>
                <w:rFonts w:ascii="宋体" w:hAnsi="宋体" w:eastAsia="宋体" w:cs="宋体"/>
                <w:i w:val="0"/>
                <w:iCs w:val="0"/>
                <w:color w:val="000000"/>
                <w:kern w:val="0"/>
                <w:sz w:val="14"/>
                <w:szCs w:val="14"/>
                <w:u w:val="none"/>
                <w:lang w:val="en-US" w:eastAsia="zh-CN" w:bidi="ar"/>
              </w:rPr>
              <w:t>92</w:t>
            </w:r>
            <w:r>
              <w:rPr>
                <w:rFonts w:hint="eastAsia" w:ascii="宋体" w:hAnsi="宋体" w:eastAsia="宋体" w:cs="宋体"/>
                <w:i w:val="0"/>
                <w:iCs w:val="0"/>
                <w:color w:val="000000"/>
                <w:kern w:val="0"/>
                <w:sz w:val="14"/>
                <w:szCs w:val="14"/>
                <w:u w:val="none"/>
                <w:lang w:val="en-US" w:eastAsia="zh-CN" w:bidi="ar"/>
              </w:rPr>
              <w:t>%</w:t>
            </w:r>
          </w:p>
        </w:tc>
        <w:tc>
          <w:tcPr>
            <w:tcW w:w="998" w:type="dxa"/>
            <w:noWrap w:val="0"/>
            <w:vAlign w:val="center"/>
          </w:tcPr>
          <w:p>
            <w:pPr>
              <w:keepNext w:val="0"/>
              <w:keepLines w:val="0"/>
              <w:widowControl/>
              <w:suppressLineNumbers w:val="0"/>
              <w:jc w:val="center"/>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9</w:t>
            </w:r>
            <w:r>
              <w:rPr>
                <w:rFonts w:hint="eastAsia" w:ascii="宋体" w:hAnsi="宋体" w:eastAsia="宋体" w:cs="宋体"/>
                <w:i w:val="0"/>
                <w:iCs w:val="0"/>
                <w:color w:val="000000"/>
                <w:kern w:val="0"/>
                <w:sz w:val="14"/>
                <w:szCs w:val="14"/>
                <w:u w:val="none"/>
                <w:lang w:val="en-US" w:eastAsia="zh-CN" w:bidi="ar"/>
              </w:rPr>
              <w:t>8%</w:t>
            </w:r>
          </w:p>
        </w:tc>
        <w:tc>
          <w:tcPr>
            <w:tcW w:w="1063" w:type="dxa"/>
            <w:gridSpan w:val="2"/>
            <w:noWrap w:val="0"/>
            <w:vAlign w:val="center"/>
          </w:tcPr>
          <w:p>
            <w:pPr>
              <w:keepNext w:val="0"/>
              <w:keepLines w:val="0"/>
              <w:widowControl/>
              <w:suppressLineNumbers w:val="0"/>
              <w:jc w:val="center"/>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完成得</w:t>
            </w:r>
            <w:r>
              <w:rPr>
                <w:rFonts w:hint="eastAsia" w:ascii="宋体" w:hAnsi="宋体" w:eastAsia="宋体" w:cs="宋体"/>
                <w:i w:val="0"/>
                <w:iCs w:val="0"/>
                <w:color w:val="000000"/>
                <w:kern w:val="0"/>
                <w:sz w:val="14"/>
                <w:szCs w:val="14"/>
                <w:u w:val="none"/>
                <w:lang w:val="en-US" w:eastAsia="zh-CN" w:bidi="ar"/>
              </w:rPr>
              <w:t>2</w:t>
            </w:r>
            <w:r>
              <w:rPr>
                <w:rFonts w:ascii="宋体" w:hAnsi="宋体" w:eastAsia="宋体" w:cs="宋体"/>
                <w:i w:val="0"/>
                <w:iCs w:val="0"/>
                <w:color w:val="000000"/>
                <w:kern w:val="0"/>
                <w:sz w:val="14"/>
                <w:szCs w:val="14"/>
                <w:u w:val="none"/>
                <w:lang w:val="en-US" w:eastAsia="zh-CN" w:bidi="ar"/>
              </w:rPr>
              <w:t>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w:t>
            </w:r>
          </w:p>
        </w:tc>
        <w:tc>
          <w:tcPr>
            <w:tcW w:w="1112" w:type="dxa"/>
            <w:noWrap w:val="0"/>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303" w:type="dxa"/>
            <w:vMerge w:val="continue"/>
            <w:noWrap w:val="0"/>
            <w:vAlign w:val="center"/>
          </w:tcPr>
          <w:p>
            <w:pPr>
              <w:widowControl/>
              <w:jc w:val="left"/>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社会公众对市场监管方面工作满意度</w:t>
            </w:r>
          </w:p>
        </w:tc>
        <w:tc>
          <w:tcPr>
            <w:tcW w:w="939" w:type="dxa"/>
            <w:gridSpan w:val="2"/>
            <w:noWrap w:val="0"/>
            <w:vAlign w:val="center"/>
          </w:tcPr>
          <w:p>
            <w:pPr>
              <w:keepNext w:val="0"/>
              <w:keepLines w:val="0"/>
              <w:widowControl/>
              <w:suppressLineNumbers w:val="0"/>
              <w:jc w:val="center"/>
              <w:textAlignment w:val="center"/>
              <w:rPr>
                <w:rFonts w:hint="default"/>
                <w:color w:val="000000"/>
                <w:kern w:val="0"/>
                <w:sz w:val="21"/>
                <w:szCs w:val="21"/>
                <w:lang w:val="en-US"/>
              </w:rPr>
            </w:pPr>
            <w:r>
              <w:rPr>
                <w:rFonts w:ascii="宋体" w:hAnsi="宋体" w:eastAsia="宋体" w:cs="宋体"/>
                <w:i w:val="0"/>
                <w:iCs w:val="0"/>
                <w:color w:val="000000"/>
                <w:kern w:val="0"/>
                <w:sz w:val="14"/>
                <w:szCs w:val="14"/>
                <w:u w:val="none"/>
                <w:lang w:val="en-US" w:eastAsia="zh-CN" w:bidi="ar"/>
              </w:rPr>
              <w:t>90</w:t>
            </w:r>
            <w:r>
              <w:rPr>
                <w:rFonts w:hint="eastAsia" w:ascii="宋体" w:hAnsi="宋体" w:eastAsia="宋体" w:cs="宋体"/>
                <w:i w:val="0"/>
                <w:iCs w:val="0"/>
                <w:color w:val="000000"/>
                <w:kern w:val="0"/>
                <w:sz w:val="14"/>
                <w:szCs w:val="14"/>
                <w:u w:val="none"/>
                <w:lang w:val="en-US" w:eastAsia="zh-CN" w:bidi="ar"/>
              </w:rPr>
              <w:t>%</w:t>
            </w:r>
          </w:p>
        </w:tc>
        <w:tc>
          <w:tcPr>
            <w:tcW w:w="998" w:type="dxa"/>
            <w:noWrap w:val="0"/>
            <w:vAlign w:val="center"/>
          </w:tcPr>
          <w:p>
            <w:pPr>
              <w:keepNext w:val="0"/>
              <w:keepLines w:val="0"/>
              <w:widowControl/>
              <w:suppressLineNumbers w:val="0"/>
              <w:jc w:val="center"/>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90</w:t>
            </w:r>
            <w:r>
              <w:rPr>
                <w:rFonts w:hint="eastAsia" w:ascii="宋体" w:hAnsi="宋体" w:eastAsia="宋体" w:cs="宋体"/>
                <w:i w:val="0"/>
                <w:iCs w:val="0"/>
                <w:color w:val="000000"/>
                <w:kern w:val="0"/>
                <w:sz w:val="14"/>
                <w:szCs w:val="14"/>
                <w:u w:val="none"/>
                <w:lang w:val="en-US" w:eastAsia="zh-CN" w:bidi="ar"/>
              </w:rPr>
              <w:t>%</w:t>
            </w:r>
          </w:p>
        </w:tc>
        <w:tc>
          <w:tcPr>
            <w:tcW w:w="1063" w:type="dxa"/>
            <w:gridSpan w:val="2"/>
            <w:noWrap w:val="0"/>
            <w:vAlign w:val="center"/>
          </w:tcPr>
          <w:p>
            <w:pPr>
              <w:keepNext w:val="0"/>
              <w:keepLines w:val="0"/>
              <w:widowControl/>
              <w:suppressLineNumbers w:val="0"/>
              <w:jc w:val="center"/>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303" w:type="dxa"/>
            <w:vMerge w:val="continue"/>
            <w:noWrap w:val="0"/>
            <w:vAlign w:val="center"/>
          </w:tcPr>
          <w:p>
            <w:pPr>
              <w:widowControl/>
              <w:jc w:val="left"/>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社会公众对综合执法满意度</w:t>
            </w:r>
          </w:p>
        </w:tc>
        <w:tc>
          <w:tcPr>
            <w:tcW w:w="939" w:type="dxa"/>
            <w:gridSpan w:val="2"/>
            <w:noWrap w:val="0"/>
            <w:vAlign w:val="center"/>
          </w:tcPr>
          <w:p>
            <w:pPr>
              <w:keepNext w:val="0"/>
              <w:keepLines w:val="0"/>
              <w:widowControl/>
              <w:suppressLineNumbers w:val="0"/>
              <w:jc w:val="center"/>
              <w:textAlignment w:val="center"/>
              <w:rPr>
                <w:rFonts w:hint="default"/>
                <w:color w:val="000000"/>
                <w:kern w:val="0"/>
                <w:sz w:val="21"/>
                <w:szCs w:val="21"/>
                <w:lang w:val="en-US"/>
              </w:rPr>
            </w:pPr>
            <w:r>
              <w:rPr>
                <w:rFonts w:ascii="宋体" w:hAnsi="宋体" w:eastAsia="宋体" w:cs="宋体"/>
                <w:i w:val="0"/>
                <w:iCs w:val="0"/>
                <w:color w:val="000000"/>
                <w:kern w:val="0"/>
                <w:sz w:val="14"/>
                <w:szCs w:val="14"/>
                <w:u w:val="none"/>
                <w:lang w:val="en-US" w:eastAsia="zh-CN" w:bidi="ar"/>
              </w:rPr>
              <w:t>90</w:t>
            </w:r>
            <w:r>
              <w:rPr>
                <w:rFonts w:hint="eastAsia" w:ascii="宋体" w:hAnsi="宋体" w:eastAsia="宋体" w:cs="宋体"/>
                <w:i w:val="0"/>
                <w:iCs w:val="0"/>
                <w:color w:val="000000"/>
                <w:kern w:val="0"/>
                <w:sz w:val="14"/>
                <w:szCs w:val="14"/>
                <w:u w:val="none"/>
                <w:lang w:val="en-US" w:eastAsia="zh-CN" w:bidi="ar"/>
              </w:rPr>
              <w:t>%</w:t>
            </w:r>
          </w:p>
        </w:tc>
        <w:tc>
          <w:tcPr>
            <w:tcW w:w="998" w:type="dxa"/>
            <w:noWrap w:val="0"/>
            <w:vAlign w:val="center"/>
          </w:tcPr>
          <w:p>
            <w:pPr>
              <w:keepNext w:val="0"/>
              <w:keepLines w:val="0"/>
              <w:widowControl/>
              <w:suppressLineNumbers w:val="0"/>
              <w:jc w:val="center"/>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90</w:t>
            </w:r>
            <w:r>
              <w:rPr>
                <w:rFonts w:hint="eastAsia" w:ascii="宋体" w:hAnsi="宋体" w:eastAsia="宋体" w:cs="宋体"/>
                <w:i w:val="0"/>
                <w:iCs w:val="0"/>
                <w:color w:val="000000"/>
                <w:kern w:val="0"/>
                <w:sz w:val="14"/>
                <w:szCs w:val="14"/>
                <w:u w:val="none"/>
                <w:lang w:val="en-US" w:eastAsia="zh-CN" w:bidi="ar"/>
              </w:rPr>
              <w:t>%</w:t>
            </w:r>
          </w:p>
        </w:tc>
        <w:tc>
          <w:tcPr>
            <w:tcW w:w="1063" w:type="dxa"/>
            <w:gridSpan w:val="2"/>
            <w:noWrap w:val="0"/>
            <w:vAlign w:val="center"/>
          </w:tcPr>
          <w:p>
            <w:pPr>
              <w:keepNext w:val="0"/>
              <w:keepLines w:val="0"/>
              <w:widowControl/>
              <w:suppressLineNumbers w:val="0"/>
              <w:jc w:val="center"/>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303" w:type="dxa"/>
            <w:vMerge w:val="continue"/>
            <w:noWrap w:val="0"/>
            <w:vAlign w:val="center"/>
          </w:tcPr>
          <w:p>
            <w:pPr>
              <w:widowControl/>
              <w:jc w:val="left"/>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非公企业对非公综合党建满意度</w:t>
            </w:r>
          </w:p>
        </w:tc>
        <w:tc>
          <w:tcPr>
            <w:tcW w:w="939" w:type="dxa"/>
            <w:gridSpan w:val="2"/>
            <w:noWrap w:val="0"/>
            <w:vAlign w:val="center"/>
          </w:tcPr>
          <w:p>
            <w:pPr>
              <w:keepNext w:val="0"/>
              <w:keepLines w:val="0"/>
              <w:widowControl/>
              <w:suppressLineNumbers w:val="0"/>
              <w:jc w:val="center"/>
              <w:textAlignment w:val="center"/>
              <w:rPr>
                <w:rFonts w:hint="default"/>
                <w:color w:val="000000"/>
                <w:kern w:val="0"/>
                <w:sz w:val="21"/>
                <w:szCs w:val="21"/>
                <w:lang w:val="en-US"/>
              </w:rPr>
            </w:pPr>
            <w:r>
              <w:rPr>
                <w:rFonts w:ascii="宋体" w:hAnsi="宋体" w:eastAsia="宋体" w:cs="宋体"/>
                <w:i w:val="0"/>
                <w:iCs w:val="0"/>
                <w:color w:val="000000"/>
                <w:kern w:val="0"/>
                <w:sz w:val="14"/>
                <w:szCs w:val="14"/>
                <w:u w:val="none"/>
                <w:lang w:val="en-US" w:eastAsia="zh-CN" w:bidi="ar"/>
              </w:rPr>
              <w:t>90</w:t>
            </w:r>
            <w:r>
              <w:rPr>
                <w:rFonts w:hint="eastAsia" w:ascii="宋体" w:hAnsi="宋体" w:eastAsia="宋体" w:cs="宋体"/>
                <w:i w:val="0"/>
                <w:iCs w:val="0"/>
                <w:color w:val="000000"/>
                <w:kern w:val="0"/>
                <w:sz w:val="14"/>
                <w:szCs w:val="14"/>
                <w:u w:val="none"/>
                <w:lang w:val="en-US" w:eastAsia="zh-CN" w:bidi="ar"/>
              </w:rPr>
              <w:t>%</w:t>
            </w:r>
          </w:p>
        </w:tc>
        <w:tc>
          <w:tcPr>
            <w:tcW w:w="998" w:type="dxa"/>
            <w:noWrap w:val="0"/>
            <w:vAlign w:val="center"/>
          </w:tcPr>
          <w:p>
            <w:pPr>
              <w:keepNext w:val="0"/>
              <w:keepLines w:val="0"/>
              <w:widowControl/>
              <w:suppressLineNumbers w:val="0"/>
              <w:jc w:val="center"/>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90</w:t>
            </w:r>
            <w:r>
              <w:rPr>
                <w:rFonts w:hint="eastAsia" w:ascii="宋体" w:hAnsi="宋体" w:eastAsia="宋体" w:cs="宋体"/>
                <w:i w:val="0"/>
                <w:iCs w:val="0"/>
                <w:color w:val="000000"/>
                <w:kern w:val="0"/>
                <w:sz w:val="14"/>
                <w:szCs w:val="14"/>
                <w:u w:val="none"/>
                <w:lang w:val="en-US" w:eastAsia="zh-CN" w:bidi="ar"/>
              </w:rPr>
              <w:t>%</w:t>
            </w:r>
          </w:p>
        </w:tc>
        <w:tc>
          <w:tcPr>
            <w:tcW w:w="1063" w:type="dxa"/>
            <w:gridSpan w:val="2"/>
            <w:noWrap w:val="0"/>
            <w:vAlign w:val="center"/>
          </w:tcPr>
          <w:p>
            <w:pPr>
              <w:keepNext w:val="0"/>
              <w:keepLines w:val="0"/>
              <w:widowControl/>
              <w:suppressLineNumbers w:val="0"/>
              <w:jc w:val="center"/>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303" w:type="dxa"/>
            <w:vMerge w:val="continue"/>
            <w:noWrap w:val="0"/>
            <w:vAlign w:val="center"/>
          </w:tcPr>
          <w:p>
            <w:pPr>
              <w:widowControl/>
              <w:jc w:val="left"/>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社会公众或服务对象对高质量发展的满意度</w:t>
            </w:r>
          </w:p>
        </w:tc>
        <w:tc>
          <w:tcPr>
            <w:tcW w:w="939" w:type="dxa"/>
            <w:gridSpan w:val="2"/>
            <w:noWrap w:val="0"/>
            <w:vAlign w:val="center"/>
          </w:tcPr>
          <w:p>
            <w:pPr>
              <w:keepNext w:val="0"/>
              <w:keepLines w:val="0"/>
              <w:widowControl/>
              <w:suppressLineNumbers w:val="0"/>
              <w:jc w:val="center"/>
              <w:textAlignment w:val="center"/>
              <w:rPr>
                <w:rFonts w:hint="default"/>
                <w:color w:val="000000"/>
                <w:kern w:val="0"/>
                <w:sz w:val="21"/>
                <w:szCs w:val="21"/>
                <w:lang w:val="en-US"/>
              </w:rPr>
            </w:pPr>
            <w:r>
              <w:rPr>
                <w:rFonts w:ascii="宋体" w:hAnsi="宋体" w:eastAsia="宋体" w:cs="宋体"/>
                <w:i w:val="0"/>
                <w:iCs w:val="0"/>
                <w:color w:val="000000"/>
                <w:kern w:val="0"/>
                <w:sz w:val="14"/>
                <w:szCs w:val="14"/>
                <w:u w:val="none"/>
                <w:lang w:val="en-US" w:eastAsia="zh-CN" w:bidi="ar"/>
              </w:rPr>
              <w:t>85</w:t>
            </w:r>
            <w:r>
              <w:rPr>
                <w:rFonts w:hint="eastAsia" w:ascii="宋体" w:hAnsi="宋体" w:eastAsia="宋体" w:cs="宋体"/>
                <w:i w:val="0"/>
                <w:iCs w:val="0"/>
                <w:color w:val="000000"/>
                <w:kern w:val="0"/>
                <w:sz w:val="14"/>
                <w:szCs w:val="14"/>
                <w:u w:val="none"/>
                <w:lang w:val="en-US" w:eastAsia="zh-CN" w:bidi="ar"/>
              </w:rPr>
              <w:t>%</w:t>
            </w:r>
          </w:p>
        </w:tc>
        <w:tc>
          <w:tcPr>
            <w:tcW w:w="998" w:type="dxa"/>
            <w:noWrap w:val="0"/>
            <w:vAlign w:val="center"/>
          </w:tcPr>
          <w:p>
            <w:pPr>
              <w:keepNext w:val="0"/>
              <w:keepLines w:val="0"/>
              <w:widowControl/>
              <w:suppressLineNumbers w:val="0"/>
              <w:jc w:val="center"/>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85</w:t>
            </w:r>
            <w:r>
              <w:rPr>
                <w:rFonts w:hint="eastAsia" w:ascii="宋体" w:hAnsi="宋体" w:eastAsia="宋体" w:cs="宋体"/>
                <w:i w:val="0"/>
                <w:iCs w:val="0"/>
                <w:color w:val="000000"/>
                <w:kern w:val="0"/>
                <w:sz w:val="14"/>
                <w:szCs w:val="14"/>
                <w:u w:val="none"/>
                <w:lang w:val="en-US" w:eastAsia="zh-CN" w:bidi="ar"/>
              </w:rPr>
              <w:t>%</w:t>
            </w:r>
          </w:p>
        </w:tc>
        <w:tc>
          <w:tcPr>
            <w:tcW w:w="1063" w:type="dxa"/>
            <w:gridSpan w:val="2"/>
            <w:noWrap w:val="0"/>
            <w:vAlign w:val="center"/>
          </w:tcPr>
          <w:p>
            <w:pPr>
              <w:keepNext w:val="0"/>
              <w:keepLines w:val="0"/>
              <w:widowControl/>
              <w:suppressLineNumbers w:val="0"/>
              <w:jc w:val="center"/>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303" w:type="dxa"/>
            <w:vMerge w:val="continue"/>
            <w:noWrap w:val="0"/>
            <w:vAlign w:val="center"/>
          </w:tcPr>
          <w:p>
            <w:pPr>
              <w:widowControl/>
              <w:jc w:val="left"/>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质量监管服务对象满意度</w:t>
            </w:r>
          </w:p>
        </w:tc>
        <w:tc>
          <w:tcPr>
            <w:tcW w:w="939" w:type="dxa"/>
            <w:gridSpan w:val="2"/>
            <w:noWrap w:val="0"/>
            <w:vAlign w:val="center"/>
          </w:tcPr>
          <w:p>
            <w:pPr>
              <w:keepNext w:val="0"/>
              <w:keepLines w:val="0"/>
              <w:widowControl/>
              <w:suppressLineNumbers w:val="0"/>
              <w:jc w:val="center"/>
              <w:textAlignment w:val="center"/>
              <w:rPr>
                <w:rFonts w:hint="default"/>
                <w:color w:val="000000"/>
                <w:kern w:val="0"/>
                <w:sz w:val="21"/>
                <w:szCs w:val="21"/>
                <w:lang w:val="en-US"/>
              </w:rPr>
            </w:pPr>
            <w:r>
              <w:rPr>
                <w:rFonts w:ascii="宋体" w:hAnsi="宋体" w:eastAsia="宋体" w:cs="宋体"/>
                <w:i w:val="0"/>
                <w:iCs w:val="0"/>
                <w:color w:val="000000"/>
                <w:kern w:val="0"/>
                <w:sz w:val="14"/>
                <w:szCs w:val="14"/>
                <w:u w:val="none"/>
                <w:lang w:val="en-US" w:eastAsia="zh-CN" w:bidi="ar"/>
              </w:rPr>
              <w:t>85</w:t>
            </w:r>
            <w:r>
              <w:rPr>
                <w:rFonts w:hint="eastAsia" w:ascii="宋体" w:hAnsi="宋体" w:eastAsia="宋体" w:cs="宋体"/>
                <w:i w:val="0"/>
                <w:iCs w:val="0"/>
                <w:color w:val="000000"/>
                <w:kern w:val="0"/>
                <w:sz w:val="14"/>
                <w:szCs w:val="14"/>
                <w:u w:val="none"/>
                <w:lang w:val="en-US" w:eastAsia="zh-CN" w:bidi="ar"/>
              </w:rPr>
              <w:t>%</w:t>
            </w:r>
          </w:p>
        </w:tc>
        <w:tc>
          <w:tcPr>
            <w:tcW w:w="998" w:type="dxa"/>
            <w:noWrap w:val="0"/>
            <w:vAlign w:val="center"/>
          </w:tcPr>
          <w:p>
            <w:pPr>
              <w:keepNext w:val="0"/>
              <w:keepLines w:val="0"/>
              <w:widowControl/>
              <w:suppressLineNumbers w:val="0"/>
              <w:jc w:val="center"/>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85</w:t>
            </w:r>
            <w:r>
              <w:rPr>
                <w:rFonts w:hint="eastAsia" w:ascii="宋体" w:hAnsi="宋体" w:eastAsia="宋体" w:cs="宋体"/>
                <w:i w:val="0"/>
                <w:iCs w:val="0"/>
                <w:color w:val="000000"/>
                <w:kern w:val="0"/>
                <w:sz w:val="14"/>
                <w:szCs w:val="14"/>
                <w:u w:val="none"/>
                <w:lang w:val="en-US" w:eastAsia="zh-CN" w:bidi="ar"/>
              </w:rPr>
              <w:t>%</w:t>
            </w:r>
          </w:p>
        </w:tc>
        <w:tc>
          <w:tcPr>
            <w:tcW w:w="1063" w:type="dxa"/>
            <w:gridSpan w:val="2"/>
            <w:noWrap w:val="0"/>
            <w:vAlign w:val="center"/>
          </w:tcPr>
          <w:p>
            <w:pPr>
              <w:keepNext w:val="0"/>
              <w:keepLines w:val="0"/>
              <w:widowControl/>
              <w:suppressLineNumbers w:val="0"/>
              <w:jc w:val="center"/>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303" w:type="dxa"/>
            <w:vMerge w:val="continue"/>
            <w:noWrap w:val="0"/>
            <w:vAlign w:val="center"/>
          </w:tcPr>
          <w:p>
            <w:pPr>
              <w:widowControl/>
              <w:jc w:val="left"/>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知识产权战略社会满意度</w:t>
            </w:r>
          </w:p>
        </w:tc>
        <w:tc>
          <w:tcPr>
            <w:tcW w:w="939" w:type="dxa"/>
            <w:gridSpan w:val="2"/>
            <w:noWrap w:val="0"/>
            <w:vAlign w:val="center"/>
          </w:tcPr>
          <w:p>
            <w:pPr>
              <w:keepNext w:val="0"/>
              <w:keepLines w:val="0"/>
              <w:widowControl/>
              <w:suppressLineNumbers w:val="0"/>
              <w:jc w:val="center"/>
              <w:textAlignment w:val="center"/>
              <w:rPr>
                <w:rFonts w:hint="default"/>
                <w:color w:val="000000"/>
                <w:kern w:val="0"/>
                <w:sz w:val="21"/>
                <w:szCs w:val="21"/>
                <w:lang w:val="en-US"/>
              </w:rPr>
            </w:pPr>
            <w:r>
              <w:rPr>
                <w:rFonts w:ascii="宋体" w:hAnsi="宋体" w:eastAsia="宋体" w:cs="宋体"/>
                <w:i w:val="0"/>
                <w:iCs w:val="0"/>
                <w:color w:val="000000"/>
                <w:kern w:val="0"/>
                <w:sz w:val="14"/>
                <w:szCs w:val="14"/>
                <w:u w:val="none"/>
                <w:lang w:val="en-US" w:eastAsia="zh-CN" w:bidi="ar"/>
              </w:rPr>
              <w:t>90</w:t>
            </w:r>
            <w:r>
              <w:rPr>
                <w:rFonts w:hint="eastAsia" w:ascii="宋体" w:hAnsi="宋体" w:eastAsia="宋体" w:cs="宋体"/>
                <w:i w:val="0"/>
                <w:iCs w:val="0"/>
                <w:color w:val="000000"/>
                <w:kern w:val="0"/>
                <w:sz w:val="14"/>
                <w:szCs w:val="14"/>
                <w:u w:val="none"/>
                <w:lang w:val="en-US" w:eastAsia="zh-CN" w:bidi="ar"/>
              </w:rPr>
              <w:t>%</w:t>
            </w:r>
          </w:p>
        </w:tc>
        <w:tc>
          <w:tcPr>
            <w:tcW w:w="998" w:type="dxa"/>
            <w:noWrap w:val="0"/>
            <w:vAlign w:val="center"/>
          </w:tcPr>
          <w:p>
            <w:pPr>
              <w:keepNext w:val="0"/>
              <w:keepLines w:val="0"/>
              <w:widowControl/>
              <w:suppressLineNumbers w:val="0"/>
              <w:jc w:val="center"/>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90</w:t>
            </w:r>
            <w:r>
              <w:rPr>
                <w:rFonts w:hint="eastAsia" w:ascii="宋体" w:hAnsi="宋体" w:eastAsia="宋体" w:cs="宋体"/>
                <w:i w:val="0"/>
                <w:iCs w:val="0"/>
                <w:color w:val="000000"/>
                <w:kern w:val="0"/>
                <w:sz w:val="14"/>
                <w:szCs w:val="14"/>
                <w:u w:val="none"/>
                <w:lang w:val="en-US" w:eastAsia="zh-CN" w:bidi="ar"/>
              </w:rPr>
              <w:t>%</w:t>
            </w:r>
          </w:p>
        </w:tc>
        <w:tc>
          <w:tcPr>
            <w:tcW w:w="1063" w:type="dxa"/>
            <w:gridSpan w:val="2"/>
            <w:noWrap w:val="0"/>
            <w:vAlign w:val="center"/>
          </w:tcPr>
          <w:p>
            <w:pPr>
              <w:keepNext w:val="0"/>
              <w:keepLines w:val="0"/>
              <w:widowControl/>
              <w:suppressLineNumbers w:val="0"/>
              <w:jc w:val="center"/>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303" w:type="dxa"/>
            <w:vMerge w:val="continue"/>
            <w:noWrap w:val="0"/>
            <w:vAlign w:val="center"/>
          </w:tcPr>
          <w:p>
            <w:pPr>
              <w:widowControl/>
              <w:jc w:val="left"/>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公众对“两品一械”监管满意度</w:t>
            </w:r>
          </w:p>
        </w:tc>
        <w:tc>
          <w:tcPr>
            <w:tcW w:w="939" w:type="dxa"/>
            <w:gridSpan w:val="2"/>
            <w:noWrap w:val="0"/>
            <w:vAlign w:val="center"/>
          </w:tcPr>
          <w:p>
            <w:pPr>
              <w:keepNext w:val="0"/>
              <w:keepLines w:val="0"/>
              <w:widowControl/>
              <w:suppressLineNumbers w:val="0"/>
              <w:jc w:val="center"/>
              <w:textAlignment w:val="center"/>
              <w:rPr>
                <w:rFonts w:hint="default"/>
                <w:color w:val="000000"/>
                <w:kern w:val="0"/>
                <w:sz w:val="21"/>
                <w:szCs w:val="21"/>
                <w:lang w:val="en-US"/>
              </w:rPr>
            </w:pPr>
            <w:r>
              <w:rPr>
                <w:rFonts w:ascii="宋体" w:hAnsi="宋体" w:eastAsia="宋体" w:cs="宋体"/>
                <w:i w:val="0"/>
                <w:iCs w:val="0"/>
                <w:color w:val="000000"/>
                <w:kern w:val="0"/>
                <w:sz w:val="14"/>
                <w:szCs w:val="14"/>
                <w:u w:val="none"/>
                <w:lang w:val="en-US" w:eastAsia="zh-CN" w:bidi="ar"/>
              </w:rPr>
              <w:t>90</w:t>
            </w:r>
            <w:r>
              <w:rPr>
                <w:rFonts w:hint="eastAsia" w:ascii="宋体" w:hAnsi="宋体" w:eastAsia="宋体" w:cs="宋体"/>
                <w:i w:val="0"/>
                <w:iCs w:val="0"/>
                <w:color w:val="000000"/>
                <w:kern w:val="0"/>
                <w:sz w:val="14"/>
                <w:szCs w:val="14"/>
                <w:u w:val="none"/>
                <w:lang w:val="en-US" w:eastAsia="zh-CN" w:bidi="ar"/>
              </w:rPr>
              <w:t>%</w:t>
            </w:r>
          </w:p>
        </w:tc>
        <w:tc>
          <w:tcPr>
            <w:tcW w:w="998" w:type="dxa"/>
            <w:noWrap w:val="0"/>
            <w:vAlign w:val="center"/>
          </w:tcPr>
          <w:p>
            <w:pPr>
              <w:keepNext w:val="0"/>
              <w:keepLines w:val="0"/>
              <w:widowControl/>
              <w:suppressLineNumbers w:val="0"/>
              <w:jc w:val="center"/>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90</w:t>
            </w:r>
            <w:r>
              <w:rPr>
                <w:rFonts w:hint="eastAsia" w:ascii="宋体" w:hAnsi="宋体" w:eastAsia="宋体" w:cs="宋体"/>
                <w:i w:val="0"/>
                <w:iCs w:val="0"/>
                <w:color w:val="000000"/>
                <w:kern w:val="0"/>
                <w:sz w:val="14"/>
                <w:szCs w:val="14"/>
                <w:u w:val="none"/>
                <w:lang w:val="en-US" w:eastAsia="zh-CN" w:bidi="ar"/>
              </w:rPr>
              <w:t>%</w:t>
            </w:r>
          </w:p>
        </w:tc>
        <w:tc>
          <w:tcPr>
            <w:tcW w:w="1063" w:type="dxa"/>
            <w:gridSpan w:val="2"/>
            <w:noWrap w:val="0"/>
            <w:vAlign w:val="center"/>
          </w:tcPr>
          <w:p>
            <w:pPr>
              <w:keepNext w:val="0"/>
              <w:keepLines w:val="0"/>
              <w:widowControl/>
              <w:suppressLineNumbers w:val="0"/>
              <w:jc w:val="center"/>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w:t>
            </w:r>
          </w:p>
        </w:tc>
        <w:tc>
          <w:tcPr>
            <w:tcW w:w="1112" w:type="dxa"/>
            <w:noWrap w:val="0"/>
            <w:vAlign w:val="center"/>
          </w:tcPr>
          <w:p>
            <w:pPr>
              <w:widowControl/>
              <w:jc w:val="left"/>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303" w:type="dxa"/>
            <w:vMerge w:val="continue"/>
            <w:noWrap w:val="0"/>
            <w:vAlign w:val="center"/>
          </w:tcPr>
          <w:p>
            <w:pPr>
              <w:widowControl/>
              <w:jc w:val="left"/>
              <w:rPr>
                <w:color w:val="000000"/>
                <w:kern w:val="0"/>
                <w:sz w:val="21"/>
                <w:szCs w:val="21"/>
              </w:rPr>
            </w:pPr>
          </w:p>
        </w:tc>
        <w:tc>
          <w:tcPr>
            <w:tcW w:w="1061" w:type="dxa"/>
            <w:vMerge w:val="continue"/>
            <w:noWrap w:val="0"/>
            <w:vAlign w:val="center"/>
          </w:tcPr>
          <w:p>
            <w:pPr>
              <w:widowControl/>
              <w:jc w:val="left"/>
              <w:rPr>
                <w:color w:val="000000"/>
                <w:kern w:val="0"/>
                <w:sz w:val="21"/>
                <w:szCs w:val="21"/>
              </w:rPr>
            </w:pPr>
          </w:p>
        </w:tc>
        <w:tc>
          <w:tcPr>
            <w:tcW w:w="950" w:type="dxa"/>
            <w:vMerge w:val="continue"/>
            <w:noWrap w:val="0"/>
            <w:vAlign w:val="center"/>
          </w:tcPr>
          <w:p>
            <w:pPr>
              <w:widowControl/>
              <w:jc w:val="left"/>
              <w:rPr>
                <w:color w:val="000000"/>
                <w:kern w:val="0"/>
                <w:sz w:val="21"/>
                <w:szCs w:val="21"/>
              </w:rPr>
            </w:pPr>
          </w:p>
        </w:tc>
        <w:tc>
          <w:tcPr>
            <w:tcW w:w="2075" w:type="dxa"/>
            <w:gridSpan w:val="2"/>
            <w:noWrap w:val="0"/>
            <w:vAlign w:val="center"/>
          </w:tcPr>
          <w:p>
            <w:pPr>
              <w:keepNext w:val="0"/>
              <w:keepLines w:val="0"/>
              <w:widowControl/>
              <w:suppressLineNumbers w:val="0"/>
              <w:jc w:val="left"/>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社会公众对食品安全满意度</w:t>
            </w:r>
          </w:p>
        </w:tc>
        <w:tc>
          <w:tcPr>
            <w:tcW w:w="939" w:type="dxa"/>
            <w:gridSpan w:val="2"/>
            <w:noWrap w:val="0"/>
            <w:vAlign w:val="center"/>
          </w:tcPr>
          <w:p>
            <w:pPr>
              <w:keepNext w:val="0"/>
              <w:keepLines w:val="0"/>
              <w:widowControl/>
              <w:suppressLineNumbers w:val="0"/>
              <w:jc w:val="center"/>
              <w:textAlignment w:val="center"/>
              <w:rPr>
                <w:rFonts w:hint="default"/>
                <w:color w:val="000000"/>
                <w:kern w:val="0"/>
                <w:sz w:val="21"/>
                <w:szCs w:val="21"/>
                <w:lang w:val="en-US"/>
              </w:rPr>
            </w:pPr>
            <w:r>
              <w:rPr>
                <w:rFonts w:ascii="宋体" w:hAnsi="宋体" w:eastAsia="宋体" w:cs="宋体"/>
                <w:i w:val="0"/>
                <w:iCs w:val="0"/>
                <w:color w:val="000000"/>
                <w:kern w:val="0"/>
                <w:sz w:val="14"/>
                <w:szCs w:val="14"/>
                <w:u w:val="none"/>
                <w:lang w:val="en-US" w:eastAsia="zh-CN" w:bidi="ar"/>
              </w:rPr>
              <w:t>85</w:t>
            </w:r>
            <w:r>
              <w:rPr>
                <w:rFonts w:hint="eastAsia" w:ascii="宋体" w:hAnsi="宋体" w:eastAsia="宋体" w:cs="宋体"/>
                <w:i w:val="0"/>
                <w:iCs w:val="0"/>
                <w:color w:val="000000"/>
                <w:kern w:val="0"/>
                <w:sz w:val="14"/>
                <w:szCs w:val="14"/>
                <w:u w:val="none"/>
                <w:lang w:val="en-US" w:eastAsia="zh-CN" w:bidi="ar"/>
              </w:rPr>
              <w:t>%</w:t>
            </w:r>
          </w:p>
        </w:tc>
        <w:tc>
          <w:tcPr>
            <w:tcW w:w="998" w:type="dxa"/>
            <w:noWrap w:val="0"/>
            <w:vAlign w:val="center"/>
          </w:tcPr>
          <w:p>
            <w:pPr>
              <w:keepNext w:val="0"/>
              <w:keepLines w:val="0"/>
              <w:widowControl/>
              <w:suppressLineNumbers w:val="0"/>
              <w:jc w:val="center"/>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8</w:t>
            </w:r>
            <w:r>
              <w:rPr>
                <w:rFonts w:hint="eastAsia" w:ascii="宋体" w:hAnsi="宋体" w:eastAsia="宋体" w:cs="宋体"/>
                <w:i w:val="0"/>
                <w:iCs w:val="0"/>
                <w:color w:val="000000"/>
                <w:kern w:val="0"/>
                <w:sz w:val="14"/>
                <w:szCs w:val="14"/>
                <w:u w:val="none"/>
                <w:lang w:val="en-US" w:eastAsia="zh-CN" w:bidi="ar"/>
              </w:rPr>
              <w:t>4.33%</w:t>
            </w:r>
          </w:p>
        </w:tc>
        <w:tc>
          <w:tcPr>
            <w:tcW w:w="1063" w:type="dxa"/>
            <w:gridSpan w:val="2"/>
            <w:noWrap w:val="0"/>
            <w:vAlign w:val="center"/>
          </w:tcPr>
          <w:p>
            <w:pPr>
              <w:keepNext w:val="0"/>
              <w:keepLines w:val="0"/>
              <w:widowControl/>
              <w:suppressLineNumbers w:val="0"/>
              <w:jc w:val="center"/>
              <w:textAlignment w:val="center"/>
              <w:rPr>
                <w:color w:val="000000"/>
                <w:kern w:val="0"/>
                <w:sz w:val="21"/>
                <w:szCs w:val="21"/>
              </w:rPr>
            </w:pPr>
            <w:r>
              <w:rPr>
                <w:rFonts w:ascii="宋体" w:hAnsi="宋体" w:eastAsia="宋体" w:cs="宋体"/>
                <w:i w:val="0"/>
                <w:iCs w:val="0"/>
                <w:color w:val="000000"/>
                <w:kern w:val="0"/>
                <w:sz w:val="14"/>
                <w:szCs w:val="14"/>
                <w:u w:val="none"/>
                <w:lang w:val="en-US" w:eastAsia="zh-CN" w:bidi="ar"/>
              </w:rPr>
              <w:t>完成得1分</w:t>
            </w:r>
          </w:p>
        </w:tc>
        <w:tc>
          <w:tcPr>
            <w:tcW w:w="65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0.8</w:t>
            </w:r>
          </w:p>
        </w:tc>
        <w:tc>
          <w:tcPr>
            <w:tcW w:w="1112" w:type="dxa"/>
            <w:noWrap w:val="0"/>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6" w:type="dxa"/>
            <w:gridSpan w:val="8"/>
            <w:noWrap w:val="0"/>
            <w:vAlign w:val="center"/>
          </w:tcPr>
          <w:p>
            <w:pPr>
              <w:widowControl/>
              <w:jc w:val="center"/>
              <w:rPr>
                <w:color w:val="000000"/>
                <w:kern w:val="0"/>
                <w:sz w:val="21"/>
                <w:szCs w:val="21"/>
              </w:rPr>
            </w:pPr>
            <w:r>
              <w:rPr>
                <w:color w:val="000000"/>
                <w:kern w:val="0"/>
                <w:sz w:val="21"/>
                <w:szCs w:val="21"/>
              </w:rPr>
              <w:t>总分</w:t>
            </w:r>
          </w:p>
        </w:tc>
        <w:tc>
          <w:tcPr>
            <w:tcW w:w="1063" w:type="dxa"/>
            <w:gridSpan w:val="2"/>
            <w:noWrap w:val="0"/>
            <w:vAlign w:val="center"/>
          </w:tcPr>
          <w:p>
            <w:pPr>
              <w:widowControl/>
              <w:jc w:val="center"/>
              <w:rPr>
                <w:rFonts w:hint="default" w:eastAsia="仿宋_GB2312"/>
                <w:color w:val="000000"/>
                <w:kern w:val="0"/>
                <w:sz w:val="21"/>
                <w:szCs w:val="21"/>
                <w:lang w:val="en-US" w:eastAsia="zh-CN"/>
              </w:rPr>
            </w:pPr>
            <w:r>
              <w:rPr>
                <w:rFonts w:hint="eastAsia"/>
                <w:color w:val="000000"/>
                <w:kern w:val="0"/>
                <w:sz w:val="21"/>
                <w:szCs w:val="21"/>
                <w:lang w:val="en-US" w:eastAsia="zh-CN"/>
              </w:rPr>
              <w:t>98.9</w:t>
            </w:r>
          </w:p>
        </w:tc>
        <w:tc>
          <w:tcPr>
            <w:tcW w:w="652" w:type="dxa"/>
            <w:noWrap w:val="0"/>
            <w:vAlign w:val="center"/>
          </w:tcPr>
          <w:p>
            <w:pPr>
              <w:widowControl/>
              <w:jc w:val="left"/>
              <w:rPr>
                <w:color w:val="000000"/>
                <w:kern w:val="0"/>
                <w:sz w:val="21"/>
                <w:szCs w:val="21"/>
              </w:rPr>
            </w:pPr>
            <w:r>
              <w:rPr>
                <w:color w:val="000000"/>
                <w:kern w:val="0"/>
                <w:sz w:val="21"/>
                <w:szCs w:val="21"/>
              </w:rPr>
              <w:t>　</w:t>
            </w:r>
          </w:p>
        </w:tc>
        <w:tc>
          <w:tcPr>
            <w:tcW w:w="1112" w:type="dxa"/>
            <w:noWrap w:val="0"/>
            <w:vAlign w:val="center"/>
          </w:tcPr>
          <w:p>
            <w:pPr>
              <w:widowControl/>
              <w:jc w:val="left"/>
              <w:rPr>
                <w:color w:val="000000"/>
                <w:kern w:val="0"/>
                <w:sz w:val="21"/>
                <w:szCs w:val="21"/>
              </w:rPr>
            </w:pPr>
            <w:r>
              <w:rPr>
                <w:color w:val="000000"/>
                <w:kern w:val="0"/>
                <w:sz w:val="21"/>
                <w:szCs w:val="21"/>
              </w:rPr>
              <w:t>　</w:t>
            </w:r>
          </w:p>
        </w:tc>
      </w:tr>
    </w:tbl>
    <w:p>
      <w:pPr>
        <w:pStyle w:val="2"/>
      </w:pPr>
      <w:r>
        <w:rPr>
          <w:kern w:val="0"/>
          <w:sz w:val="22"/>
          <w:szCs w:val="24"/>
        </w:rPr>
        <w:t>填表人：</w:t>
      </w:r>
      <w:r>
        <w:rPr>
          <w:rFonts w:hint="eastAsia"/>
          <w:kern w:val="0"/>
          <w:sz w:val="22"/>
          <w:szCs w:val="24"/>
          <w:lang w:val="en-US" w:eastAsia="zh-CN"/>
        </w:rPr>
        <w:t>潘菲丽</w:t>
      </w:r>
      <w:r>
        <w:rPr>
          <w:kern w:val="0"/>
          <w:sz w:val="22"/>
          <w:szCs w:val="24"/>
        </w:rPr>
        <w:t xml:space="preserve">  填报日期：</w:t>
      </w:r>
      <w:r>
        <w:rPr>
          <w:rFonts w:hint="eastAsia"/>
          <w:kern w:val="0"/>
          <w:sz w:val="22"/>
          <w:szCs w:val="24"/>
          <w:lang w:val="en-US" w:eastAsia="zh-CN"/>
        </w:rPr>
        <w:t>2025.4.29</w:t>
      </w:r>
      <w:r>
        <w:rPr>
          <w:kern w:val="0"/>
          <w:sz w:val="22"/>
          <w:szCs w:val="24"/>
        </w:rPr>
        <w:t xml:space="preserve">   联系电话：</w:t>
      </w:r>
      <w:r>
        <w:rPr>
          <w:rFonts w:hint="eastAsia"/>
          <w:kern w:val="0"/>
          <w:sz w:val="22"/>
          <w:szCs w:val="24"/>
          <w:lang w:val="en-US" w:eastAsia="zh-CN"/>
        </w:rPr>
        <w:t>13507 377748</w:t>
      </w:r>
      <w:r>
        <w:rPr>
          <w:kern w:val="0"/>
          <w:sz w:val="22"/>
          <w:szCs w:val="24"/>
        </w:rPr>
        <w:t xml:space="preserve">  单位负责人签字：</w:t>
      </w:r>
    </w:p>
    <w:sectPr>
      <w:footerReference r:id="rId4" w:type="default"/>
      <w:pgSz w:w="11906" w:h="16838"/>
      <w:pgMar w:top="1928" w:right="1474" w:bottom="1701"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7C52FC-98D0-4B71-A08F-4CE9A75289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E93EA0C-3B6C-4295-AD2F-BF8E24AE0C64}"/>
  </w:font>
  <w:font w:name="方正小标宋简体">
    <w:panose1 w:val="03000509000000000000"/>
    <w:charset w:val="86"/>
    <w:family w:val="auto"/>
    <w:pitch w:val="default"/>
    <w:sig w:usb0="00000001" w:usb1="080E0000" w:usb2="00000000" w:usb3="00000000" w:csb0="00040000" w:csb1="00000000"/>
    <w:embedRegular r:id="rId3" w:fontKey="{735B5BF3-0A37-4CE7-AF27-29DB722C9599}"/>
  </w:font>
  <w:font w:name="楷体_GB2312">
    <w:panose1 w:val="02010609030101010101"/>
    <w:charset w:val="86"/>
    <w:family w:val="modern"/>
    <w:pitch w:val="default"/>
    <w:sig w:usb0="00000001" w:usb1="080E0000" w:usb2="00000000" w:usb3="00000000" w:csb0="00040000" w:csb1="00000000"/>
    <w:embedRegular r:id="rId4" w:fontKey="{3A73D52F-4047-40DA-BE4E-CE8A7CF40405}"/>
  </w:font>
  <w:font w:name="方正小标宋_GBK">
    <w:panose1 w:val="02000000000000000000"/>
    <w:charset w:val="86"/>
    <w:family w:val="script"/>
    <w:pitch w:val="default"/>
    <w:sig w:usb0="A00002BF" w:usb1="38CF7CFA" w:usb2="00082016" w:usb3="00000000" w:csb0="00040001" w:csb1="00000000"/>
    <w:embedRegular r:id="rId5" w:fontKey="{D33C7203-4F56-4F39-A47B-B22F8730594E}"/>
  </w:font>
  <w:font w:name="仿宋">
    <w:panose1 w:val="02010609060101010101"/>
    <w:charset w:val="86"/>
    <w:family w:val="auto"/>
    <w:pitch w:val="default"/>
    <w:sig w:usb0="800002BF" w:usb1="38CF7CFA" w:usb2="00000016" w:usb3="00000000" w:csb0="00040001" w:csb1="00000000"/>
    <w:embedRegular r:id="rId6" w:fontKey="{4FDBCCCD-3B33-4DD9-B0C6-98250D0DFF93}"/>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0M2NhMTdlYWIxODkyZjkwMGI5MTdmMDY2ODcyYjMifQ=="/>
    <w:docVar w:name="KSO_WPS_MARK_KEY" w:val="a080eb22-09e4-438f-a6fe-b8a25e5943af"/>
  </w:docVars>
  <w:rsids>
    <w:rsidRoot w:val="57C92332"/>
    <w:rsid w:val="066E7569"/>
    <w:rsid w:val="071C7F9D"/>
    <w:rsid w:val="09253B98"/>
    <w:rsid w:val="0B8E1493"/>
    <w:rsid w:val="0C881BCF"/>
    <w:rsid w:val="0CDF0DEA"/>
    <w:rsid w:val="0F41676A"/>
    <w:rsid w:val="0F452707"/>
    <w:rsid w:val="10075607"/>
    <w:rsid w:val="10523C84"/>
    <w:rsid w:val="112A7780"/>
    <w:rsid w:val="11797275"/>
    <w:rsid w:val="1239411A"/>
    <w:rsid w:val="124E66A8"/>
    <w:rsid w:val="12902833"/>
    <w:rsid w:val="131D6BA3"/>
    <w:rsid w:val="140F7592"/>
    <w:rsid w:val="15450DEA"/>
    <w:rsid w:val="17FD699F"/>
    <w:rsid w:val="1820338B"/>
    <w:rsid w:val="18ED1F70"/>
    <w:rsid w:val="1AFA1487"/>
    <w:rsid w:val="1C1E465D"/>
    <w:rsid w:val="1C4032FE"/>
    <w:rsid w:val="1D316CEB"/>
    <w:rsid w:val="1DC2016F"/>
    <w:rsid w:val="1EF32AD4"/>
    <w:rsid w:val="1F0E3240"/>
    <w:rsid w:val="20D806F1"/>
    <w:rsid w:val="21596DDD"/>
    <w:rsid w:val="224C6D4F"/>
    <w:rsid w:val="22A53FFF"/>
    <w:rsid w:val="22E64C5B"/>
    <w:rsid w:val="24FB4CFE"/>
    <w:rsid w:val="277322EB"/>
    <w:rsid w:val="278B4CBE"/>
    <w:rsid w:val="28813966"/>
    <w:rsid w:val="29837B2F"/>
    <w:rsid w:val="2A21072B"/>
    <w:rsid w:val="2A5B7C9E"/>
    <w:rsid w:val="2ABF3FD6"/>
    <w:rsid w:val="2C662997"/>
    <w:rsid w:val="2D0D54EE"/>
    <w:rsid w:val="2D13211D"/>
    <w:rsid w:val="2D275736"/>
    <w:rsid w:val="2D4349FC"/>
    <w:rsid w:val="2E933762"/>
    <w:rsid w:val="2ED95884"/>
    <w:rsid w:val="2F8545EB"/>
    <w:rsid w:val="2FD85064"/>
    <w:rsid w:val="315C5608"/>
    <w:rsid w:val="37246CD4"/>
    <w:rsid w:val="379E11AD"/>
    <w:rsid w:val="37D6799F"/>
    <w:rsid w:val="38356C7F"/>
    <w:rsid w:val="386F06F8"/>
    <w:rsid w:val="39471586"/>
    <w:rsid w:val="3C813B4A"/>
    <w:rsid w:val="40014969"/>
    <w:rsid w:val="40757760"/>
    <w:rsid w:val="4104442F"/>
    <w:rsid w:val="43467F3A"/>
    <w:rsid w:val="43750908"/>
    <w:rsid w:val="46417DB3"/>
    <w:rsid w:val="480D6A9F"/>
    <w:rsid w:val="48E30718"/>
    <w:rsid w:val="49B165E7"/>
    <w:rsid w:val="49EA0282"/>
    <w:rsid w:val="4AE821ED"/>
    <w:rsid w:val="4BDA5490"/>
    <w:rsid w:val="4C1B726E"/>
    <w:rsid w:val="4D086D71"/>
    <w:rsid w:val="4D2D4954"/>
    <w:rsid w:val="4DA51C8E"/>
    <w:rsid w:val="4EF26D15"/>
    <w:rsid w:val="5012408F"/>
    <w:rsid w:val="5039162D"/>
    <w:rsid w:val="511B231E"/>
    <w:rsid w:val="52335F0B"/>
    <w:rsid w:val="54C85C55"/>
    <w:rsid w:val="55A92CCF"/>
    <w:rsid w:val="575F4971"/>
    <w:rsid w:val="57C92332"/>
    <w:rsid w:val="5A2469DE"/>
    <w:rsid w:val="5AB67D0C"/>
    <w:rsid w:val="5B7F01E6"/>
    <w:rsid w:val="5BD803C4"/>
    <w:rsid w:val="5C8A72E1"/>
    <w:rsid w:val="5C923562"/>
    <w:rsid w:val="5D9D1385"/>
    <w:rsid w:val="5E567C07"/>
    <w:rsid w:val="5E6261E1"/>
    <w:rsid w:val="5F325FF6"/>
    <w:rsid w:val="5F856835"/>
    <w:rsid w:val="619F2AAD"/>
    <w:rsid w:val="61CE3403"/>
    <w:rsid w:val="61DB152F"/>
    <w:rsid w:val="629506A5"/>
    <w:rsid w:val="63095588"/>
    <w:rsid w:val="648230D4"/>
    <w:rsid w:val="64F43D63"/>
    <w:rsid w:val="65631E7B"/>
    <w:rsid w:val="65D62827"/>
    <w:rsid w:val="65F9662D"/>
    <w:rsid w:val="687B0965"/>
    <w:rsid w:val="69861312"/>
    <w:rsid w:val="6A1C2121"/>
    <w:rsid w:val="6A4E059B"/>
    <w:rsid w:val="6D473178"/>
    <w:rsid w:val="6D577196"/>
    <w:rsid w:val="6D882E20"/>
    <w:rsid w:val="6DE53850"/>
    <w:rsid w:val="6EEF3458"/>
    <w:rsid w:val="6FE0776D"/>
    <w:rsid w:val="70147FB9"/>
    <w:rsid w:val="702766ED"/>
    <w:rsid w:val="70A7240A"/>
    <w:rsid w:val="71B6624C"/>
    <w:rsid w:val="74BF1D27"/>
    <w:rsid w:val="750B34A9"/>
    <w:rsid w:val="7AC22BC5"/>
    <w:rsid w:val="7C393402"/>
    <w:rsid w:val="7C5765C5"/>
    <w:rsid w:val="7D474AC8"/>
    <w:rsid w:val="7E154FFE"/>
    <w:rsid w:val="7E567147"/>
    <w:rsid w:val="7E902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No Spacing"/>
    <w:qFormat/>
    <w:uiPriority w:val="1"/>
    <w:pPr>
      <w:widowControl w:val="0"/>
      <w:jc w:val="both"/>
    </w:pPr>
    <w:rPr>
      <w:rFonts w:ascii="Calibri" w:hAnsi="Calibri" w:eastAsia="宋体" w:cs="Times New Roman"/>
      <w:kern w:val="2"/>
      <w:sz w:val="21"/>
      <w:szCs w:val="21"/>
      <w:lang w:val="en-US" w:eastAsia="zh-CN" w:bidi="ar-SA"/>
    </w:rPr>
  </w:style>
  <w:style w:type="paragraph" w:styleId="3">
    <w:name w:val="Normal Indent"/>
    <w:basedOn w:val="1"/>
    <w:next w:val="1"/>
    <w:qFormat/>
    <w:uiPriority w:val="0"/>
    <w:pPr>
      <w:spacing w:line="560" w:lineRule="exact"/>
      <w:ind w:firstLine="420" w:firstLineChars="200"/>
    </w:pPr>
    <w:rPr>
      <w:rFonts w:ascii="Times New Roman" w:hAnsi="Times New Roman" w:eastAsia="仿宋_GB2312" w:cs="Times New Roman"/>
      <w:sz w:val="32"/>
      <w:szCs w:val="32"/>
    </w:rPr>
  </w:style>
  <w:style w:type="paragraph" w:styleId="4">
    <w:name w:val="Body Text"/>
    <w:basedOn w:val="1"/>
    <w:next w:val="5"/>
    <w:qFormat/>
    <w:uiPriority w:val="99"/>
    <w:pPr>
      <w:spacing w:line="480" w:lineRule="exact"/>
    </w:pPr>
    <w:rPr>
      <w:rFonts w:ascii="宋体" w:hAnsi="宋体"/>
      <w:sz w:val="24"/>
    </w:rPr>
  </w:style>
  <w:style w:type="paragraph" w:styleId="5">
    <w:name w:val="Body Text First Indent"/>
    <w:basedOn w:val="4"/>
    <w:unhideWhenUsed/>
    <w:qFormat/>
    <w:uiPriority w:val="99"/>
    <w:pPr>
      <w:ind w:firstLine="420" w:firstLineChars="1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nhideWhenUsed/>
    <w:qFormat/>
    <w:uiPriority w:val="0"/>
    <w:pPr>
      <w:tabs>
        <w:tab w:val="center" w:pos="4153"/>
        <w:tab w:val="right" w:pos="8306"/>
      </w:tabs>
      <w:snapToGrid w:val="0"/>
      <w:spacing w:beforeLines="0" w:afterLines="0"/>
    </w:pPr>
    <w:rPr>
      <w:rFonts w:hint="default"/>
      <w:sz w:val="18"/>
      <w:szCs w:val="24"/>
    </w:rPr>
  </w:style>
  <w:style w:type="paragraph" w:styleId="8">
    <w:name w:val="toc 1"/>
    <w:basedOn w:val="1"/>
    <w:next w:val="1"/>
    <w:qFormat/>
    <w:uiPriority w:val="0"/>
  </w:style>
  <w:style w:type="paragraph" w:styleId="9">
    <w:name w:val="Normal (Web)"/>
    <w:basedOn w:val="1"/>
    <w:qFormat/>
    <w:uiPriority w:val="0"/>
    <w:rPr>
      <w:sz w:val="24"/>
    </w:rPr>
  </w:style>
  <w:style w:type="paragraph" w:styleId="12">
    <w:name w:val="List Paragraph"/>
    <w:basedOn w:val="1"/>
    <w:qFormat/>
    <w:uiPriority w:val="99"/>
    <w:pPr>
      <w:ind w:firstLine="420" w:firstLineChars="200"/>
    </w:pPr>
    <w:rPr>
      <w:rFonts w:ascii="Calibri" w:hAnsi="Calibri"/>
      <w:szCs w:val="22"/>
    </w:rPr>
  </w:style>
  <w:style w:type="character" w:customStyle="1" w:styleId="13">
    <w:name w:val="NormalCharacter"/>
    <w:link w:val="14"/>
    <w:qFormat/>
    <w:uiPriority w:val="0"/>
    <w:rPr>
      <w:kern w:val="0"/>
      <w:sz w:val="20"/>
    </w:rPr>
  </w:style>
  <w:style w:type="paragraph" w:customStyle="1" w:styleId="14">
    <w:name w:val="UserStyle_11"/>
    <w:basedOn w:val="1"/>
    <w:link w:val="13"/>
    <w:qFormat/>
    <w:uiPriority w:val="0"/>
    <w:pPr>
      <w:textAlignment w:val="baseline"/>
    </w:pPr>
    <w:rPr>
      <w:kern w:val="0"/>
      <w:sz w:val="20"/>
    </w:rPr>
  </w:style>
  <w:style w:type="character" w:customStyle="1" w:styleId="15">
    <w:name w:val="font31"/>
    <w:basedOn w:val="11"/>
    <w:uiPriority w:val="0"/>
    <w:rPr>
      <w:rFonts w:ascii="仿宋_GB2312" w:eastAsia="仿宋_GB2312" w:cs="仿宋_GB2312"/>
      <w:color w:val="000000"/>
      <w:sz w:val="18"/>
      <w:szCs w:val="18"/>
      <w:u w:val="none"/>
    </w:rPr>
  </w:style>
  <w:style w:type="character" w:customStyle="1" w:styleId="16">
    <w:name w:val="font21"/>
    <w:basedOn w:val="11"/>
    <w:uiPriority w:val="0"/>
    <w:rPr>
      <w:rFonts w:hint="eastAsia" w:ascii="仿宋_GB2312" w:eastAsia="仿宋_GB2312" w:cs="仿宋_GB2312"/>
      <w:color w:val="000000"/>
      <w:sz w:val="18"/>
      <w:szCs w:val="18"/>
      <w:u w:val="none"/>
    </w:rPr>
  </w:style>
  <w:style w:type="character" w:customStyle="1" w:styleId="17">
    <w:name w:val="font11"/>
    <w:basedOn w:val="11"/>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18063</Words>
  <Characters>19959</Characters>
  <Lines>0</Lines>
  <Paragraphs>0</Paragraphs>
  <TotalTime>5</TotalTime>
  <ScaleCrop>false</ScaleCrop>
  <LinksUpToDate>false</LinksUpToDate>
  <CharactersWithSpaces>20083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2025-04-15T09:26:00Z</dcterms:created>
  <dc:creator>Administrator</dc:creator>
  <cp:lastModifiedBy>Administrator</cp:lastModifiedBy>
  <dcterms:modified xsi:type="dcterms:W3CDTF">2025-07-28T06:40:00Z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A6142E7489BD4883AB0FC57C7FAE5715_13</vt:lpwstr>
  </property>
  <property fmtid="{D5CDD505-2E9C-101B-9397-08002B2CF9AE}" pid="4" name="KSOTemplateDocerSaveRecord">
    <vt:lpwstr>eyJoZGlkIjoiZjNhNDkzMTkzYzRiN2IxNjRkM2VmZjdlNjI1YjI2YWUiLCJ1c2VySWQiOiI0NDg3MzQ2ODMifQ==</vt:lpwstr>
  </property>
</Properties>
</file>