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441A">
      <w:pPr>
        <w:spacing w:line="6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益阳市</w:t>
      </w:r>
      <w:r>
        <w:rPr>
          <w:rFonts w:hint="eastAsia" w:ascii="宋体" w:hAnsi="宋体" w:eastAsia="宋体" w:cs="宋体"/>
          <w:b/>
          <w:bCs/>
          <w:sz w:val="44"/>
          <w:szCs w:val="44"/>
          <w:lang w:eastAsia="zh-CN"/>
        </w:rPr>
        <w:t>西流湾电排管理站</w:t>
      </w:r>
    </w:p>
    <w:p w14:paraId="2863A7E5">
      <w:pPr>
        <w:spacing w:line="600" w:lineRule="exact"/>
        <w:jc w:val="center"/>
        <w:rPr>
          <w:rFonts w:ascii="宋体" w:hAnsi="宋体" w:eastAsia="宋体" w:cs="宋体"/>
          <w:b/>
          <w:bCs/>
          <w:color w:val="000000"/>
          <w:sz w:val="44"/>
          <w:szCs w:val="44"/>
          <w:shd w:val="clear" w:color="auto" w:fill="FFFFFF"/>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年整体支出绩效自评报告</w:t>
      </w:r>
    </w:p>
    <w:p w14:paraId="5F182BDF">
      <w:pPr>
        <w:spacing w:line="600" w:lineRule="exact"/>
        <w:ind w:firstLine="640" w:firstLineChars="200"/>
        <w:jc w:val="left"/>
        <w:rPr>
          <w:rFonts w:ascii="方正仿宋简体" w:hAnsi="方正仿宋简体" w:eastAsia="方正仿宋简体" w:cs="方正仿宋简体"/>
          <w:color w:val="000000"/>
          <w:sz w:val="32"/>
          <w:szCs w:val="32"/>
          <w:shd w:val="clear" w:color="auto" w:fill="FFFFFF"/>
        </w:rPr>
      </w:pPr>
    </w:p>
    <w:p w14:paraId="71D56C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中发〔2018〕34号）文件精神，不断增强预算绩效理念，强化部门支出责任,推进全面实施预算绩效管理，提高财政资金使用效益，根据益阳市财政关于开展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年度部门绩效自评工作的通知》要求，我</w:t>
      </w:r>
      <w:r>
        <w:rPr>
          <w:rFonts w:hint="eastAsia" w:ascii="仿宋" w:hAnsi="仿宋" w:eastAsia="仿宋" w:cs="仿宋"/>
          <w:sz w:val="32"/>
          <w:szCs w:val="32"/>
          <w:lang w:eastAsia="zh-CN"/>
        </w:rPr>
        <w:t>站</w:t>
      </w:r>
      <w:r>
        <w:rPr>
          <w:rFonts w:hint="eastAsia" w:ascii="仿宋" w:hAnsi="仿宋" w:eastAsia="仿宋" w:cs="仿宋"/>
          <w:sz w:val="32"/>
          <w:szCs w:val="32"/>
        </w:rPr>
        <w:t>认真组织开展了202</w:t>
      </w:r>
      <w:r>
        <w:rPr>
          <w:rFonts w:hint="eastAsia" w:ascii="仿宋" w:hAnsi="仿宋" w:eastAsia="仿宋" w:cs="仿宋"/>
          <w:sz w:val="32"/>
          <w:szCs w:val="32"/>
          <w:lang w:val="en-US" w:eastAsia="zh-CN"/>
        </w:rPr>
        <w:t>4</w:t>
      </w:r>
      <w:r>
        <w:rPr>
          <w:rFonts w:hint="eastAsia" w:ascii="仿宋" w:hAnsi="仿宋" w:eastAsia="仿宋" w:cs="仿宋"/>
          <w:sz w:val="32"/>
          <w:szCs w:val="32"/>
        </w:rPr>
        <w:t>年整体支出绩效自评工作。现将有关情况报告如下：</w:t>
      </w:r>
    </w:p>
    <w:p w14:paraId="6A817B22">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单位基本情况</w:t>
      </w:r>
    </w:p>
    <w:p w14:paraId="6F00591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益阳市</w:t>
      </w:r>
      <w:r>
        <w:rPr>
          <w:rFonts w:hint="eastAsia" w:ascii="仿宋" w:hAnsi="仿宋" w:eastAsia="仿宋" w:cs="仿宋"/>
          <w:sz w:val="32"/>
          <w:szCs w:val="32"/>
          <w:lang w:eastAsia="zh-CN"/>
        </w:rPr>
        <w:t>西流湾电排管理站</w:t>
      </w:r>
      <w:r>
        <w:rPr>
          <w:rFonts w:hint="eastAsia" w:ascii="仿宋" w:hAnsi="仿宋" w:eastAsia="仿宋" w:cs="仿宋"/>
          <w:sz w:val="32"/>
          <w:szCs w:val="32"/>
        </w:rPr>
        <w:t>负责</w:t>
      </w:r>
      <w:r>
        <w:rPr>
          <w:rFonts w:hint="eastAsia" w:ascii="仿宋" w:hAnsi="仿宋" w:eastAsia="仿宋" w:cs="仿宋"/>
          <w:sz w:val="32"/>
          <w:szCs w:val="32"/>
          <w:lang w:val="en-US" w:eastAsia="zh-CN"/>
        </w:rPr>
        <w:t>西流湾地区的排渍、污水提升等工作。</w:t>
      </w:r>
      <w:r>
        <w:rPr>
          <w:rFonts w:hint="eastAsia" w:ascii="仿宋" w:hAnsi="仿宋" w:eastAsia="仿宋" w:cs="仿宋"/>
          <w:sz w:val="32"/>
          <w:szCs w:val="32"/>
        </w:rPr>
        <w:t>主要承担康复路以西，迎宾路以北9.58平方千米内170多家政府部门企事业单位的排渍、污水提升任务，服务的对象是秀峰片区12万余人广大市民。</w:t>
      </w:r>
    </w:p>
    <w:p w14:paraId="3562F044">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本单位编制数24人，在职人员2</w:t>
      </w:r>
      <w:r>
        <w:rPr>
          <w:rFonts w:hint="eastAsia" w:ascii="仿宋" w:hAnsi="仿宋" w:eastAsia="仿宋" w:cs="仿宋"/>
          <w:sz w:val="32"/>
          <w:szCs w:val="32"/>
          <w:lang w:val="en-US" w:eastAsia="zh-CN"/>
        </w:rPr>
        <w:t>1</w:t>
      </w:r>
      <w:r>
        <w:rPr>
          <w:rFonts w:hint="eastAsia" w:ascii="仿宋" w:hAnsi="仿宋" w:eastAsia="仿宋" w:cs="仿宋"/>
          <w:sz w:val="32"/>
          <w:szCs w:val="32"/>
        </w:rPr>
        <w:t>人（配一正二副），</w:t>
      </w:r>
      <w:r>
        <w:rPr>
          <w:rFonts w:hint="eastAsia" w:ascii="仿宋" w:hAnsi="仿宋" w:eastAsia="仿宋" w:cs="仿宋"/>
          <w:color w:val="000000"/>
          <w:sz w:val="32"/>
          <w:szCs w:val="32"/>
        </w:rPr>
        <w:t>退休人员</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人。</w:t>
      </w:r>
    </w:p>
    <w:p w14:paraId="4D084E9E">
      <w:pPr>
        <w:spacing w:line="560" w:lineRule="exact"/>
        <w:ind w:firstLine="640" w:firstLineChars="200"/>
        <w:rPr>
          <w:rFonts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二、整体收入支出情况</w:t>
      </w:r>
    </w:p>
    <w:p w14:paraId="42936567">
      <w:pPr>
        <w:spacing w:after="1" w:line="560" w:lineRule="exact"/>
        <w:ind w:firstLine="630"/>
        <w:rPr>
          <w:rFonts w:ascii="仿宋" w:hAnsi="仿宋" w:eastAsia="仿宋" w:cs="仿宋"/>
          <w:color w:val="000000"/>
          <w:sz w:val="32"/>
          <w:szCs w:val="32"/>
        </w:rPr>
      </w:pPr>
      <w:r>
        <w:rPr>
          <w:rFonts w:hint="eastAsia" w:ascii="楷体" w:hAnsi="楷体" w:eastAsia="楷体" w:cs="楷体"/>
          <w:b/>
          <w:bCs/>
          <w:sz w:val="32"/>
          <w:szCs w:val="32"/>
        </w:rPr>
        <w:t>（一）202</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年度收入总计</w:t>
      </w:r>
      <w:r>
        <w:rPr>
          <w:rFonts w:hint="eastAsia" w:ascii="楷体" w:hAnsi="楷体" w:eastAsia="楷体" w:cs="楷体"/>
          <w:b/>
          <w:bCs/>
          <w:sz w:val="32"/>
          <w:szCs w:val="32"/>
          <w:lang w:val="en-US" w:eastAsia="zh-CN"/>
        </w:rPr>
        <w:t>637.44万元</w:t>
      </w:r>
      <w:r>
        <w:rPr>
          <w:rFonts w:hint="eastAsia" w:ascii="楷体" w:hAnsi="楷体" w:eastAsia="楷体" w:cs="楷体"/>
          <w:b/>
          <w:bCs/>
          <w:sz w:val="32"/>
          <w:szCs w:val="32"/>
        </w:rPr>
        <w:t>。</w:t>
      </w:r>
      <w:r>
        <w:rPr>
          <w:rFonts w:hint="eastAsia" w:ascii="仿宋" w:hAnsi="仿宋" w:eastAsia="仿宋" w:cs="仿宋"/>
          <w:color w:val="000000"/>
          <w:sz w:val="32"/>
          <w:szCs w:val="32"/>
        </w:rPr>
        <w:t>其中一般公共预算资金：</w:t>
      </w:r>
      <w:r>
        <w:rPr>
          <w:rFonts w:hint="eastAsia" w:ascii="仿宋" w:hAnsi="仿宋" w:eastAsia="仿宋" w:cs="仿宋"/>
          <w:color w:val="000000"/>
          <w:sz w:val="32"/>
          <w:szCs w:val="32"/>
          <w:lang w:val="en-US" w:eastAsia="zh-CN"/>
        </w:rPr>
        <w:t>607.44</w:t>
      </w:r>
      <w:r>
        <w:rPr>
          <w:rFonts w:hint="eastAsia" w:ascii="仿宋" w:hAnsi="仿宋" w:eastAsia="仿宋" w:cs="仿宋"/>
          <w:color w:val="000000"/>
          <w:sz w:val="32"/>
          <w:szCs w:val="32"/>
        </w:rPr>
        <w:t>万元；政府性基金预算资金：</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万元。</w:t>
      </w:r>
    </w:p>
    <w:p w14:paraId="52533905">
      <w:pPr>
        <w:spacing w:after="1" w:line="560" w:lineRule="exact"/>
        <w:ind w:firstLine="630"/>
        <w:rPr>
          <w:rFonts w:hint="default" w:ascii="仿宋" w:hAnsi="仿宋" w:eastAsia="仿宋" w:cs="仿宋"/>
          <w:color w:val="FF0000"/>
          <w:sz w:val="32"/>
          <w:szCs w:val="32"/>
          <w:lang w:val="en-US" w:eastAsia="zh-CN"/>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年度支出总计</w:t>
      </w:r>
      <w:r>
        <w:rPr>
          <w:rFonts w:hint="eastAsia" w:ascii="楷体" w:hAnsi="楷体" w:eastAsia="楷体" w:cs="楷体"/>
          <w:b/>
          <w:bCs/>
          <w:sz w:val="32"/>
          <w:szCs w:val="32"/>
          <w:lang w:val="en-US" w:eastAsia="zh-CN"/>
        </w:rPr>
        <w:t>637.44</w:t>
      </w:r>
      <w:r>
        <w:rPr>
          <w:rFonts w:hint="eastAsia" w:ascii="楷体" w:hAnsi="楷体" w:eastAsia="楷体" w:cs="楷体"/>
          <w:b/>
          <w:bCs/>
          <w:sz w:val="32"/>
          <w:szCs w:val="32"/>
        </w:rPr>
        <w:t>万元。</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607.44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其中基本支出</w:t>
      </w:r>
      <w:r>
        <w:rPr>
          <w:rFonts w:hint="eastAsia" w:ascii="仿宋" w:hAnsi="仿宋" w:eastAsia="仿宋" w:cs="仿宋"/>
          <w:color w:val="000000"/>
          <w:sz w:val="32"/>
          <w:szCs w:val="32"/>
          <w:lang w:val="en-US" w:eastAsia="zh-CN"/>
        </w:rPr>
        <w:t>337.44万元、项目支出300万元。</w:t>
      </w:r>
    </w:p>
    <w:p w14:paraId="0156AF69">
      <w:pPr>
        <w:pStyle w:val="4"/>
      </w:pPr>
      <w:r>
        <w:rPr>
          <w:rFonts w:hint="eastAsia"/>
        </w:rPr>
        <w:t xml:space="preserve"> </w:t>
      </w:r>
    </w:p>
    <w:tbl>
      <w:tblPr>
        <w:tblStyle w:val="7"/>
        <w:tblW w:w="7650" w:type="dxa"/>
        <w:jc w:val="center"/>
        <w:tblLayout w:type="autofit"/>
        <w:tblCellMar>
          <w:top w:w="0" w:type="dxa"/>
          <w:left w:w="108" w:type="dxa"/>
          <w:bottom w:w="0" w:type="dxa"/>
          <w:right w:w="108" w:type="dxa"/>
        </w:tblCellMar>
      </w:tblPr>
      <w:tblGrid>
        <w:gridCol w:w="3137"/>
        <w:gridCol w:w="4513"/>
      </w:tblGrid>
      <w:tr w14:paraId="7536783A">
        <w:tblPrEx>
          <w:tblCellMar>
            <w:top w:w="0" w:type="dxa"/>
            <w:left w:w="108" w:type="dxa"/>
            <w:bottom w:w="0" w:type="dxa"/>
            <w:right w:w="108" w:type="dxa"/>
          </w:tblCellMar>
        </w:tblPrEx>
        <w:trPr>
          <w:trHeight w:val="54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F66">
            <w:pPr>
              <w:jc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基本支出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0FA7">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202</w:t>
            </w:r>
            <w:r>
              <w:rPr>
                <w:rFonts w:hint="eastAsia" w:ascii="新宋体" w:hAnsi="新宋体" w:eastAsia="新宋体" w:cs="新宋体"/>
                <w:b/>
                <w:bCs/>
                <w:color w:val="000000"/>
                <w:sz w:val="20"/>
                <w:szCs w:val="20"/>
                <w:lang w:val="en-US" w:eastAsia="zh-CN"/>
              </w:rPr>
              <w:t>4</w:t>
            </w:r>
            <w:r>
              <w:rPr>
                <w:rFonts w:hint="eastAsia" w:ascii="新宋体" w:hAnsi="新宋体" w:eastAsia="新宋体" w:cs="新宋体"/>
                <w:b/>
                <w:bCs/>
                <w:color w:val="000000"/>
                <w:sz w:val="20"/>
                <w:szCs w:val="20"/>
              </w:rPr>
              <w:t>年支出</w:t>
            </w:r>
          </w:p>
        </w:tc>
      </w:tr>
      <w:tr w14:paraId="74DB0CE6">
        <w:tblPrEx>
          <w:tblCellMar>
            <w:top w:w="0" w:type="dxa"/>
            <w:left w:w="108" w:type="dxa"/>
            <w:bottom w:w="0" w:type="dxa"/>
            <w:right w:w="108"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7169">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合    计</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FB72">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337.44</w:t>
            </w:r>
            <w:r>
              <w:rPr>
                <w:rFonts w:hint="eastAsia" w:ascii="宋体" w:hAnsi="宋体" w:eastAsia="宋体" w:cs="宋体"/>
                <w:color w:val="000000"/>
                <w:kern w:val="0"/>
                <w:sz w:val="20"/>
                <w:szCs w:val="20"/>
              </w:rPr>
              <w:t xml:space="preserve"> </w:t>
            </w:r>
          </w:p>
        </w:tc>
      </w:tr>
      <w:tr w14:paraId="7E6CDD1C">
        <w:tblPrEx>
          <w:tblCellMar>
            <w:top w:w="0" w:type="dxa"/>
            <w:left w:w="108" w:type="dxa"/>
            <w:bottom w:w="0" w:type="dxa"/>
            <w:right w:w="108" w:type="dxa"/>
          </w:tblCellMar>
        </w:tblPrEx>
        <w:trPr>
          <w:trHeight w:val="42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EDBFF5">
            <w:pPr>
              <w:widowControl/>
              <w:jc w:val="left"/>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工资及福利支出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3F4BF">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289.35</w:t>
            </w:r>
            <w:r>
              <w:rPr>
                <w:rFonts w:hint="eastAsia" w:ascii="宋体" w:hAnsi="宋体" w:eastAsia="宋体" w:cs="宋体"/>
                <w:color w:val="000000"/>
                <w:kern w:val="0"/>
                <w:sz w:val="20"/>
                <w:szCs w:val="20"/>
              </w:rPr>
              <w:t xml:space="preserve"> </w:t>
            </w:r>
          </w:p>
        </w:tc>
      </w:tr>
      <w:tr w14:paraId="114B9E8E">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3206C">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基本工资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BD76E">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88.73</w:t>
            </w:r>
            <w:r>
              <w:rPr>
                <w:rFonts w:hint="eastAsia" w:ascii="宋体" w:hAnsi="宋体" w:eastAsia="宋体" w:cs="宋体"/>
                <w:color w:val="000000"/>
                <w:kern w:val="0"/>
                <w:sz w:val="20"/>
                <w:szCs w:val="20"/>
              </w:rPr>
              <w:t xml:space="preserve"> </w:t>
            </w:r>
          </w:p>
        </w:tc>
      </w:tr>
      <w:tr w14:paraId="5AEECD4C">
        <w:tblPrEx>
          <w:tblCellMar>
            <w:top w:w="0" w:type="dxa"/>
            <w:left w:w="108" w:type="dxa"/>
            <w:bottom w:w="0" w:type="dxa"/>
            <w:right w:w="108" w:type="dxa"/>
          </w:tblCellMar>
        </w:tblPrEx>
        <w:trPr>
          <w:trHeight w:val="333"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79805">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绩效工资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399CC">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118.40</w:t>
            </w:r>
            <w:r>
              <w:rPr>
                <w:rFonts w:hint="eastAsia" w:ascii="宋体" w:hAnsi="宋体" w:eastAsia="宋体" w:cs="宋体"/>
                <w:color w:val="000000"/>
                <w:kern w:val="0"/>
                <w:sz w:val="20"/>
                <w:szCs w:val="20"/>
              </w:rPr>
              <w:t xml:space="preserve"> </w:t>
            </w:r>
          </w:p>
        </w:tc>
      </w:tr>
      <w:tr w14:paraId="5905A27E">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907BA">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机关事业单位基本养老保险缴费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153FF">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28.68</w:t>
            </w:r>
            <w:r>
              <w:rPr>
                <w:rFonts w:hint="eastAsia" w:ascii="宋体" w:hAnsi="宋体" w:eastAsia="宋体" w:cs="宋体"/>
                <w:color w:val="000000"/>
                <w:kern w:val="0"/>
                <w:sz w:val="20"/>
                <w:szCs w:val="20"/>
              </w:rPr>
              <w:t xml:space="preserve"> </w:t>
            </w:r>
          </w:p>
        </w:tc>
      </w:tr>
      <w:tr w14:paraId="31682AF8">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06E91">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职工基本医疗保险缴费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99AF">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16.11</w:t>
            </w:r>
          </w:p>
        </w:tc>
      </w:tr>
      <w:tr w14:paraId="1D056324">
        <w:tblPrEx>
          <w:tblCellMar>
            <w:top w:w="0" w:type="dxa"/>
            <w:left w:w="108" w:type="dxa"/>
            <w:bottom w:w="0" w:type="dxa"/>
            <w:right w:w="108" w:type="dxa"/>
          </w:tblCellMar>
        </w:tblPrEx>
        <w:trPr>
          <w:trHeight w:val="339"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2B2DC">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公务员医疗补助缴费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567">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8.95</w:t>
            </w:r>
          </w:p>
        </w:tc>
      </w:tr>
      <w:tr w14:paraId="50101D1A">
        <w:tblPrEx>
          <w:tblCellMar>
            <w:top w:w="0" w:type="dxa"/>
            <w:left w:w="108" w:type="dxa"/>
            <w:bottom w:w="0" w:type="dxa"/>
            <w:right w:w="108" w:type="dxa"/>
          </w:tblCellMar>
        </w:tblPrEx>
        <w:trPr>
          <w:trHeight w:val="36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25481">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其他社会保障缴费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2AF3">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1.26</w:t>
            </w:r>
          </w:p>
        </w:tc>
      </w:tr>
      <w:tr w14:paraId="381C9F6B">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AD46B">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住房公积金</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A235">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27.22</w:t>
            </w:r>
          </w:p>
        </w:tc>
      </w:tr>
      <w:tr w14:paraId="08C7F2C3">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AFE57">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06690">
            <w:pPr>
              <w:widowControl/>
              <w:jc w:val="right"/>
              <w:textAlignment w:val="bottom"/>
              <w:rPr>
                <w:rFonts w:ascii="新宋体" w:hAnsi="新宋体" w:eastAsia="新宋体" w:cs="新宋体"/>
                <w:b/>
                <w:bCs/>
                <w:color w:val="008000"/>
                <w:sz w:val="16"/>
                <w:szCs w:val="16"/>
              </w:rPr>
            </w:pPr>
            <w:r>
              <w:rPr>
                <w:rFonts w:hint="eastAsia" w:ascii="宋体" w:hAnsi="宋体" w:eastAsia="宋体" w:cs="宋体"/>
                <w:b/>
                <w:bCs/>
                <w:color w:val="000000"/>
                <w:kern w:val="0"/>
                <w:sz w:val="20"/>
                <w:szCs w:val="20"/>
                <w:lang w:val="en-US" w:eastAsia="zh-CN"/>
              </w:rPr>
              <w:t>24.01</w:t>
            </w:r>
            <w:r>
              <w:rPr>
                <w:rFonts w:hint="eastAsia" w:ascii="新宋体" w:hAnsi="新宋体" w:eastAsia="新宋体" w:cs="新宋体"/>
                <w:b/>
                <w:bCs/>
                <w:color w:val="008000"/>
                <w:kern w:val="0"/>
                <w:sz w:val="16"/>
                <w:szCs w:val="16"/>
              </w:rPr>
              <w:t xml:space="preserve"> </w:t>
            </w:r>
          </w:p>
        </w:tc>
      </w:tr>
      <w:tr w14:paraId="3D9F29B1">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FD702">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办公费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BDEE">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3.76</w:t>
            </w:r>
          </w:p>
        </w:tc>
      </w:tr>
      <w:tr w14:paraId="18705724">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0C625">
            <w:pPr>
              <w:widowControl/>
              <w:ind w:firstLine="200" w:firstLineChars="100"/>
              <w:jc w:val="left"/>
              <w:textAlignment w:val="bottom"/>
              <w:rPr>
                <w:rFonts w:hint="eastAsia" w:ascii="新宋体" w:hAnsi="新宋体" w:eastAsia="新宋体" w:cs="新宋体"/>
                <w:color w:val="000000"/>
                <w:kern w:val="0"/>
                <w:sz w:val="20"/>
                <w:szCs w:val="20"/>
                <w:lang w:eastAsia="zh-CN"/>
              </w:rPr>
            </w:pPr>
            <w:r>
              <w:rPr>
                <w:rFonts w:hint="eastAsia" w:ascii="新宋体" w:hAnsi="新宋体" w:eastAsia="新宋体" w:cs="新宋体"/>
                <w:color w:val="000000"/>
                <w:kern w:val="0"/>
                <w:sz w:val="20"/>
                <w:szCs w:val="20"/>
                <w:lang w:eastAsia="zh-CN"/>
              </w:rPr>
              <w:t>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9D3C">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0.07</w:t>
            </w:r>
          </w:p>
        </w:tc>
      </w:tr>
      <w:tr w14:paraId="6A7E1378">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CD174">
            <w:pPr>
              <w:widowControl/>
              <w:jc w:val="left"/>
              <w:textAlignment w:val="bottom"/>
              <w:rPr>
                <w:rFonts w:hint="default" w:ascii="新宋体" w:hAnsi="新宋体" w:eastAsia="新宋体" w:cs="新宋体"/>
                <w:color w:val="000000"/>
                <w:sz w:val="20"/>
                <w:szCs w:val="20"/>
                <w:lang w:val="en-US" w:eastAsia="zh-CN"/>
              </w:rPr>
            </w:pPr>
            <w:r>
              <w:rPr>
                <w:rFonts w:hint="eastAsia" w:ascii="新宋体" w:hAnsi="新宋体" w:eastAsia="新宋体" w:cs="新宋体"/>
                <w:color w:val="000000"/>
                <w:kern w:val="0"/>
                <w:sz w:val="20"/>
                <w:szCs w:val="20"/>
              </w:rPr>
              <w:t xml:space="preserve"> </w:t>
            </w:r>
            <w:r>
              <w:rPr>
                <w:rFonts w:hint="eastAsia" w:ascii="新宋体" w:hAnsi="新宋体" w:eastAsia="新宋体" w:cs="新宋体"/>
                <w:color w:val="000000"/>
                <w:kern w:val="0"/>
                <w:sz w:val="20"/>
                <w:szCs w:val="20"/>
                <w:lang w:val="en-US" w:eastAsia="zh-CN"/>
              </w:rPr>
              <w:t>工会经费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9217">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9.61</w:t>
            </w:r>
          </w:p>
        </w:tc>
      </w:tr>
      <w:tr w14:paraId="08F6BF1A">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1971B">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维修（护）费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4D1D">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0.25</w:t>
            </w:r>
          </w:p>
        </w:tc>
      </w:tr>
      <w:tr w14:paraId="2507BAE7">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06FDA">
            <w:pPr>
              <w:widowControl/>
              <w:ind w:firstLine="200" w:firstLineChars="100"/>
              <w:jc w:val="left"/>
              <w:textAlignment w:val="bottom"/>
              <w:rPr>
                <w:rFonts w:hint="default" w:ascii="新宋体" w:hAnsi="新宋体" w:eastAsia="新宋体" w:cs="新宋体"/>
                <w:color w:val="000000"/>
                <w:kern w:val="0"/>
                <w:sz w:val="20"/>
                <w:szCs w:val="20"/>
                <w:lang w:val="en-US" w:eastAsia="zh-CN"/>
              </w:rPr>
            </w:pPr>
            <w:r>
              <w:rPr>
                <w:rFonts w:hint="eastAsia" w:ascii="新宋体" w:hAnsi="新宋体" w:eastAsia="新宋体" w:cs="新宋体"/>
                <w:color w:val="000000"/>
                <w:kern w:val="0"/>
                <w:sz w:val="20"/>
                <w:szCs w:val="20"/>
                <w:lang w:val="en-US" w:eastAsia="zh-CN"/>
              </w:rPr>
              <w:t>租赁费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B896">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14:paraId="0D728D2B">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AFD82">
            <w:pPr>
              <w:widowControl/>
              <w:jc w:val="left"/>
              <w:textAlignment w:val="bottom"/>
              <w:rPr>
                <w:rFonts w:hint="default" w:ascii="新宋体" w:hAnsi="新宋体" w:eastAsia="新宋体" w:cs="新宋体"/>
                <w:color w:val="000000"/>
                <w:sz w:val="20"/>
                <w:szCs w:val="20"/>
                <w:lang w:val="en-US" w:eastAsia="zh-CN"/>
              </w:rPr>
            </w:pPr>
            <w:r>
              <w:rPr>
                <w:rFonts w:hint="eastAsia" w:ascii="新宋体" w:hAnsi="新宋体" w:eastAsia="新宋体" w:cs="新宋体"/>
                <w:color w:val="000000"/>
                <w:kern w:val="0"/>
                <w:sz w:val="20"/>
                <w:szCs w:val="20"/>
              </w:rPr>
              <w:t xml:space="preserve">  </w:t>
            </w:r>
            <w:r>
              <w:rPr>
                <w:rFonts w:hint="eastAsia" w:ascii="新宋体" w:hAnsi="新宋体" w:eastAsia="新宋体" w:cs="新宋体"/>
                <w:color w:val="000000"/>
                <w:kern w:val="0"/>
                <w:sz w:val="20"/>
                <w:szCs w:val="20"/>
                <w:lang w:val="en-US" w:eastAsia="zh-CN"/>
              </w:rPr>
              <w:t>培训费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A4F">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1.2</w:t>
            </w:r>
          </w:p>
        </w:tc>
      </w:tr>
      <w:tr w14:paraId="5E181A57">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6F3ED">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福利费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26C7">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3.98</w:t>
            </w:r>
          </w:p>
        </w:tc>
      </w:tr>
      <w:tr w14:paraId="6BE2408D">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E5D0B">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其他交通费用</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5F47">
            <w:pPr>
              <w:widowControl/>
              <w:jc w:val="right"/>
              <w:textAlignment w:val="center"/>
              <w:rPr>
                <w:rFonts w:hint="default" w:ascii="新宋体" w:hAnsi="新宋体" w:eastAsia="新宋体" w:cs="新宋体"/>
                <w:color w:val="008000"/>
                <w:sz w:val="16"/>
                <w:szCs w:val="16"/>
                <w:lang w:val="en-US" w:eastAsia="zh-CN"/>
              </w:rPr>
            </w:pPr>
            <w:r>
              <w:rPr>
                <w:rFonts w:hint="eastAsia" w:ascii="新宋体" w:hAnsi="新宋体" w:eastAsia="新宋体" w:cs="新宋体"/>
                <w:color w:val="008000"/>
                <w:sz w:val="16"/>
                <w:szCs w:val="16"/>
                <w:lang w:val="en-US" w:eastAsia="zh-CN"/>
              </w:rPr>
              <w:t>0.77</w:t>
            </w:r>
          </w:p>
        </w:tc>
      </w:tr>
      <w:tr w14:paraId="409CB90E">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CA5F3">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83C">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4.36</w:t>
            </w:r>
          </w:p>
        </w:tc>
      </w:tr>
      <w:tr w14:paraId="6E84B489">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BF0FA">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4D3FD">
            <w:pPr>
              <w:widowControl/>
              <w:jc w:val="right"/>
              <w:textAlignment w:val="center"/>
              <w:rPr>
                <w:rFonts w:hint="default" w:ascii="宋体" w:hAnsi="宋体" w:eastAsia="宋体" w:cs="宋体"/>
                <w:color w:val="000000"/>
                <w:kern w:val="0"/>
                <w:sz w:val="20"/>
                <w:szCs w:val="20"/>
                <w:lang w:val="en-US"/>
              </w:rPr>
            </w:pPr>
            <w:r>
              <w:rPr>
                <w:rFonts w:hint="eastAsia" w:ascii="宋体" w:hAnsi="宋体" w:eastAsia="宋体" w:cs="宋体"/>
                <w:b/>
                <w:bCs/>
                <w:color w:val="000000"/>
                <w:kern w:val="0"/>
                <w:sz w:val="20"/>
                <w:szCs w:val="20"/>
                <w:lang w:val="en-US" w:eastAsia="zh-CN"/>
              </w:rPr>
              <w:t>23.95</w:t>
            </w:r>
          </w:p>
        </w:tc>
      </w:tr>
      <w:tr w14:paraId="11B7B057">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1CCE9">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退休费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9E5">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20.62</w:t>
            </w:r>
          </w:p>
        </w:tc>
      </w:tr>
      <w:tr w14:paraId="78F8D13F">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90C5A">
            <w:pPr>
              <w:widowControl/>
              <w:jc w:val="center"/>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其他对个人和家庭的补助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BD41">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3.33</w:t>
            </w:r>
          </w:p>
        </w:tc>
      </w:tr>
      <w:tr w14:paraId="154B8E10">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60276">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资本性支出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17AA">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0.13</w:t>
            </w:r>
            <w:r>
              <w:rPr>
                <w:rFonts w:hint="eastAsia" w:ascii="宋体" w:hAnsi="宋体" w:eastAsia="宋体" w:cs="宋体"/>
                <w:b/>
                <w:bCs/>
                <w:color w:val="000000"/>
                <w:kern w:val="0"/>
                <w:sz w:val="20"/>
                <w:szCs w:val="20"/>
              </w:rPr>
              <w:t xml:space="preserve"> </w:t>
            </w:r>
          </w:p>
        </w:tc>
      </w:tr>
      <w:tr w14:paraId="2E8166A0">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D274D">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办公设备购置 </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3077">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0.13</w:t>
            </w:r>
          </w:p>
        </w:tc>
      </w:tr>
    </w:tbl>
    <w:p w14:paraId="1FB5ACA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三、一般公共预算基本支出情况</w:t>
      </w:r>
    </w:p>
    <w:p w14:paraId="223B50EF">
      <w:pPr>
        <w:spacing w:line="560" w:lineRule="exact"/>
        <w:ind w:firstLine="640" w:firstLineChars="200"/>
        <w:rPr>
          <w:rFonts w:hint="default" w:ascii="楷体" w:hAnsi="楷体" w:eastAsia="仿宋" w:cs="楷体"/>
          <w:b/>
          <w:bCs/>
          <w:sz w:val="32"/>
          <w:szCs w:val="32"/>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年一般公共预算基本支出</w:t>
      </w:r>
      <w:r>
        <w:rPr>
          <w:rFonts w:hint="eastAsia" w:ascii="仿宋" w:hAnsi="仿宋" w:eastAsia="仿宋" w:cs="仿宋"/>
          <w:color w:val="000000"/>
          <w:sz w:val="32"/>
          <w:szCs w:val="32"/>
          <w:lang w:val="en-US" w:eastAsia="zh-CN"/>
        </w:rPr>
        <w:t>637.44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w:t>
      </w:r>
      <w:r>
        <w:rPr>
          <w:rFonts w:hint="eastAsia" w:ascii="仿宋" w:hAnsi="仿宋" w:eastAsia="仿宋" w:cs="仿宋"/>
          <w:color w:val="000000"/>
          <w:sz w:val="32"/>
          <w:szCs w:val="32"/>
          <w:lang w:val="en-US" w:eastAsia="zh-CN"/>
        </w:rPr>
        <w:t>337.44万元为基本支出，300万元为项目支出。</w:t>
      </w:r>
    </w:p>
    <w:p w14:paraId="0C2C397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（一）基本支出情况</w:t>
      </w:r>
    </w:p>
    <w:p w14:paraId="3FC96C66">
      <w:pPr>
        <w:spacing w:after="1" w:line="560" w:lineRule="exact"/>
        <w:ind w:firstLine="63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年基本支出</w:t>
      </w:r>
      <w:r>
        <w:rPr>
          <w:rFonts w:hint="eastAsia" w:ascii="仿宋" w:hAnsi="仿宋" w:eastAsia="仿宋" w:cs="仿宋"/>
          <w:color w:val="000000"/>
          <w:sz w:val="32"/>
          <w:szCs w:val="32"/>
          <w:lang w:val="en-US" w:eastAsia="zh-CN"/>
        </w:rPr>
        <w:t>337.44</w:t>
      </w:r>
      <w:r>
        <w:rPr>
          <w:rFonts w:hint="eastAsia" w:ascii="仿宋" w:hAnsi="仿宋" w:eastAsia="仿宋" w:cs="仿宋"/>
          <w:sz w:val="32"/>
          <w:szCs w:val="32"/>
        </w:rPr>
        <w:t>万元</w:t>
      </w:r>
      <w:r>
        <w:rPr>
          <w:rFonts w:hint="eastAsia" w:ascii="仿宋" w:hAnsi="仿宋" w:eastAsia="仿宋" w:cs="仿宋"/>
          <w:color w:val="000000"/>
          <w:sz w:val="32"/>
          <w:szCs w:val="32"/>
        </w:rPr>
        <w:t>，</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289.35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85.75</w:t>
      </w:r>
      <w:r>
        <w:rPr>
          <w:rFonts w:hint="eastAsia" w:ascii="仿宋" w:hAnsi="仿宋" w:eastAsia="仿宋" w:cs="仿宋"/>
          <w:sz w:val="32"/>
          <w:szCs w:val="32"/>
        </w:rPr>
        <w:t>%；商品服务支出</w:t>
      </w:r>
      <w:r>
        <w:rPr>
          <w:rFonts w:hint="eastAsia" w:ascii="仿宋" w:hAnsi="仿宋" w:eastAsia="仿宋" w:cs="仿宋"/>
          <w:sz w:val="32"/>
          <w:szCs w:val="32"/>
          <w:lang w:val="en-US" w:eastAsia="zh-CN"/>
        </w:rPr>
        <w:t>24.01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7.12</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23.95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7.09</w:t>
      </w:r>
      <w:r>
        <w:rPr>
          <w:rFonts w:hint="eastAsia" w:ascii="仿宋" w:hAnsi="仿宋" w:eastAsia="仿宋" w:cs="仿宋"/>
          <w:sz w:val="32"/>
          <w:szCs w:val="32"/>
        </w:rPr>
        <w:t>%；资本性支出</w:t>
      </w:r>
      <w:r>
        <w:rPr>
          <w:rFonts w:hint="eastAsia" w:ascii="仿宋" w:hAnsi="仿宋" w:eastAsia="仿宋" w:cs="仿宋"/>
          <w:sz w:val="32"/>
          <w:szCs w:val="32"/>
          <w:lang w:val="en-US" w:eastAsia="zh-CN"/>
        </w:rPr>
        <w:t>0.13万元</w:t>
      </w:r>
      <w:r>
        <w:rPr>
          <w:rFonts w:hint="eastAsia" w:ascii="仿宋" w:hAnsi="仿宋" w:eastAsia="仿宋" w:cs="仿宋"/>
          <w:sz w:val="32"/>
          <w:szCs w:val="32"/>
        </w:rPr>
        <w:t>元，占总支出的0.</w:t>
      </w:r>
      <w:r>
        <w:rPr>
          <w:rFonts w:hint="eastAsia" w:ascii="仿宋" w:hAnsi="仿宋" w:eastAsia="仿宋" w:cs="仿宋"/>
          <w:sz w:val="32"/>
          <w:szCs w:val="32"/>
          <w:lang w:val="en-US" w:eastAsia="zh-CN"/>
        </w:rPr>
        <w:t>04</w:t>
      </w:r>
      <w:r>
        <w:rPr>
          <w:rFonts w:hint="eastAsia" w:ascii="仿宋" w:hAnsi="仿宋" w:eastAsia="仿宋" w:cs="仿宋"/>
          <w:sz w:val="32"/>
          <w:szCs w:val="32"/>
        </w:rPr>
        <w:t>%。</w:t>
      </w:r>
    </w:p>
    <w:p w14:paraId="7FA63E3F">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（二）项目支出情况</w:t>
      </w:r>
    </w:p>
    <w:p w14:paraId="2CDEC364">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年项目支出</w:t>
      </w:r>
      <w:r>
        <w:rPr>
          <w:rFonts w:hint="eastAsia" w:ascii="仿宋" w:hAnsi="仿宋" w:eastAsia="仿宋" w:cs="仿宋"/>
          <w:color w:val="000000"/>
          <w:sz w:val="32"/>
          <w:szCs w:val="32"/>
          <w:lang w:val="en-US" w:eastAsia="zh-CN"/>
        </w:rPr>
        <w:t>300</w:t>
      </w:r>
      <w:r>
        <w:rPr>
          <w:rFonts w:hint="eastAsia" w:ascii="仿宋" w:hAnsi="仿宋" w:eastAsia="仿宋" w:cs="仿宋"/>
          <w:sz w:val="32"/>
          <w:szCs w:val="32"/>
        </w:rPr>
        <w:t>万元，其中</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300</w:t>
      </w:r>
      <w:r>
        <w:rPr>
          <w:rFonts w:hint="eastAsia" w:ascii="仿宋" w:hAnsi="仿宋" w:eastAsia="仿宋" w:cs="仿宋"/>
          <w:color w:val="000000"/>
          <w:sz w:val="32"/>
          <w:szCs w:val="32"/>
        </w:rPr>
        <w:t>万元。</w:t>
      </w:r>
    </w:p>
    <w:p w14:paraId="0EFB85C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14:paraId="09CF79EF">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年政府性基金财政拨款支出</w:t>
      </w:r>
      <w:r>
        <w:rPr>
          <w:rFonts w:hint="eastAsia" w:ascii="仿宋" w:hAnsi="仿宋" w:eastAsia="仿宋" w:cs="仿宋"/>
          <w:sz w:val="32"/>
          <w:szCs w:val="32"/>
          <w:lang w:val="en-US" w:eastAsia="zh-CN"/>
        </w:rPr>
        <w:t>30</w:t>
      </w:r>
      <w:r>
        <w:rPr>
          <w:rFonts w:hint="eastAsia" w:ascii="仿宋" w:hAnsi="仿宋" w:eastAsia="仿宋" w:cs="仿宋"/>
          <w:sz w:val="32"/>
          <w:szCs w:val="32"/>
        </w:rPr>
        <w:t>万元，全部为项目支出</w:t>
      </w:r>
      <w:r>
        <w:rPr>
          <w:rFonts w:hint="eastAsia" w:ascii="仿宋" w:hAnsi="仿宋" w:eastAsia="仿宋" w:cs="仿宋"/>
          <w:sz w:val="32"/>
          <w:szCs w:val="32"/>
          <w:lang w:eastAsia="zh-CN"/>
        </w:rPr>
        <w:t>。</w:t>
      </w:r>
    </w:p>
    <w:p w14:paraId="2FD5587E">
      <w:pPr>
        <w:spacing w:line="56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四、国有资本经营预算支出情况</w:t>
      </w:r>
    </w:p>
    <w:p w14:paraId="2D9F2732">
      <w:pPr>
        <w:spacing w:line="56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我单位无国有资本经营预算支出。</w:t>
      </w:r>
    </w:p>
    <w:p w14:paraId="630B9834">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社会保险基金预算支出情况</w:t>
      </w:r>
    </w:p>
    <w:p w14:paraId="6370A0A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我单位无社会保险基金预算支出。</w:t>
      </w:r>
    </w:p>
    <w:p w14:paraId="410BD6DA">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部门整体支出绩效情况</w:t>
      </w:r>
    </w:p>
    <w:p w14:paraId="6CA74D40">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（一）预算执行方面</w:t>
      </w:r>
    </w:p>
    <w:p w14:paraId="6D6B5FD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w:t>
      </w:r>
      <w:r>
        <w:rPr>
          <w:rFonts w:hint="eastAsia" w:ascii="仿宋" w:hAnsi="仿宋" w:eastAsia="仿宋" w:cs="仿宋"/>
          <w:sz w:val="32"/>
          <w:szCs w:val="32"/>
          <w:lang w:val="en-US" w:eastAsia="zh-CN"/>
        </w:rPr>
        <w:t>324.85</w:t>
      </w:r>
      <w:r>
        <w:rPr>
          <w:rFonts w:hint="eastAsia" w:ascii="仿宋" w:hAnsi="仿宋" w:eastAsia="仿宋" w:cs="仿宋"/>
          <w:sz w:val="32"/>
          <w:szCs w:val="32"/>
        </w:rPr>
        <w:t>万元，本年调整预算数</w:t>
      </w:r>
      <w:r>
        <w:rPr>
          <w:rFonts w:hint="eastAsia" w:ascii="仿宋" w:hAnsi="仿宋" w:eastAsia="仿宋" w:cs="仿宋"/>
          <w:sz w:val="32"/>
          <w:szCs w:val="32"/>
          <w:lang w:val="en-US" w:eastAsia="zh-CN"/>
        </w:rPr>
        <w:t>637.44</w:t>
      </w:r>
      <w:r>
        <w:rPr>
          <w:rFonts w:hint="eastAsia" w:ascii="仿宋" w:hAnsi="仿宋" w:eastAsia="仿宋" w:cs="仿宋"/>
          <w:sz w:val="32"/>
          <w:szCs w:val="32"/>
        </w:rPr>
        <w:t>万元，202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年实际完成预算</w:t>
      </w:r>
      <w:r>
        <w:rPr>
          <w:rFonts w:hint="eastAsia" w:ascii="仿宋" w:hAnsi="仿宋" w:eastAsia="仿宋" w:cs="仿宋"/>
          <w:sz w:val="32"/>
          <w:szCs w:val="32"/>
          <w:lang w:val="en-US" w:eastAsia="zh-CN"/>
        </w:rPr>
        <w:t>637.44</w:t>
      </w:r>
      <w:r>
        <w:rPr>
          <w:rFonts w:hint="eastAsia" w:ascii="仿宋" w:hAnsi="仿宋" w:eastAsia="仿宋" w:cs="仿宋"/>
          <w:sz w:val="32"/>
          <w:szCs w:val="32"/>
        </w:rPr>
        <w:t>万元，预算完成率100</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 </w:t>
      </w:r>
    </w:p>
    <w:p w14:paraId="0D0EC4E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年“三公经费”预算批复数1万元，全年实际支出“三公经费”0万元，“三公经费”节约率高。</w:t>
      </w:r>
    </w:p>
    <w:p w14:paraId="7BBB19A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（二）预算管理方面</w:t>
      </w:r>
    </w:p>
    <w:p w14:paraId="0B0FD39D">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严格</w:t>
      </w:r>
      <w:r>
        <w:rPr>
          <w:rFonts w:ascii="仿宋" w:hAnsi="仿宋" w:eastAsia="仿宋" w:cs="仿宋"/>
          <w:color w:val="000000"/>
          <w:sz w:val="32"/>
          <w:szCs w:val="32"/>
          <w:shd w:val="clear" w:color="auto" w:fill="FFFFFF"/>
        </w:rPr>
        <w:t>执行</w:t>
      </w:r>
      <w:r>
        <w:rPr>
          <w:rFonts w:hint="eastAsia" w:ascii="仿宋" w:hAnsi="仿宋" w:eastAsia="仿宋" w:cs="仿宋"/>
          <w:color w:val="000000"/>
          <w:sz w:val="32"/>
          <w:szCs w:val="32"/>
          <w:shd w:val="clear" w:color="auto" w:fill="FFFFFF"/>
        </w:rPr>
        <w:t>财务管理制度</w:t>
      </w:r>
      <w:r>
        <w:rPr>
          <w:rFonts w:ascii="仿宋" w:hAnsi="仿宋" w:eastAsia="仿宋" w:cs="仿宋"/>
          <w:color w:val="000000"/>
          <w:sz w:val="32"/>
          <w:szCs w:val="32"/>
          <w:shd w:val="clear" w:color="auto" w:fill="FFFFFF"/>
        </w:rPr>
        <w:t>，规范财务审批程序，</w:t>
      </w:r>
      <w:r>
        <w:rPr>
          <w:rFonts w:hint="eastAsia" w:ascii="仿宋" w:hAnsi="仿宋" w:eastAsia="仿宋" w:cs="仿宋"/>
          <w:color w:val="000000"/>
          <w:sz w:val="32"/>
          <w:szCs w:val="32"/>
          <w:shd w:val="clear" w:color="auto" w:fill="FFFFFF"/>
        </w:rPr>
        <w:t>严格三公经费</w:t>
      </w:r>
      <w:r>
        <w:rPr>
          <w:rFonts w:ascii="仿宋" w:hAnsi="仿宋" w:eastAsia="仿宋" w:cs="仿宋"/>
          <w:color w:val="000000"/>
          <w:sz w:val="32"/>
          <w:szCs w:val="32"/>
          <w:shd w:val="clear" w:color="auto" w:fill="FFFFFF"/>
        </w:rPr>
        <w:t>支出标准、范围和程序的审核，所有开支实行“先申报、后开支”，严格控制经费支出，节约机关运行成本</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提高资金使用效益。</w:t>
      </w:r>
    </w:p>
    <w:p w14:paraId="4E0B9EDB">
      <w:pPr>
        <w:spacing w:line="560" w:lineRule="exact"/>
        <w:ind w:firstLine="640" w:firstLineChars="200"/>
        <w:rPr>
          <w:rFonts w:ascii="Times New Roman" w:hAnsi="Times New Roman" w:eastAsia="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按要求</w:t>
      </w:r>
      <w:r>
        <w:rPr>
          <w:rFonts w:ascii="仿宋" w:hAnsi="仿宋" w:eastAsia="仿宋" w:cs="仿宋"/>
          <w:color w:val="000000"/>
          <w:sz w:val="32"/>
          <w:szCs w:val="32"/>
          <w:shd w:val="clear" w:color="auto" w:fill="FFFFFF"/>
        </w:rPr>
        <w:t>真实准确编制部门预算和决算</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按规定时限和规定内容公开部门预算、部门决算以及绩效自评报告。部门预决算信息透明度进一步提高。</w:t>
      </w:r>
      <w:r>
        <w:rPr>
          <w:rFonts w:ascii="Times New Roman" w:hAnsi="Times New Roman" w:eastAsia="宋体" w:cs="Times New Roman"/>
          <w:color w:val="000000"/>
          <w:sz w:val="32"/>
          <w:szCs w:val="32"/>
          <w:shd w:val="clear" w:color="auto" w:fill="FFFFFF"/>
        </w:rPr>
        <w:t> </w:t>
      </w:r>
    </w:p>
    <w:p w14:paraId="2F791F3A">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（三）资产管理方面</w:t>
      </w:r>
    </w:p>
    <w:p w14:paraId="13F9A4DD">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ascii="仿宋" w:hAnsi="仿宋" w:eastAsia="仿宋" w:cs="仿宋"/>
          <w:color w:val="000000"/>
          <w:sz w:val="32"/>
          <w:szCs w:val="32"/>
          <w:shd w:val="clear" w:color="auto" w:fill="FFFFFF"/>
        </w:rPr>
        <w:t>严格落实《益阳市财政固定资产管理办法》等有关资产管理</w:t>
      </w:r>
      <w:r>
        <w:rPr>
          <w:rFonts w:hint="eastAsia" w:ascii="仿宋" w:hAnsi="仿宋" w:eastAsia="仿宋" w:cs="仿宋"/>
          <w:color w:val="000000"/>
          <w:sz w:val="32"/>
          <w:szCs w:val="32"/>
          <w:shd w:val="clear" w:color="auto" w:fill="FFFFFF"/>
        </w:rPr>
        <w:t>的文件精神</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制定了资产管理制度。严格资产购置，</w:t>
      </w:r>
      <w:r>
        <w:rPr>
          <w:rFonts w:ascii="仿宋" w:hAnsi="仿宋" w:eastAsia="仿宋" w:cs="仿宋"/>
          <w:color w:val="000000"/>
          <w:sz w:val="32"/>
          <w:szCs w:val="32"/>
          <w:shd w:val="clear" w:color="auto" w:fill="FFFFFF"/>
        </w:rPr>
        <w:t>办公设备等资产购置严格实行事前审批，按照年初部门预算以及实际工作需要、资产购置标准进行统一配置。</w:t>
      </w:r>
    </w:p>
    <w:p w14:paraId="2AE9EFFB">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统一由办公室调配资产，提高固定资产利用率，尽量避免资产闲置浪费。资产及时入账销账，严格按照有关程序处置资产，确保资产保存完整、使用合规、账实相符。</w:t>
      </w:r>
    </w:p>
    <w:p w14:paraId="7EAF3D0B">
      <w:pPr>
        <w:numPr>
          <w:ilvl w:val="0"/>
          <w:numId w:val="3"/>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职责履行和履职效益方面 </w:t>
      </w:r>
    </w:p>
    <w:p w14:paraId="70EBA2BC">
      <w:pPr>
        <w:spacing w:line="600" w:lineRule="exact"/>
        <w:ind w:firstLine="420" w:firstLineChars="200"/>
        <w:rPr>
          <w:rFonts w:hint="eastAsia" w:ascii="Times New Roman" w:hAnsi="Times New Roman" w:eastAsia="仿宋" w:cs="Times New Roman"/>
          <w:sz w:val="32"/>
          <w:szCs w:val="32"/>
          <w:lang w:val="en-US" w:eastAsia="zh-CN"/>
        </w:rPr>
      </w:pPr>
      <w:r>
        <w:rPr>
          <w:rFonts w:hint="eastAsia"/>
          <w:lang w:val="en-US" w:eastAsia="zh-CN"/>
        </w:rPr>
        <w:t xml:space="preserve">     </w:t>
      </w:r>
      <w:r>
        <w:rPr>
          <w:rFonts w:hint="eastAsia" w:ascii="Times New Roman" w:hAnsi="Times New Roman" w:eastAsia="仿宋" w:cs="Times New Roman"/>
          <w:sz w:val="32"/>
          <w:szCs w:val="32"/>
          <w:lang w:val="en-US" w:eastAsia="zh-CN"/>
        </w:rPr>
        <w:t>西流湾电排的工作特点是污水提升的中转站，主要承担康复路以西，迎宾路以北9.58平方千米内170多家政府部门企事业单位的排渍、污水提升任务，服务的对象是秀峰片区12万余人广大市民。为确保片区不发生内涝：一是值班人员实行24小时值班制度，密切关注气象预报情况，对降雨量及水位变化进行科学预判调度，合理调节机组</w:t>
      </w:r>
      <w:r>
        <w:rPr>
          <w:rFonts w:hint="default" w:ascii="Times New Roman" w:hAnsi="Times New Roman" w:eastAsia="仿宋" w:cs="Times New Roman"/>
          <w:sz w:val="32"/>
          <w:szCs w:val="32"/>
          <w:lang w:val="en-US" w:eastAsia="zh-CN"/>
        </w:rPr>
        <w:t>运</w:t>
      </w:r>
      <w:r>
        <w:rPr>
          <w:rFonts w:hint="eastAsia" w:ascii="Times New Roman" w:hAnsi="Times New Roman" w:eastAsia="仿宋" w:cs="Times New Roman"/>
          <w:sz w:val="32"/>
          <w:szCs w:val="32"/>
          <w:lang w:val="en-US" w:eastAsia="zh-CN"/>
        </w:rPr>
        <w:t>行台次降低水位。二是对职工进行业务技术培训，提高业务能力，特别对在一线工作的职工进行电气设备特种作业理论、实操培训，考试取证，进一步提升业务能力和实际操作水平，确保机组安全高效运行。在汛期来临之前积极开展备汛工作，切实贯彻“安全第一，预防为主，常备不懈，全力抢</w:t>
      </w:r>
      <w:r>
        <w:rPr>
          <w:rFonts w:hint="default" w:ascii="Times New Roman" w:hAnsi="Times New Roman" w:eastAsia="仿宋" w:cs="Times New Roman"/>
          <w:sz w:val="32"/>
          <w:szCs w:val="32"/>
          <w:lang w:val="en-US" w:eastAsia="zh-CN"/>
        </w:rPr>
        <w:t>排</w:t>
      </w:r>
      <w:r>
        <w:rPr>
          <w:rFonts w:hint="eastAsia" w:ascii="Times New Roman" w:hAnsi="Times New Roman" w:eastAsia="仿宋" w:cs="Times New Roman"/>
          <w:sz w:val="32"/>
          <w:szCs w:val="32"/>
          <w:lang w:val="en-US" w:eastAsia="zh-CN"/>
        </w:rPr>
        <w:t>”的防汛工作方针，对防汛工作早行动、早安排、早布置。</w:t>
      </w:r>
    </w:p>
    <w:p w14:paraId="60A52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今年</w:t>
      </w:r>
      <w:r>
        <w:rPr>
          <w:rFonts w:hint="eastAsia" w:ascii="仿宋" w:hAnsi="仿宋" w:eastAsia="仿宋" w:cs="仿宋"/>
          <w:sz w:val="32"/>
          <w:szCs w:val="32"/>
          <w:lang w:val="en-US" w:eastAsia="zh-CN"/>
        </w:rPr>
        <w:t>3月初</w:t>
      </w:r>
      <w:r>
        <w:rPr>
          <w:rFonts w:hint="eastAsia" w:ascii="仿宋" w:hAnsi="仿宋" w:eastAsia="仿宋" w:cs="仿宋"/>
          <w:sz w:val="32"/>
          <w:szCs w:val="32"/>
        </w:rPr>
        <w:t>，</w:t>
      </w:r>
      <w:r>
        <w:rPr>
          <w:rFonts w:hint="eastAsia" w:ascii="仿宋" w:hAnsi="仿宋" w:eastAsia="仿宋" w:cs="仿宋"/>
          <w:sz w:val="32"/>
          <w:szCs w:val="32"/>
          <w:lang w:eastAsia="zh-CN"/>
        </w:rPr>
        <w:t>组织召开了全站防汛备汛动员大会，</w:t>
      </w:r>
      <w:r>
        <w:rPr>
          <w:rFonts w:hint="eastAsia" w:ascii="仿宋" w:hAnsi="仿宋" w:eastAsia="仿宋" w:cs="仿宋"/>
          <w:sz w:val="32"/>
          <w:szCs w:val="32"/>
        </w:rPr>
        <w:t>进一步</w:t>
      </w:r>
      <w:r>
        <w:rPr>
          <w:rFonts w:hint="eastAsia" w:ascii="仿宋" w:hAnsi="仿宋" w:eastAsia="仿宋" w:cs="仿宋"/>
          <w:sz w:val="32"/>
          <w:szCs w:val="32"/>
          <w:lang w:eastAsia="zh-CN"/>
        </w:rPr>
        <w:t>完善</w:t>
      </w:r>
      <w:r>
        <w:rPr>
          <w:rFonts w:hint="eastAsia" w:ascii="仿宋" w:hAnsi="仿宋" w:eastAsia="仿宋" w:cs="仿宋"/>
          <w:sz w:val="32"/>
          <w:szCs w:val="32"/>
        </w:rPr>
        <w:t>了</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度排渍防涝应急预案</w:t>
      </w:r>
      <w:r>
        <w:rPr>
          <w:rFonts w:hint="eastAsia" w:ascii="仿宋" w:hAnsi="仿宋" w:eastAsia="仿宋" w:cs="仿宋"/>
          <w:sz w:val="32"/>
          <w:szCs w:val="32"/>
        </w:rPr>
        <w:t>》</w:t>
      </w:r>
      <w:r>
        <w:rPr>
          <w:rFonts w:hint="eastAsia" w:ascii="仿宋" w:hAnsi="仿宋" w:eastAsia="仿宋" w:cs="仿宋"/>
          <w:sz w:val="32"/>
          <w:szCs w:val="32"/>
          <w:lang w:eastAsia="zh-CN"/>
        </w:rPr>
        <w:t>，组织全站干职工</w:t>
      </w:r>
      <w:r>
        <w:rPr>
          <w:rFonts w:hint="eastAsia" w:ascii="仿宋" w:hAnsi="仿宋" w:eastAsia="仿宋" w:cs="仿宋"/>
          <w:sz w:val="32"/>
          <w:szCs w:val="32"/>
          <w:lang w:val="en-US" w:eastAsia="zh-CN"/>
        </w:rPr>
        <w:t>开展业务知识培训12次，设备运行操作培训12次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月份完成了第</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批（</w:t>
      </w:r>
      <w:r>
        <w:rPr>
          <w:rFonts w:hint="eastAsia" w:ascii="仿宋" w:hAnsi="仿宋" w:eastAsia="仿宋" w:cs="仿宋"/>
          <w:sz w:val="32"/>
          <w:szCs w:val="32"/>
          <w:lang w:val="en-US" w:eastAsia="zh-CN"/>
        </w:rPr>
        <w:t>4人次</w:t>
      </w:r>
      <w:r>
        <w:rPr>
          <w:rFonts w:hint="eastAsia" w:ascii="仿宋" w:hAnsi="仿宋" w:eastAsia="仿宋" w:cs="仿宋"/>
          <w:sz w:val="32"/>
          <w:szCs w:val="32"/>
          <w:lang w:eastAsia="zh-CN"/>
        </w:rPr>
        <w:t>）前往技术厂家培训学习一周。同时，</w:t>
      </w:r>
      <w:r>
        <w:rPr>
          <w:rFonts w:hint="eastAsia" w:ascii="仿宋" w:hAnsi="仿宋" w:eastAsia="仿宋" w:cs="仿宋"/>
          <w:sz w:val="32"/>
          <w:szCs w:val="32"/>
        </w:rPr>
        <w:t>对汛期出现的一些问题漏洞及时整改，对防汛</w:t>
      </w:r>
      <w:r>
        <w:rPr>
          <w:rFonts w:hint="eastAsia" w:ascii="仿宋" w:hAnsi="仿宋" w:eastAsia="仿宋" w:cs="仿宋"/>
          <w:sz w:val="32"/>
          <w:szCs w:val="32"/>
          <w:lang w:eastAsia="zh-CN"/>
        </w:rPr>
        <w:t>备品备件</w:t>
      </w:r>
      <w:r>
        <w:rPr>
          <w:rFonts w:hint="eastAsia" w:ascii="仿宋" w:hAnsi="仿宋" w:eastAsia="仿宋" w:cs="仿宋"/>
          <w:sz w:val="32"/>
          <w:szCs w:val="32"/>
        </w:rPr>
        <w:t>情况进行梳理盘点，</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污水提升机组</w:t>
      </w:r>
      <w:r>
        <w:rPr>
          <w:rFonts w:hint="eastAsia" w:ascii="仿宋" w:hAnsi="仿宋" w:eastAsia="仿宋" w:cs="仿宋"/>
          <w:sz w:val="32"/>
          <w:szCs w:val="32"/>
          <w:lang w:eastAsia="zh-CN"/>
        </w:rPr>
        <w:t>二次自动化控制进行了升级改造，组织技术人员对</w:t>
      </w:r>
      <w:r>
        <w:rPr>
          <w:rFonts w:hint="eastAsia" w:ascii="仿宋" w:hAnsi="仿宋" w:eastAsia="仿宋" w:cs="仿宋"/>
          <w:sz w:val="32"/>
          <w:szCs w:val="32"/>
          <w:lang w:val="en-US" w:eastAsia="zh-CN"/>
        </w:rPr>
        <w:t>5台</w:t>
      </w:r>
      <w:r>
        <w:rPr>
          <w:rFonts w:hint="eastAsia" w:ascii="仿宋" w:hAnsi="仿宋" w:eastAsia="仿宋" w:cs="仿宋"/>
          <w:sz w:val="32"/>
          <w:szCs w:val="32"/>
          <w:lang w:eastAsia="zh-CN"/>
        </w:rPr>
        <w:t>排渍机组和4台污水提升机组进行了备汛调试，</w:t>
      </w:r>
      <w:r>
        <w:rPr>
          <w:rFonts w:hint="eastAsia" w:ascii="仿宋" w:hAnsi="仿宋" w:eastAsia="仿宋" w:cs="仿宋"/>
          <w:sz w:val="32"/>
          <w:szCs w:val="32"/>
          <w:lang w:val="en-US" w:eastAsia="zh-CN"/>
        </w:rPr>
        <w:t>3台132kw污水提升机组返厂维修，现所有排渍防涝设备设施均运转正常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今年汛后，针对汛前出现了的相关故障，制定了冬修计划，对金属结构、电气设备、水工设施等设备设施，加强维修维护，为来年排渍防涝打下基础。今年排除排渍、污水提升机组大小故障52次，提升检修54台次，拦污栅、泵池垃圾打捞清运48.5余吨，污水提升开机运行约14518台时，累计污水提升约2177.7万立方。排渍泵开机运行300台时，抢排渍水约400万立方，顺利应对了中心城区多轮次强降雨，圆满完成了今年的度汛工作。</w:t>
      </w:r>
    </w:p>
    <w:p w14:paraId="4D9D622F">
      <w:pPr>
        <w:spacing w:line="600" w:lineRule="exact"/>
        <w:ind w:firstLine="640" w:firstLineChars="200"/>
        <w:rPr>
          <w:rFonts w:hint="eastAsia" w:ascii="仿宋" w:hAnsi="仿宋" w:eastAsia="仿宋" w:cs="仿宋"/>
          <w:sz w:val="32"/>
          <w:szCs w:val="32"/>
        </w:rPr>
      </w:pPr>
    </w:p>
    <w:p w14:paraId="215058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市局2024年安全生产工作要点，在职工大会上，组织干职工学习、领悟安全生产文件精神，不折不扣地落实文件要求，进一步规范制度并针对文件要求开展了隐患排查整治及各项相关工作，将安全生产工作层层分解，签订安全生产责任状。</w:t>
      </w:r>
      <w:r>
        <w:rPr>
          <w:rFonts w:hint="eastAsia" w:ascii="仿宋" w:hAnsi="仿宋" w:eastAsia="仿宋" w:cs="仿宋"/>
          <w:sz w:val="32"/>
          <w:szCs w:val="32"/>
        </w:rPr>
        <w:t>认真组织</w:t>
      </w:r>
      <w:r>
        <w:rPr>
          <w:rFonts w:hint="eastAsia" w:ascii="仿宋" w:hAnsi="仿宋" w:eastAsia="仿宋" w:cs="仿宋"/>
          <w:sz w:val="32"/>
          <w:szCs w:val="32"/>
          <w:lang w:eastAsia="zh-CN"/>
        </w:rPr>
        <w:t>全站干职工</w:t>
      </w:r>
      <w:r>
        <w:rPr>
          <w:rFonts w:hint="eastAsia" w:ascii="仿宋" w:hAnsi="仿宋" w:eastAsia="仿宋" w:cs="仿宋"/>
          <w:sz w:val="32"/>
          <w:szCs w:val="32"/>
        </w:rPr>
        <w:t>开展</w:t>
      </w:r>
      <w:r>
        <w:rPr>
          <w:rFonts w:hint="eastAsia" w:ascii="仿宋" w:hAnsi="仿宋" w:eastAsia="仿宋" w:cs="仿宋"/>
          <w:sz w:val="32"/>
          <w:szCs w:val="32"/>
          <w:lang w:eastAsia="zh-CN"/>
        </w:rPr>
        <w:t>了</w:t>
      </w:r>
      <w:r>
        <w:rPr>
          <w:rFonts w:hint="eastAsia" w:ascii="仿宋" w:hAnsi="仿宋" w:eastAsia="仿宋" w:cs="仿宋"/>
          <w:sz w:val="32"/>
          <w:szCs w:val="32"/>
        </w:rPr>
        <w:t>“五个一”宣传活动，</w:t>
      </w:r>
      <w:r>
        <w:rPr>
          <w:rFonts w:hint="eastAsia" w:ascii="仿宋" w:hAnsi="仿宋" w:eastAsia="仿宋" w:cs="仿宋"/>
          <w:sz w:val="32"/>
          <w:szCs w:val="32"/>
          <w:lang w:eastAsia="zh-CN"/>
        </w:rPr>
        <w:t>即“</w:t>
      </w:r>
      <w:r>
        <w:rPr>
          <w:rFonts w:hint="eastAsia" w:ascii="仿宋" w:hAnsi="仿宋" w:eastAsia="仿宋" w:cs="仿宋"/>
          <w:sz w:val="32"/>
          <w:szCs w:val="32"/>
        </w:rPr>
        <w:t>读一本安全应急读本、一次安全隐患排查、一次安全</w:t>
      </w:r>
      <w:r>
        <w:rPr>
          <w:rFonts w:hint="eastAsia" w:ascii="仿宋" w:hAnsi="仿宋" w:eastAsia="仿宋" w:cs="仿宋"/>
          <w:sz w:val="32"/>
          <w:szCs w:val="32"/>
          <w:lang w:eastAsia="zh-CN"/>
        </w:rPr>
        <w:t>业务</w:t>
      </w:r>
      <w:r>
        <w:rPr>
          <w:rFonts w:hint="eastAsia" w:ascii="仿宋" w:hAnsi="仿宋" w:eastAsia="仿宋" w:cs="仿宋"/>
          <w:sz w:val="32"/>
          <w:szCs w:val="32"/>
        </w:rPr>
        <w:t>技能培训、一次电动车安全充电自查、绘制一张</w:t>
      </w:r>
      <w:r>
        <w:rPr>
          <w:rFonts w:hint="eastAsia" w:ascii="仿宋" w:hAnsi="仿宋" w:eastAsia="仿宋" w:cs="仿宋"/>
          <w:sz w:val="32"/>
          <w:szCs w:val="32"/>
          <w:lang w:eastAsia="zh-CN"/>
        </w:rPr>
        <w:t>电气设备主接线</w:t>
      </w:r>
      <w:r>
        <w:rPr>
          <w:rFonts w:hint="eastAsia" w:ascii="仿宋" w:hAnsi="仿宋" w:eastAsia="仿宋" w:cs="仿宋"/>
          <w:sz w:val="32"/>
          <w:szCs w:val="32"/>
        </w:rPr>
        <w:t>图</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通过微信工作群、电子显示屏、制作宣传栏、发放宣传单等</w:t>
      </w:r>
      <w:r>
        <w:rPr>
          <w:rFonts w:hint="eastAsia" w:ascii="仿宋" w:hAnsi="仿宋" w:eastAsia="仿宋" w:cs="仿宋"/>
          <w:sz w:val="32"/>
          <w:szCs w:val="32"/>
        </w:rPr>
        <w:t>等一系列安全生产活动</w:t>
      </w:r>
      <w:r>
        <w:rPr>
          <w:rFonts w:hint="eastAsia" w:ascii="仿宋" w:hAnsi="仿宋" w:eastAsia="仿宋" w:cs="仿宋"/>
          <w:kern w:val="2"/>
          <w:sz w:val="32"/>
          <w:szCs w:val="32"/>
          <w:lang w:val="en-US" w:eastAsia="zh-CN" w:bidi="ar-SA"/>
        </w:rPr>
        <w:t>，广泛宣传活动主题、安全标语、安全生产法等内容，</w:t>
      </w:r>
      <w:r>
        <w:rPr>
          <w:rFonts w:hint="eastAsia" w:ascii="仿宋" w:hAnsi="仿宋" w:eastAsia="仿宋" w:cs="仿宋"/>
          <w:sz w:val="32"/>
          <w:szCs w:val="32"/>
        </w:rPr>
        <w:t>营造人人</w:t>
      </w:r>
      <w:r>
        <w:rPr>
          <w:rFonts w:hint="eastAsia" w:ascii="仿宋" w:hAnsi="仿宋" w:eastAsia="仿宋" w:cs="仿宋"/>
          <w:sz w:val="32"/>
          <w:szCs w:val="32"/>
          <w:lang w:eastAsia="zh-CN"/>
        </w:rPr>
        <w:t>讲</w:t>
      </w:r>
      <w:r>
        <w:rPr>
          <w:rFonts w:hint="eastAsia" w:ascii="仿宋" w:hAnsi="仿宋" w:eastAsia="仿宋" w:cs="仿宋"/>
          <w:sz w:val="32"/>
          <w:szCs w:val="32"/>
        </w:rPr>
        <w:t>安全、人人保安全、人人抓安全的良好氛围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生一起安全事故，确保安全生产零事故。今年组织了大小安全生产检查21次，共发现并整改一般安全隐患13处，未发生一起安全事故，确保安全生产零事故。</w:t>
      </w:r>
    </w:p>
    <w:p w14:paraId="2438399E">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七、存在的问题及原因分析</w:t>
      </w:r>
    </w:p>
    <w:p w14:paraId="29BA5895">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预算绩效管理工作有待加强。一是绩效目标设立指向不够明确、内容不够完整，指标选用重点不够突出，不够细化、量化，定性指标使用较多，定量指标较少；二是对预算绩效管理认识有待加强，人员职责不明确，专业水平有待进一步提高。</w:t>
      </w:r>
    </w:p>
    <w:p w14:paraId="6A38052B">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八、下一步的改进措施</w:t>
      </w:r>
    </w:p>
    <w:p w14:paraId="407D4BA0">
      <w:pPr>
        <w:pStyle w:val="6"/>
        <w:widowControl/>
        <w:shd w:val="clear" w:color="auto" w:fill="FFFFFF"/>
        <w:spacing w:beforeAutospacing="0" w:afterAutospacing="0" w:line="560" w:lineRule="exact"/>
        <w:ind w:firstLine="640" w:firstLineChars="200"/>
        <w:rPr>
          <w:rFonts w:ascii="仿宋" w:hAnsi="仿宋" w:eastAsia="仿宋" w:cs="仿宋"/>
          <w:kern w:val="2"/>
          <w:sz w:val="32"/>
          <w:szCs w:val="32"/>
        </w:rPr>
      </w:pPr>
      <w:r>
        <w:rPr>
          <w:rFonts w:hint="eastAsia" w:ascii="楷体" w:hAnsi="楷体" w:eastAsia="楷体" w:cs="楷体"/>
          <w:sz w:val="32"/>
          <w:szCs w:val="32"/>
        </w:rPr>
        <w:t>（一）加强绩效目标管理，</w:t>
      </w:r>
      <w:r>
        <w:rPr>
          <w:rFonts w:hint="eastAsia" w:ascii="楷体" w:hAnsi="楷体" w:eastAsia="楷体" w:cs="楷体"/>
          <w:kern w:val="2"/>
          <w:sz w:val="32"/>
          <w:szCs w:val="32"/>
        </w:rPr>
        <w:t>提高对绩效评价工作的重视</w:t>
      </w:r>
      <w:r>
        <w:rPr>
          <w:rFonts w:hint="eastAsia" w:ascii="楷体" w:hAnsi="楷体" w:eastAsia="楷体" w:cs="楷体"/>
          <w:sz w:val="32"/>
          <w:szCs w:val="32"/>
        </w:rPr>
        <w:t>。</w:t>
      </w:r>
      <w:r>
        <w:rPr>
          <w:rFonts w:hint="eastAsia" w:ascii="仿宋" w:hAnsi="仿宋" w:eastAsia="仿宋" w:cs="仿宋"/>
          <w:sz w:val="32"/>
          <w:szCs w:val="32"/>
        </w:rPr>
        <w:t>应根据部门职责职能合理设置绩效目标，目标</w:t>
      </w:r>
      <w:r>
        <w:rPr>
          <w:rFonts w:hint="eastAsia" w:ascii="仿宋" w:hAnsi="仿宋" w:eastAsia="仿宋" w:cs="仿宋"/>
          <w:kern w:val="2"/>
          <w:sz w:val="32"/>
          <w:szCs w:val="32"/>
        </w:rPr>
        <w:t>应明确、具体，与部门长期规划目标、年度工作目标相一致；尽量细化、量化，多设置易于操作的定量指标，减少设置定性指标；相关项目职责部门联动；加强预算绩效管理工作的培训，提高绩效管理水平。</w:t>
      </w:r>
    </w:p>
    <w:p w14:paraId="144728FF">
      <w:pPr>
        <w:pStyle w:val="6"/>
        <w:widowControl/>
        <w:shd w:val="clear" w:color="auto" w:fill="FFFFFF"/>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（二）加强财务力量。</w:t>
      </w:r>
      <w:r>
        <w:rPr>
          <w:rFonts w:hint="eastAsia" w:ascii="仿宋" w:hAnsi="仿宋" w:eastAsia="仿宋" w:cs="仿宋"/>
          <w:sz w:val="32"/>
          <w:szCs w:val="32"/>
        </w:rPr>
        <w:t>加强对财务人员培养。鼓励财务人员参加各种专业培训，报考会计专业职称，熟练掌握财政政策和会计法规，不断提高其专业水平，严格财务核算，规范财务管理。</w:t>
      </w:r>
    </w:p>
    <w:p w14:paraId="1DECCE7C">
      <w:pPr>
        <w:widowControl/>
        <w:numPr>
          <w:ilvl w:val="0"/>
          <w:numId w:val="4"/>
        </w:numPr>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部门整体支出绩效自评结果拟应用和公开情况</w:t>
      </w:r>
    </w:p>
    <w:p w14:paraId="6D20D273">
      <w:pPr>
        <w:widowControl/>
        <w:shd w:val="clear" w:color="auto" w:fill="FFFFFF"/>
        <w:spacing w:line="56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本单位部门整体支出绩效自评结果将在在线门户网上公开。</w:t>
      </w:r>
    </w:p>
    <w:p w14:paraId="75118440">
      <w:pPr>
        <w:widowControl/>
        <w:shd w:val="clear" w:color="auto" w:fill="FFFFFF"/>
        <w:spacing w:line="560" w:lineRule="exact"/>
        <w:ind w:left="740"/>
        <w:jc w:val="left"/>
        <w:rPr>
          <w:rFonts w:ascii="仿宋" w:hAnsi="仿宋" w:eastAsia="仿宋" w:cs="仿宋"/>
          <w:color w:val="000000"/>
          <w:sz w:val="32"/>
          <w:szCs w:val="32"/>
          <w:shd w:val="clear" w:color="auto" w:fill="FFFFFF"/>
        </w:rPr>
      </w:pPr>
      <w:bookmarkStart w:id="0" w:name="_GoBack"/>
      <w:bookmarkEnd w:id="0"/>
    </w:p>
    <w:p w14:paraId="2E39ADE3">
      <w:pPr>
        <w:widowControl/>
        <w:shd w:val="clear" w:color="auto" w:fill="FFFFFF"/>
        <w:spacing w:line="560" w:lineRule="exact"/>
        <w:jc w:val="right"/>
        <w:rPr>
          <w:rFonts w:ascii="仿宋" w:hAnsi="仿宋" w:eastAsia="仿宋" w:cs="仿宋"/>
          <w:color w:val="000000"/>
          <w:sz w:val="32"/>
          <w:szCs w:val="32"/>
          <w:shd w:val="clear" w:color="auto" w:fill="FFFFFF"/>
        </w:rPr>
      </w:pPr>
    </w:p>
    <w:p w14:paraId="45F15403">
      <w:pPr>
        <w:widowControl/>
        <w:shd w:val="clear" w:color="auto" w:fill="FFFFFF"/>
        <w:spacing w:line="560" w:lineRule="exact"/>
        <w:jc w:val="right"/>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益阳市</w:t>
      </w:r>
      <w:r>
        <w:rPr>
          <w:rFonts w:hint="eastAsia" w:ascii="仿宋" w:hAnsi="仿宋" w:eastAsia="仿宋" w:cs="仿宋"/>
          <w:color w:val="000000"/>
          <w:sz w:val="32"/>
          <w:szCs w:val="32"/>
          <w:shd w:val="clear" w:color="auto" w:fill="FFFFFF"/>
          <w:lang w:eastAsia="zh-CN"/>
        </w:rPr>
        <w:t>西流湾电排管理站</w:t>
      </w:r>
    </w:p>
    <w:p w14:paraId="6BF715E9">
      <w:pPr>
        <w:widowControl/>
        <w:shd w:val="clear" w:color="auto" w:fill="FFFFFF"/>
        <w:spacing w:line="560" w:lineRule="exact"/>
        <w:jc w:val="center"/>
        <w:rPr>
          <w:rFonts w:ascii="方正仿宋简体" w:hAnsi="方正仿宋简体" w:eastAsia="方正仿宋简体" w:cs="方正仿宋简体"/>
          <w:sz w:val="32"/>
          <w:szCs w:val="32"/>
        </w:rPr>
      </w:pPr>
      <w:r>
        <w:rPr>
          <w:rFonts w:hint="eastAsia" w:ascii="仿宋" w:hAnsi="仿宋" w:eastAsia="仿宋" w:cs="仿宋"/>
          <w:color w:val="000000"/>
          <w:sz w:val="32"/>
          <w:szCs w:val="32"/>
          <w:shd w:val="clear" w:color="auto" w:fill="FFFFFF"/>
        </w:rPr>
        <w:t xml:space="preserve">                                 202</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21</w:t>
      </w:r>
      <w:r>
        <w:rPr>
          <w:rFonts w:hint="eastAsia" w:ascii="仿宋" w:hAnsi="仿宋" w:eastAsia="仿宋" w:cs="仿宋"/>
          <w:color w:val="000000"/>
          <w:sz w:val="32"/>
          <w:szCs w:val="32"/>
          <w:shd w:val="clear" w:color="auto" w:fill="FFFFFF"/>
        </w:rPr>
        <w:t>日</w:t>
      </w:r>
      <w:r>
        <w:rPr>
          <w:rFonts w:hint="eastAsia" w:ascii="方正仿宋简体" w:hAnsi="方正仿宋简体" w:eastAsia="方正仿宋简体" w:cs="方正仿宋简体"/>
          <w:sz w:val="32"/>
          <w:szCs w:val="32"/>
        </w:rPr>
        <w:t xml:space="preserve">    </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F9A">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E42A15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7BC1A"/>
    <w:multiLevelType w:val="singleLevel"/>
    <w:tmpl w:val="8227BC1A"/>
    <w:lvl w:ilvl="0" w:tentative="0">
      <w:start w:val="9"/>
      <w:numFmt w:val="chineseCounting"/>
      <w:suff w:val="nothing"/>
      <w:lvlText w:val="%1、"/>
      <w:lvlJc w:val="left"/>
      <w:rPr>
        <w:rFonts w:hint="eastAsia"/>
      </w:rPr>
    </w:lvl>
  </w:abstractNum>
  <w:abstractNum w:abstractNumId="1">
    <w:nsid w:val="57524756"/>
    <w:multiLevelType w:val="singleLevel"/>
    <w:tmpl w:val="57524756"/>
    <w:lvl w:ilvl="0" w:tentative="0">
      <w:start w:val="4"/>
      <w:numFmt w:val="chineseCounting"/>
      <w:suff w:val="nothing"/>
      <w:lvlText w:val="（%1）"/>
      <w:lvlJc w:val="left"/>
      <w:rPr>
        <w:rFonts w:hint="eastAsia"/>
      </w:rPr>
    </w:lvl>
  </w:abstractNum>
  <w:abstractNum w:abstractNumId="2">
    <w:nsid w:val="6D932CC3"/>
    <w:multiLevelType w:val="singleLevel"/>
    <w:tmpl w:val="6D932CC3"/>
    <w:lvl w:ilvl="0" w:tentative="0">
      <w:start w:val="5"/>
      <w:numFmt w:val="chineseCounting"/>
      <w:suff w:val="nothing"/>
      <w:lvlText w:val="%1、"/>
      <w:lvlJc w:val="left"/>
      <w:pPr>
        <w:ind w:left="-10"/>
      </w:pPr>
      <w:rPr>
        <w:rFonts w:hint="eastAsia"/>
      </w:rPr>
    </w:lvl>
  </w:abstractNum>
  <w:abstractNum w:abstractNumId="3">
    <w:nsid w:val="6F66DD55"/>
    <w:multiLevelType w:val="singleLevel"/>
    <w:tmpl w:val="6F66DD5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NmYTI4Y2UwZmQ1MTgxYmY2Njg5YWVhNjU5MzA3YzMifQ=="/>
  </w:docVars>
  <w:rsids>
    <w:rsidRoot w:val="001B025D"/>
    <w:rsid w:val="001946DC"/>
    <w:rsid w:val="001B025D"/>
    <w:rsid w:val="006F3F1C"/>
    <w:rsid w:val="006F6B5B"/>
    <w:rsid w:val="03A91C4E"/>
    <w:rsid w:val="03C548C9"/>
    <w:rsid w:val="046441B2"/>
    <w:rsid w:val="079B131C"/>
    <w:rsid w:val="0AF71D1F"/>
    <w:rsid w:val="0C454F38"/>
    <w:rsid w:val="0DCF56AC"/>
    <w:rsid w:val="0DEE4C33"/>
    <w:rsid w:val="11841621"/>
    <w:rsid w:val="11E0190B"/>
    <w:rsid w:val="124826EE"/>
    <w:rsid w:val="12E55CB0"/>
    <w:rsid w:val="13073556"/>
    <w:rsid w:val="1823296F"/>
    <w:rsid w:val="18A31CB4"/>
    <w:rsid w:val="18E71EAE"/>
    <w:rsid w:val="19861CCF"/>
    <w:rsid w:val="1A68422A"/>
    <w:rsid w:val="1ADC29C2"/>
    <w:rsid w:val="1CA10025"/>
    <w:rsid w:val="1EB677C6"/>
    <w:rsid w:val="21D37880"/>
    <w:rsid w:val="24A80C6A"/>
    <w:rsid w:val="2637539F"/>
    <w:rsid w:val="26A67FFC"/>
    <w:rsid w:val="27083E64"/>
    <w:rsid w:val="27933FCE"/>
    <w:rsid w:val="27F417F3"/>
    <w:rsid w:val="28F931A5"/>
    <w:rsid w:val="293350A4"/>
    <w:rsid w:val="2D4E5DBB"/>
    <w:rsid w:val="2D717867"/>
    <w:rsid w:val="2E335A26"/>
    <w:rsid w:val="2E4016E6"/>
    <w:rsid w:val="2E6F192C"/>
    <w:rsid w:val="30900D4A"/>
    <w:rsid w:val="31D067FB"/>
    <w:rsid w:val="32656B12"/>
    <w:rsid w:val="35292D5D"/>
    <w:rsid w:val="39645B13"/>
    <w:rsid w:val="3BB20EFB"/>
    <w:rsid w:val="3DD57980"/>
    <w:rsid w:val="3E1E60C4"/>
    <w:rsid w:val="3E1F1BAE"/>
    <w:rsid w:val="3E7C07B7"/>
    <w:rsid w:val="3EEB6EB0"/>
    <w:rsid w:val="45285397"/>
    <w:rsid w:val="47D82119"/>
    <w:rsid w:val="48CD4351"/>
    <w:rsid w:val="4AA64A44"/>
    <w:rsid w:val="51A52CE0"/>
    <w:rsid w:val="52BD4CA8"/>
    <w:rsid w:val="530C53D8"/>
    <w:rsid w:val="53BB67EB"/>
    <w:rsid w:val="554404B8"/>
    <w:rsid w:val="570A0F13"/>
    <w:rsid w:val="571C57F3"/>
    <w:rsid w:val="5A285AF1"/>
    <w:rsid w:val="5AD94B36"/>
    <w:rsid w:val="5ADB1ECF"/>
    <w:rsid w:val="5B234AE8"/>
    <w:rsid w:val="5D995DEF"/>
    <w:rsid w:val="5E5B4785"/>
    <w:rsid w:val="6242031E"/>
    <w:rsid w:val="64267270"/>
    <w:rsid w:val="65111E86"/>
    <w:rsid w:val="655E5172"/>
    <w:rsid w:val="69537C1F"/>
    <w:rsid w:val="6A347B66"/>
    <w:rsid w:val="6A460720"/>
    <w:rsid w:val="6A7D2B05"/>
    <w:rsid w:val="6B366890"/>
    <w:rsid w:val="6B9068DC"/>
    <w:rsid w:val="6C462EF0"/>
    <w:rsid w:val="6C4865BE"/>
    <w:rsid w:val="6C816027"/>
    <w:rsid w:val="6D835047"/>
    <w:rsid w:val="702B50A8"/>
    <w:rsid w:val="707700B0"/>
    <w:rsid w:val="71623BF6"/>
    <w:rsid w:val="72021D5D"/>
    <w:rsid w:val="768E4369"/>
    <w:rsid w:val="78C73B5B"/>
    <w:rsid w:val="79446280"/>
    <w:rsid w:val="7A9F4B1C"/>
    <w:rsid w:val="7B6911BF"/>
    <w:rsid w:val="7BC73070"/>
    <w:rsid w:val="7CB47B26"/>
    <w:rsid w:val="7D2E553C"/>
    <w:rsid w:val="7FDE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autoRedefine/>
    <w:qFormat/>
    <w:uiPriority w:val="39"/>
    <w:rPr>
      <w:rFonts w:ascii="Calibri" w:hAnsi="Calibri" w:cs="宋体"/>
      <w:szCs w:val="22"/>
    </w:rPr>
  </w:style>
  <w:style w:type="paragraph" w:styleId="5">
    <w:name w:val="toc 2"/>
    <w:basedOn w:val="1"/>
    <w:next w:val="1"/>
    <w:autoRedefine/>
    <w:qFormat/>
    <w:uiPriority w:val="0"/>
    <w:pPr>
      <w:ind w:left="420" w:leftChars="200"/>
    </w:p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2786</Words>
  <Characters>3073</Characters>
  <Lines>6</Lines>
  <Paragraphs>7</Paragraphs>
  <TotalTime>42</TotalTime>
  <ScaleCrop>false</ScaleCrop>
  <LinksUpToDate>false</LinksUpToDate>
  <CharactersWithSpaces>3160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月色</cp:lastModifiedBy>
  <cp:lastPrinted>2024-05-21T11:58:00Z</cp:lastPrinted>
  <dcterms:modified xsi:type="dcterms:W3CDTF">2025-04-26T07:44:25Z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0F38F9F9C2F049E98E1AE14465149A90</vt:lpwstr>
  </property>
  <property fmtid="{D5CDD505-2E9C-101B-9397-08002B2CF9AE}" pid="4" name="commondata">
    <vt:lpwstr>eyJoZGlkIjoiNjU2NDcyYjhkMjAwMzI5NzAzMWM4ZmQwMzkwY2Y1NTgifQ==</vt:lpwstr>
  </property>
  <property fmtid="{D5CDD505-2E9C-101B-9397-08002B2CF9AE}" pid="5" name="KSOTemplateDocerSaveRecord">
    <vt:lpwstr>eyJoZGlkIjoiNjNmYTI4Y2UwZmQ1MTgxYmY2Njg5YWVhNjU5MzA3YzMiLCJ1c2VySWQiOiI4MDQzNTI5NDAifQ==</vt:lpwstr>
  </property>
</Properties>
</file>