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CF53">
      <w:pPr>
        <w:jc w:val="center"/>
        <w:rPr>
          <w:rFonts w:eastAsia="方正小标宋_GBK"/>
          <w:sz w:val="48"/>
          <w:szCs w:val="48"/>
        </w:rPr>
      </w:pPr>
    </w:p>
    <w:p w14:paraId="76EA2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8"/>
          <w:szCs w:val="48"/>
          <w:lang w:eastAsia="zh-CN"/>
        </w:rPr>
      </w:pPr>
      <w:r>
        <w:rPr>
          <w:rFonts w:hint="default" w:ascii="Times New Roman" w:hAnsi="Times New Roman" w:eastAsia="方正小标宋简体" w:cs="Times New Roman"/>
          <w:color w:val="000000"/>
          <w:kern w:val="0"/>
          <w:sz w:val="48"/>
          <w:szCs w:val="48"/>
          <w:lang w:eastAsia="zh-CN"/>
        </w:rPr>
        <w:t>202</w:t>
      </w:r>
      <w:r>
        <w:rPr>
          <w:rFonts w:hint="eastAsia" w:ascii="Times New Roman" w:hAnsi="Times New Roman" w:eastAsia="方正小标宋简体" w:cs="Times New Roman"/>
          <w:color w:val="000000"/>
          <w:kern w:val="0"/>
          <w:sz w:val="48"/>
          <w:szCs w:val="48"/>
          <w:lang w:eastAsia="zh-CN"/>
        </w:rPr>
        <w:t>4</w:t>
      </w:r>
      <w:r>
        <w:rPr>
          <w:rFonts w:hint="default" w:ascii="Times New Roman" w:hAnsi="Times New Roman" w:eastAsia="方正小标宋简体" w:cs="Times New Roman"/>
          <w:color w:val="000000"/>
          <w:kern w:val="0"/>
          <w:sz w:val="48"/>
          <w:szCs w:val="48"/>
          <w:lang w:eastAsia="zh-CN"/>
        </w:rPr>
        <w:t>年度</w:t>
      </w:r>
    </w:p>
    <w:p w14:paraId="5FE6A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8"/>
          <w:szCs w:val="48"/>
          <w:lang w:eastAsia="zh-CN"/>
        </w:rPr>
      </w:pPr>
      <w:r>
        <w:rPr>
          <w:rFonts w:hint="default" w:ascii="Times New Roman" w:hAnsi="Times New Roman" w:eastAsia="方正小标宋简体" w:cs="Times New Roman"/>
          <w:color w:val="000000"/>
          <w:kern w:val="0"/>
          <w:sz w:val="48"/>
          <w:szCs w:val="48"/>
          <w:lang w:eastAsia="zh-CN"/>
        </w:rPr>
        <w:t>中心城区、背街小巷路灯设施、景观照明维护、路灯巡查和电缆盗损维护</w:t>
      </w:r>
    </w:p>
    <w:p w14:paraId="75BF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8"/>
          <w:szCs w:val="48"/>
          <w:lang w:eastAsia="zh-CN"/>
        </w:rPr>
      </w:pPr>
      <w:r>
        <w:rPr>
          <w:rFonts w:hint="eastAsia" w:ascii="Times New Roman" w:hAnsi="Times New Roman" w:eastAsia="方正小标宋简体" w:cs="Times New Roman"/>
          <w:color w:val="000000"/>
          <w:kern w:val="0"/>
          <w:sz w:val="48"/>
          <w:szCs w:val="48"/>
          <w:lang w:eastAsia="zh-CN"/>
        </w:rPr>
        <w:t>项目资金部门评价</w:t>
      </w:r>
      <w:r>
        <w:rPr>
          <w:rFonts w:hint="default" w:ascii="Times New Roman" w:hAnsi="Times New Roman" w:eastAsia="方正小标宋简体" w:cs="Times New Roman"/>
          <w:color w:val="000000"/>
          <w:kern w:val="0"/>
          <w:sz w:val="48"/>
          <w:szCs w:val="48"/>
          <w:lang w:eastAsia="zh-CN"/>
        </w:rPr>
        <w:t>报告</w:t>
      </w:r>
    </w:p>
    <w:p w14:paraId="0ED69E30">
      <w:pPr>
        <w:tabs>
          <w:tab w:val="left" w:pos="1603"/>
        </w:tabs>
        <w:jc w:val="left"/>
      </w:pPr>
      <w:r>
        <w:t> </w:t>
      </w:r>
    </w:p>
    <w:p w14:paraId="2E706525">
      <w:pPr>
        <w:tabs>
          <w:tab w:val="left" w:pos="1603"/>
        </w:tabs>
        <w:jc w:val="left"/>
      </w:pPr>
      <w:r>
        <w:t> </w:t>
      </w:r>
    </w:p>
    <w:p w14:paraId="48368832">
      <w:pPr>
        <w:tabs>
          <w:tab w:val="left" w:pos="1603"/>
        </w:tabs>
        <w:jc w:val="left"/>
      </w:pPr>
    </w:p>
    <w:p w14:paraId="6A397250">
      <w:pPr>
        <w:tabs>
          <w:tab w:val="left" w:pos="1603"/>
        </w:tabs>
        <w:jc w:val="left"/>
      </w:pPr>
    </w:p>
    <w:p w14:paraId="64500D90">
      <w:pPr>
        <w:ind w:firstLine="720" w:firstLineChars="200"/>
        <w:rPr>
          <w:rFonts w:eastAsia="黑体"/>
          <w:sz w:val="36"/>
          <w:szCs w:val="36"/>
        </w:rPr>
      </w:pPr>
    </w:p>
    <w:p w14:paraId="71766F70">
      <w:pPr>
        <w:ind w:firstLine="720" w:firstLineChars="200"/>
        <w:rPr>
          <w:rFonts w:eastAsia="黑体"/>
          <w:sz w:val="36"/>
          <w:szCs w:val="36"/>
        </w:rPr>
      </w:pPr>
    </w:p>
    <w:p w14:paraId="1A30D209">
      <w:pPr>
        <w:ind w:firstLine="720" w:firstLineChars="200"/>
        <w:rPr>
          <w:rFonts w:eastAsia="黑体"/>
          <w:sz w:val="36"/>
          <w:szCs w:val="36"/>
        </w:rPr>
      </w:pPr>
    </w:p>
    <w:p w14:paraId="54C3D0E1">
      <w:pPr>
        <w:ind w:firstLine="720" w:firstLineChars="200"/>
        <w:rPr>
          <w:rFonts w:eastAsia="黑体"/>
          <w:sz w:val="36"/>
          <w:szCs w:val="36"/>
        </w:rPr>
      </w:pPr>
    </w:p>
    <w:p w14:paraId="45DD29B5">
      <w:pPr>
        <w:ind w:firstLine="720" w:firstLineChars="200"/>
        <w:rPr>
          <w:rFonts w:eastAsia="黑体"/>
          <w:sz w:val="36"/>
          <w:szCs w:val="36"/>
        </w:rPr>
      </w:pPr>
    </w:p>
    <w:p w14:paraId="2D0A168D">
      <w:pPr>
        <w:rPr>
          <w:rFonts w:eastAsia="黑体"/>
          <w:sz w:val="36"/>
          <w:szCs w:val="36"/>
        </w:rPr>
      </w:pPr>
    </w:p>
    <w:p w14:paraId="40B7A9A4">
      <w:pPr>
        <w:rPr>
          <w:rFonts w:eastAsia="黑体"/>
          <w:sz w:val="36"/>
          <w:szCs w:val="36"/>
        </w:rPr>
      </w:pPr>
    </w:p>
    <w:p w14:paraId="6C246D3B">
      <w:pPr>
        <w:ind w:firstLine="720" w:firstLineChars="200"/>
        <w:jc w:val="center"/>
        <w:rPr>
          <w:rFonts w:eastAsia="黑体"/>
          <w:sz w:val="36"/>
          <w:szCs w:val="36"/>
        </w:rPr>
      </w:pPr>
      <w:r>
        <w:rPr>
          <w:rFonts w:hint="eastAsia" w:eastAsia="黑体"/>
          <w:sz w:val="36"/>
          <w:szCs w:val="36"/>
        </w:rPr>
        <w:t xml:space="preserve">  </w:t>
      </w:r>
      <w:r>
        <w:rPr>
          <w:rFonts w:hint="eastAsia" w:eastAsia="黑体"/>
          <w:sz w:val="36"/>
          <w:szCs w:val="36"/>
          <w:lang w:val="en-US" w:eastAsia="zh-CN"/>
        </w:rPr>
        <w:t>单位</w:t>
      </w:r>
      <w:r>
        <w:rPr>
          <w:rFonts w:eastAsia="黑体"/>
          <w:sz w:val="36"/>
          <w:szCs w:val="36"/>
        </w:rPr>
        <w:t>名称：</w:t>
      </w:r>
      <w:r>
        <w:rPr>
          <w:rFonts w:hint="eastAsia" w:eastAsia="黑体"/>
          <w:sz w:val="36"/>
          <w:szCs w:val="36"/>
          <w:u w:val="single"/>
          <w:lang w:val="en-US" w:eastAsia="zh-CN"/>
        </w:rPr>
        <w:t>益阳市路灯灯饰服务中心</w:t>
      </w:r>
      <w:bookmarkStart w:id="0" w:name="_GoBack"/>
      <w:bookmarkEnd w:id="0"/>
    </w:p>
    <w:p w14:paraId="15B75396">
      <w:pPr>
        <w:ind w:firstLine="3240" w:firstLineChars="900"/>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21</w:t>
      </w:r>
      <w:r>
        <w:rPr>
          <w:rFonts w:eastAsia="黑体"/>
          <w:sz w:val="36"/>
          <w:szCs w:val="36"/>
        </w:rPr>
        <w:t>日</w:t>
      </w:r>
    </w:p>
    <w:p w14:paraId="1BB74749">
      <w:pPr>
        <w:jc w:val="center"/>
        <w:rPr>
          <w:szCs w:val="32"/>
        </w:rPr>
      </w:pPr>
    </w:p>
    <w:p w14:paraId="16B9BE06">
      <w:pPr>
        <w:jc w:val="center"/>
        <w:rPr>
          <w:szCs w:val="32"/>
        </w:rPr>
      </w:pPr>
    </w:p>
    <w:p w14:paraId="6D933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eastAsia="zh-CN"/>
        </w:rPr>
        <w:t>2024年度中心城区、背街小巷路灯设施、景观照明维护、路灯巡查和电缆盗损维护</w:t>
      </w:r>
    </w:p>
    <w:p w14:paraId="60BB15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项目资金部门评价报告</w:t>
      </w:r>
    </w:p>
    <w:p w14:paraId="587A9818">
      <w:pPr>
        <w:adjustRightInd w:val="0"/>
        <w:spacing w:line="600" w:lineRule="exact"/>
        <w:ind w:right="641"/>
        <w:rPr>
          <w:rFonts w:ascii="Times New Roman" w:hAnsi="Times New Roman"/>
          <w:szCs w:val="32"/>
        </w:rPr>
      </w:pPr>
    </w:p>
    <w:p w14:paraId="38B998BC">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C3D175E">
      <w:pPr>
        <w:spacing w:line="600" w:lineRule="exact"/>
        <w:ind w:firstLine="643" w:firstLineChars="20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456278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中心城区及背街小巷的照明设施对于保障城市夜间交通安全、提升居民生活质量、美化城市环境起着至关重要的作用。为确保路灯设施、景观照明的正常运行，及时处理电缆盗损等问题，特设立本项目并安排专项资金进行维护管理。</w:t>
      </w:r>
    </w:p>
    <w:p w14:paraId="44F8E20C">
      <w:pPr>
        <w:numPr>
          <w:ilvl w:val="0"/>
          <w:numId w:val="1"/>
        </w:numPr>
        <w:spacing w:line="600" w:lineRule="exact"/>
        <w:ind w:firstLine="643" w:firstLineChars="200"/>
        <w:rPr>
          <w:rFonts w:eastAsia="楷体_GB2312"/>
          <w:b/>
          <w:szCs w:val="32"/>
        </w:rPr>
      </w:pPr>
      <w:r>
        <w:rPr>
          <w:rFonts w:eastAsia="楷体_GB2312"/>
          <w:b/>
          <w:szCs w:val="32"/>
        </w:rPr>
        <w:t>资金使用管理情况</w:t>
      </w:r>
    </w:p>
    <w:p w14:paraId="7DD4E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eastAsia"/>
          <w:szCs w:val="32"/>
          <w:lang w:val="en-US" w:eastAsia="zh-CN"/>
        </w:rPr>
        <w:t>1.</w:t>
      </w:r>
      <w:r>
        <w:rPr>
          <w:rFonts w:hint="default"/>
          <w:szCs w:val="32"/>
          <w:lang w:val="en-US" w:eastAsia="zh-CN"/>
        </w:rPr>
        <w:t>资金</w:t>
      </w:r>
      <w:r>
        <w:rPr>
          <w:rFonts w:hint="eastAsia"/>
          <w:szCs w:val="32"/>
          <w:lang w:val="en-US" w:eastAsia="zh-CN"/>
        </w:rPr>
        <w:t>使用</w:t>
      </w:r>
      <w:r>
        <w:rPr>
          <w:rFonts w:hint="default"/>
          <w:szCs w:val="32"/>
          <w:lang w:val="en-US" w:eastAsia="zh-CN"/>
        </w:rPr>
        <w:t>情况​</w:t>
      </w:r>
    </w:p>
    <w:p w14:paraId="2444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lang w:val="en-US" w:eastAsia="zh-CN"/>
        </w:rPr>
        <w:t>年度中心城区、背街小巷路灯设施、景观照明维护、路灯巡查和电缆盗损维护项目预算安排资金</w:t>
      </w:r>
      <w:r>
        <w:rPr>
          <w:rFonts w:hint="eastAsia" w:ascii="Times New Roman" w:hAnsi="Times New Roman" w:eastAsia="仿宋" w:cs="Times New Roman"/>
          <w:sz w:val="32"/>
          <w:szCs w:val="32"/>
          <w:lang w:val="en-US" w:eastAsia="zh-CN"/>
        </w:rPr>
        <w:t>440</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资金已全部足额到位，到位率达到100%，为项目的顺利开展提供了坚实的资金保障</w:t>
      </w:r>
      <w:r>
        <w:rPr>
          <w:rFonts w:hint="eastAsia" w:ascii="Times New Roman" w:hAnsi="Times New Roman" w:eastAsia="仿宋" w:cs="Times New Roman"/>
          <w:sz w:val="32"/>
          <w:szCs w:val="32"/>
          <w:lang w:val="en-US" w:eastAsia="zh-CN"/>
        </w:rPr>
        <w:t>。资金现已全部使用，执行率达到100%。</w:t>
      </w:r>
    </w:p>
    <w:p w14:paraId="64677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2.</w:t>
      </w:r>
      <w:r>
        <w:rPr>
          <w:rFonts w:hint="default"/>
          <w:szCs w:val="32"/>
          <w:lang w:val="en-US" w:eastAsia="zh-CN"/>
        </w:rPr>
        <w:t>资金管理情况</w:t>
      </w:r>
    </w:p>
    <w:p w14:paraId="0B224C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制定了专门的项目资金管理办法，明确资金使用范围、</w:t>
      </w:r>
    </w:p>
    <w:p w14:paraId="3C36918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审批流程及监管要求</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资金拨付严格按照项目进度及合同约定执行，确保资金使用安全、规范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定期对资金使用情况进行财务审计与监督，及时发现并纠正存在的问题。资金管理总体情况良好。</w:t>
      </w:r>
    </w:p>
    <w:p w14:paraId="631D9798">
      <w:pPr>
        <w:numPr>
          <w:ilvl w:val="0"/>
          <w:numId w:val="1"/>
        </w:numPr>
        <w:adjustRightInd w:val="0"/>
        <w:snapToGrid w:val="0"/>
        <w:spacing w:line="600" w:lineRule="exact"/>
        <w:ind w:left="0" w:leftChars="0" w:firstLine="643" w:firstLineChars="200"/>
        <w:rPr>
          <w:rFonts w:eastAsia="楷体_GB2312"/>
          <w:b/>
          <w:szCs w:val="32"/>
        </w:rPr>
      </w:pPr>
      <w:r>
        <w:rPr>
          <w:rFonts w:eastAsia="楷体_GB2312"/>
          <w:b/>
          <w:szCs w:val="32"/>
        </w:rPr>
        <w:t>绩效目标完成程度</w:t>
      </w:r>
    </w:p>
    <w:p w14:paraId="49D33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保障中心城区及背街小巷路灯设施的亮灯率，确保主干道亮灯率达到 98% 以上，次干道及背街小巷亮灯率达到 95% 以上。维持景观照明设施的完好与正常运行，提升城市夜间景观效果。​</w:t>
      </w:r>
    </w:p>
    <w:p w14:paraId="155156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及时发现并处理路灯设施及电缆的故障与盗损问题，故障处理及时率达到 90% 以上。​</w:t>
      </w:r>
    </w:p>
    <w:p w14:paraId="073F04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提高市民对路灯照明及景观亮化的满意度，满意度达到 85% 以上。</w:t>
      </w:r>
    </w:p>
    <w:p w14:paraId="0584B9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绩效总目标已完成，阶段性完成情况良好。具体效益情况在下文说明。</w:t>
      </w:r>
    </w:p>
    <w:p w14:paraId="5A87B1C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部门评价工作开展情况</w:t>
      </w:r>
    </w:p>
    <w:p w14:paraId="5E2766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部门评价工作从以下方面开展：</w:t>
      </w:r>
    </w:p>
    <w:p w14:paraId="7B3AB8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路灯设施维护是否及时。及时</w:t>
      </w:r>
      <w:r>
        <w:rPr>
          <w:rFonts w:hint="default" w:ascii="Times New Roman" w:hAnsi="Times New Roman" w:eastAsia="仿宋" w:cs="Times New Roman"/>
          <w:sz w:val="32"/>
          <w:szCs w:val="32"/>
          <w:highlight w:val="none"/>
          <w:lang w:val="en-US" w:eastAsia="zh-CN"/>
        </w:rPr>
        <w:t>对中心城区及背街小巷的路灯灯具、灯杆、配电箱等设施</w:t>
      </w:r>
      <w:r>
        <w:rPr>
          <w:rFonts w:hint="eastAsia" w:ascii="Times New Roman" w:hAnsi="Times New Roman" w:eastAsia="仿宋" w:cs="Times New Roman"/>
          <w:sz w:val="32"/>
          <w:szCs w:val="32"/>
          <w:highlight w:val="none"/>
          <w:lang w:val="en-US" w:eastAsia="zh-CN"/>
        </w:rPr>
        <w:t>的</w:t>
      </w:r>
      <w:r>
        <w:rPr>
          <w:rFonts w:hint="default" w:ascii="Times New Roman" w:hAnsi="Times New Roman" w:eastAsia="仿宋" w:cs="Times New Roman"/>
          <w:sz w:val="32"/>
          <w:szCs w:val="32"/>
          <w:highlight w:val="none"/>
          <w:lang w:val="en-US" w:eastAsia="zh-CN"/>
        </w:rPr>
        <w:t>日常巡检、维修与更换</w:t>
      </w:r>
      <w:r>
        <w:rPr>
          <w:rFonts w:hint="eastAsia" w:ascii="Times New Roman" w:hAnsi="Times New Roman" w:eastAsia="仿宋" w:cs="Times New Roman"/>
          <w:sz w:val="32"/>
          <w:szCs w:val="32"/>
          <w:highlight w:val="none"/>
          <w:lang w:val="en-US" w:eastAsia="zh-CN"/>
        </w:rPr>
        <w:t>进行检查。</w:t>
      </w:r>
      <w:r>
        <w:rPr>
          <w:rFonts w:hint="default" w:ascii="Times New Roman" w:hAnsi="Times New Roman" w:eastAsia="仿宋" w:cs="Times New Roman"/>
          <w:sz w:val="32"/>
          <w:szCs w:val="32"/>
          <w:highlight w:val="none"/>
          <w:lang w:val="en-US" w:eastAsia="zh-CN"/>
        </w:rPr>
        <w:t>​</w:t>
      </w:r>
    </w:p>
    <w:p w14:paraId="6D4BC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景观照明维护是否到位。</w:t>
      </w:r>
      <w:r>
        <w:rPr>
          <w:rFonts w:hint="default" w:ascii="Times New Roman" w:hAnsi="Times New Roman" w:eastAsia="仿宋" w:cs="Times New Roman"/>
          <w:sz w:val="32"/>
          <w:szCs w:val="32"/>
          <w:highlight w:val="none"/>
          <w:lang w:val="en-US" w:eastAsia="zh-CN"/>
        </w:rPr>
        <w:t>对城市内的景观灯、霓虹灯、亮化小品等景观照明设施进行维护保养</w:t>
      </w:r>
      <w:r>
        <w:rPr>
          <w:rFonts w:hint="eastAsia" w:ascii="Times New Roman" w:hAnsi="Times New Roman" w:eastAsia="仿宋" w:cs="Times New Roman"/>
          <w:sz w:val="32"/>
          <w:szCs w:val="32"/>
          <w:highlight w:val="none"/>
          <w:lang w:val="en-US" w:eastAsia="zh-CN"/>
        </w:rPr>
        <w:t>，确保维护后路灯能够长期工作，设备正常运行。</w:t>
      </w:r>
      <w:r>
        <w:rPr>
          <w:rFonts w:hint="default" w:ascii="Times New Roman" w:hAnsi="Times New Roman" w:eastAsia="仿宋" w:cs="Times New Roman"/>
          <w:sz w:val="32"/>
          <w:szCs w:val="32"/>
          <w:highlight w:val="none"/>
          <w:lang w:val="en-US" w:eastAsia="zh-CN"/>
        </w:rPr>
        <w:t>​</w:t>
      </w:r>
    </w:p>
    <w:p w14:paraId="7B69B3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yellow"/>
          <w:lang w:val="en-US" w:eastAsia="zh-CN"/>
        </w:rPr>
      </w:pPr>
      <w:r>
        <w:rPr>
          <w:rFonts w:hint="eastAsia" w:ascii="Times New Roman" w:hAnsi="Times New Roman" w:eastAsia="仿宋" w:cs="Times New Roman"/>
          <w:kern w:val="2"/>
          <w:sz w:val="32"/>
          <w:szCs w:val="32"/>
          <w:lang w:val="en-US" w:eastAsia="zh-CN" w:bidi="ar-SA"/>
        </w:rPr>
        <w:t>是否定期</w:t>
      </w:r>
      <w:r>
        <w:rPr>
          <w:rFonts w:hint="default" w:ascii="Times New Roman" w:hAnsi="Times New Roman" w:eastAsia="仿宋" w:cs="Times New Roman"/>
          <w:sz w:val="32"/>
          <w:szCs w:val="32"/>
          <w:highlight w:val="none"/>
          <w:lang w:val="en-US" w:eastAsia="zh-CN"/>
        </w:rPr>
        <w:t>路灯巡查</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安排专业人员及车辆对路灯设施进行定期巡查，及时发现故障及异常情况。​</w:t>
      </w:r>
    </w:p>
    <w:p w14:paraId="01D56DE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14:paraId="5B45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2024年度中心城区、背街小巷路灯设施、景观照明维护、路灯巡查和电缆盗损维护</w:t>
      </w:r>
      <w:r>
        <w:rPr>
          <w:rFonts w:hint="eastAsia" w:ascii="Times New Roman" w:hAnsi="Times New Roman" w:eastAsia="仿宋" w:cs="Times New Roman"/>
          <w:sz w:val="32"/>
          <w:szCs w:val="32"/>
          <w:lang w:val="en-US" w:eastAsia="zh-CN"/>
        </w:rPr>
        <w:t>项目综合得分为94分，评价结论为优秀。</w:t>
      </w:r>
    </w:p>
    <w:p w14:paraId="14C02084">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四、绩效评价指标分析</w:t>
      </w:r>
    </w:p>
    <w:p w14:paraId="0EDB62F2">
      <w:pPr>
        <w:spacing w:line="600" w:lineRule="exact"/>
        <w:ind w:firstLine="643" w:firstLineChars="200"/>
        <w:rPr>
          <w:rFonts w:eastAsia="楷体_GB2312"/>
          <w:b/>
          <w:szCs w:val="32"/>
          <w:highlight w:val="none"/>
        </w:rPr>
      </w:pPr>
      <w:r>
        <w:rPr>
          <w:rFonts w:eastAsia="楷体_GB2312"/>
          <w:b/>
          <w:szCs w:val="32"/>
          <w:highlight w:val="none"/>
        </w:rPr>
        <w:t>（一）预算支出决策情况</w:t>
      </w:r>
    </w:p>
    <w:p w14:paraId="789D3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预算支出</w:t>
      </w:r>
      <w:r>
        <w:rPr>
          <w:rFonts w:hint="default" w:ascii="Times New Roman" w:hAnsi="Times New Roman" w:eastAsia="仿宋" w:cs="Times New Roman"/>
          <w:sz w:val="32"/>
          <w:szCs w:val="32"/>
          <w:highlight w:val="none"/>
          <w:lang w:val="en-US" w:eastAsia="zh-CN"/>
        </w:rPr>
        <w:t>决策符合国家相关法律法规、国民经济发展规划和相关政策</w:t>
      </w:r>
      <w:r>
        <w:rPr>
          <w:rFonts w:hint="eastAsia" w:ascii="Times New Roman" w:hAnsi="Times New Roman" w:eastAsia="仿宋" w:cs="Times New Roman"/>
          <w:sz w:val="32"/>
          <w:szCs w:val="32"/>
          <w:highlight w:val="none"/>
          <w:lang w:val="en-US" w:eastAsia="zh-CN"/>
        </w:rPr>
        <w:t>、符合行业发展规划和政策要求；审批文件、材料符合相关要求。情况良好。</w:t>
      </w:r>
    </w:p>
    <w:p w14:paraId="46BBCB22">
      <w:pPr>
        <w:numPr>
          <w:ilvl w:val="0"/>
          <w:numId w:val="3"/>
        </w:numPr>
        <w:spacing w:line="600" w:lineRule="exact"/>
        <w:ind w:firstLine="643" w:firstLineChars="200"/>
        <w:rPr>
          <w:rFonts w:eastAsia="楷体_GB2312"/>
          <w:b/>
          <w:szCs w:val="32"/>
          <w:highlight w:val="none"/>
        </w:rPr>
      </w:pPr>
      <w:r>
        <w:rPr>
          <w:rFonts w:eastAsia="楷体_GB2312"/>
          <w:b/>
          <w:szCs w:val="32"/>
          <w:highlight w:val="none"/>
        </w:rPr>
        <w:t>预算执行过程情况</w:t>
      </w:r>
    </w:p>
    <w:p w14:paraId="625F9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yellow"/>
          <w:lang w:val="en-US" w:eastAsia="zh-CN"/>
        </w:rPr>
      </w:pPr>
      <w:r>
        <w:rPr>
          <w:rFonts w:hint="eastAsia" w:ascii="Times New Roman" w:hAnsi="Times New Roman" w:eastAsia="仿宋" w:cs="Times New Roman"/>
          <w:sz w:val="32"/>
          <w:szCs w:val="32"/>
          <w:highlight w:val="none"/>
          <w:lang w:val="en-US" w:eastAsia="zh-CN"/>
        </w:rPr>
        <w:t>预算执行率100%，按照计划有序进行。符合国家财经法规和财务管理制度以及有关专项资金管理办法的规定；资金的拨付有完整的审批程序和手续；不存在截留、挤占、挪用、虐列支出等情况。情况良好。</w:t>
      </w:r>
    </w:p>
    <w:p w14:paraId="68488D15">
      <w:pPr>
        <w:spacing w:line="600" w:lineRule="exact"/>
        <w:ind w:firstLine="643" w:firstLineChars="200"/>
        <w:rPr>
          <w:rFonts w:eastAsia="楷体_GB2312"/>
          <w:b/>
          <w:szCs w:val="32"/>
        </w:rPr>
      </w:pPr>
      <w:r>
        <w:rPr>
          <w:rFonts w:eastAsia="楷体_GB2312"/>
          <w:b/>
          <w:szCs w:val="32"/>
        </w:rPr>
        <w:t>（三）预算支出产出情况</w:t>
      </w:r>
    </w:p>
    <w:p w14:paraId="08734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路灯设施维护数量、景观照明维护数量等均达到或超过预期目标，亮灯率等关键指标也满足要求。但在部分背街小巷，由于设施老化及维修难度较大，亮灯率略低于目标值。总体情况良好。</w:t>
      </w:r>
    </w:p>
    <w:p w14:paraId="7C778D36">
      <w:pPr>
        <w:spacing w:line="600" w:lineRule="exact"/>
        <w:ind w:firstLine="643" w:firstLineChars="200"/>
        <w:rPr>
          <w:rFonts w:eastAsia="楷体_GB2312"/>
          <w:b/>
          <w:szCs w:val="32"/>
        </w:rPr>
      </w:pPr>
      <w:r>
        <w:rPr>
          <w:rFonts w:eastAsia="楷体_GB2312"/>
          <w:b/>
          <w:szCs w:val="32"/>
        </w:rPr>
        <w:t>（四）预算支出效益情况</w:t>
      </w:r>
    </w:p>
    <w:p w14:paraId="673A3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1.社会效益</w:t>
      </w:r>
    </w:p>
    <w:p w14:paraId="0D5A5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通过项目实施，有效提升了城市夜间交通安全，改善了城市景观，得到了市民的广泛认可。但在能源节约方面，虽然采取了一些节能措施，但效果有待进一步提升。</w:t>
      </w:r>
    </w:p>
    <w:p w14:paraId="6266C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2.满意度指标</w:t>
      </w:r>
    </w:p>
    <w:p w14:paraId="6B02D4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市民满意度调查结果显示，满意度达到预期目标，但仍有部分市民对路灯照明亮度、景观照明效果等提出了改进建议。</w:t>
      </w:r>
    </w:p>
    <w:p w14:paraId="6B40546A">
      <w:pPr>
        <w:keepNext w:val="0"/>
        <w:keepLines w:val="0"/>
        <w:pageBreakBefore w:val="0"/>
        <w:widowControl w:val="0"/>
        <w:numPr>
          <w:ilvl w:val="0"/>
          <w:numId w:val="4"/>
        </w:numPr>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存在的问题和改进措施</w:t>
      </w:r>
    </w:p>
    <w:p w14:paraId="5A815A76">
      <w:pPr>
        <w:spacing w:line="600" w:lineRule="exact"/>
        <w:ind w:firstLine="643" w:firstLineChars="200"/>
        <w:rPr>
          <w:rFonts w:hint="default" w:eastAsia="楷体_GB2312"/>
          <w:b/>
          <w:szCs w:val="32"/>
          <w:lang w:val="en-US" w:eastAsia="zh-CN"/>
        </w:rPr>
      </w:pPr>
      <w:r>
        <w:rPr>
          <w:rFonts w:hint="eastAsia" w:eastAsia="楷体_GB2312"/>
          <w:b/>
          <w:szCs w:val="32"/>
          <w:lang w:val="en-US" w:eastAsia="zh-CN"/>
        </w:rPr>
        <w:t>（一）问题</w:t>
      </w:r>
    </w:p>
    <w:p w14:paraId="26BB6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部分路灯设施老化严重，维修成本高且效果不佳，影响亮灯率及照明效果</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路灯巡查及电缆防盗的智能化水平较低，耗费大量人力物力，且效果不够理想</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w:t>
      </w:r>
    </w:p>
    <w:p w14:paraId="6F27D347">
      <w:pPr>
        <w:spacing w:line="600" w:lineRule="exact"/>
        <w:ind w:firstLine="643" w:firstLineChars="200"/>
        <w:rPr>
          <w:rFonts w:hint="default" w:eastAsia="楷体_GB2312"/>
          <w:b/>
          <w:szCs w:val="32"/>
          <w:lang w:val="en-US" w:eastAsia="zh-CN"/>
        </w:rPr>
      </w:pPr>
      <w:r>
        <w:rPr>
          <w:rFonts w:hint="default" w:eastAsia="楷体_GB2312"/>
          <w:b/>
          <w:szCs w:val="32"/>
          <w:lang w:val="en-US" w:eastAsia="zh-CN"/>
        </w:rPr>
        <w:t>（二）</w:t>
      </w:r>
      <w:r>
        <w:rPr>
          <w:rFonts w:hint="eastAsia" w:eastAsia="楷体_GB2312"/>
          <w:b/>
          <w:szCs w:val="32"/>
          <w:lang w:val="en-US" w:eastAsia="zh-CN"/>
        </w:rPr>
        <w:t>措施</w:t>
      </w:r>
    </w:p>
    <w:p w14:paraId="64FE9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加大对老旧路灯设施的更新改造力度，制定详细的更新计划，逐步淘汰老化设施，提高照明设施的整体性能</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引入智能化的路灯巡查及电缆防盗系统，利用物联网、大数据等技术，提高工作效率及管理水平。​</w:t>
      </w:r>
    </w:p>
    <w:p w14:paraId="6A75800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六、部门评价结果拟应用和公开情况</w:t>
      </w:r>
    </w:p>
    <w:p w14:paraId="3F4C2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将部门评价结果拟应用于日后项目开展的依据，使项目更好的执行。秉持真实性原则公开发布评价情况。</w:t>
      </w:r>
    </w:p>
    <w:p w14:paraId="62204D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黑体"/>
          <w:szCs w:val="32"/>
          <w:lang w:val="en-US" w:eastAsia="zh-CN"/>
        </w:rPr>
        <w:t>七、</w:t>
      </w:r>
      <w:r>
        <w:rPr>
          <w:rFonts w:hint="eastAsia" w:ascii="Times New Roman" w:hAnsi="Times New Roman" w:eastAsia="黑体"/>
          <w:szCs w:val="32"/>
        </w:rPr>
        <w:t>其他需要说明的问题</w:t>
      </w:r>
    </w:p>
    <w:p w14:paraId="56A63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14:paraId="0621C6C8">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r>
        <w:rPr>
          <w:rFonts w:hint="default" w:ascii="Times New Roman" w:hAnsi="Times New Roman" w:eastAsia="仿宋" w:cs="Times New Roman"/>
          <w:sz w:val="32"/>
          <w:szCs w:val="32"/>
          <w:lang w:val="en-US" w:eastAsia="zh-CN"/>
        </w:rPr>
        <w:t>：2024</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年度中心城区、背街小巷路灯设施、景观照明维护、路灯巡查和电缆盗损维护项目资金部门评价指标体系评分表</w:t>
      </w:r>
    </w:p>
    <w:p w14:paraId="52B52CE9">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eastAsia" w:ascii="Times New Roman" w:hAnsi="Times New Roman" w:eastAsia="仿宋" w:cs="Times New Roman"/>
          <w:sz w:val="32"/>
          <w:szCs w:val="32"/>
          <w:lang w:val="en-US" w:eastAsia="zh-CN"/>
        </w:rPr>
      </w:pPr>
    </w:p>
    <w:p w14:paraId="7174EFF1">
      <w:pPr>
        <w:jc w:val="right"/>
        <w:rPr>
          <w:rFonts w:hint="eastAsia" w:ascii="Times New Roman" w:hAnsi="Times New Roman"/>
          <w:szCs w:val="32"/>
          <w:lang w:val="en-US" w:eastAsia="zh-CN"/>
        </w:rPr>
      </w:pPr>
      <w:r>
        <w:rPr>
          <w:rFonts w:hint="eastAsia" w:ascii="Times New Roman" w:hAnsi="Times New Roman"/>
          <w:szCs w:val="32"/>
          <w:lang w:val="en-US" w:eastAsia="zh-CN"/>
        </w:rPr>
        <w:t>益阳市路灯灯饰服务中心</w:t>
      </w:r>
    </w:p>
    <w:p w14:paraId="26E25B1E">
      <w:pPr>
        <w:pStyle w:val="2"/>
        <w:jc w:val="center"/>
        <w:rPr>
          <w:rFonts w:hint="eastAsia"/>
          <w:lang w:val="en-US" w:eastAsia="zh-CN"/>
        </w:rPr>
      </w:pPr>
      <w:r>
        <w:rPr>
          <w:rFonts w:hint="eastAsia" w:ascii="Times New Roman" w:hAnsi="Times New Roman"/>
          <w:szCs w:val="32"/>
          <w:lang w:val="en-US" w:eastAsia="zh-CN"/>
        </w:rPr>
        <w:t xml:space="preserve">                              2025年4月21日</w:t>
      </w:r>
    </w:p>
    <w:p w14:paraId="5F1328E1">
      <w:pPr>
        <w:jc w:val="center"/>
        <w:rPr>
          <w:rFonts w:hint="eastAsia" w:ascii="仿宋_GB2312"/>
          <w:b/>
          <w:bCs/>
          <w:szCs w:val="32"/>
        </w:rPr>
      </w:pPr>
      <w:r>
        <w:rPr>
          <w:rFonts w:hint="eastAsia" w:ascii="仿宋_GB2312"/>
          <w:b/>
          <w:bCs/>
          <w:szCs w:val="32"/>
          <w:lang w:val="en-US" w:eastAsia="zh-CN"/>
        </w:rPr>
        <w:t>2024 年度中心城区、背街小巷路灯设施、景观照明维护、路灯巡查和电缆盗损维护项目</w:t>
      </w:r>
      <w:r>
        <w:rPr>
          <w:rFonts w:hint="eastAsia" w:ascii="仿宋_GB2312"/>
          <w:b/>
          <w:bCs/>
          <w:szCs w:val="32"/>
        </w:rPr>
        <w:t>资金部门</w:t>
      </w:r>
    </w:p>
    <w:p w14:paraId="7E600075">
      <w:pPr>
        <w:jc w:val="center"/>
        <w:rPr>
          <w:rFonts w:hint="eastAsia" w:ascii="仿宋_GB2312"/>
          <w:b/>
          <w:bCs/>
          <w:szCs w:val="32"/>
        </w:rPr>
      </w:pPr>
      <w:r>
        <w:rPr>
          <w:rFonts w:hint="eastAsia" w:ascii="仿宋_GB2312"/>
          <w:b/>
          <w:bCs/>
          <w:szCs w:val="32"/>
        </w:rPr>
        <w:t>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14:paraId="470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B6830B0">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4D01867A">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2566D09C">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14:paraId="555B8DF7">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14:paraId="4AF84F63">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14:paraId="1B63428C">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2DC39C00">
            <w:pPr>
              <w:jc w:val="center"/>
              <w:rPr>
                <w:rFonts w:hint="eastAsia" w:ascii="仿宋_GB2312"/>
                <w:b/>
                <w:bCs/>
                <w:sz w:val="21"/>
                <w:szCs w:val="21"/>
              </w:rPr>
            </w:pPr>
            <w:r>
              <w:rPr>
                <w:rFonts w:hint="eastAsia" w:ascii="仿宋_GB2312"/>
                <w:b/>
                <w:bCs/>
                <w:sz w:val="21"/>
                <w:szCs w:val="21"/>
              </w:rPr>
              <w:t>得分</w:t>
            </w:r>
          </w:p>
        </w:tc>
      </w:tr>
      <w:tr w14:paraId="75E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5FE9F33C">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7A8A48E5">
            <w:pPr>
              <w:jc w:val="center"/>
              <w:rPr>
                <w:rFonts w:hint="eastAsia" w:ascii="仿宋_GB2312"/>
                <w:sz w:val="21"/>
                <w:szCs w:val="21"/>
              </w:rPr>
            </w:pPr>
            <w:r>
              <w:rPr>
                <w:rFonts w:hint="eastAsia" w:ascii="仿宋_GB2312"/>
                <w:sz w:val="21"/>
                <w:szCs w:val="21"/>
              </w:rPr>
              <w:t>预算支出决策</w:t>
            </w:r>
          </w:p>
          <w:p w14:paraId="3C59C207">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4CC53633">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271C3DA9">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14:paraId="702B49E7">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7F83622">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47714182">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0CE39D54">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7355060">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73E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0F4990">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5E0A94BF">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39C4C30">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14:paraId="29DDA62B">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CBA532F">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407F203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9FA43C9">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2F6F0C7B">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6B24F6FF">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20B9E81">
            <w:pPr>
              <w:spacing w:line="260" w:lineRule="exact"/>
              <w:ind w:left="160"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29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B88F18C">
            <w:pPr>
              <w:rPr>
                <w:rFonts w:hint="eastAsia" w:ascii="仿宋_GB2312"/>
                <w:sz w:val="21"/>
                <w:szCs w:val="21"/>
              </w:rPr>
            </w:pPr>
          </w:p>
        </w:tc>
        <w:tc>
          <w:tcPr>
            <w:tcW w:w="749" w:type="dxa"/>
            <w:vMerge w:val="restart"/>
            <w:noWrap w:val="0"/>
            <w:vAlign w:val="center"/>
          </w:tcPr>
          <w:p w14:paraId="1CDFEED5">
            <w:pPr>
              <w:jc w:val="center"/>
              <w:rPr>
                <w:rFonts w:hint="eastAsia" w:ascii="仿宋_GB2312"/>
                <w:sz w:val="21"/>
                <w:szCs w:val="21"/>
              </w:rPr>
            </w:pPr>
            <w:r>
              <w:rPr>
                <w:rFonts w:hint="eastAsia" w:ascii="仿宋_GB2312"/>
                <w:sz w:val="21"/>
                <w:szCs w:val="21"/>
              </w:rPr>
              <w:t>绩效</w:t>
            </w:r>
          </w:p>
          <w:p w14:paraId="070743C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394F6CF1">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0583E80E">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10EF71F">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BBB91A8">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5360321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30968500">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7AAD2BA5">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49B2C234">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6F2FC9FB">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199A1309">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3B6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F3E6C87">
            <w:pPr>
              <w:rPr>
                <w:rFonts w:hint="eastAsia" w:ascii="仿宋_GB2312"/>
                <w:sz w:val="21"/>
                <w:szCs w:val="21"/>
              </w:rPr>
            </w:pPr>
          </w:p>
        </w:tc>
        <w:tc>
          <w:tcPr>
            <w:tcW w:w="749" w:type="dxa"/>
            <w:vMerge w:val="continue"/>
            <w:noWrap w:val="0"/>
            <w:vAlign w:val="center"/>
          </w:tcPr>
          <w:p w14:paraId="14BFD00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3010EA12">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1B3722B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14:paraId="368149A0">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B73AD3D">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5C7E329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0EB6D39">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EB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6DB53501">
            <w:pPr>
              <w:spacing w:line="500" w:lineRule="exact"/>
              <w:jc w:val="center"/>
              <w:rPr>
                <w:rFonts w:hint="eastAsia" w:ascii="仿宋_GB2312"/>
                <w:sz w:val="21"/>
                <w:szCs w:val="21"/>
              </w:rPr>
            </w:pPr>
            <w:r>
              <w:rPr>
                <w:rFonts w:hint="eastAsia" w:ascii="仿宋_GB2312"/>
                <w:sz w:val="21"/>
                <w:szCs w:val="21"/>
              </w:rPr>
              <w:t>决</w:t>
            </w:r>
          </w:p>
          <w:p w14:paraId="54BA998C">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7D0825B6">
            <w:pPr>
              <w:jc w:val="center"/>
              <w:rPr>
                <w:rFonts w:hint="eastAsia" w:ascii="仿宋_GB2312"/>
                <w:sz w:val="21"/>
                <w:szCs w:val="21"/>
              </w:rPr>
            </w:pPr>
            <w:r>
              <w:rPr>
                <w:rFonts w:hint="eastAsia" w:ascii="仿宋_GB2312"/>
                <w:sz w:val="21"/>
                <w:szCs w:val="21"/>
              </w:rPr>
              <w:t>资金</w:t>
            </w:r>
          </w:p>
          <w:p w14:paraId="0D991B91">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F8DB31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5BEF4138">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025AA0C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14:paraId="3A59F923">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14:paraId="7A621A2D">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74D05DB">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21B57A32">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7522F61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3F1DF5E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636CEEFD">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2690DFE7">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3</w:t>
            </w:r>
          </w:p>
        </w:tc>
      </w:tr>
      <w:tr w14:paraId="68C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137F8F">
            <w:pPr>
              <w:rPr>
                <w:rFonts w:hint="eastAsia" w:ascii="仿宋_GB2312"/>
                <w:sz w:val="21"/>
                <w:szCs w:val="21"/>
              </w:rPr>
            </w:pPr>
          </w:p>
        </w:tc>
        <w:tc>
          <w:tcPr>
            <w:tcW w:w="749" w:type="dxa"/>
            <w:vMerge w:val="continue"/>
            <w:noWrap w:val="0"/>
            <w:vAlign w:val="center"/>
          </w:tcPr>
          <w:p w14:paraId="36F9C39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093CE157">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9CF3CB7">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DD38796">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52D7EBC">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7C6644C">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7FA2663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7978428">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2D3CDCB0">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7C4DF30">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152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D626996">
            <w:pPr>
              <w:spacing w:line="500" w:lineRule="exact"/>
              <w:jc w:val="center"/>
              <w:rPr>
                <w:rFonts w:hint="eastAsia" w:ascii="仿宋_GB2312"/>
                <w:sz w:val="21"/>
                <w:szCs w:val="21"/>
              </w:rPr>
            </w:pPr>
            <w:r>
              <w:rPr>
                <w:rFonts w:hint="eastAsia" w:ascii="仿宋_GB2312"/>
                <w:sz w:val="21"/>
                <w:szCs w:val="21"/>
              </w:rPr>
              <w:t>过</w:t>
            </w:r>
          </w:p>
          <w:p w14:paraId="21BD12D1">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14:paraId="79777A9B">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14:paraId="02A83C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2D670038">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14:paraId="3440C41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4ECCCCA7">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31C4D50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2880CDE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2</w:t>
            </w:r>
          </w:p>
        </w:tc>
      </w:tr>
      <w:tr w14:paraId="548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0C55DBFF">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3610666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0346017">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50E61AA">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14:paraId="2206C184">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C93FB18">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7CE91DE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4C1A47F1">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C8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466C4A8">
            <w:pPr>
              <w:jc w:val="center"/>
              <w:rPr>
                <w:rFonts w:hint="eastAsia" w:ascii="仿宋_GB2312"/>
                <w:sz w:val="21"/>
                <w:szCs w:val="21"/>
              </w:rPr>
            </w:pPr>
          </w:p>
        </w:tc>
        <w:tc>
          <w:tcPr>
            <w:tcW w:w="749" w:type="dxa"/>
            <w:vMerge w:val="continue"/>
            <w:noWrap w:val="0"/>
            <w:vAlign w:val="center"/>
          </w:tcPr>
          <w:p w14:paraId="7CA0E64D">
            <w:pPr>
              <w:rPr>
                <w:rFonts w:hint="eastAsia" w:ascii="仿宋_GB2312"/>
                <w:sz w:val="21"/>
                <w:szCs w:val="21"/>
              </w:rPr>
            </w:pPr>
          </w:p>
        </w:tc>
        <w:tc>
          <w:tcPr>
            <w:tcW w:w="999" w:type="dxa"/>
            <w:noWrap w:val="0"/>
            <w:tcMar>
              <w:top w:w="10" w:type="dxa"/>
              <w:left w:w="10" w:type="dxa"/>
              <w:bottom w:w="0" w:type="dxa"/>
              <w:right w:w="10" w:type="dxa"/>
            </w:tcMar>
            <w:vAlign w:val="center"/>
          </w:tcPr>
          <w:p w14:paraId="2232F04E">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5FBA350C">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AA86C84">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14:paraId="44391EE7">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14:paraId="2C12CE3D">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4F0DA9C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7DCF2F1">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635F1D3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7AE3E62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14A2F84A">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0A1F1BF4">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8</w:t>
            </w:r>
          </w:p>
        </w:tc>
      </w:tr>
      <w:tr w14:paraId="5F0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FDDAB0E">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4DFB8D2D">
            <w:pPr>
              <w:jc w:val="center"/>
              <w:rPr>
                <w:rFonts w:hint="eastAsia" w:ascii="仿宋_GB2312"/>
                <w:sz w:val="21"/>
                <w:szCs w:val="21"/>
              </w:rPr>
            </w:pPr>
            <w:r>
              <w:rPr>
                <w:rFonts w:hint="eastAsia" w:ascii="仿宋_GB2312"/>
                <w:sz w:val="21"/>
                <w:szCs w:val="21"/>
              </w:rPr>
              <w:t>组织</w:t>
            </w:r>
          </w:p>
          <w:p w14:paraId="35766C01">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0FA4CBE4">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138561A8">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0178DCDC">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14:paraId="02D316BC">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00CEF2FC">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3575DE7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7CCDE93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1F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17A76D52">
            <w:pPr>
              <w:spacing w:line="500" w:lineRule="exact"/>
              <w:jc w:val="center"/>
              <w:rPr>
                <w:rFonts w:hint="eastAsia" w:ascii="仿宋_GB2312"/>
                <w:sz w:val="21"/>
                <w:szCs w:val="21"/>
              </w:rPr>
            </w:pPr>
            <w:r>
              <w:rPr>
                <w:rFonts w:hint="eastAsia" w:ascii="仿宋_GB2312"/>
                <w:sz w:val="21"/>
                <w:szCs w:val="21"/>
              </w:rPr>
              <w:t>过</w:t>
            </w:r>
          </w:p>
          <w:p w14:paraId="5957AF07">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713F907C">
            <w:pPr>
              <w:rPr>
                <w:rFonts w:hint="eastAsia" w:ascii="仿宋_GB2312"/>
                <w:sz w:val="21"/>
                <w:szCs w:val="21"/>
              </w:rPr>
            </w:pPr>
          </w:p>
        </w:tc>
        <w:tc>
          <w:tcPr>
            <w:tcW w:w="999" w:type="dxa"/>
            <w:noWrap w:val="0"/>
            <w:tcMar>
              <w:top w:w="10" w:type="dxa"/>
              <w:left w:w="10" w:type="dxa"/>
              <w:bottom w:w="0" w:type="dxa"/>
              <w:right w:w="10" w:type="dxa"/>
            </w:tcMar>
            <w:vAlign w:val="center"/>
          </w:tcPr>
          <w:p w14:paraId="360F20EE">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174F7292">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4558F45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14:paraId="62EC52ED">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14:paraId="1AEA5752">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367CD68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4F78830">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6</w:t>
            </w:r>
          </w:p>
        </w:tc>
      </w:tr>
      <w:tr w14:paraId="1C9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4F600BFA">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14:paraId="1A866626">
            <w:pPr>
              <w:jc w:val="center"/>
              <w:rPr>
                <w:rFonts w:hint="eastAsia" w:ascii="仿宋_GB2312"/>
                <w:sz w:val="21"/>
                <w:szCs w:val="21"/>
              </w:rPr>
            </w:pPr>
            <w:r>
              <w:rPr>
                <w:rFonts w:hint="eastAsia" w:ascii="仿宋_GB2312"/>
                <w:sz w:val="21"/>
                <w:szCs w:val="21"/>
              </w:rPr>
              <w:t>产出</w:t>
            </w:r>
          </w:p>
          <w:p w14:paraId="6A8F7BD1">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14:paraId="220779B1">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45DB7C0B">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14:paraId="75AFB058">
            <w:pPr>
              <w:spacing w:line="260" w:lineRule="exact"/>
              <w:ind w:left="160" w:leftChars="50" w:right="160"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14:paraId="3872FA21">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29F3D11C">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8441A6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13</w:t>
            </w:r>
          </w:p>
        </w:tc>
      </w:tr>
      <w:tr w14:paraId="00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7B5CCB9">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735DDEA2">
            <w:pPr>
              <w:jc w:val="center"/>
              <w:rPr>
                <w:rFonts w:hint="eastAsia" w:ascii="仿宋_GB2312"/>
                <w:sz w:val="21"/>
                <w:szCs w:val="21"/>
              </w:rPr>
            </w:pPr>
            <w:r>
              <w:rPr>
                <w:rFonts w:hint="eastAsia" w:ascii="仿宋_GB2312"/>
                <w:sz w:val="21"/>
                <w:szCs w:val="21"/>
              </w:rPr>
              <w:t>产出</w:t>
            </w:r>
          </w:p>
          <w:p w14:paraId="70FD02B1">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21C0AE6">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0E549572">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14:paraId="4E9704D4">
            <w:pPr>
              <w:spacing w:line="260" w:lineRule="exact"/>
              <w:ind w:left="160" w:leftChars="50" w:right="160"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14:paraId="05A64D5F">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02C17405">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9D076D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11</w:t>
            </w:r>
          </w:p>
        </w:tc>
      </w:tr>
      <w:tr w14:paraId="224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723E725D">
            <w:pPr>
              <w:rPr>
                <w:rFonts w:hint="eastAsia" w:ascii="仿宋_GB2312"/>
                <w:sz w:val="21"/>
                <w:szCs w:val="21"/>
              </w:rPr>
            </w:pPr>
          </w:p>
        </w:tc>
        <w:tc>
          <w:tcPr>
            <w:tcW w:w="749" w:type="dxa"/>
            <w:noWrap w:val="0"/>
            <w:vAlign w:val="center"/>
          </w:tcPr>
          <w:p w14:paraId="331C43B5">
            <w:pPr>
              <w:jc w:val="center"/>
              <w:rPr>
                <w:rFonts w:hint="eastAsia" w:ascii="仿宋_GB2312"/>
                <w:sz w:val="21"/>
                <w:szCs w:val="21"/>
              </w:rPr>
            </w:pPr>
            <w:r>
              <w:rPr>
                <w:rFonts w:hint="eastAsia" w:ascii="仿宋_GB2312"/>
                <w:sz w:val="21"/>
                <w:szCs w:val="21"/>
              </w:rPr>
              <w:t>产出</w:t>
            </w:r>
          </w:p>
          <w:p w14:paraId="3D17EF37">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43BB9CFF">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0B84EAD0">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14:paraId="2FB80AD0">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6606DA3E">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3933C788">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32B25B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4BF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DE11B1E">
            <w:pPr>
              <w:spacing w:line="500" w:lineRule="exact"/>
              <w:ind w:left="113"/>
              <w:jc w:val="center"/>
              <w:rPr>
                <w:rFonts w:hint="eastAsia" w:ascii="仿宋_GB2312"/>
                <w:sz w:val="21"/>
                <w:szCs w:val="21"/>
              </w:rPr>
            </w:pPr>
          </w:p>
        </w:tc>
        <w:tc>
          <w:tcPr>
            <w:tcW w:w="749" w:type="dxa"/>
            <w:noWrap w:val="0"/>
            <w:vAlign w:val="center"/>
          </w:tcPr>
          <w:p w14:paraId="1280C792">
            <w:pPr>
              <w:jc w:val="center"/>
              <w:rPr>
                <w:rFonts w:hint="eastAsia" w:ascii="仿宋_GB2312"/>
                <w:sz w:val="21"/>
                <w:szCs w:val="21"/>
              </w:rPr>
            </w:pPr>
            <w:r>
              <w:rPr>
                <w:rFonts w:hint="eastAsia" w:ascii="仿宋_GB2312"/>
                <w:sz w:val="21"/>
                <w:szCs w:val="21"/>
              </w:rPr>
              <w:t>产出</w:t>
            </w:r>
          </w:p>
          <w:p w14:paraId="192C34BD">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14:paraId="1F574756">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05B5D199">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14:paraId="4DB489E4">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3EC2CBCC">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383342ED">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7B80BC2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D4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00CF04BA">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70AB520C">
            <w:pPr>
              <w:jc w:val="center"/>
              <w:rPr>
                <w:rFonts w:hint="eastAsia" w:ascii="仿宋_GB2312"/>
                <w:sz w:val="21"/>
                <w:szCs w:val="21"/>
              </w:rPr>
            </w:pPr>
            <w:r>
              <w:rPr>
                <w:rFonts w:hint="eastAsia" w:ascii="仿宋_GB2312"/>
                <w:sz w:val="21"/>
                <w:szCs w:val="21"/>
              </w:rPr>
              <w:t>预算</w:t>
            </w:r>
          </w:p>
          <w:p w14:paraId="628EEA5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5C9B5506">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20CCFE21">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14:paraId="48B5B139">
            <w:pPr>
              <w:spacing w:line="260" w:lineRule="exact"/>
              <w:ind w:left="160" w:leftChars="50" w:right="160"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14:paraId="2BE926F2">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14:paraId="40D8569D">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61B63D7F">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13</w:t>
            </w:r>
          </w:p>
        </w:tc>
      </w:tr>
      <w:tr w14:paraId="6B3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3040193">
            <w:pPr>
              <w:rPr>
                <w:rFonts w:hint="eastAsia" w:ascii="仿宋_GB2312"/>
                <w:sz w:val="21"/>
                <w:szCs w:val="21"/>
              </w:rPr>
            </w:pPr>
          </w:p>
        </w:tc>
        <w:tc>
          <w:tcPr>
            <w:tcW w:w="749" w:type="dxa"/>
            <w:vMerge w:val="continue"/>
            <w:noWrap w:val="0"/>
            <w:vAlign w:val="center"/>
          </w:tcPr>
          <w:p w14:paraId="232C6549">
            <w:pPr>
              <w:rPr>
                <w:rFonts w:hint="eastAsia" w:ascii="仿宋_GB2312"/>
                <w:sz w:val="21"/>
                <w:szCs w:val="21"/>
              </w:rPr>
            </w:pPr>
          </w:p>
        </w:tc>
        <w:tc>
          <w:tcPr>
            <w:tcW w:w="999" w:type="dxa"/>
            <w:noWrap w:val="0"/>
            <w:tcMar>
              <w:top w:w="10" w:type="dxa"/>
              <w:left w:w="10" w:type="dxa"/>
              <w:bottom w:w="0" w:type="dxa"/>
              <w:right w:w="10" w:type="dxa"/>
            </w:tcMar>
            <w:vAlign w:val="center"/>
          </w:tcPr>
          <w:p w14:paraId="431C799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24720566">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E16F115">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697DE67D">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B3CDC9D">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1F68F9D4">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14:paraId="1F744674">
            <w:pPr>
              <w:spacing w:line="260" w:lineRule="exact"/>
              <w:ind w:left="160" w:leftChars="50" w:right="160"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14:paraId="4EDFE6EB">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0883B0D">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050F328E">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2792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76FB61C0">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14:paraId="31B92A22">
            <w:pPr>
              <w:spacing w:line="260" w:lineRule="exact"/>
              <w:ind w:left="160" w:leftChars="50" w:right="160"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14:paraId="038E76C0">
            <w:pPr>
              <w:spacing w:line="260" w:lineRule="exact"/>
              <w:ind w:left="160" w:leftChars="50" w:right="160" w:rightChars="50"/>
              <w:rPr>
                <w:rFonts w:hint="eastAsia" w:ascii="仿宋_GB2312"/>
                <w:sz w:val="21"/>
                <w:szCs w:val="21"/>
              </w:rPr>
            </w:pPr>
          </w:p>
        </w:tc>
        <w:tc>
          <w:tcPr>
            <w:tcW w:w="2951" w:type="dxa"/>
            <w:noWrap w:val="0"/>
            <w:tcMar>
              <w:top w:w="10" w:type="dxa"/>
              <w:left w:w="10" w:type="dxa"/>
              <w:bottom w:w="0" w:type="dxa"/>
              <w:right w:w="10" w:type="dxa"/>
            </w:tcMar>
            <w:vAlign w:val="center"/>
          </w:tcPr>
          <w:p w14:paraId="5805A80D">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7B6455D2">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94</w:t>
            </w:r>
          </w:p>
        </w:tc>
      </w:tr>
    </w:tbl>
    <w:p w14:paraId="5B17683B"/>
    <w:p w14:paraId="3E5C156F"/>
    <w:p w14:paraId="0C4730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1540E"/>
    <w:multiLevelType w:val="singleLevel"/>
    <w:tmpl w:val="9011540E"/>
    <w:lvl w:ilvl="0" w:tentative="0">
      <w:start w:val="5"/>
      <w:numFmt w:val="chineseCounting"/>
      <w:suff w:val="nothing"/>
      <w:lvlText w:val="%1、"/>
      <w:lvlJc w:val="left"/>
      <w:rPr>
        <w:rFonts w:hint="eastAsia"/>
      </w:rPr>
    </w:lvl>
  </w:abstractNum>
  <w:abstractNum w:abstractNumId="1">
    <w:nsid w:val="9988220E"/>
    <w:multiLevelType w:val="singleLevel"/>
    <w:tmpl w:val="9988220E"/>
    <w:lvl w:ilvl="0" w:tentative="0">
      <w:start w:val="2"/>
      <w:numFmt w:val="chineseCounting"/>
      <w:suff w:val="nothing"/>
      <w:lvlText w:val="（%1）"/>
      <w:lvlJc w:val="left"/>
      <w:rPr>
        <w:rFonts w:hint="eastAsia"/>
      </w:rPr>
    </w:lvl>
  </w:abstractNum>
  <w:abstractNum w:abstractNumId="2">
    <w:nsid w:val="A5208E14"/>
    <w:multiLevelType w:val="singleLevel"/>
    <w:tmpl w:val="A5208E14"/>
    <w:lvl w:ilvl="0" w:tentative="0">
      <w:start w:val="2"/>
      <w:numFmt w:val="chineseCounting"/>
      <w:suff w:val="nothing"/>
      <w:lvlText w:val="%1、"/>
      <w:lvlJc w:val="left"/>
      <w:rPr>
        <w:rFonts w:hint="eastAsia"/>
      </w:rPr>
    </w:lvl>
  </w:abstractNum>
  <w:abstractNum w:abstractNumId="3">
    <w:nsid w:val="4AE6234B"/>
    <w:multiLevelType w:val="singleLevel"/>
    <w:tmpl w:val="4AE6234B"/>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06F55"/>
    <w:rsid w:val="003A7879"/>
    <w:rsid w:val="06061473"/>
    <w:rsid w:val="06102881"/>
    <w:rsid w:val="09490DC9"/>
    <w:rsid w:val="09F47D86"/>
    <w:rsid w:val="0F2E1A50"/>
    <w:rsid w:val="12E73B9A"/>
    <w:rsid w:val="175D5EE1"/>
    <w:rsid w:val="1923440A"/>
    <w:rsid w:val="1BAA64F0"/>
    <w:rsid w:val="1CE17872"/>
    <w:rsid w:val="1D2828ED"/>
    <w:rsid w:val="1D715E5C"/>
    <w:rsid w:val="20E64209"/>
    <w:rsid w:val="235F5B97"/>
    <w:rsid w:val="278B23EE"/>
    <w:rsid w:val="296F5A87"/>
    <w:rsid w:val="29E87CCF"/>
    <w:rsid w:val="2CF85053"/>
    <w:rsid w:val="308D1737"/>
    <w:rsid w:val="3510699D"/>
    <w:rsid w:val="3554618D"/>
    <w:rsid w:val="3A195161"/>
    <w:rsid w:val="3D282866"/>
    <w:rsid w:val="40893847"/>
    <w:rsid w:val="45447BCA"/>
    <w:rsid w:val="4AE414ED"/>
    <w:rsid w:val="51035884"/>
    <w:rsid w:val="54AD4D7C"/>
    <w:rsid w:val="55480D0B"/>
    <w:rsid w:val="5AB06F55"/>
    <w:rsid w:val="627F5BA7"/>
    <w:rsid w:val="676663B4"/>
    <w:rsid w:val="694B1A4D"/>
    <w:rsid w:val="6A1C5ABE"/>
    <w:rsid w:val="6C6B16F9"/>
    <w:rsid w:val="6EB611AF"/>
    <w:rsid w:val="6F2E33F7"/>
    <w:rsid w:val="79630533"/>
    <w:rsid w:val="7AA2343E"/>
    <w:rsid w:val="7DA255BF"/>
    <w:rsid w:val="7E50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1968</Words>
  <Characters>2019</Characters>
  <Lines>0</Lines>
  <Paragraphs>0</Paragraphs>
  <TotalTime>0</TotalTime>
  <ScaleCrop>false</ScaleCrop>
  <LinksUpToDate>false</LinksUpToDate>
  <CharactersWithSpaces>2068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2025-04-11T07:55:00Z</dcterms:created>
  <dc:creator>易诺难守</dc:creator>
  <cp:lastModifiedBy>易诺难守</cp:lastModifiedBy>
  <dcterms:modified xsi:type="dcterms:W3CDTF">2025-04-21T06:32:04Z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8A1D7987C82A49DAAE2C78C37DE9D069_11</vt:lpwstr>
  </property>
  <property fmtid="{D5CDD505-2E9C-101B-9397-08002B2CF9AE}" pid="4" name="KSOTemplateDocerSaveRecord">
    <vt:lpwstr>eyJoZGlkIjoiZmNlZTI5OGQ4OWQ2NTU5MWMwOWRmODQwMTZiZWRjNTgiLCJ1c2VySWQiOiIzNDE1NzA4NjYifQ==</vt:lpwstr>
  </property>
</Properties>
</file>